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374"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80" w:type="dxa"/>
            <w:vAlign w:val="bottom"/>
          </w:tcPr>
          <w:p>
            <w:pPr>
              <w:jc w:val="center"/>
              <w:ind w:left="145"/>
              <w:spacing w:after="0"/>
              <w:rPr>
                <w:sz w:val="20"/>
                <w:szCs w:val="20"/>
                <w:color w:val="auto"/>
              </w:rPr>
            </w:pPr>
            <w:r>
              <w:rPr>
                <w:rFonts w:ascii="Arial" w:cs="Arial" w:eastAsia="Arial" w:hAnsi="Arial"/>
                <w:sz w:val="14"/>
                <w:szCs w:val="14"/>
                <w:color w:val="auto"/>
                <w:w w:val="90"/>
              </w:rPr>
              <w:t>(State or Other</w:t>
            </w:r>
          </w:p>
        </w:tc>
        <w:tc>
          <w:tcPr>
            <w:tcW w:w="130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530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580" w:type="dxa"/>
            <w:vAlign w:val="bottom"/>
          </w:tcPr>
          <w:p>
            <w:pPr>
              <w:jc w:val="center"/>
              <w:ind w:left="145"/>
              <w:spacing w:after="0" w:line="149" w:lineRule="exact"/>
              <w:rPr>
                <w:sz w:val="20"/>
                <w:szCs w:val="20"/>
                <w:color w:val="auto"/>
              </w:rPr>
            </w:pPr>
            <w:r>
              <w:rPr>
                <w:rFonts w:ascii="Arial" w:cs="Arial" w:eastAsia="Arial" w:hAnsi="Arial"/>
                <w:sz w:val="14"/>
                <w:szCs w:val="14"/>
                <w:color w:val="auto"/>
                <w:w w:val="98"/>
              </w:rPr>
              <w:t>Jurisdiction of</w:t>
            </w:r>
          </w:p>
        </w:tc>
        <w:tc>
          <w:tcPr>
            <w:tcW w:w="1300" w:type="dxa"/>
            <w:vAlign w:val="bottom"/>
          </w:tcPr>
          <w:p>
            <w:pPr>
              <w:spacing w:after="0"/>
              <w:rPr>
                <w:sz w:val="12"/>
                <w:szCs w:val="12"/>
                <w:color w:val="auto"/>
              </w:rPr>
            </w:pPr>
          </w:p>
        </w:tc>
      </w:tr>
      <w:tr>
        <w:trPr>
          <w:trHeight w:val="149"/>
        </w:trPr>
        <w:tc>
          <w:tcPr>
            <w:tcW w:w="2200" w:type="dxa"/>
            <w:vAlign w:val="bottom"/>
          </w:tcPr>
          <w:p>
            <w:pPr>
              <w:spacing w:after="0"/>
              <w:rPr>
                <w:sz w:val="12"/>
                <w:szCs w:val="12"/>
                <w:color w:val="auto"/>
              </w:rPr>
            </w:pPr>
          </w:p>
        </w:tc>
        <w:tc>
          <w:tcPr>
            <w:tcW w:w="5300" w:type="dxa"/>
            <w:vAlign w:val="bottom"/>
          </w:tcPr>
          <w:p>
            <w:pPr>
              <w:jc w:val="center"/>
              <w:ind w:left="7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580" w:type="dxa"/>
            <w:vAlign w:val="bottom"/>
          </w:tcPr>
          <w:p>
            <w:pPr>
              <w:jc w:val="center"/>
              <w:ind w:left="12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00" w:type="dxa"/>
            <w:vAlign w:val="bottom"/>
          </w:tcPr>
          <w:p>
            <w:pPr>
              <w:jc w:val="center"/>
              <w:ind w:left="95"/>
              <w:spacing w:after="0"/>
              <w:rPr>
                <w:sz w:val="20"/>
                <w:szCs w:val="20"/>
                <w:color w:val="auto"/>
              </w:rPr>
            </w:pPr>
            <w:r>
              <w:rPr>
                <w:rFonts w:ascii="Arial" w:cs="Arial" w:eastAsia="Arial" w:hAnsi="Arial"/>
                <w:sz w:val="14"/>
                <w:szCs w:val="14"/>
                <w:color w:val="auto"/>
                <w:w w:val="92"/>
              </w:rPr>
              <w:t>(Telephone Number)</w:t>
            </w:r>
          </w:p>
        </w:tc>
        <w:tc>
          <w:tcPr>
            <w:tcW w:w="1580" w:type="dxa"/>
            <w:vAlign w:val="bottom"/>
          </w:tcPr>
          <w:p>
            <w:pPr>
              <w:jc w:val="center"/>
              <w:ind w:left="14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00" w:type="dxa"/>
            <w:vAlign w:val="bottom"/>
          </w:tcPr>
          <w:p>
            <w:pPr>
              <w:jc w:val="right"/>
              <w:ind w:right="1102"/>
              <w:spacing w:after="0"/>
              <w:rPr>
                <w:sz w:val="20"/>
                <w:szCs w:val="20"/>
                <w:color w:val="auto"/>
              </w:rPr>
            </w:pPr>
            <w:r>
              <w:rPr>
                <w:rFonts w:ascii="Arial" w:cs="Arial" w:eastAsia="Arial" w:hAnsi="Arial"/>
                <w:sz w:val="16"/>
                <w:szCs w:val="16"/>
                <w:b w:val="1"/>
                <w:bCs w:val="1"/>
                <w:color w:val="auto"/>
              </w:rPr>
              <w:t>1-9516</w:t>
            </w:r>
          </w:p>
        </w:tc>
        <w:tc>
          <w:tcPr>
            <w:tcW w:w="5300" w:type="dxa"/>
            <w:vAlign w:val="bottom"/>
          </w:tcPr>
          <w:p>
            <w:pPr>
              <w:jc w:val="center"/>
              <w:ind w:left="95"/>
              <w:spacing w:after="0"/>
              <w:rPr>
                <w:sz w:val="20"/>
                <w:szCs w:val="20"/>
                <w:color w:val="auto"/>
              </w:rPr>
            </w:pPr>
            <w:r>
              <w:rPr>
                <w:rFonts w:ascii="Arial" w:cs="Arial" w:eastAsia="Arial" w:hAnsi="Arial"/>
                <w:sz w:val="23"/>
                <w:szCs w:val="23"/>
                <w:b w:val="1"/>
                <w:bCs w:val="1"/>
                <w:color w:val="auto"/>
              </w:rPr>
              <w:t>ICAHN ENTERPRISES L.P.</w:t>
            </w:r>
          </w:p>
        </w:tc>
        <w:tc>
          <w:tcPr>
            <w:tcW w:w="158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1"/>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5"/>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00" w:type="dxa"/>
            <w:vAlign w:val="bottom"/>
          </w:tcPr>
          <w:p>
            <w:pPr>
              <w:jc w:val="right"/>
              <w:ind w:right="842"/>
              <w:spacing w:after="0"/>
              <w:rPr>
                <w:sz w:val="20"/>
                <w:szCs w:val="20"/>
                <w:color w:val="auto"/>
              </w:rPr>
            </w:pPr>
            <w:r>
              <w:rPr>
                <w:rFonts w:ascii="Arial" w:cs="Arial" w:eastAsia="Arial" w:hAnsi="Arial"/>
                <w:sz w:val="16"/>
                <w:szCs w:val="16"/>
                <w:b w:val="1"/>
                <w:bCs w:val="1"/>
                <w:color w:val="auto"/>
              </w:rPr>
              <w:t>333-118021-01</w:t>
            </w:r>
          </w:p>
        </w:tc>
        <w:tc>
          <w:tcPr>
            <w:tcW w:w="5300" w:type="dxa"/>
            <w:vAlign w:val="bottom"/>
          </w:tcPr>
          <w:p>
            <w:pPr>
              <w:jc w:val="center"/>
              <w:ind w:left="95"/>
              <w:spacing w:after="0"/>
              <w:rPr>
                <w:sz w:val="20"/>
                <w:szCs w:val="20"/>
                <w:color w:val="auto"/>
              </w:rPr>
            </w:pPr>
            <w:r>
              <w:rPr>
                <w:rFonts w:ascii="Arial" w:cs="Arial" w:eastAsia="Arial" w:hAnsi="Arial"/>
                <w:sz w:val="23"/>
                <w:szCs w:val="23"/>
                <w:b w:val="1"/>
                <w:bCs w:val="1"/>
                <w:color w:val="auto"/>
              </w:rPr>
              <w:t>ICAHN ENTERPRISES HOLDINGS L.P.</w:t>
            </w:r>
          </w:p>
        </w:tc>
        <w:tc>
          <w:tcPr>
            <w:tcW w:w="1580" w:type="dxa"/>
            <w:vAlign w:val="bottom"/>
          </w:tcPr>
          <w:p>
            <w:pPr>
              <w:jc w:val="center"/>
              <w:ind w:left="145"/>
              <w:spacing w:after="0"/>
              <w:rPr>
                <w:sz w:val="20"/>
                <w:szCs w:val="20"/>
                <w:color w:val="auto"/>
              </w:rPr>
            </w:pPr>
            <w:r>
              <w:rPr>
                <w:rFonts w:ascii="Arial" w:cs="Arial" w:eastAsia="Arial" w:hAnsi="Arial"/>
                <w:sz w:val="16"/>
                <w:szCs w:val="16"/>
                <w:b w:val="1"/>
                <w:bCs w:val="1"/>
                <w:color w:val="auto"/>
                <w:w w:val="91"/>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00" w:type="dxa"/>
            <w:vAlign w:val="bottom"/>
          </w:tcPr>
          <w:p>
            <w:pPr>
              <w:spacing w:after="0"/>
              <w:rPr>
                <w:sz w:val="20"/>
                <w:szCs w:val="20"/>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1"/>
              </w:rPr>
              <w:t>767 Fifth Avenue, Suite 4700</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00" w:type="dxa"/>
            <w:vAlign w:val="bottom"/>
          </w:tcPr>
          <w:p>
            <w:pPr>
              <w:spacing w:after="0"/>
              <w:rPr>
                <w:sz w:val="17"/>
                <w:szCs w:val="17"/>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5"/>
              </w:rPr>
              <w:t>New York, NY 10153</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00" w:type="dxa"/>
            <w:vAlign w:val="bottom"/>
          </w:tcPr>
          <w:p>
            <w:pPr>
              <w:spacing w:after="0"/>
              <w:rPr>
                <w:sz w:val="18"/>
                <w:szCs w:val="18"/>
                <w:color w:val="auto"/>
              </w:rPr>
            </w:pPr>
          </w:p>
        </w:tc>
        <w:tc>
          <w:tcPr>
            <w:tcW w:w="5300" w:type="dxa"/>
            <w:vAlign w:val="bottom"/>
          </w:tcPr>
          <w:p>
            <w:pPr>
              <w:jc w:val="center"/>
              <w:ind w:left="75"/>
              <w:spacing w:after="0"/>
              <w:rPr>
                <w:sz w:val="20"/>
                <w:szCs w:val="20"/>
                <w:color w:val="auto"/>
              </w:rPr>
            </w:pPr>
            <w:r>
              <w:rPr>
                <w:rFonts w:ascii="Arial" w:cs="Arial" w:eastAsia="Arial" w:hAnsi="Arial"/>
                <w:sz w:val="16"/>
                <w:szCs w:val="16"/>
                <w:b w:val="1"/>
                <w:bCs w:val="1"/>
                <w:color w:val="auto"/>
                <w:w w:val="93"/>
              </w:rPr>
              <w:t>(212) 702-4300</w:t>
            </w: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10"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Icahn Enterprises L.P.</w:t>
            </w:r>
          </w:p>
        </w:tc>
        <w:tc>
          <w:tcPr>
            <w:tcW w:w="2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Icahn Enterprises Holdings L.P.</w:t>
            </w:r>
          </w:p>
        </w:tc>
        <w:tc>
          <w:tcPr>
            <w:tcW w:w="1240" w:type="dxa"/>
            <w:vAlign w:val="bottom"/>
          </w:tcPr>
          <w:p>
            <w:pPr>
              <w:spacing w:after="0"/>
              <w:rPr>
                <w:sz w:val="18"/>
                <w:szCs w:val="18"/>
                <w:color w:val="auto"/>
              </w:rPr>
            </w:pPr>
          </w:p>
        </w:tc>
      </w:tr>
      <w:tr>
        <w:trPr>
          <w:trHeight w:val="291"/>
        </w:trPr>
        <w:tc>
          <w:tcPr>
            <w:tcW w:w="2240" w:type="dxa"/>
            <w:vAlign w:val="bottom"/>
            <w:gridSpan w:val="2"/>
          </w:tcPr>
          <w:p>
            <w:pPr>
              <w:jc w:val="center"/>
              <w:ind w:right="310"/>
              <w:spacing w:after="0"/>
              <w:rPr>
                <w:sz w:val="20"/>
                <w:szCs w:val="20"/>
                <w:color w:val="auto"/>
              </w:rPr>
            </w:pPr>
            <w:r>
              <w:rPr>
                <w:rFonts w:ascii="Arial" w:cs="Arial" w:eastAsia="Arial" w:hAnsi="Arial"/>
                <w:sz w:val="18"/>
                <w:szCs w:val="18"/>
                <w:color w:val="auto"/>
                <w:w w:val="91"/>
              </w:rPr>
              <w:t>Large Accelerated Filer x</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Accelerated Filer o</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6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40" w:type="dxa"/>
            <w:vAlign w:val="bottom"/>
            <w:gridSpan w:val="2"/>
          </w:tcPr>
          <w:p>
            <w:pPr>
              <w:jc w:val="center"/>
              <w:ind w:right="290"/>
              <w:spacing w:after="0"/>
              <w:rPr>
                <w:sz w:val="20"/>
                <w:szCs w:val="20"/>
                <w:color w:val="auto"/>
              </w:rPr>
            </w:pPr>
            <w:r>
              <w:rPr>
                <w:rFonts w:ascii="Arial" w:cs="Arial" w:eastAsia="Arial" w:hAnsi="Arial"/>
                <w:sz w:val="18"/>
                <w:szCs w:val="18"/>
                <w:color w:val="auto"/>
                <w:w w:val="90"/>
              </w:rPr>
              <w:t>Non-accelerated Filer o</w:t>
            </w:r>
          </w:p>
        </w:tc>
        <w:tc>
          <w:tcPr>
            <w:tcW w:w="30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Smaller Reporting Company o</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6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Smaller Reporting Company o</w:t>
            </w:r>
          </w:p>
        </w:tc>
      </w:tr>
      <w:tr>
        <w:trPr>
          <w:trHeight w:val="270"/>
        </w:trPr>
        <w:tc>
          <w:tcPr>
            <w:tcW w:w="5240" w:type="dxa"/>
            <w:vAlign w:val="bottom"/>
            <w:gridSpan w:val="4"/>
          </w:tcPr>
          <w:p>
            <w:pPr>
              <w:jc w:val="center"/>
              <w:ind w:right="460"/>
              <w:spacing w:after="0"/>
              <w:rPr>
                <w:sz w:val="20"/>
                <w:szCs w:val="20"/>
                <w:color w:val="auto"/>
              </w:rPr>
            </w:pPr>
            <w:r>
              <w:rPr>
                <w:rFonts w:ascii="Arial" w:cs="Arial" w:eastAsia="Arial" w:hAnsi="Arial"/>
                <w:sz w:val="18"/>
                <w:szCs w:val="18"/>
                <w:color w:val="auto"/>
                <w:w w:val="91"/>
              </w:rPr>
              <w:t>Emerging Growth Company o</w:t>
            </w:r>
          </w:p>
        </w:tc>
        <w:tc>
          <w:tcPr>
            <w:tcW w:w="1640" w:type="dxa"/>
            <w:vAlign w:val="bottom"/>
          </w:tcPr>
          <w:p>
            <w:pPr>
              <w:spacing w:after="0"/>
              <w:rPr>
                <w:sz w:val="23"/>
                <w:szCs w:val="23"/>
                <w:color w:val="auto"/>
              </w:rPr>
            </w:pPr>
          </w:p>
        </w:tc>
        <w:tc>
          <w:tcPr>
            <w:tcW w:w="3540" w:type="dxa"/>
            <w:vAlign w:val="bottom"/>
            <w:gridSpan w:val="3"/>
          </w:tcPr>
          <w:p>
            <w:pPr>
              <w:jc w:val="center"/>
              <w:ind w:right="1240"/>
              <w:spacing w:after="0"/>
              <w:rPr>
                <w:sz w:val="20"/>
                <w:szCs w:val="20"/>
                <w:color w:val="auto"/>
              </w:rPr>
            </w:pPr>
            <w:r>
              <w:rPr>
                <w:rFonts w:ascii="Arial" w:cs="Arial" w:eastAsia="Arial" w:hAnsi="Arial"/>
                <w:sz w:val="18"/>
                <w:szCs w:val="18"/>
                <w:color w:val="auto"/>
                <w:w w:val="91"/>
              </w:rPr>
              <w:t>Emerging Growth Company o</w:t>
            </w:r>
          </w:p>
        </w:tc>
      </w:tr>
    </w:tbl>
    <w:p>
      <w:pPr>
        <w:spacing w:after="0" w:line="12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August 2, 2018, there were 182,190,734 of Icahn Enterprises' depositary units outstanding.</w:t>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Explanatory Note and Forward-Looking Statements</w:t>
              </w:r>
            </w:hyperlink>
          </w:p>
        </w:tc>
        <w:tc>
          <w:tcPr>
            <w:tcW w:w="540" w:type="dxa"/>
            <w:vAlign w:val="bottom"/>
            <w:tcBorders>
              <w:right w:val="single" w:sz="8" w:color="CCEEFF"/>
            </w:tcBorders>
            <w:gridSpan w:val="2"/>
            <w:shd w:val="clear" w:color="auto" w:fill="CCEEFF"/>
          </w:tcPr>
          <w:p>
            <w:pPr>
              <w:jc w:val="center"/>
              <w:ind w:left="275"/>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21"/>
                <w:szCs w:val="21"/>
                <w:color w:val="auto"/>
              </w:rPr>
            </w:pPr>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4"/>
            <w:shd w:val="clear" w:color="auto" w:fill="CCEEFF"/>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200" w:type="dxa"/>
            <w:vAlign w:val="bottom"/>
            <w:gridSpan w:val="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gridSpan w:val="2"/>
          </w:tcPr>
          <w:p>
            <w:pPr>
              <w:jc w:val="center"/>
              <w:ind w:left="275"/>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2.</w:t>
              </w:r>
            </w:hyperlink>
          </w:p>
        </w:tc>
        <w:tc>
          <w:tcPr>
            <w:tcW w:w="740" w:type="dxa"/>
            <w:vAlign w:val="bottom"/>
            <w:gridSpan w:val="2"/>
            <w:shd w:val="clear" w:color="auto" w:fill="CCEEFF"/>
          </w:tcPr>
          <w:p>
            <w:pPr>
              <w:spacing w:after="0"/>
              <w:rPr>
                <w:sz w:val="17"/>
                <w:szCs w:val="17"/>
                <w:color w:val="auto"/>
              </w:rPr>
            </w:pPr>
          </w:p>
        </w:tc>
        <w:tc>
          <w:tcPr>
            <w:tcW w:w="6500" w:type="dxa"/>
            <w:vAlign w:val="bottom"/>
            <w:gridSpan w:val="8"/>
            <w:shd w:val="clear" w:color="auto" w:fill="CCEEFF"/>
          </w:tcPr>
          <w:p>
            <w:pPr>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2"/>
            <w:shd w:val="clear" w:color="auto" w:fill="CCEEFF"/>
          </w:tcPr>
          <w:p>
            <w:pPr>
              <w:jc w:val="center"/>
              <w:ind w:right="360"/>
              <w:spacing w:after="0"/>
              <w:rPr>
                <w:rFonts w:ascii="Arial" w:cs="Arial" w:eastAsia="Arial" w:hAnsi="Arial"/>
                <w:sz w:val="17"/>
                <w:szCs w:val="17"/>
                <w:color w:val="0000EE"/>
                <w:w w:val="73"/>
              </w:rPr>
            </w:pPr>
            <w:hyperlink w:anchor="page46">
              <w:r>
                <w:rPr>
                  <w:rFonts w:ascii="Arial" w:cs="Arial" w:eastAsia="Arial" w:hAnsi="Arial"/>
                  <w:sz w:val="17"/>
                  <w:szCs w:val="17"/>
                  <w:color w:val="0000EE"/>
                  <w:w w:val="73"/>
                </w:rPr>
                <w:t>43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9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3.</w:t>
              </w:r>
            </w:hyperlink>
          </w:p>
        </w:tc>
        <w:tc>
          <w:tcPr>
            <w:tcW w:w="740" w:type="dxa"/>
            <w:vAlign w:val="bottom"/>
            <w:gridSpan w:val="2"/>
          </w:tcPr>
          <w:p>
            <w:pPr>
              <w:spacing w:after="0"/>
              <w:rPr>
                <w:sz w:val="17"/>
                <w:szCs w:val="17"/>
                <w:color w:val="auto"/>
              </w:rPr>
            </w:pPr>
          </w:p>
        </w:tc>
        <w:tc>
          <w:tcPr>
            <w:tcW w:w="6500" w:type="dxa"/>
            <w:vAlign w:val="bottom"/>
            <w:gridSpan w:val="8"/>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2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rPr>
                <w:rFonts w:ascii="Arial" w:cs="Arial" w:eastAsia="Arial" w:hAnsi="Arial"/>
                <w:sz w:val="17"/>
                <w:szCs w:val="17"/>
                <w:color w:val="0000EE"/>
                <w:w w:val="73"/>
              </w:rPr>
            </w:pPr>
            <w:hyperlink w:anchor="page62">
              <w:r>
                <w:rPr>
                  <w:rFonts w:ascii="Arial" w:cs="Arial" w:eastAsia="Arial" w:hAnsi="Arial"/>
                  <w:sz w:val="17"/>
                  <w:szCs w:val="17"/>
                  <w:color w:val="0000EE"/>
                  <w:w w:val="73"/>
                </w:rPr>
                <w:t>59</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92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Item 4.</w:t>
              </w:r>
            </w:hyperlink>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90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33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4"/>
            <w:shd w:val="clear" w:color="auto" w:fill="CCEEFF"/>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60" w:type="dxa"/>
            <w:vAlign w:val="bottom"/>
            <w:gridSpan w:val="3"/>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w:t>
              </w:r>
            </w:hyperlink>
          </w:p>
        </w:tc>
        <w:tc>
          <w:tcPr>
            <w:tcW w:w="9200" w:type="dxa"/>
            <w:vAlign w:val="bottom"/>
            <w:gridSpan w:val="9"/>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900" w:type="dxa"/>
            <w:vAlign w:val="bottom"/>
            <w:gridSpan w:val="3"/>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1A.</w:t>
              </w:r>
            </w:hyperlink>
          </w:p>
        </w:tc>
        <w:tc>
          <w:tcPr>
            <w:tcW w:w="9200" w:type="dxa"/>
            <w:vAlign w:val="bottom"/>
            <w:gridSpan w:val="9"/>
            <w:shd w:val="clear" w:color="auto" w:fill="CCEEFF"/>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Risk Factors.</w:t>
              </w:r>
            </w:hyperlink>
          </w:p>
        </w:tc>
        <w:tc>
          <w:tcPr>
            <w:tcW w:w="900" w:type="dxa"/>
            <w:vAlign w:val="bottom"/>
            <w:gridSpan w:val="3"/>
            <w:shd w:val="clear" w:color="auto" w:fill="CCEEFF"/>
          </w:tcPr>
          <w:p>
            <w:pPr>
              <w:jc w:val="center"/>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6.</w:t>
              </w:r>
            </w:hyperlink>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2"/>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824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gridSpan w:val="2"/>
          </w:tcPr>
          <w:p>
            <w:pPr>
              <w:jc w:val="center"/>
              <w:ind w:right="360"/>
              <w:spacing w:after="0"/>
              <w:rPr>
                <w:rFonts w:ascii="Arial" w:cs="Arial" w:eastAsia="Arial" w:hAnsi="Arial"/>
                <w:sz w:val="17"/>
                <w:szCs w:val="17"/>
                <w:color w:val="0000EE"/>
                <w:w w:val="73"/>
              </w:rPr>
            </w:pPr>
            <w:hyperlink w:anchor="page64">
              <w:r>
                <w:rPr>
                  <w:rFonts w:ascii="Arial" w:cs="Arial" w:eastAsia="Arial" w:hAnsi="Arial"/>
                  <w:sz w:val="17"/>
                  <w:szCs w:val="17"/>
                  <w:color w:val="0000EE"/>
                  <w:w w:val="73"/>
                </w:rPr>
                <w:t>61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60" w:top="36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74" w:lineRule="exact"/>
        <w:rPr>
          <w:sz w:val="20"/>
          <w:szCs w:val="20"/>
          <w:color w:val="auto"/>
        </w:rPr>
      </w:pPr>
    </w:p>
    <w:p>
      <w:pPr>
        <w:ind w:right="60" w:firstLine="378"/>
        <w:spacing w:after="0" w:line="291"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in our Annual Report on Form 10-K for the year ended December 31, 2017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unit amounts)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3"/>
          </w:tcPr>
          <w:p>
            <w:pPr>
              <w:jc w:val="right"/>
              <w:ind w:right="250"/>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8,869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30,190</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6,145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7,880</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17,742</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 Depositary units: 182,190,734 units issued and outstanding at June 30, 2018 and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173,564,307 units issued and outstanding at December 31, 2017</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5,645</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7,032</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12,448</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30,190</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0" w:type="dxa"/>
            <w:vAlign w:val="bottom"/>
            <w:gridSpan w:val="4"/>
          </w:tcPr>
          <w:p>
            <w:pPr>
              <w:ind w:left="640"/>
              <w:spacing w:after="0"/>
              <w:rPr>
                <w:sz w:val="20"/>
                <w:szCs w:val="20"/>
                <w:color w:val="auto"/>
              </w:rPr>
            </w:pPr>
            <w:r>
              <w:rPr>
                <w:rFonts w:ascii="Arial" w:cs="Arial" w:eastAsia="Arial" w:hAnsi="Arial"/>
                <w:sz w:val="16"/>
                <w:szCs w:val="16"/>
                <w:b w:val="1"/>
                <w:bCs w:val="1"/>
                <w:color w:val="auto"/>
                <w:w w:val="94"/>
              </w:rPr>
              <w:t>Three Months Ended June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3"/>
          </w:tcPr>
          <w:p>
            <w:pPr>
              <w:jc w:val="right"/>
              <w:ind w:right="679"/>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4,704</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gain from investment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Interest and dividend income</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(Loss) gain on disposition of assets,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Other income (loss), net</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6,964</w:t>
            </w:r>
          </w:p>
        </w:tc>
        <w:tc>
          <w:tcPr>
            <w:tcW w:w="0" w:type="dxa"/>
            <w:vAlign w:val="bottom"/>
          </w:tcPr>
          <w:p>
            <w:pPr>
              <w:spacing w:after="0"/>
              <w:rPr>
                <w:sz w:val="1"/>
                <w:szCs w:val="1"/>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color w:val="auto"/>
              </w:rPr>
              <w:t>Expenses: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Cost of goods sold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4,120</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Other expenses from operations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Restructuring, net</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Impairment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5,506</w:t>
            </w:r>
          </w:p>
        </w:tc>
        <w:tc>
          <w:tcPr>
            <w:tcW w:w="0" w:type="dxa"/>
            <w:vAlign w:val="bottom"/>
          </w:tcPr>
          <w:p>
            <w:pPr>
              <w:spacing w:after="0"/>
              <w:rPr>
                <w:sz w:val="1"/>
                <w:szCs w:val="1"/>
                <w:color w:val="auto"/>
              </w:rPr>
            </w:pPr>
          </w:p>
        </w:tc>
      </w:tr>
      <w:tr>
        <w:trPr>
          <w:trHeight w:val="200"/>
        </w:trPr>
        <w:tc>
          <w:tcPr>
            <w:tcW w:w="470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 benefit</w:t>
            </w:r>
          </w:p>
        </w:tc>
        <w:tc>
          <w:tcPr>
            <w:tcW w:w="10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200"/>
              <w:spacing w:after="0"/>
              <w:rPr>
                <w:sz w:val="20"/>
                <w:szCs w:val="20"/>
                <w:color w:val="auto"/>
              </w:rPr>
            </w:pPr>
            <w:r>
              <w:rPr>
                <w:rFonts w:ascii="Arial" w:cs="Arial" w:eastAsia="Arial" w:hAnsi="Arial"/>
                <w:sz w:val="16"/>
                <w:szCs w:val="16"/>
                <w:color w:val="auto"/>
              </w:rPr>
              <w:t>(expense)</w:t>
            </w:r>
          </w:p>
        </w:tc>
        <w:tc>
          <w:tcPr>
            <w:tcW w:w="104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1,670</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1,667</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1,725</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Icahn Enterprises</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attributable to Icahn Enterprises from:</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income attributable to Icahn Enterprises allocable to:</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Limited partners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General partner</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and diluted income per LP unit:</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and diluted weighted average LP units outstanding</w:t>
            </w:r>
          </w:p>
        </w:tc>
        <w:tc>
          <w:tcPr>
            <w:tcW w:w="10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distributions declared per LP unit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9820" w:type="dxa"/>
            <w:vAlign w:val="bottom"/>
            <w:gridSpan w:val="10"/>
          </w:tcPr>
          <w:p>
            <w:pPr>
              <w:jc w:val="center"/>
              <w:ind w:left="15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Less: Comprehensive income attributable to non-controlling</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Icahn Enterprises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allocable 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1,614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1,647</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$1,471 million and $1,411 million at June 30, 2018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1,011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12,448</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1,565</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10,530</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68"/>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1"/>
                <w:szCs w:val="2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from discontinued operations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Net gain from securities transactions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(1,064)</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securities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sales of securities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5,217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1,841</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1,222</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Gain on disposition of assets, net</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(1,523)</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Impairment</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76</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70"/>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0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0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operating activities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disposition of assets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1,226</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investing activities from continuing operations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612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Holding Company senior unsecured notes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1,195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Holding Company senior unsecured notes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subsidiary borrowings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566</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subsidiary borrowings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 from continuing operations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1,094</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1,073</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 and restricted cash and restricted cash equivalents</w:t>
            </w:r>
          </w:p>
        </w:tc>
        <w:tc>
          <w:tcPr>
            <w:tcW w:w="10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back decrease in cash of assets held for sale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 and restricted cash and restricted cash equivalents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712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2,097</w:t>
            </w:r>
          </w:p>
        </w:tc>
      </w:tr>
      <w:tr>
        <w:trPr>
          <w:trHeight w:val="243"/>
        </w:trPr>
        <w:tc>
          <w:tcPr>
            <w:tcW w:w="8120" w:type="dxa"/>
            <w:vAlign w:val="bottom"/>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2,809</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39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395"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3"/>
              </w:rPr>
              <w:t>(In millions)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3"/>
          </w:tcPr>
          <w:p>
            <w:pPr>
              <w:jc w:val="right"/>
              <w:ind w:right="250"/>
              <w:spacing w:after="0"/>
              <w:rPr>
                <w:sz w:val="20"/>
                <w:szCs w:val="20"/>
                <w:color w:val="auto"/>
              </w:rPr>
            </w:pPr>
            <w:r>
              <w:rPr>
                <w:rFonts w:ascii="Arial" w:cs="Arial" w:eastAsia="Arial" w:hAnsi="Arial"/>
                <w:sz w:val="14"/>
                <w:szCs w:val="14"/>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Due from brokers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8,869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9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30,222</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6,145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7,884</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17,746</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20,438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7,032</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57"/>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30,222</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580"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from investment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gain on disposition of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income (loss), net</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expenses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Restructuring, net</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w w:val="96"/>
              </w:rPr>
              <w:t>Income from continuing operations before income tax benefit</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Icahn Enterprises Holdings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Icahn Enterprises from:</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43"/>
        </w:trPr>
        <w:tc>
          <w:tcPr>
            <w:tcW w:w="470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 Icahn Enterprises Holdings allocable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440" w:type="dxa"/>
            <w:vAlign w:val="bottom"/>
            <w:gridSpan w:val="8"/>
          </w:tcPr>
          <w:p>
            <w:pPr>
              <w:jc w:val="center"/>
              <w:ind w:left="289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720" w:type="dxa"/>
            <w:vAlign w:val="bottom"/>
            <w:gridSpan w:val="10"/>
          </w:tcPr>
          <w:p>
            <w:pPr>
              <w:jc w:val="center"/>
              <w:ind w:left="16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3"/>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40" w:type="dxa"/>
            <w:vAlign w:val="bottom"/>
          </w:tcPr>
          <w:p>
            <w:pPr>
              <w:spacing w:after="0"/>
              <w:rPr>
                <w:sz w:val="24"/>
                <w:szCs w:val="24"/>
                <w:color w:val="auto"/>
              </w:rPr>
            </w:pPr>
          </w:p>
        </w:tc>
        <w:tc>
          <w:tcPr>
            <w:tcW w:w="29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gridSpan w:val="3"/>
          </w:tcPr>
          <w:p>
            <w:pPr>
              <w:jc w:val="center"/>
              <w:ind w:left="791"/>
              <w:spacing w:after="0"/>
              <w:rPr>
                <w:sz w:val="20"/>
                <w:szCs w:val="20"/>
                <w:color w:val="auto"/>
              </w:rPr>
            </w:pPr>
            <w:r>
              <w:rPr>
                <w:rFonts w:ascii="Arial" w:cs="Arial" w:eastAsia="Arial" w:hAnsi="Arial"/>
                <w:sz w:val="14"/>
                <w:szCs w:val="14"/>
                <w:color w:val="auto"/>
                <w:w w:val="95"/>
              </w:rPr>
              <w:t>(Unaudited)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w w:val="92"/>
              </w:rPr>
              <w:t>Less: Comprehensive income attributable to non-controlling</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Comprehensive income attributable to Icahn Enterprises</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Comprehensive income attributable to Icahn Enterprises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Holdings allocable to:</w:t>
            </w: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540" w:type="dxa"/>
            <w:vAlign w:val="bottom"/>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$1,471 million and $1,411 million at June 30, 2018 and December 31,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1" w:name="page12"/>
    <w:bookmarkEnd w:id="11"/>
    <w:p>
      <w:pPr>
        <w:ind w:left="318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1"/>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11,395</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1,012</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12,476</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77"/>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1,566</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Cumulative effect adjustment from</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adoption of accounting principle</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10,556</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36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68"/>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1"/>
                <w:szCs w:val="2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1,566</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from discontinued operations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Net gain from securities transactions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(1,064)</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securities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sales of securities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5,217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1,841</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to cover securities sold, not yet purchased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Proceeds from securities sold, not yet purchased</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1,222</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receivables and payables relating to securities transactions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(2,904)</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Gain on disposition of assets, net</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(1,523)</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Impairment</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76</w:t>
            </w:r>
          </w:p>
        </w:tc>
      </w:tr>
      <w:tr>
        <w:trPr>
          <w:trHeight w:val="276"/>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81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70"/>
        </w:trPr>
        <w:tc>
          <w:tcPr>
            <w:tcW w:w="8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(1,091)</w:t>
            </w: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0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r>
      <w:tr>
        <w:trPr>
          <w:trHeight w:val="24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operating activities</w:t>
            </w: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businesses, net of cash acquired</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Purchase of additional interests in consolidated subsidiaries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disposition of assets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1,226</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investing activities from continuing operations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0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segment contributions from non-controlling interests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Partnership contributions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612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Partnership distributions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offering of subsidiary equity</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and distributions to non-controlling interests in subsidiaries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Holding Company senior unsecured notes</w:t>
            </w:r>
          </w:p>
        </w:tc>
        <w:tc>
          <w:tcPr>
            <w:tcW w:w="10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1,195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Holding Company senior unsecured notes</w:t>
            </w:r>
          </w:p>
        </w:tc>
        <w:tc>
          <w:tcPr>
            <w:tcW w:w="10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subsidiary borrowings</w:t>
            </w:r>
          </w:p>
        </w:tc>
        <w:tc>
          <w:tcPr>
            <w:tcW w:w="10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566</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subsidiary borrowings</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net</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 from continuing operations</w:t>
            </w: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1,094</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1,073</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back decrease in cash of assets held for sale</w:t>
            </w: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 and restricted cash and restricted cash equivalents</w:t>
            </w:r>
          </w:p>
        </w:tc>
        <w:tc>
          <w:tcPr>
            <w:tcW w:w="104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712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beginning of period</w:t>
            </w:r>
          </w:p>
        </w:tc>
        <w:tc>
          <w:tcPr>
            <w:tcW w:w="10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2,097</w:t>
            </w:r>
          </w:p>
        </w:tc>
      </w:tr>
      <w:tr>
        <w:trPr>
          <w:trHeight w:val="243"/>
        </w:trPr>
        <w:tc>
          <w:tcPr>
            <w:tcW w:w="8120" w:type="dxa"/>
            <w:vAlign w:val="bottom"/>
          </w:tcPr>
          <w:p>
            <w:pPr>
              <w:ind w:left="40"/>
              <w:spacing w:after="0"/>
              <w:rPr>
                <w:sz w:val="20"/>
                <w:szCs w:val="20"/>
                <w:color w:val="auto"/>
              </w:rPr>
            </w:pPr>
            <w:r>
              <w:rPr>
                <w:rFonts w:ascii="Arial" w:cs="Arial" w:eastAsia="Arial" w:hAnsi="Arial"/>
                <w:sz w:val="14"/>
                <w:szCs w:val="14"/>
                <w:color w:val="auto"/>
              </w:rPr>
              <w:t>Cash and cash equivalents and restricted cash and restricted cash equivalents, end of period</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2,809</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39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393"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Icahn Enterprises L.P. ("Icahn Enterprises") owns a 99% limited partner interest in Icahn Enterprises Holdings L.P. ("Icahn Enterprises Holdings"). Icahn Enterprises G.P. Inc. ("Icahn Enterprises GP"), which is owned and controlled by Mr. Carl C. Icahn, owns a 1% general partner interest in each of Icahn Enterprises and Icahn Enterprises Holdings as of June 30, 2018.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of the general partner interest, which is reflected as an aggregate 1.99% general partner interest in the financial statements of Icahn Enterprises, as well as due to the carrying amount of deferred financing costs related to our senior unsecured notes. In addition to the above, Mr. Icahn and his affiliates owned approximately 91.3% of Icahn Enterprises' outstanding depositary units as of June 30, 2018.</w:t>
      </w:r>
    </w:p>
    <w:p>
      <w:pPr>
        <w:spacing w:after="0" w:line="8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References to "we," "our" or "us" herein include both Icahn Enterprises and Icahn Enterprises Holdings and their subsidiaries, unless the context otherwise requires.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are a diversified holding company owning subsidiaries currently engaged in the following continuing operating businesses: Investment, Automotive, Energy, Railcar, Metals,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our Holding Company. See Note 11, "Segment Reporting," for a reconciliation of each of our reporting segment's results of operations to our consolidated results. Certain additional information with respect to our segments is discussed below.</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("Investment Funds") in which we have general partner interests and through which we invest our proprietary capital. We and certain of Mr. Icahn's wholly owned affiliates are the only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 We had interests in the Investment Funds with a fair value of approximately $3.3 billion and $3.0 billion as of June 30, 2018 and December 31, 2017,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We conduct our Automotive segment through our wholly owned subsidiary Icahn Automotive Group LLC ("Icahn Automotive"). Icahn Automotive is engaged in the retail and wholesale distribution of automotive parts in the aftermarket as well as providing automotive repair and maintenance services to its customers.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conduct our Energy segment through our majority ownership in CVR Energy, Inc. ("CVR Energy"). CVR Energy is a diversified holding company primarily engaged in the petroleum refining and nitrogen fertilizer manufacturing industries through its holdings in CVR Refining L.P. ("CVR Refining") and CVR Partners L.P. ("CVR Partners"), respectively. CVR Refining is a petroleum refiner and marketer of high value transportation fuels. CVR Partners produces and markets nitrogen fertilizers in the form of ammonia and urea ammonium nitrate. As of June 30, 2018, CVR Energy owned 100% of each of the general partners of CVR Refining and CVR Partners and approximately 66% and 34% of the common units of CVR Refining and CVR Partners, respectively.</w:t>
      </w:r>
    </w:p>
    <w:p>
      <w:pPr>
        <w:spacing w:after="0" w:line="5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As of June 30, 2018, we owned approximately 82.0% of the total outstanding common stock of CVR Energy. In addition, as of June 30, 2018, we directly owned approximately 3.9% of the total outstanding common units of CVR Refining.</w:t>
      </w:r>
    </w:p>
    <w:p>
      <w:pPr>
        <w:spacing w:after="0" w:line="62"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In June 2018, CVR Energy commenced an exchange offer to acquire additional common units of CVR Refining in exchange for shares of CVR Energy common stock. The exchange offer expired on July 27, 2018. A total of 21,625,106 common units of CVR Refining were validly tendered and not properly withdrawn, which, together with the common units already owned by CVR Energy and its affiliates (including affiliates of Icahn Enterprises L.P.), represent approximately 84.5% of CVR Refining’s outstanding common units. All of the common units that were validly tendered and not properly withdrawn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37"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have been exchanged for 13,699,505 shares of CVR Energy common stock. As a result, effective July 27, 2018, we owned approximately 70.8% of the total outstanding common stock of CVR Energy.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conduct our Railcar segment through our majority ownership in American Railcar Industries, Inc. ("ARI") and, prior to its sale on June 1, 2017, our wholly owned subsidiary American Railcar Leasing, LLC ("ARL"). As of June 30, 2018, we owned approximately 62.2% of the total outstanding common stock of ARI.</w:t>
      </w:r>
    </w:p>
    <w:p>
      <w:pPr>
        <w:spacing w:after="0" w:line="73"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ARI is a North American designer and manufacturer of hopper and tank railcars. ARI provides its railcar customers with integrated solutions through a comprehensive set of high-quality products and related services through its manufacturing, railcar leasing and railcar services operations. ARI's manufacturing consists of railcar manufacturing and railcar and industrial component manufacturing. ARI's railcar leasing business consists of railcars built by ARI leased to third parties under operating leases. ARI's railcar services consist of railcar repair, engineering and field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conduct our Metals segment through our indirect wholly owned subsidiary PSC Metals LLC, f/k/a, PSC Metals, Inc.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6"/>
          <w:szCs w:val="16"/>
          <w:i w:val="1"/>
          <w:iCs w:val="1"/>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We conduct our Mining segment through our majority ownership in Ferrous Resources Ltd. ("Ferrous Resources"). As of June 30, 2018, we owned approximately 77.2% of the total outstanding common stock of Ferrous Resources. Ferrous Resources acquired certain rights to iron ore mineral resources in Brazil and develops mining operations and related infrastructure to produce and sell iron ore products to the global steel industry.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During January 2018, Viskase received $50 million in connection with its common stock rights offering. In connection with this rights offering, we fully exercised our subscription rights under our basic and over subscription privileges to purchase additional shares of Viskase common stock, thereby increasing our ownership of Viskase from 74.6% to 78.6%, for an aggregate additional investment of $44 million.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Viskase is a producer of cellulosic, fibrous and plastic casings used to prepare and package processed meat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Our Real Estate operations consist of rental real estate, property development and associated club activities. Our rental real estate operations consist primarily of office and industrial properties leased to single corporate tenants.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conduct our Home Fashion segment through our indirect wholly owned subsidiary, WestPoint Home LLC (“WPH”). WPH's business consists of manufacturing, sourcing, marketing, distributing and selling home fashion consumer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Discontinued Operating Businesses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2018, we also operated discontinued operations previously reported in our Automotive and former Gaming segments as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see Note 12, "Discontinued Operations," for additional information with respect to our discontinued operating businesses.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Our discontinued Automotive operations consists of our wholly owned subsidiary Federal-Mogul LLC ("Federal-Mogul"). During January 2017, we increased our ownership in Federal-Mogul from 82.0% to 100% for an aggregate purchase price of $305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On April 10, 2018, we announced a definitive agreement to sell Federal-Mogul to Tenneco Inc. ("Tenneco") for approximately $5.4 billion, comprised of $800 million in cash and 29.5 million shares of Tenneco common stock, of which 23.8 million shares will be non-voting shares that will convert to voting shares if and when sold. There will be restrictions on how many shares of Tenneco common stock can be sold by us within the first 150 days after the closing of the sale. In addition, under this agreement, Tenneco can reduce the amount of non-voting shares of common stock by up to 7.3 million shares and increase the cash consideration proportionately at closing. The voting and non-voting shares of Tenneco common stock will have the same economic value. All of Federal-Mogul's outstanding debt at the time of closing will be assumed by Tenneco. We expect the sale to close in the second half of 2018, subject to regulatory approvals, approval by Tenneco shareholders and other customary closing conditions. This agreement is also subject to a $200 million termination clause. Following the close of this transaction, we will own a non-controlling interest in Tenneco which we will value using the fair value option. This transaction met all the criteria to be classified as held for sale on April 10, 2018 upon execution of the definitive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discontinued Gaming operations consists of our majority ownership in Tropicana Entertainment Inc. ("Tropicana") and the Trump Taj Mahal Casino Resort ("Taj Mahal"). As of June 30, 2018, we owned approximately 83.9% of the total outstanding common stock of Tropicana.</w:t>
      </w:r>
    </w:p>
    <w:p>
      <w:pPr>
        <w:spacing w:after="0" w:line="62"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April 16, 2018, we announced a definitive agreement to sell Tropicana's real estate to Gaming and Leisure Properties, Inc. and to merge Tropicana's gaming and hotel operations into Eldorado Resorts, Inc. for aggregate consideration of approximately $1.85 billion. The transaction does not include Tropicana's Aruba assets, which will be disposed of as a condition to closing. The aggregate consideration of approximately $1.85 billion will be increased by the amount of the net proceeds received in connection with the Aruba disposition and will be further adjusted to pay corporate level taxes. We expect the sale to close in the second half of 2018, subject to receipt of required gaming approvals, termination of the waiting period under the Hart-Scott-Rodino Antitrust Improvements Act of 1976, as amended, and other customary closing conditions. This transaction met all the criteria to be classified as held for sale on April 15, 2018 upon execution of the definitive agreement.</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Taj Mahal closed in October 2016 and was subsequently sold on March 31, 2017.</w:t>
      </w:r>
    </w:p>
    <w:p>
      <w:pPr>
        <w:spacing w:after="0" w:line="22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21"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46" w:lineRule="exact"/>
        <w:rPr>
          <w:sz w:val="20"/>
          <w:szCs w:val="20"/>
          <w:color w:val="auto"/>
        </w:rPr>
      </w:pPr>
    </w:p>
    <w:p>
      <w:pPr>
        <w:ind w:right="320" w:firstLine="405"/>
        <w:spacing w:after="0" w:line="257" w:lineRule="auto"/>
        <w:rPr>
          <w:sz w:val="20"/>
          <w:szCs w:val="20"/>
          <w:color w:val="auto"/>
        </w:rPr>
      </w:pPr>
      <w:r>
        <w:rPr>
          <w:rFonts w:ascii="Arial" w:cs="Arial" w:eastAsia="Arial" w:hAnsi="Arial"/>
          <w:sz w:val="18"/>
          <w:szCs w:val="18"/>
          <w:color w:val="auto"/>
        </w:rPr>
        <w:t>As discussed above, in April 2018, we announced definitive agreements to sell Federal-Mogul and Tropicana. Following the closing of our contemplated sale of Federal-Mogul, it is likely that we would be considered an investment company but for an exemption under the '40 Act that would provide us up to one year to take steps to avoid becoming classified as an investment company. We expect to take steps to avoid becoming classified as an investment company during this exemption period, but no assurance can be made that we will successfully be able to take the steps necessary to avoid becoming classified as an investment company.</w:t>
      </w:r>
    </w:p>
    <w:p>
      <w:pPr>
        <w:spacing w:after="0" w:line="80"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2017.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June 30, 2018, our condensed consolidated financial statements include the accounts of (i) Icahn Enterprises and Icahn Enterprises Holdings and</w:t>
      </w:r>
    </w:p>
    <w:p>
      <w:pPr>
        <w:spacing w:after="0" w:line="46" w:lineRule="exact"/>
        <w:rPr>
          <w:sz w:val="20"/>
          <w:szCs w:val="20"/>
          <w:color w:val="auto"/>
        </w:rPr>
      </w:pPr>
    </w:p>
    <w:p>
      <w:pPr>
        <w:ind w:right="40" w:firstLine="8"/>
        <w:spacing w:after="0" w:line="302"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79" w:lineRule="exact"/>
        <w:rPr>
          <w:sz w:val="20"/>
          <w:szCs w:val="20"/>
          <w:color w:val="auto"/>
        </w:rPr>
      </w:pPr>
    </w:p>
    <w:p>
      <w:pPr>
        <w:ind w:right="820" w:firstLine="405"/>
        <w:spacing w:after="0" w:line="308" w:lineRule="auto"/>
        <w:rPr>
          <w:sz w:val="20"/>
          <w:szCs w:val="20"/>
          <w:color w:val="auto"/>
        </w:rPr>
      </w:pPr>
      <w:r>
        <w:rPr>
          <w:rFonts w:ascii="Arial" w:cs="Arial" w:eastAsia="Arial" w:hAnsi="Arial"/>
          <w:sz w:val="17"/>
          <w:szCs w:val="17"/>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 and Held For Sale</w:t>
      </w:r>
    </w:p>
    <w:p>
      <w:pPr>
        <w:spacing w:after="0" w:line="11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As discussed above, in April 2018, we announced separate definitive agreements to sell Federal-Mogul and Tropicana, each of which are considered separate disposal groups. Each transaction met the criteria to be classified as discontinued operations in the second quarter of 2018. As a result, in accordance with U.S. GAAP, the assets and liabilities of each disposal group have been reclassified to held for sale and their respective results of operations have been reclassified to discontinued operations for all periods presented. Each disposal group is reported at the lesser of carrying value or fair value less cost to sell.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 xml:space="preserve">In connection with our adoption of Financial Accounting Standards Board ("FASB") Accounting Standards Update ("ASU") No. 2016-18, </w:t>
      </w:r>
      <w:r>
        <w:rPr>
          <w:rFonts w:ascii="Arial" w:cs="Arial" w:eastAsia="Arial" w:hAnsi="Arial"/>
          <w:sz w:val="16"/>
          <w:szCs w:val="16"/>
          <w:i w:val="1"/>
          <w:iCs w:val="1"/>
          <w:color w:val="auto"/>
        </w:rPr>
        <w:t>Restricted</w:t>
      </w:r>
      <w:r>
        <w:rPr>
          <w:rFonts w:ascii="Arial" w:cs="Arial" w:eastAsia="Arial" w:hAnsi="Arial"/>
          <w:sz w:val="16"/>
          <w:szCs w:val="16"/>
          <w:color w:val="auto"/>
        </w:rPr>
        <w:t xml:space="preserve"> </w:t>
      </w:r>
      <w:r>
        <w:rPr>
          <w:rFonts w:ascii="Arial" w:cs="Arial" w:eastAsia="Arial" w:hAnsi="Arial"/>
          <w:sz w:val="16"/>
          <w:szCs w:val="16"/>
          <w:i w:val="1"/>
          <w:iCs w:val="1"/>
          <w:color w:val="auto"/>
        </w:rPr>
        <w:t>Cash</w:t>
      </w:r>
      <w:r>
        <w:rPr>
          <w:rFonts w:ascii="Arial" w:cs="Arial" w:eastAsia="Arial" w:hAnsi="Arial"/>
          <w:sz w:val="16"/>
          <w:szCs w:val="16"/>
          <w:color w:val="auto"/>
        </w:rPr>
        <w:t>, as discussed below, our net cash used in operating activities for the six months ended June 30, 2017 was decreased by $215 million.</w:t>
      </w:r>
    </w:p>
    <w:p>
      <w:pPr>
        <w:spacing w:after="0" w:line="1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 xml:space="preserve">In connection with our adoption of FASB ASU No. 2017-07, </w:t>
      </w:r>
      <w:r>
        <w:rPr>
          <w:rFonts w:ascii="Arial" w:cs="Arial" w:eastAsia="Arial" w:hAnsi="Arial"/>
          <w:sz w:val="18"/>
          <w:szCs w:val="18"/>
          <w:i w:val="1"/>
          <w:iCs w:val="1"/>
          <w:color w:val="auto"/>
        </w:rPr>
        <w:t>Improving the Presentation of Net Periodic Pension Cost and Net Periodic Postretirement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Cost</w:t>
      </w:r>
      <w:r>
        <w:rPr>
          <w:rFonts w:ascii="Arial" w:cs="Arial" w:eastAsia="Arial" w:hAnsi="Arial"/>
          <w:sz w:val="18"/>
          <w:szCs w:val="18"/>
          <w:color w:val="auto"/>
        </w:rPr>
        <w:t>, as discussed below, we decreased our selling, general and administrative costs by $1 million and decreased other income, net by $1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2017. For the six months ended June 30, 2017, we decreased our selling, general and administrative costs by $2 million and decreased other income, net by $2 million.</w:t>
      </w:r>
    </w:p>
    <w:p>
      <w:pPr>
        <w:spacing w:after="0" w:line="7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 addition, certain other reclassifications from the prior year presentation have been made to conform to the current year presentation, which did not have an impact on previously reported net income and equity and are not deemed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determined that Icahn Enterprises Holdings is a VIE because it lacks both substantive kick-out and participating rights. Icahn Enterprises is the primary beneficiary of Icahn Enterprises Holdings principally based on its 99% limited partner interest in Icahn Enterprises Holdings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Refining, CVR Partners and Viskase.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CVR Refining and CVR Partners are each considered VIEs because each of these limited partnerships lack both substantive kick-out and participating rights. In addition, CVR Energy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it is the primary beneficiary of both CVR Refining and CVR Partners. Based upon this evaluation, CVR Energy continues to consolidate both CVR Refining and CVR Partners.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337" w:right="29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includes balances of assets and liabilities of VIE's included in Icahn Enterprises Holdings' condensed 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June 30, 2018</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December 31, 2017</w:t>
            </w:r>
          </w:p>
        </w:tc>
      </w:tr>
      <w:tr>
        <w:trPr>
          <w:trHeight w:val="27"/>
        </w:trPr>
        <w:tc>
          <w:tcPr>
            <w:tcW w:w="8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316</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734</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8,215</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Due from brokers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334</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506</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3,098</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433</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385</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840</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1,023</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brokers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1,167</w:t>
            </w:r>
          </w:p>
        </w:tc>
        <w:tc>
          <w:tcPr>
            <w:tcW w:w="8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1,166</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Related Matters,” and Note 5, “Fair Value Measurements,” for a detailed discussion of our investments and other non-financial assets and/or liabilities.</w:t>
      </w:r>
    </w:p>
    <w:p>
      <w:pPr>
        <w:spacing w:after="0" w:line="7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June 30, 2018 was approximately $7.9 billion and $8.0 billion, respectively. The carrying value and estimated fair value of our long-term debt as of December 31, 2017 was approximately $7.9 billion and $8.2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restricted cash balance was $286 million and $574 million as of June 30, 2018 and December 31, 2017,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As discussed below, on January 1, 2018, we adopted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Due to the nature of our business, we derive revenue from various sources in various industries. Investment segment and Holding Company revenues are not in scope of FASB ASC Topic 606. Railcar leasing and Real Estate leasing revenues are also not in scope of FASB ASC Topic 606. The following is a summary of our revenue recognition that is in scope of FASB ASC Topic 606 for certain of our reporting segments. In addition, we present disaggregated revenue information in Note 11, "Segment Reporting."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Automotive segment recognizes revenue when it satisfies a performance obligation by transferring control over a product or service to 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Our Automotive segment revenue from retail and commercial sales is measured based on consideration specified in a contract with a customer and excludes any sales incentives and amounts collected on behalf of third parties. Automotive service revenues are recognized on completion of the service and consist of products and the labor charged for installing products or maintaining or repairing vehicles. Automotive services labor revenues are included in other revenues from operations in our condensed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(recognized over 3 years) and 1-year, 3-year and lifetime plans for alignments (recognized over 1 year, 3 years and 5 years, respectively), for which it receives payment upfront. Revenues from extended warranties are recognized over the term of the warranty contract with the satisfaction of its performance obligations measured using the output method. Our Automotive segment recognizes revenues from franchise fees, which it receives payment upfront, and franchise royalties, for which it receives payment over time. Revenues from upfront franchise fees are recognized at the time the store opens, as that is when our Automotive segment's performance obligations are deemed complete, and revenues from franchise royalties are recognized in the period in which royalties are earned, generally based on a percentage of franchise sales.</w:t>
      </w:r>
    </w:p>
    <w:p>
      <w:pPr>
        <w:spacing w:after="0" w:line="61"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Our Automotive segment has deferred revenue with respect to extended warranty plans of $42 million and $42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and January 1, 2018, respectively, which are included in accrued expenses and other liabilities on the condensed consolidated balance sheets. For the three and six months ended June 30, 2018, our Automotive segment recorded revenue of $6 million and $12 million, respectively, with respect to deferred revenue outstanding as of January 1, 2018. For deferred revenue outstanding as of June 30, 2018, our Automotive segment expects to recognize approximately $30 million in 2019 and thereafter.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jc w:val="both"/>
        <w:ind w:right="60" w:firstLine="405"/>
        <w:spacing w:after="0" w:line="29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Energy segment revenues from the sale of petroleum products are recorded upon delivery of the products to customers, which is the point</w:t>
      </w:r>
      <w:r>
        <w:rPr>
          <w:rFonts w:ascii="Arial" w:cs="Arial" w:eastAsia="Arial" w:hAnsi="Arial"/>
          <w:sz w:val="16"/>
          <w:szCs w:val="16"/>
          <w:i w:val="1"/>
          <w:iCs w:val="1"/>
          <w:color w:val="auto"/>
        </w:rPr>
        <w:t xml:space="preserve"> </w:t>
      </w:r>
      <w:r>
        <w:rPr>
          <w:rFonts w:ascii="Arial" w:cs="Arial" w:eastAsia="Arial" w:hAnsi="Arial"/>
          <w:sz w:val="16"/>
          <w:szCs w:val="16"/>
          <w:color w:val="auto"/>
        </w:rPr>
        <w:t>at which title is transferred and the customer has assumed the risk of loss. This generally takes place as product passes into the pipeline, as a product transfer order occurs within a pipeline system, or as product enters equipment or locations supplied or designated by the customer. For our Energy segment's nitrogen fertilizer products sold, revenues are recorded at the point in time at which the customer obtains control of the product, which is generally upon delivery and acceptance by the customer. Nitrogen fertilizer products are sold on a wholesale basis under a contract or by purchase order. Excise and other taxes collected from customers and remitted to governmental authorities by our Energy segment are not included in reported revenues.</w:t>
      </w:r>
    </w:p>
    <w:p>
      <w:pPr>
        <w:spacing w:after="0" w:line="5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Many of the petroleum business' contracts have index-based pricing which is considered variable consideration that should be estimated in determining the transaction price. Our Energy segment determined that it does not need to estimate the variable consideration because the uncertainty related to the consideration is resolved on the pricing date or the date when the product is delivered. The nitrogen fertilizer business has an immaterial amount of variable consideration for contracts with an original duration of less than a year. A small portion of the nitrogen fertilizer partnership's revenue includes contracts extending beyond one year and contain variable pricing in which the majority of the variability is attributed to the market-based pricing. The nitrogen fertilizer business' contracts do not contain a significant financing component.</w:t>
      </w:r>
    </w:p>
    <w:p>
      <w:pPr>
        <w:spacing w:after="0" w:line="8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Energy segment has elected to not disclose the amount of the transaction price allocated to remaining performance obligations for contracts with an original expected duration of less than one year. Our Energy segment has elected to not disclose variable consideration allocated to wholly unsatisfied performance obligations that are based on market prices that have not yet been determined.</w:t>
      </w:r>
    </w:p>
    <w:p>
      <w:pPr>
        <w:spacing w:after="0" w:line="7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Our Energy segment's deferred revenue is a contract liability that primarily relates to fertilizer sales contracts requiring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$11 million and $34 million as of June 30, 2018 and December 31, 2017, respectively, which is included in accrued expense and other liabilities on the condensed consolidated balance sheets. For the three and six months ended June 30, 2018, our Energy segment recorded revenue of $20 million and $32 million, respectively, with respect to deferred revenue outstanding as of January 1, 2018.</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Revenues from manufactured railcar sales are recognized following completion of manufacturing, inspection, customer acceptance and title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which is when the risk for any damage or loss with respect to the railcars passes to the customer, in accordance with our Railcar segment's contractual terms. Revenues from railcar and industrial components are recorded at the time of product shipment, in accordance with our Railcar segment's contractual terms. Revenues from railcar maintenance services are recognized upon completion and shipment of railcars from our Railcar segment's plants. Our Railcar segment does not currently bundle railcar service contracts with new railcar sales. Revenues from engineering and field services are recognized as performed.</w:t>
      </w:r>
    </w:p>
    <w:p>
      <w:pPr>
        <w:spacing w:after="0" w:line="85"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As of June 30, 2018, our Railcar segment had $241 million of remaining performance obligations for contractual commitments from customers for which work is partially completed. Our Railcar segment expects to recognize approximately $98 million of these performance obligations as revenue during the remainder of 2018 and an additional $143 million thereafter. There was no revenue recognized for the three and six months ended June 30, 2018 from performance obligations satisfied, or partially satisfied, in previous periods due to the adoption of FASB ASC Topic 606.</w:t>
      </w:r>
    </w:p>
    <w:p>
      <w:pPr>
        <w:spacing w:after="0" w:line="63"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ARI bills its customers once services have been rendered or products have been delivered and ARI has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as only the passage of time is required before payment of that consideration is due. The contract assets that ARI maintains are related to unbilled revenues recognized on repair services that have been performed but the entire project has not yet been completed, and the railcar has not yet been shipped to the customer. Contract liabilities represent deferred revenue related to railcar manufacturing and repair services. Our Railcar segment contract assets and liabilities are not material.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Accounting Standards Updates</w:t>
      </w:r>
    </w:p>
    <w:p>
      <w:pPr>
        <w:spacing w:after="0" w:line="117"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 xml:space="preserve">In May 2014, the FASB issued ASU No. 2014-09, creating a new topic,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superseding revenue recognition requirements in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In addition, the FASB issued other amendments during 2016 and 2017 to FASB ASC Topic 606 that include implementation guidance to principal versus agent considerations, guidance to identifying performance obligations and licensing guidance and other narrow scope improvements. We adopted these new standards on January 1, 2018 using the modified retrospective application method which required a cumulative effect adjustment recognized in equity at such date. The standard has been applied to all contracts at the date of initial application. No adjustment to revenue for periods prior to adoption were required. We have not identified any material differences in our revenue recognition methods that required modification under the new standards. Additionally, our internal control framework did not materially change as a result of the adoption of these new standards. The impact of adopting these new standards on our condensed consolidated financial statements is a cumulative effect adjustment to decrease our equity attributable to Icahn Enterprises and Icahn Enterprises Holdings as of January 1, 2018 by $29 million, primarily relating to our Automotive segment.</w:t>
      </w:r>
    </w:p>
    <w:p>
      <w:pPr>
        <w:spacing w:after="0" w:line="7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of January 1, 2018, our Automotive segment increased accrued expenses and other liabilities by $42 million and decreased deferred tax liabilities by $10 million for certain extended warranties to reflect the revenues from these plans as deferred revenue. Previously, revenues from these plans were recognized upfront. Our Automotive segment also recognizes revenue from the sale of goods on a drop ship basis. Previously, revenues from these transactions were recognized gross. For the three months ended June 30, 2018, net sales and costs of goods sold would have been higher by $16 million and $16 million, respectively, under prior accounting principles. For the six months ended June 30, 2018, net sales and cost of goods sold would have been higher by $32 million and $32 million, respectively.</w:t>
      </w:r>
    </w:p>
    <w:p>
      <w:pPr>
        <w:spacing w:after="0" w:line="8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January 1, 2018, our Energy segment increased each of accounts receivable, net and accrued expenses and other liabilities by $21 million for customer prepayments prior to delivery and to gross up certain fees collected from customers to reflect a receivable and deferred revenue recorded at the point in time in which a prepaid contract is legally enforceable and the associated right to consideration is unconditional. Previously, deferred revenue was recorded by our Energy segment upon customer prepayment.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 addition to the above, we increased assets by an aggregate of $32 million and increased liabilities by $29 million as of January 1, 2018, primarily assets and liabilities held for sale, respectively. For the three and six months ended June 30, 2018, the impact on revenues would have been immaterial under prior accounting principles.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Standards Updates</w:t>
      </w:r>
    </w:p>
    <w:p>
      <w:pPr>
        <w:spacing w:after="0" w:line="117"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xml:space="preserve">, which amends FASB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This ASU requires that equity investments (except those accounted for under the equity method of accounting or those that result in the consolidation of the investee) to be measured at fair value with changes recognized in earnings. However, an entity may choose to measure equity investments that do not have readily determinable fair values at cost minus impairment. In addition, there were other amendments to certain disclosure and presentation matters pertaining to financial instruments, including the requirement of an entity to use the exit price notion when measuring the fair value of financial instruments for disclosure purposes. This ASU is effective for fiscal years beginning after December 15, 2017, including interim periods within those fiscal years. We adopted this new standard on January 1, 2018 using the modified retrospective application method which required a cumulative effect adjustment recognized in equity at such date. The amendments related to equity securities without readily determinable fair values were applied prospectively to equity investments that existed as of the date of adoption. The adoption of this standard did not have a material impact on our condensed consolidated financial statements.</w:t>
      </w:r>
    </w:p>
    <w:p>
      <w:pPr>
        <w:spacing w:after="0" w:line="5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Classification of Certain Cash Receipts and Cash Payment</w:t>
      </w:r>
      <w:r>
        <w:rPr>
          <w:rFonts w:ascii="Arial" w:cs="Arial" w:eastAsia="Arial" w:hAnsi="Arial"/>
          <w:sz w:val="18"/>
          <w:szCs w:val="18"/>
          <w:color w:val="auto"/>
        </w:rPr>
        <w:t xml:space="preserve">s, which amends FASB ASC Topic 230, </w:t>
      </w: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This ASU seeks to reduce the diversity currently in practice by providing guidance on the presentation of eight specific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issues in the statement of cash flows. This ASU is effective for fiscal years beginning after December 15, 2017, and interim periods within those fiscal years. We adopted this standard on January 1, 2018 using the retrospective application method. The adoption of this standard did not have a material impact on our condensed consolidated statements of cash flows.</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which amends FASB ASC Topic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This ASU requires that the statement of cash flows explain the change during the period total cash, cash equivalents, and amounts generally described as restricted cash or restricted cash equivalents. This ASU is effective for fiscal years beginning after December 15, 2017, and interim periods within those fiscal years. We have adopted this standard on January 1, 2018 using the retrospective application method. The impact of adopting this new standard is discussed above under "Reclassifications."</w:t>
      </w:r>
    </w:p>
    <w:p>
      <w:pPr>
        <w:spacing w:after="0" w:line="8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Cost</w:t>
      </w:r>
      <w:r>
        <w:rPr>
          <w:rFonts w:ascii="Arial" w:cs="Arial" w:eastAsia="Arial" w:hAnsi="Arial"/>
          <w:sz w:val="18"/>
          <w:szCs w:val="18"/>
          <w:color w:val="auto"/>
        </w:rPr>
        <w:t>, which amends FASB ASC Topic 715,</w:t>
      </w:r>
      <w:r>
        <w:rPr>
          <w:rFonts w:ascii="Arial" w:cs="Arial" w:eastAsia="Arial" w:hAnsi="Arial"/>
          <w:sz w:val="18"/>
          <w:szCs w:val="18"/>
          <w:i w:val="1"/>
          <w:iCs w:val="1"/>
          <w:color w:val="auto"/>
        </w:rPr>
        <w:t xml:space="preserve"> Compensation - Retirement Benefits</w:t>
      </w:r>
      <w:r>
        <w:rPr>
          <w:rFonts w:ascii="Arial" w:cs="Arial" w:eastAsia="Arial" w:hAnsi="Arial"/>
          <w:sz w:val="18"/>
          <w:szCs w:val="18"/>
          <w:color w:val="auto"/>
        </w:rPr>
        <w:t>. This ASU requires entities to present the service cost component of net</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benefit cost in the same line item or items in the financial statements as other compensation costs arising from services rendered by the pertinent employees during the period. This ASU is effective for fiscal years beginning after December 15, 2017, and interim periods within those fiscal years. We adopted this standard on January 1, 2018 using the retrospective application method. The impact of adopting this new standard is discussed above under "Reclassifications."</w:t>
      </w:r>
    </w:p>
    <w:p>
      <w:pPr>
        <w:spacing w:after="0" w:line="8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which amends FASB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This ASU provides updated guidance about which changes to the terms and conditions of a share-based payment award require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in Topic 718. This ASU is effective for fiscal years beginning after December 15, 2017, and interim periods within those fiscal years. We adopted this standard on January 1, 2018 which has been applied prospectively and which did not have a material impact on our condensed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supersedes FASB ASC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This ASU requires the recognition of right-of-use assets and lease liabilities by lessees for those leases classified as operating leases under previous guidance. In addition, among other changes to the accounting for leases, this ASU retains the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guidance. Furthermore, quantification and qualitative disclosures, including disclosures regarding significant judgments made by management, will be required. This ASU is effective for fiscal years beginning after December 15, 2018, including interim periods within those fiscal years. The amendments in this ASU should be applied using a modified retrospective approach. Early application is permitted. In addition, in July 2018, the FASB issued ASU No. 2018-11, </w:t>
      </w:r>
      <w:r>
        <w:rPr>
          <w:rFonts w:ascii="Arial" w:cs="Arial" w:eastAsia="Arial" w:hAnsi="Arial"/>
          <w:sz w:val="18"/>
          <w:szCs w:val="18"/>
          <w:i w:val="1"/>
          <w:iCs w:val="1"/>
          <w:color w:val="auto"/>
        </w:rPr>
        <w:t>Leases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37"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(Topic 842), </w:t>
      </w:r>
      <w:r>
        <w:rPr>
          <w:rFonts w:ascii="Arial" w:cs="Arial" w:eastAsia="Arial" w:hAnsi="Arial"/>
          <w:sz w:val="18"/>
          <w:szCs w:val="18"/>
          <w:color w:val="auto"/>
        </w:rPr>
        <w:t>which provides an additional (and optional) transition method to adopt the new leases standard. We anticipate adopting the new leases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new transition method option effective January 1, 2019, which will require adopting the new leases standard at the adoption date and recognizing a cumulative-effect adjustment to the opening balance of equity in the period of adoption instead of the earliest period presented. In addition, prior period presentation and disclosure will not be adjusted. We believe the most significant impact will relate to the recognition of right-of-use assets and lease liabilities on our condensed consolidated balance sheets for long-term operating leases primarily within our Automotive segment. We anticipate our assessment and implementation plan to be ongoing during the remainder of 2018 and continue to evaluate the impact of this standard on our condensed consolidated financial statements.</w:t>
      </w:r>
    </w:p>
    <w:p>
      <w:pPr>
        <w:spacing w:after="0" w:line="8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amends FASB ASC Topic 326, </w:t>
      </w:r>
      <w:r>
        <w:rPr>
          <w:rFonts w:ascii="Arial" w:cs="Arial" w:eastAsia="Arial" w:hAnsi="Arial"/>
          <w:sz w:val="18"/>
          <w:szCs w:val="18"/>
          <w:i w:val="1"/>
          <w:iCs w:val="1"/>
          <w:color w:val="auto"/>
        </w:rPr>
        <w:t xml:space="preserve">Financial Instruments - Credit Losses. </w:t>
      </w:r>
      <w:r>
        <w:rPr>
          <w:rFonts w:ascii="Arial" w:cs="Arial" w:eastAsia="Arial" w:hAnsi="Arial"/>
          <w:sz w:val="18"/>
          <w:szCs w:val="18"/>
          <w:color w:val="auto"/>
        </w:rPr>
        <w:t>This ASU requires financial assets measured at amortized cost to be presented at the net amount to be collected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broadens the information, including forecasted information incorporating more timely information, that an entity must consider in developing its expected credit loss estimate for assets measured. This ASU is effective for fiscal years beginning after December 15, 2019, including interim periods within those fiscal years. Early application is permitted for fiscal years beginning after December 15, 2018. We are currently evaluating the impact of this standard on our condensed consolidated financial statements.</w:t>
      </w:r>
    </w:p>
    <w:p>
      <w:pPr>
        <w:spacing w:after="0" w:line="85"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Targeting Improvements to Accounting for Hedging Activities</w:t>
      </w:r>
      <w:r>
        <w:rPr>
          <w:rFonts w:ascii="Arial" w:cs="Arial" w:eastAsia="Arial" w:hAnsi="Arial"/>
          <w:sz w:val="17"/>
          <w:szCs w:val="17"/>
          <w:color w:val="auto"/>
        </w:rPr>
        <w:t xml:space="preserve">, which amends FASB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This ASU includes amendments to existing guidance to better align an entity’s risk management activities and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hedging relationships through changes to both the designation and measurement guidance for qualifying hedging relationships and the presentation of hedge results. This ASU is effective for fiscal years beginning after December 15, 2018, and interim periods within those fiscal years. Early adoption is permitted. We are currently evaluating the impact of this standard on our condensed consolidated financial statements.</w:t>
      </w:r>
    </w:p>
    <w:p>
      <w:pPr>
        <w:spacing w:after="0" w:line="64"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which amends FASB ASC Topic 220,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This ASU allows a reclassification out of accumulated other comprehensive loss within equity for standard tax effects resulting from the Tax Cuts and Jobs Act and consequently, eliminates the stranded tax effects resulting from the Tax Cuts and Jobs Act. This ASU is effective for fiscal years beginning after December 15, 2018, and interim periods within those fiscal years. Early adoption is permitted. We are currently evaluating the impact of this standard on our condensed consolidated financial statements.</w:t>
      </w:r>
    </w:p>
    <w:p>
      <w:pPr>
        <w:spacing w:after="0" w:line="15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Funds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six months ended June 30, 2018 and 2017, Mr. Icahn and his affiliates (excluding us) invested $280 million and $600 million, respectively, in the Investment Funds, net of redemptions. As of June 30, 2018 and December 31, 2017, the total fair market value of investments in the Investment Funds made by Mr. Icahn and his affiliates (excluding us) was approximately $5.1 billion and $4.4 billion, respectively, representing approximately 60% and 59% of the Investment Funds' assets under management as of each respective date.</w:t>
      </w:r>
    </w:p>
    <w:p>
      <w:pPr>
        <w:spacing w:after="0" w:line="7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June 30, 2018 and 2017, $2 million and $3 million, respectively, was allocated to the Investment Funds based on this expense-sharing arrangement and for the six months ended June 30, 2018 and 2017, such allocation was $2 million and $5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discussed in Note 4, "Investments and Related Matters," the Investment Funds have an investment in the common stock of Hertz Global Holdings, Inc. ("Hertz") measured at fair value that would have otherwise been subject to the equity method of accounting. Icahn Automotive provides services to Hertz in the ordinary course of business. For the three months ended June 30, 2018 and 2017, revenue from Hertz was $10 million and $3 million, respectively, and $18 million and $5</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37"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million for the six months ended June 30, 2018 and 2017, respectively. Additionally, Federal-Mogul had payments to Hertz in the ordinary course of business of $1 million and $1 million for the three and six months ended June 30, 2018, respectively.</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six months ended June 30, 2018, the Investment Funds purchased shares of a certain investment from Hertz in the amount of $36 million.</w:t>
      </w:r>
    </w:p>
    <w:p>
      <w:pPr>
        <w:spacing w:after="0" w:line="12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Auto Leasing LLC ("767 Leasing"), a joint venture created to purchase vehicles for lease, the option to acquire certain vehicles from Hertz at rates aligned with the rates at which Hertz sells vehicles to third parties. Under this agreement,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has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As of June 30, 2018, we had an investment in 767 Leasing of $10 million. For the three and six months ended June 30, 2018, purchases from Hertz by 767 Leasing were $7 million.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ACF Industries, Inc.</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Railcar segment has certain transactions with ACF Industries LLC ("ACF"), an affiliate of Mr. Icahn, under various agreements, as well as on a purchase order basis. ACF is a manufacturer and fabricator of specialty railcar parts and miscellaneous steel products. Agreements and transactions with ACF include the following:</w:t>
      </w:r>
    </w:p>
    <w:p>
      <w:pPr>
        <w:spacing w:after="0" w:line="100"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component purchases from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parts purchases from and sales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purchasing and engineering services agreements with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 of certain intellectual property to ACF;</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repair services and support for ACF; and</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Railcar purchases from ACF.</w:t>
      </w:r>
    </w:p>
    <w:p>
      <w:pPr>
        <w:spacing w:after="0" w:line="131"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Purchases from ACF were $1 million and $2 million for the three months ended June 30, 2018 and 2017, respectively, and $2 million and $4 million for the six months ended June 30, 2018 and 2017, respectively. For each of the three and six months ended June 30, 2018 and 2017, revenues from ACF were not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Federal-Mogul, CVR Energy, PSC Metals, ARI, ARL (prior to June 1, 2017), Tropicana, Viskase and WPH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For the three months ended June 30, 2018 and 2017, we and certain of our subsidiaries paid certain of Insight Portfolio Group's operating expenses of $1 million and $1 million, and for the six months ended June 30, 2018 and 2017, such expenses paid were $2 million and $1 million, respectively, in respect to certain of Insight Portfolio Group's operating expenses.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3560" w:type="dxa"/>
            <w:vAlign w:val="bottom"/>
          </w:tcPr>
          <w:p>
            <w:pPr>
              <w:spacing w:after="0"/>
              <w:rPr>
                <w:sz w:val="2"/>
                <w:szCs w:val="2"/>
                <w:color w:val="auto"/>
              </w:rPr>
            </w:pPr>
          </w:p>
        </w:tc>
        <w:tc>
          <w:tcPr>
            <w:tcW w:w="4720" w:type="dxa"/>
            <w:vAlign w:val="bottom"/>
            <w:gridSpan w:val="2"/>
          </w:tcPr>
          <w:p>
            <w:pPr>
              <w:spacing w:after="0"/>
              <w:rPr>
                <w:sz w:val="2"/>
                <w:szCs w:val="2"/>
                <w:color w:val="auto"/>
              </w:rPr>
            </w:pPr>
          </w:p>
        </w:tc>
        <w:tc>
          <w:tcPr>
            <w:tcW w:w="222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238"/>
        </w:trPr>
        <w:tc>
          <w:tcPr>
            <w:tcW w:w="3560" w:type="dxa"/>
            <w:vAlign w:val="bottom"/>
          </w:tcPr>
          <w:p>
            <w:pPr>
              <w:spacing w:after="0"/>
              <w:rPr>
                <w:sz w:val="20"/>
                <w:szCs w:val="20"/>
                <w:color w:val="auto"/>
              </w:rPr>
            </w:pPr>
          </w:p>
        </w:tc>
        <w:tc>
          <w:tcPr>
            <w:tcW w:w="4540" w:type="dxa"/>
            <w:vAlign w:val="bottom"/>
          </w:tcPr>
          <w:p>
            <w:pPr>
              <w:jc w:val="right"/>
              <w:ind w:right="373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Borders>
              <w:top w:val="single" w:sz="8" w:color="auto"/>
            </w:tcBorders>
          </w:tcPr>
          <w:p>
            <w:pPr>
              <w:spacing w:after="0"/>
              <w:rPr>
                <w:sz w:val="20"/>
                <w:szCs w:val="20"/>
                <w:color w:val="auto"/>
              </w:rPr>
            </w:pPr>
          </w:p>
        </w:tc>
      </w:tr>
      <w:tr>
        <w:trPr>
          <w:trHeight w:val="255"/>
        </w:trPr>
        <w:tc>
          <w:tcPr>
            <w:tcW w:w="35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356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 materials</w:t>
            </w:r>
          </w:p>
        </w:tc>
        <w:tc>
          <w:tcPr>
            <w:tcW w:w="4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2,551</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1,489</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Financial</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Technology</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833</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7,971</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9,377</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8,132</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9,532</w:t>
            </w:r>
          </w:p>
        </w:tc>
      </w:tr>
      <w:tr>
        <w:trPr>
          <w:trHeight w:val="67"/>
        </w:trPr>
        <w:tc>
          <w:tcPr>
            <w:tcW w:w="3560" w:type="dxa"/>
            <w:vAlign w:val="bottom"/>
            <w:tcBorders>
              <w:bottom w:val="single" w:sz="8" w:color="CCEEFF"/>
            </w:tcBorders>
          </w:tcPr>
          <w:p>
            <w:pPr>
              <w:spacing w:after="0"/>
              <w:rPr>
                <w:sz w:val="5"/>
                <w:szCs w:val="5"/>
                <w:color w:val="auto"/>
              </w:rPr>
            </w:pPr>
          </w:p>
        </w:tc>
        <w:tc>
          <w:tcPr>
            <w:tcW w:w="45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356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gridSpan w:val="2"/>
            <w:shd w:val="clear" w:color="auto" w:fill="CCEEFF"/>
          </w:tcPr>
          <w:p>
            <w:pPr>
              <w:jc w:val="right"/>
              <w:ind w:right="375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w w:val="93"/>
              </w:rPr>
              <w:t>Securities sold, not yet purchased, at fair value:</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Consumer, non-cyclical</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Consumer, cyclical</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43"/>
        </w:trPr>
        <w:tc>
          <w:tcPr>
            <w:tcW w:w="3560" w:type="dxa"/>
            <w:vAlign w:val="bottom"/>
          </w:tcPr>
          <w:p>
            <w:pPr>
              <w:ind w:left="300"/>
              <w:spacing w:after="0"/>
              <w:rPr>
                <w:sz w:val="20"/>
                <w:szCs w:val="20"/>
                <w:color w:val="auto"/>
              </w:rPr>
            </w:pPr>
            <w:r>
              <w:rPr>
                <w:rFonts w:ascii="Arial" w:cs="Arial" w:eastAsia="Arial" w:hAnsi="Arial"/>
                <w:sz w:val="18"/>
                <w:szCs w:val="18"/>
                <w:color w:val="auto"/>
              </w:rPr>
              <w:t>Energy</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Industrial</w:t>
            </w:r>
          </w:p>
        </w:tc>
        <w:tc>
          <w:tcPr>
            <w:tcW w:w="4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988</w:t>
            </w:r>
          </w:p>
        </w:tc>
      </w:tr>
      <w:tr>
        <w:trPr>
          <w:trHeight w:val="27"/>
        </w:trPr>
        <w:tc>
          <w:tcPr>
            <w:tcW w:w="35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4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37"/>
        </w:trPr>
        <w:tc>
          <w:tcPr>
            <w:tcW w:w="35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1,023</w:t>
            </w:r>
          </w:p>
        </w:tc>
      </w:tr>
      <w:tr>
        <w:trPr>
          <w:trHeight w:val="27"/>
        </w:trPr>
        <w:tc>
          <w:tcPr>
            <w:tcW w:w="3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500" w:firstLine="405"/>
        <w:spacing w:after="0" w:line="342" w:lineRule="auto"/>
        <w:rPr>
          <w:sz w:val="20"/>
          <w:szCs w:val="20"/>
          <w:color w:val="auto"/>
        </w:rPr>
      </w:pPr>
      <w:r>
        <w:rPr>
          <w:rFonts w:ascii="Arial" w:cs="Arial" w:eastAsia="Arial" w:hAnsi="Arial"/>
          <w:sz w:val="16"/>
          <w:szCs w:val="16"/>
          <w:color w:val="auto"/>
        </w:rPr>
        <w:t>The portion of trading gains that relates to trading securities still held by our Investment segment was $345 million and $388 million for the three months ended June 30, 2018 and 2017, respectively, and $397 million and $622 million for the six months ended June 30, 2018 and 2017, respectively.</w:t>
      </w:r>
    </w:p>
    <w:p>
      <w:pPr>
        <w:spacing w:after="0" w:line="16" w:lineRule="exact"/>
        <w:rPr>
          <w:sz w:val="20"/>
          <w:szCs w:val="20"/>
          <w:color w:val="auto"/>
        </w:rPr>
      </w:pPr>
    </w:p>
    <w:p>
      <w:pPr>
        <w:ind w:right="40" w:firstLine="378"/>
        <w:spacing w:after="0" w:line="279" w:lineRule="auto"/>
        <w:rPr>
          <w:sz w:val="20"/>
          <w:szCs w:val="20"/>
          <w:color w:val="auto"/>
        </w:rPr>
      </w:pPr>
      <w:r>
        <w:rPr>
          <w:rFonts w:ascii="Arial" w:cs="Arial" w:eastAsia="Arial" w:hAnsi="Arial"/>
          <w:sz w:val="17"/>
          <w:szCs w:val="17"/>
          <w:color w:val="auto"/>
        </w:rPr>
        <w:t>As of June 30, 2018, the Investment Funds owned approximately 27.9% of the outstanding common stock of Hertz. Our Investment segment recorded net losses of $106 million and $142 million for the three months ended June 30, 2018 and 2017, respectively, and net losses of $158 million and $236 million for the six months ended June 30, 2018 and 2017, respectively, with respect to its investment in Hertz. As of June 30, 2018 and December 31, 2017, the aggregate fair value of our Investment segment's investment in Hertz was $359 million and $517 million, respectively.</w:t>
      </w:r>
    </w:p>
    <w:p>
      <w:pPr>
        <w:spacing w:after="0" w:line="63" w:lineRule="exact"/>
        <w:rPr>
          <w:sz w:val="20"/>
          <w:szCs w:val="20"/>
          <w:color w:val="auto"/>
        </w:rPr>
      </w:pPr>
    </w:p>
    <w:p>
      <w:pPr>
        <w:ind w:right="40" w:firstLine="378"/>
        <w:spacing w:after="0" w:line="257" w:lineRule="auto"/>
        <w:rPr>
          <w:sz w:val="20"/>
          <w:szCs w:val="20"/>
          <w:color w:val="auto"/>
        </w:rPr>
      </w:pPr>
      <w:r>
        <w:rPr>
          <w:rFonts w:ascii="Arial" w:cs="Arial" w:eastAsia="Arial" w:hAnsi="Arial"/>
          <w:sz w:val="18"/>
          <w:szCs w:val="18"/>
          <w:color w:val="auto"/>
        </w:rPr>
        <w:t>The Investment Funds also owned approximately 17.1% of the outstanding common stock of Herbalife Ltd. ("Herbalife") as of June 30, 2018. We are deemed to have significant influence with respect to our investment in Herbalife after considering the collective ownership in Herbalife by us and affiliates of Mr. Icahn, as well as our collective representation on the board of directors of Herbalife. Our Investment segment recorded net gains of $173 million and $241 million for the three months ended June 30, 2018 and 2017, respectively, and net gains of $717 million and $423 million for the six months ended June 30, 2018</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37"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2017, respectively, with respect to its investment in Herbalife. As of June 30, 2018 and December 31, 2017, the aggregate fair value of our Investment segment's investment in Herbalife was approximately $1.5 billion and $1.2 billion, respectively.</w:t>
      </w:r>
    </w:p>
    <w:p>
      <w:pPr>
        <w:spacing w:after="0" w:line="62" w:lineRule="exact"/>
        <w:rPr>
          <w:sz w:val="20"/>
          <w:szCs w:val="20"/>
          <w:color w:val="auto"/>
        </w:rPr>
      </w:pPr>
    </w:p>
    <w:p>
      <w:pPr>
        <w:ind w:right="240" w:firstLine="405"/>
        <w:spacing w:after="0" w:line="375" w:lineRule="auto"/>
        <w:rPr>
          <w:sz w:val="20"/>
          <w:szCs w:val="20"/>
          <w:color w:val="auto"/>
        </w:rPr>
      </w:pPr>
      <w:r>
        <w:rPr>
          <w:rFonts w:ascii="Arial" w:cs="Arial" w:eastAsia="Arial" w:hAnsi="Arial"/>
          <w:sz w:val="18"/>
          <w:szCs w:val="18"/>
          <w:color w:val="auto"/>
        </w:rPr>
        <w:t xml:space="preserve">Herbalife and Hertz each file annual, quarterly and current reports, and proxy and information statements with the SEC, which are publicly available. </w:t>
      </w:r>
      <w:r>
        <w:rPr>
          <w:rFonts w:ascii="Arial" w:cs="Arial" w:eastAsia="Arial" w:hAnsi="Arial"/>
          <w:sz w:val="18"/>
          <w:szCs w:val="18"/>
          <w:b w:val="1"/>
          <w:bCs w:val="1"/>
          <w:i w:val="1"/>
          <w:iCs w:val="1"/>
          <w:color w:val="auto"/>
        </w:rPr>
        <w:t>Other Segments</w:t>
      </w:r>
    </w:p>
    <w:p>
      <w:pPr>
        <w:spacing w:after="0" w:line="1"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With the exception of certain equity method investments at our operating subsidiaries disclosed in the table below, our investments are measured at fair value in our condensed consolidated balance sheets. The carrying value of investments held by our other segments and our Holding Company consist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Level 1 - Quoted prices are available in active markets for identical investments and non-financial assets and/or liabilities as of the reporting date.</w:t>
      </w:r>
    </w:p>
    <w:p>
      <w:pPr>
        <w:spacing w:after="0" w:line="129" w:lineRule="exact"/>
        <w:rPr>
          <w:sz w:val="20"/>
          <w:szCs w:val="20"/>
          <w:color w:val="auto"/>
        </w:rPr>
      </w:pPr>
    </w:p>
    <w:p>
      <w:pPr>
        <w:jc w:val="both"/>
        <w:ind w:left="420" w:right="20"/>
        <w:spacing w:after="0" w:line="31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39"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7"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our assets and liabilities by the above fair value hierarchy levels measured on a recurring basis: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30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2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70"/>
        </w:trPr>
        <w:tc>
          <w:tcPr>
            <w:tcW w:w="3320" w:type="dxa"/>
            <w:vAlign w:val="bottom"/>
          </w:tcPr>
          <w:p>
            <w:pPr>
              <w:ind w:left="20"/>
              <w:spacing w:after="0" w:line="270" w:lineRule="exact"/>
              <w:rPr>
                <w:sz w:val="20"/>
                <w:szCs w:val="20"/>
                <w:color w:val="auto"/>
              </w:rPr>
            </w:pPr>
            <w:r>
              <w:rPr>
                <w:rFonts w:ascii="Arial" w:cs="Arial" w:eastAsia="Arial" w:hAnsi="Arial"/>
                <w:sz w:val="18"/>
                <w:szCs w:val="18"/>
                <w:color w:val="auto"/>
                <w:w w:val="93"/>
              </w:rPr>
              <w:t>Derivative contracts, at fair value (Note 6)</w:t>
            </w:r>
            <w:r>
              <w:rPr>
                <w:rFonts w:ascii="Arial" w:cs="Arial" w:eastAsia="Arial" w:hAnsi="Arial"/>
                <w:sz w:val="25"/>
                <w:szCs w:val="25"/>
                <w:color w:val="auto"/>
                <w:w w:val="93"/>
                <w:vertAlign w:val="superscript"/>
              </w:rPr>
              <w:t>(1)</w:t>
            </w:r>
          </w:p>
        </w:tc>
        <w:tc>
          <w:tcPr>
            <w:tcW w:w="1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3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Derivative contracts, at fair value (Note 6)</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282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28260" cy="26035"/>
                    </a:xfrm>
                    <a:prstGeom prst="rect">
                      <a:avLst/>
                    </a:prstGeom>
                    <a:noFill/>
                  </pic:spPr>
                </pic:pic>
              </a:graphicData>
            </a:graphic>
          </wp:anchor>
        </w:drawing>
      </w: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8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48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20" w:type="dxa"/>
            <w:vAlign w:val="bottom"/>
            <w:gridSpan w:val="3"/>
          </w:tcPr>
          <w:p>
            <w:pPr>
              <w:jc w:val="right"/>
              <w:ind w:right="69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1"/>
                <w:szCs w:val="2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Net unrealized gains</w:t>
            </w:r>
          </w:p>
        </w:tc>
        <w:tc>
          <w:tcPr>
            <w:tcW w:w="108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0"/>
        </w:trPr>
        <w:tc>
          <w:tcPr>
            <w:tcW w:w="8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Net unrealized gains during the six months ended June 30, 2018 and 2017 relate to a certain equity investment which is considered a Level 3 investment due to unobservable market data and is measured at fair value on a recurring basis. We determined the fair value of this investment based on recent market transactions. As of June 30, 2018 and December 31, 2017, the fair value of this investment was $329 million and $274 million,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 for Which We Use Level 3 Inputs to Determine Fair Value</w:t>
      </w:r>
    </w:p>
    <w:p>
      <w:pPr>
        <w:spacing w:after="0" w:line="11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Certain assets measured at fair value using Level 3 inputs on a non-recurring basis have been impaired. During the three and six months ended June 30, 2018, we recorded impairment charges of $7 million relating to property, plant and equipment, and during the six months ended June 30, 2017, we recorded impairment charges of $2 million relating to property, plant and equipment. We determined the fair value of property, plant and equipment by applying probability weighted, expected present value techniques to the estimated future cash flows using assumptions a market participant would utilize. In addition, during the three and six months ended June 30, 2017, we recorded a loss of $2 million and $7 million, respectively, from marking inventory down to net realizable value at our Automotive segment. Additionally, in connection with our reclassification of certain railcars leased to others from held and used to assets held for sale, we recorded an impairment charge at our Railcar segment of $67 million for each of the three and six months ended June 30, 2017. Refer to Note 11, "Segment Reporting," for total impairment recorded by each of our segments.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37"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46"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5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7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46"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contingent features that are in a liability position at June 30, 2018 and December 31, 2017 was zero and $17 million, respectively.</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 2018</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3"/>
          </w:tcPr>
          <w:p>
            <w:pPr>
              <w:jc w:val="right"/>
              <w:ind w:right="894"/>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Arial" w:cs="Arial" w:eastAsia="Arial" w:hAnsi="Arial"/>
                <w:sz w:val="16"/>
                <w:szCs w:val="16"/>
                <w:b w:val="1"/>
                <w:bCs w:val="1"/>
                <w:color w:val="auto"/>
              </w:rPr>
              <w:t>Long Notional</w:t>
            </w:r>
          </w:p>
        </w:tc>
        <w:tc>
          <w:tcPr>
            <w:tcW w:w="18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Short Notional</w:t>
            </w:r>
          </w:p>
        </w:tc>
        <w:tc>
          <w:tcPr>
            <w:tcW w:w="200" w:type="dxa"/>
            <w:vAlign w:val="bottom"/>
          </w:tcPr>
          <w:p>
            <w:pPr>
              <w:spacing w:after="0"/>
              <w:rPr>
                <w:sz w:val="18"/>
                <w:szCs w:val="18"/>
                <w:color w:val="auto"/>
              </w:rPr>
            </w:pPr>
          </w:p>
        </w:tc>
        <w:tc>
          <w:tcPr>
            <w:tcW w:w="1400" w:type="dxa"/>
            <w:vAlign w:val="bottom"/>
          </w:tcPr>
          <w:p>
            <w:pPr>
              <w:jc w:val="right"/>
              <w:ind w:right="234"/>
              <w:spacing w:after="0"/>
              <w:rPr>
                <w:sz w:val="20"/>
                <w:szCs w:val="20"/>
                <w:color w:val="auto"/>
              </w:rPr>
            </w:pPr>
            <w:r>
              <w:rPr>
                <w:rFonts w:ascii="Arial" w:cs="Arial" w:eastAsia="Arial" w:hAnsi="Arial"/>
                <w:sz w:val="16"/>
                <w:szCs w:val="16"/>
                <w:b w:val="1"/>
                <w:bCs w:val="1"/>
                <w:color w:val="auto"/>
                <w:w w:val="98"/>
              </w:rPr>
              <w:t>Long Notional</w:t>
            </w:r>
          </w:p>
        </w:tc>
        <w:tc>
          <w:tcPr>
            <w:tcW w:w="300" w:type="dxa"/>
            <w:vAlign w:val="bottom"/>
          </w:tcPr>
          <w:p>
            <w:pPr>
              <w:spacing w:after="0"/>
              <w:rPr>
                <w:sz w:val="18"/>
                <w:szCs w:val="18"/>
                <w:color w:val="auto"/>
              </w:rPr>
            </w:pPr>
          </w:p>
        </w:tc>
        <w:tc>
          <w:tcPr>
            <w:tcW w:w="138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Short Notional</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414"/>
              <w:spacing w:after="0"/>
              <w:rPr>
                <w:sz w:val="20"/>
                <w:szCs w:val="20"/>
                <w:color w:val="auto"/>
              </w:rPr>
            </w:pPr>
            <w:r>
              <w:rPr>
                <w:rFonts w:ascii="Arial" w:cs="Arial" w:eastAsia="Arial" w:hAnsi="Arial"/>
                <w:sz w:val="16"/>
                <w:szCs w:val="16"/>
                <w:b w:val="1"/>
                <w:bCs w:val="1"/>
                <w:color w:val="auto"/>
              </w:rPr>
              <w:t>Exposure</w:t>
            </w:r>
          </w:p>
        </w:tc>
        <w:tc>
          <w:tcPr>
            <w:tcW w:w="540" w:type="dxa"/>
            <w:vAlign w:val="bottom"/>
          </w:tcPr>
          <w:p>
            <w:pPr>
              <w:spacing w:after="0"/>
              <w:rPr>
                <w:sz w:val="18"/>
                <w:szCs w:val="18"/>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0"/>
              </w:rPr>
              <w:t>Exposure</w:t>
            </w:r>
          </w:p>
        </w:tc>
        <w:tc>
          <w:tcPr>
            <w:tcW w:w="200" w:type="dxa"/>
            <w:vAlign w:val="bottom"/>
          </w:tcPr>
          <w:p>
            <w:pPr>
              <w:spacing w:after="0"/>
              <w:rPr>
                <w:sz w:val="18"/>
                <w:szCs w:val="18"/>
                <w:color w:val="auto"/>
              </w:rPr>
            </w:pPr>
          </w:p>
        </w:tc>
        <w:tc>
          <w:tcPr>
            <w:tcW w:w="1400" w:type="dxa"/>
            <w:vAlign w:val="bottom"/>
          </w:tcPr>
          <w:p>
            <w:pPr>
              <w:jc w:val="right"/>
              <w:ind w:right="394"/>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380" w:type="dxa"/>
            <w:vAlign w:val="bottom"/>
          </w:tcPr>
          <w:p>
            <w:pPr>
              <w:jc w:val="right"/>
              <w:ind w:right="374"/>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60" w:type="dxa"/>
            <w:vAlign w:val="bottom"/>
            <w:gridSpan w:val="4"/>
          </w:tcPr>
          <w:p>
            <w:pPr>
              <w:jc w:val="right"/>
              <w:ind w:right="1214"/>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w:t>
            </w:r>
          </w:p>
        </w:tc>
        <w:tc>
          <w:tcPr>
            <w:tcW w:w="5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83"/>
        </w:trPr>
        <w:tc>
          <w:tcPr>
            <w:tcW w:w="4680" w:type="dxa"/>
            <w:vAlign w:val="bottom"/>
          </w:tcPr>
          <w:p>
            <w:pPr>
              <w:ind w:left="280"/>
              <w:spacing w:after="0" w:line="283" w:lineRule="exact"/>
              <w:rPr>
                <w:sz w:val="20"/>
                <w:szCs w:val="20"/>
                <w:color w:val="auto"/>
              </w:rPr>
            </w:pPr>
            <w:r>
              <w:rPr>
                <w:rFonts w:ascii="Arial" w:cs="Arial" w:eastAsia="Arial" w:hAnsi="Arial"/>
                <w:sz w:val="18"/>
                <w:szCs w:val="18"/>
                <w:color w:val="auto"/>
              </w:rPr>
              <w:t>Credit contracts</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468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80" w:right="420" w:hanging="172"/>
        <w:spacing w:after="0" w:line="273"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short notional amount on our credit default swap positions was approximately $2.5 billion as of December 31, 2017. However, because credit spreads cannot compress below zero, our downside short notional exposure to loss is $391 million as of December 31,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CVR Refining enters into commodity swap contracts in order to fix the margin on a portion of future production. Additionally, CVR Refining may enter into price and basis swaps in order to fix the price on a portion of its commodity purchases and product sales. The physical volumes are not exchanged and these contracts are net settled with cash. The contract fair value of the commodity swaps is reflected on the condensed consolidated balance sheets with changes in fair value currently recognized in the condensed consolidated statements of operations. Quoted prices for similar assets or liabilities in active markets (Level 2) are considered to determine the fair values for the purpose of marking to market the hedging instruments at each period end. CVR Refining did not have open commodity swap instruments at June 30, 2018. At December 31, 2017, CVR Refining had open commodity swap instruments consisting of 14 million barrels of crack spreads, primarily to fix the margin on a portion of its future gasoline and distillate production. Additionally, as of June 30, 2018 and December 31, 2017, CVR Refining had open forward purchase and sale commitments for 4 million barrels and 6 million barrels, respectively, of Canadian crude oil priced at fixed differentials that are not considered probable of physical settlement and are accounted for as derivatives.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Certain derivative contracts executed by the Investment Funds with a single counterparty or by our Energy segment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8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 in accordance with U.S GAAP:</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Liability Derivatives</w:t>
            </w:r>
          </w:p>
        </w:tc>
        <w:tc>
          <w:tcPr>
            <w:tcW w:w="680" w:type="dxa"/>
            <w:vAlign w:val="bottom"/>
            <w:tcBorders>
              <w:bottom w:val="single" w:sz="8" w:color="auto"/>
            </w:tcBorders>
          </w:tcPr>
          <w:p>
            <w:pPr>
              <w:spacing w:after="0"/>
              <w:rPr>
                <w:sz w:val="24"/>
                <w:szCs w:val="24"/>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2017</w:t>
            </w: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4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20" w:type="dxa"/>
            <w:vAlign w:val="bottom"/>
            <w:gridSpan w:val="5"/>
          </w:tcPr>
          <w:p>
            <w:pPr>
              <w:ind w:left="32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56"/>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4680" w:type="dxa"/>
            <w:vAlign w:val="bottom"/>
            <w:gridSpan w:val="2"/>
          </w:tcPr>
          <w:p>
            <w:pPr>
              <w:ind w:left="2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1,282</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6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4680" w:type="dxa"/>
            <w:vAlign w:val="bottom"/>
            <w:gridSpan w:val="2"/>
          </w:tcPr>
          <w:p>
            <w:pPr>
              <w:ind w:left="2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1,275</w:t>
            </w: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Net asset derivatives are classified within other assets in our condensed consolidated balance sheets.</w:t>
      </w:r>
    </w:p>
    <w:p>
      <w:pPr>
        <w:spacing w:after="0" w:line="13" w:lineRule="exact"/>
        <w:rPr>
          <w:rFonts w:ascii="Arial" w:cs="Arial" w:eastAsia="Arial" w:hAnsi="Arial"/>
          <w:sz w:val="9"/>
          <w:szCs w:val="9"/>
          <w:color w:val="auto"/>
        </w:rPr>
      </w:pPr>
    </w:p>
    <w:p>
      <w:pPr>
        <w:ind w:left="180" w:right="680" w:hanging="172"/>
        <w:spacing w:after="0" w:line="293" w:lineRule="auto"/>
        <w:tabs>
          <w:tab w:leader="none" w:pos="180" w:val="left"/>
        </w:tabs>
        <w:numPr>
          <w:ilvl w:val="0"/>
          <w:numId w:val="11"/>
        </w:numPr>
        <w:rPr>
          <w:rFonts w:ascii="Arial" w:cs="Arial" w:eastAsia="Arial" w:hAnsi="Arial"/>
          <w:sz w:val="8"/>
          <w:szCs w:val="8"/>
          <w:color w:val="auto"/>
        </w:rPr>
      </w:pPr>
      <w:r>
        <w:rPr>
          <w:rFonts w:ascii="Arial" w:cs="Arial" w:eastAsia="Arial" w:hAnsi="Arial"/>
          <w:sz w:val="13"/>
          <w:szCs w:val="13"/>
          <w:color w:val="auto"/>
        </w:rPr>
        <w:t>Excludes netting of cash collateral received and posted. The total collateral posted at June 30, 2018 and December 31, 2017 was $252 million and $542 million, respectively, across all counterparties, which are included in cash held at consolidated affiliated partnerships and restricted cash on the condensed consolidated balance sheets.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37"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following table presents the amount of gain (loss) recognized in the condensed consolidated statements of operations for our derivatives not designated as hedging instruments: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Gain (Loss) Recognized in Income</w:t>
            </w:r>
            <w:r>
              <w:rPr>
                <w:rFonts w:ascii="Arial" w:cs="Arial" w:eastAsia="Arial" w:hAnsi="Arial"/>
                <w:sz w:val="25"/>
                <w:szCs w:val="25"/>
                <w:b w:val="1"/>
                <w:bCs w:val="1"/>
                <w:color w:val="auto"/>
                <w:w w:val="99"/>
                <w:vertAlign w:val="superscript"/>
              </w:rPr>
              <w:t>(1)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37"/>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0"/>
                <w:szCs w:val="20"/>
                <w:color w:val="auto"/>
              </w:rPr>
            </w:pPr>
          </w:p>
        </w:tc>
        <w:tc>
          <w:tcPr>
            <w:tcW w:w="28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3"/>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line="277" w:lineRule="auto"/>
        <w:tabs>
          <w:tab w:leader="none" w:pos="180" w:val="left"/>
        </w:tabs>
        <w:numPr>
          <w:ilvl w:val="0"/>
          <w:numId w:val="12"/>
        </w:numPr>
        <w:rPr>
          <w:rFonts w:ascii="Arial" w:cs="Arial" w:eastAsia="Arial" w:hAnsi="Arial"/>
          <w:sz w:val="8"/>
          <w:szCs w:val="8"/>
          <w:color w:val="auto"/>
        </w:rPr>
      </w:pPr>
      <w:r>
        <w:rPr>
          <w:rFonts w:ascii="Arial" w:cs="Arial" w:eastAsia="Arial" w:hAnsi="Arial"/>
          <w:sz w:val="13"/>
          <w:szCs w:val="13"/>
          <w:color w:val="auto"/>
        </w:rPr>
        <w:t>Gains (losses) recognized on derivatives are classified in net gain (loss) from investment activities in our condensed consolidated statements of operations for our Investment segment and are included in other income (loss), net for all other segments. Gains (losses) recognized on derivatives for our Investment segment were $(139) million and $(265) million for the three months ended June 30, 2018 and 2017, respectively, and $8 million and $(880) million for the six months ended June 30, 2018 and 2017, respectively. Gains recognized on derivatives for our other segments were $11 million and zero for the three months ended June 30, 2018 and 2017, respectively, and $70 million and $12 million for the six months ended June 30, 2018 and 2017,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Non-Derivative Instruments Designated as Hedging Instruments</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As of June 30, 2018 and December 31, 2017, Federal-Mogul had foreign currency denominated debt (included in liabilities held for sale on our condensed consolidated balance sheets), of which $845 million and $884 million, respectively, was designated as a net investment hedge in certain foreign subsidiaries and affiliates of Federal-Mogul. Changes to its carrying value are included in other comprehensive loss as translation adjustments and other. The amount recognized in accumulated other comprehensive loss was a gain (loss) of $1 million and $(60) million for the three months ended June 30, 2018 and 2017, respectively, and $(23) million and $(46) million for the six months ended June 30, 2018 and 2017,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Inventories, net consists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right="8260" w:hanging="412"/>
        <w:spacing w:after="0" w:line="469" w:lineRule="auto"/>
        <w:tabs>
          <w:tab w:leader="none" w:pos="33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2018</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02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Impairment</w:t>
            </w: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Impairment</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60" w:type="dxa"/>
            <w:vAlign w:val="bottom"/>
            <w:gridSpan w:val="3"/>
          </w:tcPr>
          <w:p>
            <w:pPr>
              <w:jc w:val="right"/>
              <w:ind w:right="659"/>
              <w:spacing w:after="0"/>
              <w:rPr>
                <w:sz w:val="20"/>
                <w:szCs w:val="20"/>
                <w:color w:val="auto"/>
              </w:rPr>
            </w:pPr>
            <w:r>
              <w:rPr>
                <w:rFonts w:ascii="Arial" w:cs="Arial" w:eastAsia="Arial" w:hAnsi="Arial"/>
                <w:sz w:val="14"/>
                <w:szCs w:val="14"/>
                <w:color w:val="auto"/>
                <w:w w:val="98"/>
              </w:rPr>
              <w:t>(in millions)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2"/>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Railcar</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36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Food Packaging</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2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2"/>
              </w:rPr>
              <w:t>336</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2"/>
              </w:rPr>
              <w:t>334</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37"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2018</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rPr>
              <w:t>Net</w:t>
            </w: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020" w:type="dxa"/>
            <w:vAlign w:val="bottom"/>
          </w:tcPr>
          <w:p>
            <w:pPr>
              <w:jc w:val="center"/>
              <w:ind w:left="259"/>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020" w:type="dxa"/>
            <w:vAlign w:val="bottom"/>
          </w:tcPr>
          <w:p>
            <w:pPr>
              <w:jc w:val="center"/>
              <w:ind w:left="279"/>
              <w:spacing w:after="0"/>
              <w:rPr>
                <w:sz w:val="20"/>
                <w:szCs w:val="20"/>
                <w:color w:val="auto"/>
              </w:rPr>
            </w:pPr>
            <w:r>
              <w:rPr>
                <w:rFonts w:ascii="Arial" w:cs="Arial" w:eastAsia="Arial" w:hAnsi="Arial"/>
                <w:sz w:val="16"/>
                <w:szCs w:val="16"/>
                <w:b w:val="1"/>
                <w:bCs w:val="1"/>
                <w:color w:val="auto"/>
                <w:w w:val="88"/>
              </w:rPr>
              <w:t>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gridSpan w:val="3"/>
          </w:tcPr>
          <w:p>
            <w:pPr>
              <w:jc w:val="right"/>
              <w:ind w:right="659"/>
              <w:spacing w:after="0"/>
              <w:rPr>
                <w:sz w:val="20"/>
                <w:szCs w:val="20"/>
                <w:color w:val="auto"/>
              </w:rPr>
            </w:pPr>
            <w:r>
              <w:rPr>
                <w:rFonts w:ascii="Arial" w:cs="Arial" w:eastAsia="Arial" w:hAnsi="Arial"/>
                <w:sz w:val="14"/>
                <w:szCs w:val="14"/>
                <w:color w:val="auto"/>
                <w:w w:val="98"/>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262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272</w:t>
            </w:r>
          </w:p>
        </w:tc>
        <w:tc>
          <w:tcPr>
            <w:tcW w:w="110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2"/>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17"/>
        </w:trPr>
        <w:tc>
          <w:tcPr>
            <w:tcW w:w="26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2"/>
              </w:rPr>
              <w:t>459</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2"/>
              </w:rPr>
              <w:t>731</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482</w:t>
            </w:r>
          </w:p>
        </w:tc>
      </w:tr>
      <w:tr>
        <w:trPr>
          <w:trHeight w:val="73"/>
        </w:trPr>
        <w:tc>
          <w:tcPr>
            <w:tcW w:w="26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262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2"/>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544</w:t>
            </w: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Amortization expense associated with definite-lived intangible assets was $12 million and $9 million for the three months ended June 30, 2018 and 2017, respectively, and $24 million and $18 million for the six months ended June 30, 2018 and 2017, respectively. We utilize the straight-line method of amortization, recognized over the estimated useful lives of the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9.  Debt.</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812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0"/>
                <w:szCs w:val="20"/>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Holding Company:</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unsecured notes due 2020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5.875% senior unsecured notes due 2022</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6.250% senior unsecured notes due 2022</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6.750% senior unsecured notes due 2024</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6.375% senior unsecured notes due 2025</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37"/>
        </w:trPr>
        <w:tc>
          <w:tcPr>
            <w:tcW w:w="8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Reporting Segments: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8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2,411</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7,918</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37"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LP Unit.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the computation of basic and diluted income (loss) per LP unit from continuing and discontinued operations of Icahn Enterprises 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as follows:</w:t>
            </w: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700" w:type="dxa"/>
            <w:vAlign w:val="bottom"/>
          </w:tcPr>
          <w:p>
            <w:pPr>
              <w:spacing w:after="0"/>
              <w:rPr>
                <w:sz w:val="24"/>
                <w:szCs w:val="24"/>
                <w:color w:val="auto"/>
              </w:rPr>
            </w:pPr>
          </w:p>
        </w:tc>
        <w:tc>
          <w:tcPr>
            <w:tcW w:w="34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gridSpan w:val="5"/>
          </w:tcPr>
          <w:p>
            <w:pPr>
              <w:ind w:left="340"/>
              <w:spacing w:after="0"/>
              <w:rPr>
                <w:sz w:val="20"/>
                <w:szCs w:val="20"/>
                <w:color w:val="auto"/>
              </w:rPr>
            </w:pPr>
            <w:r>
              <w:rPr>
                <w:rFonts w:ascii="Arial" w:cs="Arial" w:eastAsia="Arial" w:hAnsi="Arial"/>
                <w:sz w:val="14"/>
                <w:szCs w:val="14"/>
                <w:color w:val="auto"/>
              </w:rPr>
              <w:t>(in millions, except per unit data)</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Net income attributable to Icahn Enterprises from continuing</w:t>
            </w:r>
          </w:p>
        </w:tc>
        <w:tc>
          <w:tcPr>
            <w:tcW w:w="108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0"/>
                <w:szCs w:val="20"/>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w w:val="97"/>
              </w:rPr>
              <w:t>Net income attributable to Icahn Enterprises from continuing</w:t>
            </w: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080" w:type="dxa"/>
            <w:vAlign w:val="bottom"/>
            <w:vMerge w:val="restart"/>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5"/>
              </w:rPr>
              <w:t>operations allocable to limited partners (98.01% allocation)</w:t>
            </w:r>
          </w:p>
        </w:tc>
        <w:tc>
          <w:tcPr>
            <w:tcW w:w="1080" w:type="dxa"/>
            <w:vAlign w:val="bottom"/>
            <w:tcBorders>
              <w:bottom w:val="single" w:sz="8" w:color="auto"/>
            </w:tcBorders>
            <w:vMerge w:val="continue"/>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Net income attributable to Icahn Enterprises from discontinued</w:t>
            </w:r>
          </w:p>
        </w:tc>
        <w:tc>
          <w:tcPr>
            <w:tcW w:w="108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operations allocable to limited partners</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income per LP unit: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LP units outstanding</w:t>
            </w:r>
          </w:p>
        </w:tc>
        <w:tc>
          <w:tcPr>
            <w:tcW w:w="10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Rights Offering</w:t>
      </w:r>
    </w:p>
    <w:p>
      <w:pPr>
        <w:spacing w:after="0" w:line="117"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In January 2017, Icahn Enterprises commenced a rights offering entitling holders of the rights to acquire newly issued depositary units of Icahn Enterprises. In connection with this rights offering, we received proceeds of $600 million during the six months ended June 30,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Distribution</w:t>
      </w:r>
    </w:p>
    <w:p>
      <w:pPr>
        <w:spacing w:after="0" w:line="11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On February 27, 2018, Icahn Enterprises declared a quarterly distribution in the amount of $1.75 per depositary unit in which each depositary unit holder had the option to make an election to receive either cash or additional depositary units.</w:t>
      </w:r>
    </w:p>
    <w:p>
      <w:pPr>
        <w:spacing w:after="0" w:line="6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On May 2, 2018, Icahn Enterprises declared a quarterly distribution in the amount of $1.75 per depositary unit in which each depositary unit holder had the option to make an election to receive either cash or additional depositary units.</w:t>
      </w:r>
    </w:p>
    <w:p>
      <w:pPr>
        <w:spacing w:after="0" w:line="6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As a result of the above distributions declared, during the six months ended June 30, 2018, Icahn Enterprises distributed an aggregate 8,608,269 depositary units to unit holders electing to receive depositary units, of which an aggregate of 8,494,768 depositary units were distributed to Mr. Icahn and his affiliates. In connection with these distributions, aggregate cash distributions to all depositary unitholders was $47 million during the three and six months ended June 30,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Incentive Plan</w:t>
      </w:r>
    </w:p>
    <w:p>
      <w:pPr>
        <w:spacing w:after="0" w:line="11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During the three months ended June 30, 2018 and 2017, Icahn Enterprises distributed 3,087 and 2,358 depositary units, respectively, and 18,158 and 3,030 depositary units during the six months ended June 30, 2018 and 2017, respectively, net of payroll withholdings, with respect to certain restricted depositary units and deferred unit awards that vested during the period in connection with the Icahn Enterprises L.P. 2017 Long Term Incentive Plan ("2017 Incentive Plan"). The aggregate impact of the 2017 Incentive Plan is not material with respect to our condensed consolidated financial statements, including the calculation of potentially dilutive units and diluted income per LP unit.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Reporting.</w:t>
      </w:r>
    </w:p>
    <w:p>
      <w:pPr>
        <w:spacing w:after="0" w:line="12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121"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10"/>
          </w:tcPr>
          <w:p>
            <w:pPr>
              <w:ind w:left="20"/>
              <w:spacing w:after="0"/>
              <w:rPr>
                <w:sz w:val="20"/>
                <w:szCs w:val="20"/>
                <w:color w:val="auto"/>
              </w:rPr>
            </w:pPr>
            <w:r>
              <w:rPr>
                <w:rFonts w:ascii="Arial" w:cs="Arial" w:eastAsia="Arial" w:hAnsi="Arial"/>
                <w:sz w:val="11"/>
                <w:szCs w:val="11"/>
                <w:b w:val="1"/>
                <w:bCs w:val="1"/>
                <w:color w:val="auto"/>
              </w:rPr>
              <w:t>Three Months Ended June 30, 2018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20" w:type="dxa"/>
            <w:vAlign w:val="bottom"/>
          </w:tcPr>
          <w:p>
            <w:pPr>
              <w:spacing w:after="0"/>
              <w:rPr>
                <w:sz w:val="12"/>
                <w:szCs w:val="12"/>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b w:val="1"/>
                <w:bCs w:val="1"/>
                <w:color w:val="auto"/>
                <w:w w:val="87"/>
              </w:rPr>
              <w:t>Metals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5"/>
          </w:tcPr>
          <w:p>
            <w:pPr>
              <w:ind w:left="40"/>
              <w:spacing w:after="0"/>
              <w:rPr>
                <w:sz w:val="20"/>
                <w:szCs w:val="20"/>
                <w:color w:val="auto"/>
              </w:rPr>
            </w:pPr>
            <w:r>
              <w:rPr>
                <w:rFonts w:ascii="Arial" w:cs="Arial" w:eastAsia="Arial" w:hAnsi="Arial"/>
                <w:sz w:val="11"/>
                <w:szCs w:val="11"/>
                <w:color w:val="auto"/>
              </w:rPr>
              <w:t>(in millions)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132</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2,919</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210</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409</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37</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3,578</w:t>
            </w:r>
          </w:p>
        </w:tc>
      </w:tr>
      <w:tr>
        <w:trPr>
          <w:trHeight w:val="242"/>
        </w:trPr>
        <w:tc>
          <w:tcPr>
            <w:tcW w:w="30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2,510</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162</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352</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125</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3,157</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3"/>
              </w:rPr>
              <w:t>Income (loss) from continuing operations before income tax benefit</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3080" w:type="dxa"/>
            <w:vAlign w:val="bottom"/>
          </w:tcPr>
          <w:p>
            <w:pPr>
              <w:ind w:left="200"/>
              <w:spacing w:after="0"/>
              <w:rPr>
                <w:sz w:val="20"/>
                <w:szCs w:val="20"/>
                <w:color w:val="auto"/>
              </w:rPr>
            </w:pPr>
            <w:r>
              <w:rPr>
                <w:rFonts w:ascii="Arial" w:cs="Arial" w:eastAsia="Arial" w:hAnsi="Arial"/>
                <w:sz w:val="11"/>
                <w:szCs w:val="11"/>
                <w:color w:val="auto"/>
              </w:rPr>
              <w:t>(expense)</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397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421</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r>
      <w:tr>
        <w:trPr>
          <w:trHeight w:val="228"/>
        </w:trPr>
        <w:tc>
          <w:tcPr>
            <w:tcW w:w="3080" w:type="dxa"/>
            <w:vAlign w:val="bottom"/>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(18)</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433</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Less: net income (loss) from continuing operations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269</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5"/>
              </w:rPr>
              <w:t>Net income (loss) from continuing operations attributable to Icahn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30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157</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(18)</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120" w:type="dxa"/>
            <w:vAlign w:val="bottom"/>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164</w:t>
            </w:r>
          </w:p>
        </w:tc>
      </w:tr>
      <w:tr>
        <w:trPr>
          <w:trHeight w:val="62"/>
        </w:trPr>
        <w:tc>
          <w:tcPr>
            <w:tcW w:w="30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3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w:t>
            </w:r>
          </w:p>
        </w:tc>
      </w:tr>
      <w:tr>
        <w:trPr>
          <w:trHeight w:val="248"/>
        </w:trPr>
        <w:tc>
          <w:tcPr>
            <w:tcW w:w="30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-585470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-1717675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-3107055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10"/>
          </w:tcPr>
          <w:p>
            <w:pPr>
              <w:ind w:left="20"/>
              <w:spacing w:after="0"/>
              <w:rPr>
                <w:sz w:val="20"/>
                <w:szCs w:val="20"/>
                <w:color w:val="auto"/>
              </w:rPr>
            </w:pPr>
            <w:r>
              <w:rPr>
                <w:rFonts w:ascii="Arial" w:cs="Arial" w:eastAsia="Arial" w:hAnsi="Arial"/>
                <w:sz w:val="11"/>
                <w:szCs w:val="11"/>
                <w:b w:val="1"/>
                <w:bCs w:val="1"/>
                <w:color w:val="auto"/>
              </w:rPr>
              <w:t>Three Months Ended June 30, 2017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b w:val="1"/>
                <w:bCs w:val="1"/>
                <w:color w:val="auto"/>
                <w:w w:val="99"/>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2,332</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265</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314</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1,523</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income (loss),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4,465</w:t>
            </w:r>
          </w:p>
        </w:tc>
      </w:tr>
      <w:tr>
        <w:trPr>
          <w:trHeight w:val="242"/>
        </w:trPr>
        <w:tc>
          <w:tcPr>
            <w:tcW w:w="30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2,068</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172</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307</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177</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2,795</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3"/>
              </w:rPr>
              <w:t>Income (loss) from continuing operations before income tax benefit</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3080" w:type="dxa"/>
            <w:vAlign w:val="bottom"/>
          </w:tcPr>
          <w:p>
            <w:pPr>
              <w:ind w:left="200"/>
              <w:spacing w:after="0"/>
              <w:rPr>
                <w:sz w:val="20"/>
                <w:szCs w:val="20"/>
                <w:color w:val="auto"/>
              </w:rPr>
            </w:pPr>
            <w:r>
              <w:rPr>
                <w:rFonts w:ascii="Arial" w:cs="Arial" w:eastAsia="Arial" w:hAnsi="Arial"/>
                <w:sz w:val="11"/>
                <w:szCs w:val="11"/>
                <w:color w:val="auto"/>
              </w:rPr>
              <w:t>(expense)</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1,670</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r>
      <w:tr>
        <w:trPr>
          <w:trHeight w:val="228"/>
        </w:trPr>
        <w:tc>
          <w:tcPr>
            <w:tcW w:w="3080" w:type="dxa"/>
            <w:vAlign w:val="bottom"/>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1,007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413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1,667</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Less: net income (loss) from continuing operations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165</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5"/>
              </w:rPr>
              <w:t>Net income (loss) from continuing operations attributable to Icahn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30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1,003</w:t>
            </w:r>
          </w:p>
        </w:tc>
        <w:tc>
          <w:tcPr>
            <w:tcW w:w="120" w:type="dxa"/>
            <w:vAlign w:val="bottom"/>
          </w:tcPr>
          <w:p>
            <w:pPr>
              <w:spacing w:after="0"/>
              <w:rPr>
                <w:sz w:val="13"/>
                <w:szCs w:val="13"/>
                <w:color w:val="auto"/>
              </w:rPr>
            </w:pPr>
          </w:p>
        </w:tc>
        <w:tc>
          <w:tcPr>
            <w:tcW w:w="80" w:type="dxa"/>
            <w:vAlign w:val="bottom"/>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413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1,502</w:t>
            </w:r>
          </w:p>
        </w:tc>
      </w:tr>
      <w:tr>
        <w:trPr>
          <w:trHeight w:val="62"/>
        </w:trPr>
        <w:tc>
          <w:tcPr>
            <w:tcW w:w="30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3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w:t>
            </w:r>
          </w:p>
        </w:tc>
      </w:tr>
      <w:tr>
        <w:trPr>
          <w:trHeight w:val="248"/>
        </w:trPr>
        <w:tc>
          <w:tcPr>
            <w:tcW w:w="30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136</w:t>
            </w:r>
          </w:p>
        </w:tc>
      </w:tr>
      <w:tr>
        <w:trPr>
          <w:trHeight w:val="405"/>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9"/>
          </w:tcPr>
          <w:p>
            <w:pPr>
              <w:jc w:val="center"/>
              <w:ind w:right="500"/>
              <w:spacing w:after="0"/>
              <w:rPr>
                <w:sz w:val="20"/>
                <w:szCs w:val="20"/>
                <w:color w:val="auto"/>
              </w:rPr>
            </w:pPr>
            <w:r>
              <w:rPr>
                <w:rFonts w:ascii="Arial" w:cs="Arial" w:eastAsia="Arial" w:hAnsi="Arial"/>
                <w:sz w:val="11"/>
                <w:szCs w:val="11"/>
                <w:b w:val="1"/>
                <w:bCs w:val="1"/>
                <w:color w:val="auto"/>
                <w:w w:val="88"/>
              </w:rPr>
              <w:t>Six Months Ended June 30, 2018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b w:val="1"/>
                <w:bCs w:val="1"/>
                <w:color w:val="auto"/>
                <w:w w:val="99"/>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5,356</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263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406</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842</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63</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(Loss) gain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66</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1,423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6,733</w:t>
            </w:r>
          </w:p>
        </w:tc>
      </w:tr>
      <w:tr>
        <w:trPr>
          <w:trHeight w:val="242"/>
        </w:trPr>
        <w:tc>
          <w:tcPr>
            <w:tcW w:w="30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4,601</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313</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697</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277</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5,898</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3"/>
              </w:rPr>
              <w:t>Income (loss) from continuing operations before income tax benefit</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3080" w:type="dxa"/>
            <w:vAlign w:val="bottom"/>
          </w:tcPr>
          <w:p>
            <w:pPr>
              <w:ind w:left="200"/>
              <w:spacing w:after="0"/>
              <w:rPr>
                <w:sz w:val="20"/>
                <w:szCs w:val="20"/>
                <w:color w:val="auto"/>
              </w:rPr>
            </w:pPr>
            <w:r>
              <w:rPr>
                <w:rFonts w:ascii="Arial" w:cs="Arial" w:eastAsia="Arial" w:hAnsi="Arial"/>
                <w:sz w:val="11"/>
                <w:szCs w:val="11"/>
                <w:color w:val="auto"/>
              </w:rPr>
              <w:t>(expense)</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798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(79)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835</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r>
      <w:tr>
        <w:trPr>
          <w:trHeight w:val="228"/>
        </w:trPr>
        <w:tc>
          <w:tcPr>
            <w:tcW w:w="3080" w:type="dxa"/>
            <w:vAlign w:val="bottom"/>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798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(52)</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160</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821</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Less: net income (loss) from continuing operations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480</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5"/>
              </w:rPr>
              <w:t>Net income (loss) from continuing operations attributable to Icahn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30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318</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(52)</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3"/>
                <w:szCs w:val="13"/>
                <w:color w:val="auto"/>
              </w:rPr>
            </w:pPr>
          </w:p>
        </w:tc>
        <w:tc>
          <w:tcPr>
            <w:tcW w:w="80" w:type="dxa"/>
            <w:vAlign w:val="bottom"/>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7</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272</w:t>
            </w:r>
          </w:p>
        </w:tc>
      </w:tr>
      <w:tr>
        <w:trPr>
          <w:trHeight w:val="62"/>
        </w:trPr>
        <w:tc>
          <w:tcPr>
            <w:tcW w:w="30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3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30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144</w:t>
            </w:r>
          </w:p>
        </w:tc>
      </w:tr>
      <w:tr>
        <w:trPr>
          <w:trHeight w:val="22"/>
        </w:trPr>
        <w:tc>
          <w:tcPr>
            <w:tcW w:w="3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-5376545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-6508115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-7897495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-427990</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-1560195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-2949575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70" w:orient="portrait"/>
          <w:cols w:equalWidth="0" w:num="1">
            <w:col w:w="11380"/>
          </w:cols>
          <w:pgMar w:left="260" w:top="337" w:right="259" w:bottom="0" w:gutter="0" w:footer="0" w:header="0"/>
        </w:sectPr>
      </w:pPr>
    </w:p>
    <w:bookmarkStart w:id="33" w:name="page34"/>
    <w:bookmarkEnd w:id="33"/>
    <w:p>
      <w:pPr>
        <w:spacing w:after="0"/>
        <w:tabs>
          <w:tab w:leader="none" w:pos="2880" w:val="left"/>
          <w:tab w:leader="none" w:pos="3460" w:val="left"/>
          <w:tab w:leader="none" w:pos="3840" w:val="left"/>
          <w:tab w:leader="none" w:pos="4400" w:val="left"/>
          <w:tab w:leader="none" w:pos="4780" w:val="left"/>
          <w:tab w:leader="none" w:pos="5060" w:val="left"/>
          <w:tab w:leader="none" w:pos="5500" w:val="left"/>
          <w:tab w:leader="none" w:pos="5840" w:val="left"/>
          <w:tab w:leader="none" w:pos="6220" w:val="left"/>
          <w:tab w:leader="none" w:pos="6600" w:val="left"/>
          <w:tab w:leader="none" w:pos="6900" w:val="left"/>
          <w:tab w:leader="none" w:pos="7260" w:val="left"/>
          <w:tab w:leader="none" w:pos="7560" w:val="left"/>
          <w:tab w:leader="none" w:pos="7980" w:val="left"/>
          <w:tab w:leader="none" w:pos="8340" w:val="left"/>
          <w:tab w:leader="none" w:pos="8520" w:val="left"/>
          <w:tab w:leader="none" w:pos="8880" w:val="left"/>
          <w:tab w:leader="none" w:pos="9240" w:val="left"/>
          <w:tab w:leader="none" w:pos="9540" w:val="left"/>
          <w:tab w:leader="none" w:pos="9960" w:val="left"/>
          <w:tab w:leader="none" w:pos="10300" w:val="left"/>
          <w:tab w:leader="none" w:pos="10900" w:val="left"/>
        </w:tabs>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49</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140</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31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9</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4</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13</w:t>
      </w:r>
      <w:r>
        <w:rPr>
          <w:sz w:val="20"/>
          <w:szCs w:val="20"/>
          <w:color w:val="auto"/>
        </w:rPr>
        <w:tab/>
      </w:r>
      <w:r>
        <w:rPr>
          <w:rFonts w:ascii="Arial" w:cs="Arial" w:eastAsia="Arial" w:hAnsi="Arial"/>
          <w:sz w:val="11"/>
          <w:szCs w:val="11"/>
          <w:color w:val="auto"/>
        </w:rPr>
        <w:t>$</w:t>
        <w:tab/>
        <w:t>10</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4</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9"/>
          <w:szCs w:val="9"/>
          <w:color w:val="auto"/>
        </w:rPr>
        <w:t>260</w:t>
      </w:r>
    </w:p>
    <w:p>
      <w:pPr>
        <w:sectPr>
          <w:pgSz w:w="11900" w:h="16838" w:orient="portrait"/>
          <w:cols w:equalWidth="0" w:num="1">
            <w:col w:w="11080"/>
          </w:cols>
          <w:pgMar w:left="460" w:top="130"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080"/>
          </w:cols>
          <w:pgMar w:left="460" w:top="130" w:right="35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9"/>
          </w:tcPr>
          <w:p>
            <w:pPr>
              <w:jc w:val="center"/>
              <w:ind w:right="500"/>
              <w:spacing w:after="0"/>
              <w:rPr>
                <w:sz w:val="20"/>
                <w:szCs w:val="20"/>
                <w:color w:val="auto"/>
              </w:rPr>
            </w:pPr>
            <w:r>
              <w:rPr>
                <w:rFonts w:ascii="Arial" w:cs="Arial" w:eastAsia="Arial" w:hAnsi="Arial"/>
                <w:sz w:val="11"/>
                <w:szCs w:val="11"/>
                <w:b w:val="1"/>
                <w:bCs w:val="1"/>
                <w:color w:val="auto"/>
                <w:w w:val="88"/>
              </w:rPr>
              <w:t>Six Months Ended June 30, 2017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b w:val="1"/>
                <w:bCs w:val="1"/>
                <w:color w:val="auto"/>
                <w:w w:val="99"/>
              </w:rPr>
              <w:t>Metals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4,704</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233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524</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184</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60</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Gain (loss) on disposition of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1,523</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(loss) income, net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(31)</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6,964</w:t>
            </w:r>
          </w:p>
        </w:tc>
      </w:tr>
      <w:tr>
        <w:trPr>
          <w:trHeight w:val="242"/>
        </w:trPr>
        <w:tc>
          <w:tcPr>
            <w:tcW w:w="3080" w:type="dxa"/>
            <w:vAlign w:val="bottom"/>
          </w:tcPr>
          <w:p>
            <w:pPr>
              <w:ind w:left="20"/>
              <w:spacing w:after="0"/>
              <w:rPr>
                <w:sz w:val="20"/>
                <w:szCs w:val="20"/>
                <w:color w:val="auto"/>
              </w:rPr>
            </w:pPr>
            <w:r>
              <w:rPr>
                <w:rFonts w:ascii="Arial" w:cs="Arial" w:eastAsia="Arial" w:hAnsi="Arial"/>
                <w:sz w:val="11"/>
                <w:szCs w:val="11"/>
                <w:color w:val="auto"/>
              </w:rPr>
              <w:t>Expenses:</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4,120</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325</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622</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Restructuring,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361</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4"/>
        </w:trPr>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5,506</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3"/>
              </w:rPr>
              <w:t>Income (loss) from continuing operations before income tax benefit</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36"/>
        </w:trPr>
        <w:tc>
          <w:tcPr>
            <w:tcW w:w="3080" w:type="dxa"/>
            <w:vAlign w:val="bottom"/>
          </w:tcPr>
          <w:p>
            <w:pPr>
              <w:ind w:left="200"/>
              <w:spacing w:after="0"/>
              <w:rPr>
                <w:sz w:val="20"/>
                <w:szCs w:val="20"/>
                <w:color w:val="auto"/>
              </w:rPr>
            </w:pPr>
            <w:r>
              <w:rPr>
                <w:rFonts w:ascii="Arial" w:cs="Arial" w:eastAsia="Arial" w:hAnsi="Arial"/>
                <w:sz w:val="11"/>
                <w:szCs w:val="11"/>
                <w:color w:val="auto"/>
              </w:rPr>
              <w:t>(expense)</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1,458</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r>
      <w:tr>
        <w:trPr>
          <w:trHeight w:val="228"/>
        </w:trPr>
        <w:tc>
          <w:tcPr>
            <w:tcW w:w="3080" w:type="dxa"/>
            <w:vAlign w:val="bottom"/>
          </w:tcPr>
          <w:p>
            <w:pPr>
              <w:ind w:left="20"/>
              <w:spacing w:after="0"/>
              <w:rPr>
                <w:sz w:val="20"/>
                <w:szCs w:val="20"/>
                <w:color w:val="auto"/>
              </w:rPr>
            </w:pPr>
            <w:r>
              <w:rPr>
                <w:rFonts w:ascii="Arial" w:cs="Arial" w:eastAsia="Arial" w:hAnsi="Arial"/>
                <w:sz w:val="11"/>
                <w:szCs w:val="11"/>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(20)</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1,059</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332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1,463</w:t>
            </w: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Less: net income (loss) from continuing operations attributable to</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58"/>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color w:val="auto"/>
                <w:w w:val="95"/>
              </w:rPr>
              <w:t>Net income (loss) from continuing operations attributable to Icahn</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50"/>
        </w:trPr>
        <w:tc>
          <w:tcPr>
            <w:tcW w:w="3080" w:type="dxa"/>
            <w:vAlign w:val="bottom"/>
          </w:tcPr>
          <w:p>
            <w:pPr>
              <w:ind w:left="200"/>
              <w:spacing w:after="0"/>
              <w:rPr>
                <w:sz w:val="20"/>
                <w:szCs w:val="20"/>
                <w:color w:val="auto"/>
              </w:rPr>
            </w:pPr>
            <w:r>
              <w:rPr>
                <w:rFonts w:ascii="Arial" w:cs="Arial" w:eastAsia="Arial" w:hAnsi="Arial"/>
                <w:sz w:val="11"/>
                <w:szCs w:val="11"/>
                <w:color w:val="auto"/>
              </w:rPr>
              <w:t>Enterprises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(20)</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1,051</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332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1,450</w:t>
            </w:r>
          </w:p>
        </w:tc>
      </w:tr>
      <w:tr>
        <w:trPr>
          <w:trHeight w:val="62"/>
        </w:trPr>
        <w:tc>
          <w:tcPr>
            <w:tcW w:w="30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102"/>
        </w:trPr>
        <w:tc>
          <w:tcPr>
            <w:tcW w:w="3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48"/>
        </w:trPr>
        <w:tc>
          <w:tcPr>
            <w:tcW w:w="3080" w:type="dxa"/>
            <w:vAlign w:val="bottom"/>
          </w:tcPr>
          <w:p>
            <w:pPr>
              <w:ind w:left="20"/>
              <w:spacing w:after="0"/>
              <w:rPr>
                <w:sz w:val="20"/>
                <w:szCs w:val="20"/>
                <w:color w:val="auto"/>
              </w:rPr>
            </w:pPr>
            <w:r>
              <w:rPr>
                <w:rFonts w:ascii="Arial" w:cs="Arial" w:eastAsia="Arial" w:hAnsi="Arial"/>
                <w:sz w:val="11"/>
                <w:szCs w:val="11"/>
                <w:color w:val="auto"/>
              </w:rPr>
              <w:t>Supplemental information:</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232</w:t>
            </w:r>
          </w:p>
        </w:tc>
      </w:tr>
      <w:tr>
        <w:trPr>
          <w:trHeight w:val="248"/>
        </w:trPr>
        <w:tc>
          <w:tcPr>
            <w:tcW w:w="308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10</w:t>
            </w:r>
          </w:p>
        </w:tc>
        <w:tc>
          <w:tcPr>
            <w:tcW w:w="2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-585470</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-1717675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-3107055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180" w:right="160" w:hanging="172"/>
        <w:spacing w:after="0" w:line="273" w:lineRule="auto"/>
        <w:tabs>
          <w:tab w:leader="none" w:pos="180" w:val="left"/>
        </w:tabs>
        <w:numPr>
          <w:ilvl w:val="0"/>
          <w:numId w:val="14"/>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$1 million and $3 million for the three months ended June 30, 2018 and 2017, respectively, and $2 million and $6 million for the six months ended June 30, 2018 and 2017, respectively.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certain reportable segments below. Refer to Note 2, "Basis of Presentation and Summary of Significant Accounting Policies," for certain revenue recognition policies with respect to the following reporting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Automotive segment net sales and other revenues from operations is presented below:</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220" w:type="dxa"/>
            <w:vAlign w:val="bottom"/>
            <w:gridSpan w:val="4"/>
          </w:tcPr>
          <w:p>
            <w:pPr>
              <w:ind w:left="740"/>
              <w:spacing w:after="0"/>
              <w:rPr>
                <w:sz w:val="20"/>
                <w:szCs w:val="20"/>
                <w:color w:val="auto"/>
              </w:rPr>
            </w:pPr>
            <w:r>
              <w:rPr>
                <w:rFonts w:ascii="Arial" w:cs="Arial" w:eastAsia="Arial" w:hAnsi="Arial"/>
                <w:sz w:val="18"/>
                <w:szCs w:val="18"/>
                <w:b w:val="1"/>
                <w:bCs w:val="1"/>
                <w:color w:val="auto"/>
                <w:w w:val="96"/>
              </w:rPr>
              <w:t>Three Months Ended June 30,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7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1280" w:type="dxa"/>
            <w:vAlign w:val="bottom"/>
          </w:tcPr>
          <w:p>
            <w:pPr>
              <w:ind w:left="74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37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services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Commercial sales</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7"/>
        </w:trPr>
        <w:tc>
          <w:tcPr>
            <w:tcW w:w="3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 sales</w:t>
            </w: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37"/>
        </w:trPr>
        <w:tc>
          <w:tcPr>
            <w:tcW w:w="3760" w:type="dxa"/>
            <w:vAlign w:val="bottom"/>
          </w:tcPr>
          <w:p>
            <w:pPr>
              <w:spacing w:after="0"/>
              <w:rPr>
                <w:sz w:val="20"/>
                <w:szCs w:val="20"/>
                <w:color w:val="auto"/>
              </w:rPr>
            </w:pPr>
          </w:p>
        </w:tc>
        <w:tc>
          <w:tcPr>
            <w:tcW w:w="128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1,331</w:t>
            </w:r>
          </w:p>
        </w:tc>
      </w:tr>
      <w:tr>
        <w:trPr>
          <w:trHeight w:val="27"/>
        </w:trPr>
        <w:tc>
          <w:tcPr>
            <w:tcW w:w="37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As discussed in Note 1, "Description of Business," we adopted FASB ASC Topic 606 effective January 1, 2018 which affected the revenue recognized on the of sale of goods on a drop ship basis. Beginning in 2018, revenue from drop ship sales is recorded on a net basis and for prior periods was recorded on a gross basis. Prior periods were not adjusted for the adoption of FASB ASC Topic 606 in our condensed consolidated financial statements. Therefore, for the three months ended June 30, 2017, our Automotive segment's commercial net sales and costs of goods sold would each have been lower by $18 million under</w:t>
      </w:r>
    </w:p>
    <w:p>
      <w:pPr>
        <w:sectPr>
          <w:pgSz w:w="11900" w:h="16838" w:orient="portrait"/>
          <w:cols w:equalWidth="0" w:num="1">
            <w:col w:w="11400"/>
          </w:cols>
          <w:pgMar w:left="240" w:top="337" w:right="259" w:bottom="1054"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337" w:right="259" w:bottom="1054"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current accounting principles. For the six months ended June 30, 2017, commercial net sales and cost of goods sold would each have been lower by $36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Disaggregated revenue for our Energy segment net sales is presented below:</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160" w:type="dxa"/>
            <w:vAlign w:val="bottom"/>
            <w:gridSpan w:val="4"/>
          </w:tcPr>
          <w:p>
            <w:pPr>
              <w:ind w:left="740"/>
              <w:spacing w:after="0"/>
              <w:rPr>
                <w:sz w:val="20"/>
                <w:szCs w:val="20"/>
                <w:color w:val="auto"/>
              </w:rPr>
            </w:pPr>
            <w:r>
              <w:rPr>
                <w:rFonts w:ascii="Arial" w:cs="Arial" w:eastAsia="Arial" w:hAnsi="Arial"/>
                <w:sz w:val="18"/>
                <w:szCs w:val="18"/>
                <w:b w:val="1"/>
                <w:bCs w:val="1"/>
                <w:color w:val="auto"/>
                <w:w w:val="94"/>
              </w:rPr>
              <w:t>Three Months Ended June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1220" w:type="dxa"/>
            <w:vAlign w:val="bottom"/>
          </w:tcPr>
          <w:p>
            <w:pPr>
              <w:ind w:left="74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37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Petroleum products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Nitrogen fertilizer products</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37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7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12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Icahn Enterprises' condensed balance sheets by reporting segment are presented below. Icahn Enterprises Holdings' condensed balance sheets are substantially the same, with immaterial differences relating to our Holding Company's other assets, debt and equity attributable to Icahn Enterprises Holdings.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86"/>
              </w:rPr>
              <w:t>June 30, 2018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Discontinued</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Operations</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060" w:type="dxa"/>
            <w:vAlign w:val="bottom"/>
          </w:tcPr>
          <w:p>
            <w:pPr>
              <w:ind w:left="82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875</w:t>
            </w: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rPr>
              <w:t>Cash held at consolidated affiliated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partnerships 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350</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8,706</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682</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1,951</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3,113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105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6,253</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857</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Assets held for sale</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8,869</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1,647</w:t>
            </w:r>
          </w:p>
        </w:tc>
      </w:tr>
      <w:tr>
        <w:trPr>
          <w:trHeight w:val="272"/>
        </w:trPr>
        <w:tc>
          <w:tcPr>
            <w:tcW w:w="20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9,344</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3,142</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4,716</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1,481</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274</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516</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917</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179</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526</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8,862</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30,190</w:t>
            </w:r>
          </w:p>
        </w:tc>
      </w:tr>
      <w:tr>
        <w:trPr>
          <w:trHeight w:val="235"/>
        </w:trPr>
        <w:tc>
          <w:tcPr>
            <w:tcW w:w="2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w w:val="99"/>
              </w:rPr>
              <w:t>Accounts payable, accrued expenses 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other liabilities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497</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941</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1,106</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277</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3,349</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Securities sold, not yet purchased, at fair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8"/>
        </w:trPr>
        <w:tc>
          <w:tcPr>
            <w:tcW w:w="2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value</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368</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Due to brokers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Liabilities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6,145</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7,880</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17,742</w:t>
            </w:r>
          </w:p>
        </w:tc>
      </w:tr>
      <w:tr>
        <w:trPr>
          <w:trHeight w:val="115"/>
        </w:trPr>
        <w:tc>
          <w:tcPr>
            <w:tcW w:w="2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5,416</w:t>
            </w: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rPr>
              <w:t>Equity attributable to non-controlling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5,125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7,032</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equity</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12,448</w:t>
            </w:r>
          </w:p>
        </w:tc>
      </w:tr>
      <w:tr>
        <w:trPr>
          <w:trHeight w:val="232"/>
        </w:trPr>
        <w:tc>
          <w:tcPr>
            <w:tcW w:w="2060" w:type="dxa"/>
            <w:vAlign w:val="bottom"/>
          </w:tcPr>
          <w:p>
            <w:pPr>
              <w:ind w:left="10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9,344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3,142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4,716</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1,481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233</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274</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516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917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526</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8,862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30,190</w:t>
            </w:r>
          </w:p>
        </w:tc>
      </w:tr>
      <w:tr>
        <w:trPr>
          <w:trHeight w:val="20"/>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37"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86"/>
              </w:rPr>
              <w:t>December 31, 2017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Real</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Holding</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Discontinued</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8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4"/>
              </w:rPr>
              <w:t>Estate</w:t>
            </w:r>
          </w:p>
        </w:tc>
        <w:tc>
          <w:tcPr>
            <w:tcW w:w="100" w:type="dxa"/>
            <w:vAlign w:val="bottom"/>
          </w:tcPr>
          <w:p>
            <w:pPr>
              <w:spacing w:after="0"/>
              <w:rPr>
                <w:sz w:val="12"/>
                <w:szCs w:val="12"/>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Company</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Operations</w:t>
            </w:r>
          </w:p>
        </w:tc>
        <w:tc>
          <w:tcPr>
            <w:tcW w:w="10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060" w:type="dxa"/>
            <w:vAlign w:val="bottom"/>
          </w:tcPr>
          <w:p>
            <w:pPr>
              <w:ind w:left="82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1,264</w:t>
            </w: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rPr>
              <w:t>Cash held at consolidated affiliated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partnerships and restricted cash</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734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766</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9,532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10,038</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612</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1,805</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6,364</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878</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Assets held for sale</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8,774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8,790</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1,284</w:t>
            </w:r>
          </w:p>
        </w:tc>
      </w:tr>
      <w:tr>
        <w:trPr>
          <w:trHeight w:val="272"/>
        </w:trPr>
        <w:tc>
          <w:tcPr>
            <w:tcW w:w="20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10,799</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3,011</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4,700</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226</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265</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487</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931</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938</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8,774</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31,801</w:t>
            </w:r>
          </w:p>
        </w:tc>
      </w:tr>
      <w:tr>
        <w:trPr>
          <w:trHeight w:val="235"/>
        </w:trPr>
        <w:tc>
          <w:tcPr>
            <w:tcW w:w="2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w w:val="99"/>
              </w:rPr>
              <w:t>Accounts payable, accrued expenses 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other liabilities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1,302</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944</w:t>
            </w:r>
          </w:p>
        </w:tc>
        <w:tc>
          <w:tcPr>
            <w:tcW w:w="1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1,125</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262</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172</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243</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4,233</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9"/>
        </w:trPr>
        <w:tc>
          <w:tcPr>
            <w:tcW w:w="2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Securities sold, not yet purchased, at fair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38"/>
        </w:trPr>
        <w:tc>
          <w:tcPr>
            <w:tcW w:w="2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value</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1,023</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Due to brokers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1,057</w:t>
            </w:r>
          </w:p>
        </w:tc>
      </w:tr>
      <w:tr>
        <w:trPr>
          <w:trHeight w:val="22"/>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Liabilities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6,202</w:t>
            </w:r>
          </w:p>
        </w:tc>
      </w:tr>
      <w:tr>
        <w:trPr>
          <w:trHeight w:val="248"/>
        </w:trPr>
        <w:tc>
          <w:tcPr>
            <w:tcW w:w="2060" w:type="dxa"/>
            <w:vAlign w:val="bottom"/>
          </w:tcPr>
          <w:p>
            <w:pPr>
              <w:ind w:left="20"/>
              <w:spacing w:after="0"/>
              <w:rPr>
                <w:sz w:val="20"/>
                <w:szCs w:val="20"/>
                <w:color w:val="auto"/>
              </w:rPr>
            </w:pPr>
            <w:r>
              <w:rPr>
                <w:rFonts w:ascii="Arial" w:cs="Arial" w:eastAsia="Arial" w:hAnsi="Arial"/>
                <w:sz w:val="11"/>
                <w:szCs w:val="11"/>
                <w:color w:val="auto"/>
              </w:rPr>
              <w:t>Debt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5,507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7,918</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20,433</w:t>
            </w:r>
          </w:p>
        </w:tc>
      </w:tr>
      <w:tr>
        <w:trPr>
          <w:trHeight w:val="115"/>
        </w:trPr>
        <w:tc>
          <w:tcPr>
            <w:tcW w:w="2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25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5,106</w:t>
            </w:r>
          </w:p>
        </w:tc>
      </w:tr>
      <w:tr>
        <w:trPr>
          <w:trHeight w:val="139"/>
        </w:trPr>
        <w:tc>
          <w:tcPr>
            <w:tcW w:w="2060" w:type="dxa"/>
            <w:vAlign w:val="bottom"/>
          </w:tcPr>
          <w:p>
            <w:pPr>
              <w:ind w:left="20"/>
              <w:spacing w:after="0"/>
              <w:rPr>
                <w:sz w:val="20"/>
                <w:szCs w:val="20"/>
                <w:color w:val="auto"/>
              </w:rPr>
            </w:pPr>
            <w:r>
              <w:rPr>
                <w:rFonts w:ascii="Arial" w:cs="Arial" w:eastAsia="Arial" w:hAnsi="Arial"/>
                <w:sz w:val="11"/>
                <w:szCs w:val="11"/>
                <w:color w:val="auto"/>
              </w:rPr>
              <w:t>Equity attributable to non-controlling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060" w:type="dxa"/>
            <w:vAlign w:val="bottom"/>
          </w:tcPr>
          <w:p>
            <w:pPr>
              <w:ind w:left="200"/>
              <w:spacing w:after="0"/>
              <w:rPr>
                <w:sz w:val="20"/>
                <w:szCs w:val="20"/>
                <w:color w:val="auto"/>
              </w:rPr>
            </w:pPr>
            <w:r>
              <w:rPr>
                <w:rFonts w:ascii="Arial" w:cs="Arial" w:eastAsia="Arial" w:hAnsi="Arial"/>
                <w:sz w:val="11"/>
                <w:szCs w:val="11"/>
                <w:color w:val="auto"/>
              </w:rPr>
              <w:t>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4,365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288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6,262</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equity</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11,368</w:t>
            </w:r>
          </w:p>
        </w:tc>
      </w:tr>
      <w:tr>
        <w:trPr>
          <w:trHeight w:val="232"/>
        </w:trPr>
        <w:tc>
          <w:tcPr>
            <w:tcW w:w="2060" w:type="dxa"/>
            <w:vAlign w:val="bottom"/>
          </w:tcPr>
          <w:p>
            <w:pPr>
              <w:ind w:left="100"/>
              <w:spacing w:after="0"/>
              <w:rPr>
                <w:sz w:val="20"/>
                <w:szCs w:val="20"/>
                <w:color w:val="auto"/>
              </w:rPr>
            </w:pPr>
            <w:r>
              <w:rPr>
                <w:rFonts w:ascii="Arial" w:cs="Arial" w:eastAsia="Arial" w:hAnsi="Arial"/>
                <w:sz w:val="11"/>
                <w:szCs w:val="1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10,799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3,011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4,700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1,487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226</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265</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487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931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938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8,774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31,801</w:t>
            </w:r>
          </w:p>
        </w:tc>
      </w:tr>
      <w:tr>
        <w:trPr>
          <w:trHeight w:val="20"/>
        </w:trPr>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60" w:top="337" w:right="2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Discontinued Operations.</w:t>
      </w:r>
    </w:p>
    <w:p>
      <w:pPr>
        <w:spacing w:after="0" w:line="12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discussed in Note 1, "Description of Business," we operated discontinued operations previously included in our Automotive segment and our former Gaming segment effective in the second quarter of 2018.</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from discontinued operations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7"/>
          </w:tcPr>
          <w:p>
            <w:pPr>
              <w:jc w:val="right"/>
              <w:ind w:right="679"/>
              <w:spacing w:after="0"/>
              <w:rPr>
                <w:sz w:val="20"/>
                <w:szCs w:val="20"/>
                <w:color w:val="auto"/>
              </w:rPr>
            </w:pPr>
            <w:r>
              <w:rPr>
                <w:rFonts w:ascii="Arial" w:cs="Arial" w:eastAsia="Arial" w:hAnsi="Arial"/>
                <w:sz w:val="16"/>
                <w:szCs w:val="16"/>
                <w:b w:val="1"/>
                <w:bCs w:val="1"/>
                <w:color w:val="auto"/>
              </w:rPr>
              <w:t>Three Months Ended June 30, 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gridSpan w:val="7"/>
          </w:tcPr>
          <w:p>
            <w:pPr>
              <w:jc w:val="right"/>
              <w:ind w:right="659"/>
              <w:spacing w:after="0"/>
              <w:rPr>
                <w:sz w:val="20"/>
                <w:szCs w:val="20"/>
                <w:color w:val="auto"/>
              </w:rPr>
            </w:pPr>
            <w:r>
              <w:rPr>
                <w:rFonts w:ascii="Arial" w:cs="Arial" w:eastAsia="Arial" w:hAnsi="Arial"/>
                <w:sz w:val="16"/>
                <w:szCs w:val="16"/>
                <w:b w:val="1"/>
                <w:bCs w:val="1"/>
                <w:color w:val="auto"/>
              </w:rPr>
              <w:t>Three Months Ended June 30, 2017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Automotive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Gaming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Automotive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Gaming</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right"/>
              <w:ind w:right="899"/>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2,047</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1,949</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and dividend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Gain on disposition of assets, net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(loss)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2,179</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before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Less: income from discontinued operations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00"/>
              <w:spacing w:after="0"/>
              <w:rPr>
                <w:sz w:val="20"/>
                <w:szCs w:val="20"/>
                <w:color w:val="auto"/>
              </w:rPr>
            </w:pPr>
            <w:r>
              <w:rPr>
                <w:rFonts w:ascii="Arial" w:cs="Arial" w:eastAsia="Arial" w:hAnsi="Arial"/>
                <w:sz w:val="16"/>
                <w:szCs w:val="16"/>
                <w:color w:val="auto"/>
              </w:rPr>
              <w:t>attributable to non-controlling interests</w:t>
            </w:r>
          </w:p>
        </w:tc>
        <w:tc>
          <w:tcPr>
            <w:tcW w:w="16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from discontinued operations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 Icahn Enterprises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0"/>
              <w:spacing w:after="0"/>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6"/>
          </w:tcPr>
          <w:p>
            <w:pPr>
              <w:jc w:val="right"/>
              <w:spacing w:after="0"/>
              <w:rPr>
                <w:sz w:val="20"/>
                <w:szCs w:val="20"/>
                <w:color w:val="auto"/>
              </w:rPr>
            </w:pPr>
            <w:r>
              <w:rPr>
                <w:rFonts w:ascii="Arial" w:cs="Arial" w:eastAsia="Arial" w:hAnsi="Arial"/>
                <w:sz w:val="16"/>
                <w:szCs w:val="16"/>
                <w:b w:val="1"/>
                <w:bCs w:val="1"/>
                <w:color w:val="auto"/>
              </w:rPr>
              <w:t>Six Months Ended June 30, 2018</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6"/>
          </w:tcPr>
          <w:p>
            <w:pPr>
              <w:jc w:val="right"/>
              <w:spacing w:after="0"/>
              <w:rPr>
                <w:sz w:val="20"/>
                <w:szCs w:val="20"/>
                <w:color w:val="auto"/>
              </w:rPr>
            </w:pPr>
            <w:r>
              <w:rPr>
                <w:rFonts w:ascii="Arial" w:cs="Arial" w:eastAsia="Arial" w:hAnsi="Arial"/>
                <w:sz w:val="16"/>
                <w:szCs w:val="16"/>
                <w:b w:val="1"/>
                <w:bCs w:val="1"/>
                <w:color w:val="auto"/>
              </w:rPr>
              <w:t>Six Months Ended June 30, 2017</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Automotive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Gaming</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Automotive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Gaming</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80" w:type="dxa"/>
            <w:vAlign w:val="bottom"/>
            <w:gridSpan w:val="4"/>
          </w:tcPr>
          <w:p>
            <w:pPr>
              <w:jc w:val="right"/>
              <w:ind w:right="899"/>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4,103</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3,897</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3,897</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Other revenues from operations</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and dividend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Loss on disposition of assets, net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income (loss), net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4,113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4,568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4,348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expenses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Impairment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3,945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3,797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4,199</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before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Less: income from discontinued operations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00"/>
              <w:spacing w:after="0"/>
              <w:rPr>
                <w:sz w:val="20"/>
                <w:szCs w:val="20"/>
                <w:color w:val="auto"/>
              </w:rPr>
            </w:pPr>
            <w:r>
              <w:rPr>
                <w:rFonts w:ascii="Arial" w:cs="Arial" w:eastAsia="Arial" w:hAnsi="Arial"/>
                <w:sz w:val="16"/>
                <w:szCs w:val="16"/>
                <w:color w:val="auto"/>
              </w:rPr>
              <w:t>attributable to non-controlling interests</w:t>
            </w:r>
          </w:p>
        </w:tc>
        <w:tc>
          <w:tcPr>
            <w:tcW w:w="16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from discontinued operations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4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 Icahn Enterprises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0"/>
              <w:spacing w:after="0"/>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right="140" w:hanging="172"/>
        <w:spacing w:after="0" w:line="273" w:lineRule="auto"/>
        <w:tabs>
          <w:tab w:leader="none" w:pos="158" w:val="left"/>
        </w:tabs>
        <w:numPr>
          <w:ilvl w:val="0"/>
          <w:numId w:val="15"/>
        </w:numPr>
        <w:rPr>
          <w:rFonts w:ascii="Arial" w:cs="Arial" w:eastAsia="Arial" w:hAnsi="Arial"/>
          <w:sz w:val="9"/>
          <w:szCs w:val="9"/>
          <w:color w:val="auto"/>
        </w:rPr>
      </w:pPr>
      <w:r>
        <w:rPr>
          <w:rFonts w:ascii="Arial" w:cs="Arial" w:eastAsia="Arial" w:hAnsi="Arial"/>
          <w:sz w:val="14"/>
          <w:szCs w:val="14"/>
          <w:color w:val="auto"/>
        </w:rPr>
        <w:t>Capital expenditures in the tables above represent cash used in investing activities. In addition, non-cash capital expenditures included in accounts payable, accrued expenses and other liabilities for the six months ended June 30, 2018 and 2017 aggregated $60 million and $56 million, respectively.</w:t>
      </w:r>
    </w:p>
    <w:p>
      <w:pPr>
        <w:spacing w:after="0" w:line="65" w:lineRule="exact"/>
        <w:rPr>
          <w:rFonts w:ascii="Arial" w:cs="Arial" w:eastAsia="Arial" w:hAnsi="Arial"/>
          <w:sz w:val="9"/>
          <w:szCs w:val="9"/>
          <w:color w:val="auto"/>
        </w:rPr>
      </w:pPr>
    </w:p>
    <w:p>
      <w:pPr>
        <w:ind w:left="180" w:right="80" w:hanging="172"/>
        <w:spacing w:after="0" w:line="273" w:lineRule="auto"/>
        <w:tabs>
          <w:tab w:leader="none" w:pos="145" w:val="left"/>
        </w:tabs>
        <w:numPr>
          <w:ilvl w:val="0"/>
          <w:numId w:val="15"/>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aggregating $0 million and $1 million for the three months ended June 30, 2018 and 2017, respectively, and $1 million and $3 million for the six months ended June 30, 2018 and 2017,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Assets and liabilities held for sale consist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2017</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Automotive</w:t>
            </w: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Gaming</w:t>
            </w: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Automotive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Gaming</w:t>
            </w: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Assets Held For Sale</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right"/>
              <w:ind w:right="899"/>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8"/>
              </w:rPr>
              <w:t>Assets held for sale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7,764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1,098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8,862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7,678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8,774</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 held for sale</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 held for sale</w:t>
            </w: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8,869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8,790</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b w:val="1"/>
                <w:bCs w:val="1"/>
                <w:color w:val="auto"/>
              </w:rPr>
              <w:t>Liabilities Held For Sale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7"/>
              </w:rPr>
              <w:t>Accounts payable, accrued expenses and other</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00"/>
              <w:spacing w:after="0"/>
              <w:rPr>
                <w:sz w:val="20"/>
                <w:szCs w:val="20"/>
                <w:color w:val="auto"/>
              </w:rPr>
            </w:pPr>
            <w:r>
              <w:rPr>
                <w:rFonts w:ascii="Arial" w:cs="Arial" w:eastAsia="Arial" w:hAnsi="Arial"/>
                <w:sz w:val="16"/>
                <w:szCs w:val="16"/>
                <w:color w:val="auto"/>
              </w:rPr>
              <w:t>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1,932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1,718</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Post-retirement benefit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Debt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Liabilities held for sale (discontinued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5,934</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6,145</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5,923</w:t>
            </w:r>
          </w:p>
        </w:tc>
        <w:tc>
          <w:tcPr>
            <w:tcW w:w="34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6,202</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operations)</w:t>
            </w:r>
          </w:p>
        </w:tc>
        <w:tc>
          <w:tcPr>
            <w:tcW w:w="1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Other assets held for sale in the table above primarily consists of property, plant and equipment, net for other operations not classified as discontinued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On December 22, 2017, The Tax Cuts and Jobs Act (the "Tax Legislation") was enacted in the United States, significantly revising certain U.S. corporate income tax provisions; including, among other items, a reduction of the U.S. corporate rate from 35% to 21%; the imposition of a deemed repatriation tax on unremitted foreign earnings to facilitate a shift from a worldwide tax system to a territorial system; and the creation of new limitations on certain deductions. We do not currently anticipate significant revisions to the amounts recorded. However, under the guidance of Staff Accounting Bulletin No. 118 issued on December 22, 2017, we will account for the income tax effects of any additional guidance associated with the Tax Legislation under the measurement period approach.</w:t>
      </w:r>
    </w:p>
    <w:p>
      <w:pPr>
        <w:spacing w:after="0" w:line="85"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For the three months ended June 30, 2018, we recorded an income tax benefit of $12 million on pre-tax income from continuing operations of $421 million compared to an income tax expense of $3 million on pre-tax income from continuing operations of approximately $1.7 billion for the three months ended June 30, 2017. Our effective income tax rate was (2.9)% and 0.2% for the three months ended June 30, 2018 and 2017, respectively.</w:t>
      </w:r>
    </w:p>
    <w:p>
      <w:pPr>
        <w:spacing w:after="0" w:line="39"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For the three months ended June 30, 2018, the effective tax rate was lower than the statutory federal rate of 21%, primarily due to partnership income for which there was no tax expense, as such income is allocated to the partners, and favorable permanent tax adjustments, including estimated deductions related to internal reorganization of certain corporate entities within the American Entertainment Properties Corp. consolidated group.</w:t>
      </w:r>
    </w:p>
    <w:p>
      <w:pPr>
        <w:spacing w:after="0" w:line="3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For the three months ended June 30, 2017, the effective tax rate was lower than the statutory federal rate of 35%, primarily due to partnership income for which there was no tax expense, as such income is allocated to the partners.</w:t>
      </w:r>
    </w:p>
    <w:p>
      <w:pPr>
        <w:spacing w:after="0" w:line="62"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For the six months ended June 30, 2018, we recorded an income tax expense of $14 million on pre-tax income from continuing operations of $835 million compared to an income tax benefit of $5 million on pre-tax income from continuing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operations of approximately $1.5 billion for the six months ended June 30, 2017. Our effective income tax rate was 1.7% and (0.3)% for the six months ended June 30, 2018 and 2017, respectively.</w:t>
      </w:r>
    </w:p>
    <w:p>
      <w:pPr>
        <w:spacing w:after="0" w:line="62"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For the six months ended June 30, 2018, the effective tax rate was lower than the statutory federal rate of 21%, primarily due to partnership income for which there was no tax expense, as such income is allocated to the partners, and favorable permanent tax adjustments, including estimated deductions related to internal reorganization of certain corporate entities within the American Entertainment Properties Corp. consolidated group.</w:t>
      </w:r>
    </w:p>
    <w:p>
      <w:pPr>
        <w:spacing w:after="0" w:line="39"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For the six months ended June 30, 2017, the effective tax rate was lower than the statutory federal rate of 35%, primarily due to a decrease in the valuation allowance and partnership income for which there was no tax expense, as such income is allocated to the partners.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Changes in Accumulated Other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4"/>
          </w:tcPr>
          <w:p>
            <w:pPr>
              <w:ind w:left="420"/>
              <w:spacing w:after="0"/>
              <w:rPr>
                <w:sz w:val="20"/>
                <w:szCs w:val="20"/>
                <w:color w:val="auto"/>
              </w:rPr>
            </w:pPr>
            <w:r>
              <w:rPr>
                <w:rFonts w:ascii="Arial" w:cs="Arial" w:eastAsia="Arial" w:hAnsi="Arial"/>
                <w:sz w:val="18"/>
                <w:szCs w:val="18"/>
                <w:color w:val="auto"/>
                <w:w w:val="98"/>
              </w:rPr>
              <w:t>Changes in accumulated other comprehensive loss consists of the following:</w:t>
            </w: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Post-Retirement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1220" w:type="dxa"/>
            <w:vAlign w:val="bottom"/>
          </w:tcPr>
          <w:p>
            <w:pPr>
              <w:ind w:left="400"/>
              <w:spacing w:after="0"/>
              <w:rPr>
                <w:sz w:val="20"/>
                <w:szCs w:val="20"/>
                <w:color w:val="auto"/>
              </w:rPr>
            </w:pPr>
            <w:r>
              <w:rPr>
                <w:rFonts w:ascii="Arial" w:cs="Arial" w:eastAsia="Arial" w:hAnsi="Arial"/>
                <w:sz w:val="18"/>
                <w:szCs w:val="18"/>
                <w:b w:val="1"/>
                <w:bCs w:val="1"/>
                <w:color w:val="auto"/>
                <w:w w:val="91"/>
              </w:rPr>
              <w:t>Net of Tax</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Reclassifications from accumulated other comprehensive loss to</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15. Other Income, Net.</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ind w:left="420"/>
              <w:spacing w:after="0"/>
              <w:rPr>
                <w:sz w:val="20"/>
                <w:szCs w:val="20"/>
                <w:color w:val="auto"/>
              </w:rPr>
            </w:pPr>
            <w:r>
              <w:rPr>
                <w:rFonts w:ascii="Arial" w:cs="Arial" w:eastAsia="Arial" w:hAnsi="Arial"/>
                <w:sz w:val="18"/>
                <w:szCs w:val="18"/>
                <w:color w:val="auto"/>
              </w:rPr>
              <w:t>Other income, net consists of the following:</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3"/>
          </w:tcPr>
          <w:p>
            <w:pPr>
              <w:ind w:left="360"/>
              <w:spacing w:after="0"/>
              <w:rPr>
                <w:sz w:val="20"/>
                <w:szCs w:val="20"/>
                <w:color w:val="auto"/>
              </w:rPr>
            </w:pPr>
            <w:r>
              <w:rPr>
                <w:rFonts w:ascii="Arial" w:cs="Arial" w:eastAsia="Arial" w:hAnsi="Arial"/>
                <w:sz w:val="18"/>
                <w:szCs w:val="18"/>
                <w:b w:val="1"/>
                <w:bCs w:val="1"/>
                <w:color w:val="auto"/>
                <w:w w:val="94"/>
              </w:rPr>
              <w:t>Three Months Ended June 30,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20" w:type="dxa"/>
            <w:vAlign w:val="bottom"/>
          </w:tcPr>
          <w:p>
            <w:pPr>
              <w:ind w:left="62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 on derivatives, net (Note 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derivative loss</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transaction gain (loss)</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Non-service pension and other post-retirement benefits expense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$38 million and $34 million as of June 30, 2018 and December 31, 2017, respectively, primarily within our Energy and Metals segments and which are included in accrued expenses and other liabilities in our condensed consolidated balance sheets. In addition to the above, Federal-Mogul has environmental liabilities of $15 million and $16 million as of June 30, 2018 and December 31, 2017, respectively, which are included in liabilities held for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 in our condensed consolidated balance sheets. We do not believe that environmental matters will have a material adverse impact on our consolidated results of operations and financial condition.</w:t>
      </w:r>
    </w:p>
    <w:p>
      <w:pPr>
        <w:spacing w:after="0" w:line="3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new developments or material changes to the environmental accruals or expected capital expenditures related to compliance with the environmental matters from those disclosed in our Annual Report on Form 10-K for the year ended December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117"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CVR Refining is subject to the Renewable Fuel Standard ("RFS") of the Environmental Protection Agency ("EPA") which requires refiners to either blend "renewable fuels" in with their transportation fuels or purchase renewable fuel credits, known as renewable identification numbers (“RINs”), in lieu of blending. Due to mandates in the RFS requiring increasing volumes of renewable fuels to replace petroleum products in the U.S. transportation fuel market, there may be a decrease in demand for petroleum products. CVR Refining is not able to blend the substantial majority of its transportation fuels and has to purchase RINs on the open market, as well as waiver credits for cellulosic biofuels from the EPA, in order to comply with the RFS.</w:t>
      </w:r>
    </w:p>
    <w:p>
      <w:pPr>
        <w:spacing w:after="0" w:line="5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 net cost of RINs for the three months ended June 30, 2018 and 2017 was $50 million and $106 million, respectively, and $27 million and $99 million for the six months ended June 30, 2018 and 2017, respectively, which is included in cost of goods sold in the condensed consolidated statements of operations. RINs expense includes the purchased cost of RINs, the impact of recognizing CVR Refining's uncommitted biofuel blending obligation at fair value based on market prices at each reporting date, and is reduced by the valuation change of RINs purchases in excess of CVR Refining's RFS obligation as of the reporting date. As of June 30, 2018 and December 31, 2017, CVR Refining's biofuel blending obligation was $16 million and $28 million, respectively, which is included in accrued expenses and other liabilities in our condensed consolidated balance sheets and is reduced by the valuation change of RINs purchases in excess of CVR Refining's RFS obligation as of the reporting date. As of June 30, 2018, our Energy segment recorded a RINs asset within other assets in the condensed consolidated balance sheet of $14 million, representing excess RINs primarily due to a reduction in its RFS obligation during the first quarter of 2018.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Federal-Mogul</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On March 3, 2017, certain purported former stockholders of Federal-Mogul Holdings Corporation filed a petition in the Delaware Court of Chancery seeking an appraisal of the value of common stock they claim to have held at the time of the January 23, 2017 merger of IEH FM Holdings, LLC into Federal-Mogul Holdings Corporation. IEH FM Holdings, LLC was a wholly owned subsidiary of Icahn Enterprises. Federal-Mogul Holdings LLC filed an answer to the petition on March 28, 2017. A second petition for appraisal was filed by purported former stockholders of Federal-Mogul Holdings Corporation on May 1, 2017. The two cases were consolidated on May 10, 2017, captioned </w:t>
      </w:r>
      <w:r>
        <w:rPr>
          <w:rFonts w:ascii="Arial" w:cs="Arial" w:eastAsia="Arial" w:hAnsi="Arial"/>
          <w:sz w:val="18"/>
          <w:szCs w:val="18"/>
          <w:i w:val="1"/>
          <w:iCs w:val="1"/>
          <w:color w:val="auto"/>
        </w:rPr>
        <w:t>In re Appraisal of Federal-Mogul Holdings LLC, C.A. No. 2017-0158-AGB</w:t>
      </w:r>
      <w:r>
        <w:rPr>
          <w:rFonts w:ascii="Arial" w:cs="Arial" w:eastAsia="Arial" w:hAnsi="Arial"/>
          <w:sz w:val="18"/>
          <w:szCs w:val="18"/>
          <w:color w:val="auto"/>
        </w:rPr>
        <w:t>. Discovery is ongoing and a trial date has not yet been set. Federal-Mogul believes that it has a meritorious defense and intends to vigorously defend the matter.</w:t>
      </w:r>
    </w:p>
    <w:p>
      <w:pPr>
        <w:spacing w:after="0" w:line="8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FM Products negotiated a settlement agreement with plaintiff's counsel which was approved by the required number of plaintiffs and, following a fairness hearing, given final approval by the court on July 13, 2018. FM Products will pay approximately $3 million pursuant to the settlement agreement, likely during the third quarter of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 Directive</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September 30, 2016, the Federal Railroad Administration ("FRA") issued Railworthiness Directive ("RWD") No. 2016-01 (the "Original Directive"). The Original Directive addressed, among other things, certain welding practices in one weld area in specified DOT 111 tank railcars manufactured between 2009 and 2015 by ARI and ACF. Our Railcar segment met and corresponded with the FRA following the issuance of the Original Directive to express its concerns with the Original Directive and its impact on our Railcar segment, as well as the industry as a whole. On November 18, 2016 (the "Issuance Date"),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FRA issued RWD No. 2016-01 [Revised] (the "Revised Directive"). The Revised Directive changed and superseded the Original Directive in several ways.</w:t>
      </w:r>
    </w:p>
    <w:p>
      <w:pPr>
        <w:spacing w:after="0" w:line="14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Revised Directive required owners to identify their subject tank railcars and then from that population identify the 15% of subject tank railcars then in hazardous materials service with the highest mileage in each tank car owner’s fleet. Visual inspection of each of the subject tank railcars is required by the car operator prior to putting any railcar into service. Owners must ensure appropriate inspection, testing and repairs, if needed, within twelve months of the Issuance Date for the 15% of their subject tank railcars identified to be in hazardous materials service with the highest mileage. The FRA reserved the right to impose additional test and inspection requirements for the remaining tank railcars subject to the Revised Directive. The FRA also reserved the right to seek civil penalties or to take any other appropriate enforcement action for violation of the Federal Hazardous Materials Regulations that have occurred.</w:t>
      </w:r>
    </w:p>
    <w:p>
      <w:pPr>
        <w:spacing w:after="0" w:line="5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Although the Revised Directive addressed some of our Railcar segment's concerns and clarified certain requirements of the Original Directive, our Railcar segment identified significant issues with the Revised Directive. As a result, in December 2016, our Railcar segment sought judicial review of and relief from the Revised Directive by filing a petition for review against the FRA in the United States Court of Appeals for the District of Columbia Circuit.</w:t>
      </w:r>
    </w:p>
    <w:p>
      <w:pPr>
        <w:spacing w:after="0" w:line="3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On August 17, 2017, our Railcar segment entered into a settlement agreement with the FRA, which covered the subject railcars owned by our Railcar segment. This agreement, among other things, extended the deadline for our Railcar segment to complete the inspection, testing and repairs, if needed, for the 15% identified railcars to December 31, 2017. Adding clarity regarding certain unknown requirements referenced in the Revised Directive, under the settlement agreement, our Railcar segment is required to inspect, test, and if necessary repair the remaining 85% subject tank railcars at the next tank railcar qualification, scheduled routine or regular maintenance, shopping or repair event, but no later than December 31, 2025. However, the settlement agreement permits our Railcar segment to: (i) if the FRA does not impose a similar requirement by July 31, 2018 on other owners’ railcars subject to the Revised Directive, suspend compliance with this requirement until such time as the FRA imposes requirements on all 85% railcars subject to the Revised Directive, and (ii) elect to be governed by any different requirements later imposed by the FRA on other owners’ railcars subject to the Revised Directive. In addition, the settlement agreement also provides that railcars owned by our Railcar segment are no longer required to have a surface inspection performed when the railcars are being inspected pursuant to the Revised Directive. The description above includes a summary of the terms of the settlement agreement. Finally, as part of the settlement agreement, our Railcar segment dismissed its lawsuit against the FRA.</w:t>
      </w:r>
    </w:p>
    <w:p>
      <w:pPr>
        <w:spacing w:after="0" w:line="6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Railcar segment has evaluated its potential exposure related to the Revised Directive and has a loss contingency reserve remaining of $9 million, as of June 30, 2018, to cover its probable and estimable liabilities with respect to our Railcar segment's response to the Revised Directive. The loss contingency reserve takes into account information available as of June 30, 2018 and our Railcar segment's contractual obligations in its capacity as both a manufacturer and owner of railcars subject to the Revised Directive. This amount is included in accrued expenses and other liabilities on the consolidated balance sheets. This amount will continue to be evaluated as our Railcar segment's and its customers' compliance with the Revised Directive and the settlement agreement progress. Actual results could differ from this estimate.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Obligations</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91.3% of Icahn Enterprises' outstanding depositary units as of June 30, 2018.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As a result of the more than 80% ownership interest in us by Mr. Icahn’s affiliates and our ownership of more than 80% in certain of our subsidiaries, we and certain of our subsidiaries are subject to the pension liabilities of entities in which Mr. Icahn has a direct or indirect ownership interest of at least 80%. ACF and Federal-Mogul, are the sponsors of several pension plans. All the minimum funding requirements of the Internal Revenue Code, as amended, and the Employee Retirement Income Security Act of 1974, as amended by the Pension Protection Act of 2006, for these plans have been met as of June 30, 2018 and December 31, 2017. If the plans were voluntarily terminated, they would be underfunded by approximately $435 million and $424 million as of June 30, 2018 and December 31, 2017,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337" w:right="2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U.S. Attorney’s office for the Southern District of New York contacted Icahn Enterprises L.P. in September 2017 seeking production of information pertaining to our and Mr. Icahn’s activities relating to the Renewable Fuels Standard and Mr. Icahn’s role as an advisor to the President. We are cooperating with the request and are providing information in response to the subpoena. The U.S. Attorney’s office has not made any claims or allegations against us or Mr. Icahn. We maintain a strong compliance program and, while no assurances can be made, we do not believe this inquiry will have a material impact on our business, financial condition, results of operations or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17. Supplemental Cash Flow Information.</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Supplemental cash flow information from continuing operations consists of the following:</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820" w:type="dxa"/>
            <w:vAlign w:val="bottom"/>
            <w:gridSpan w:val="3"/>
          </w:tcPr>
          <w:p>
            <w:pPr>
              <w:ind w:left="600"/>
              <w:spacing w:after="0"/>
              <w:rPr>
                <w:sz w:val="20"/>
                <w:szCs w:val="20"/>
                <w:color w:val="auto"/>
              </w:rPr>
            </w:pPr>
            <w:r>
              <w:rPr>
                <w:rFonts w:ascii="Arial" w:cs="Arial" w:eastAsia="Arial" w:hAnsi="Arial"/>
                <w:sz w:val="18"/>
                <w:szCs w:val="18"/>
                <w:b w:val="1"/>
                <w:bCs w:val="1"/>
                <w:color w:val="auto"/>
                <w:w w:val="94"/>
              </w:rPr>
              <w:t>Six Months Ended June 30,</w:t>
            </w:r>
          </w:p>
        </w:tc>
        <w:tc>
          <w:tcPr>
            <w:tcW w:w="48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20" w:type="dxa"/>
            <w:vAlign w:val="bottom"/>
            <w:gridSpan w:val="2"/>
          </w:tcPr>
          <w:p>
            <w:pPr>
              <w:jc w:val="right"/>
              <w:ind w:right="71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interest, net of amounts capitalized</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w:t>
            </w:r>
          </w:p>
        </w:tc>
        <w:tc>
          <w:tcPr>
            <w:tcW w:w="12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payments for income taxes, net of refunds</w:t>
            </w:r>
          </w:p>
        </w:tc>
        <w:tc>
          <w:tcPr>
            <w:tcW w:w="110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2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subsidiary common stock included in accrued expenses and 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 expenditures included in accounts payable, accrued expenses and other liabilities</w:t>
            </w:r>
          </w:p>
        </w:tc>
        <w:tc>
          <w:tcPr>
            <w:tcW w:w="110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2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dividends and distributions to non-controlling interests in subsidiaries</w:t>
            </w: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On July 31, 2018, the Board of Directors of the general partner of Icahn Enterprises declared a quarterly distribution in the amount of $1.75 per depositary unit. The quarterly distribution is payable in either cash or additional depositary units, at the election of each depositary unit holder and will be paid on or about September 18, 2018 to depositary unit holders of record at the close of business on August 13, 2018. Depositary unit holders have until September 7, 2018 to make an election to receive either cash or additional depositary units; if a holder does not make an election, it will automatically be deemed to have elected to receive the distribution in cash. Depositary unit holders who elect to receive additional depositary units will receive units valued at the volume weighted average trading price of the units on NASDAQ during the 5 consecutive trading days ending September 14, 2018. No fractional depositary units will be issued pursuant to the distribution payment. Icahn Enterprises will make a cash payment in lieu of issuing fractional depositary units to any holders electing to receive depositary units. 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4" w:name="page45"/>
    <w:bookmarkEnd w:id="44"/>
    <w:p>
      <w:pPr>
        <w:jc w:val="center"/>
        <w:ind w:left="1880" w:right="146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337"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condensed consolidated financial statements and the accompanying notes contained in this Quarterly Report on Form 10-Q for the period ended June 30, 2018 (this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8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Railcar, Metals,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our Holding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 April 2018, we announced definitive agreements to sell Federal-Mogul LLC ("Federal-Mogul") and Tropicana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Inc. ("Tropicana"). The transactions are expected to close in the second half of 2018. The results of Federal-Mogul and Tropicana are reported in discontinued operations and classified as held for sale for all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operating businesses comprise consolidated subsidiaries which operate in various industries and are managed on a decentralized basis. Results of operations for our continuing operating businesses primarily consist of net sales of various products, services revenue, franchisor operations and leasing of certain assets.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our results from discontinued operations. In addition to the summarized financial results below, refer to Note 11, "Segment Reporting," to the condensed consolidated financial statements for a reconciliation of each of our reporting segment's results of continuing operations to our consolidated results.</w:t>
      </w:r>
    </w:p>
    <w:p>
      <w:pPr>
        <w:spacing w:after="0" w:line="8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comparability of our summarized consolidated financial results from continuing operations presented below is affected by, among other factors, (i) the performance of the Investment Funds, (ii) various acquisitions, primarily within our Automotive segment during 2017 and (iii) dispositions of assets, primarily with respect to our railcar lease fleet in 2017. Refer to our respective segment discussions and "Other Consolidated Results of Operations," below for further discussion.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Net Income (Loss) From Continuing</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Net Income (Loss) From Continuing</w:t>
            </w:r>
          </w:p>
        </w:tc>
        <w:tc>
          <w:tcPr>
            <w:tcW w:w="120" w:type="dxa"/>
            <w:vAlign w:val="bottom"/>
          </w:tcPr>
          <w:p>
            <w:pPr>
              <w:spacing w:after="0"/>
              <w:rPr>
                <w:sz w:val="18"/>
                <w:szCs w:val="18"/>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2"/>
              </w:rPr>
              <w:t>Operations Attributable to Icahn</w:t>
            </w:r>
          </w:p>
        </w:tc>
      </w:tr>
      <w:tr>
        <w:trPr>
          <w:trHeight w:val="234"/>
        </w:trPr>
        <w:tc>
          <w:tcPr>
            <w:tcW w:w="1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4"/>
              </w:rPr>
              <w:t>Revenues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center"/>
              <w:ind w:left="811"/>
              <w:spacing w:after="0"/>
              <w:rPr>
                <w:sz w:val="20"/>
                <w:szCs w:val="20"/>
                <w:color w:val="auto"/>
              </w:rPr>
            </w:pPr>
            <w:r>
              <w:rPr>
                <w:rFonts w:ascii="Arial" w:cs="Arial" w:eastAsia="Arial" w:hAnsi="Arial"/>
                <w:sz w:val="18"/>
                <w:szCs w:val="18"/>
                <w:b w:val="1"/>
                <w:bCs w:val="1"/>
                <w:color w:val="auto"/>
                <w:w w:val="90"/>
              </w:rPr>
              <w:t>Operations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Enterprises</w:t>
            </w:r>
          </w:p>
        </w:tc>
        <w:tc>
          <w:tcPr>
            <w:tcW w:w="98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32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30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27"/>
        </w:trPr>
        <w:tc>
          <w:tcPr>
            <w:tcW w:w="1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1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1,922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Railcar</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1,003</w:t>
            </w:r>
          </w:p>
        </w:tc>
      </w:tr>
      <w:tr>
        <w:trPr>
          <w:trHeight w:val="27"/>
        </w:trPr>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Mining</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Holding Company</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413</w:t>
            </w:r>
          </w:p>
        </w:tc>
      </w:tr>
      <w:tr>
        <w:trPr>
          <w:trHeight w:val="27"/>
        </w:trPr>
        <w:tc>
          <w:tcPr>
            <w:tcW w:w="1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19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3,578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r>
      <w:tr>
        <w:trPr>
          <w:trHeight w:val="340"/>
        </w:trPr>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Net Income (Loss) From Continuing</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Net Income (Loss) From Continuing</w:t>
            </w:r>
          </w:p>
        </w:tc>
        <w:tc>
          <w:tcPr>
            <w:tcW w:w="120" w:type="dxa"/>
            <w:vAlign w:val="bottom"/>
          </w:tcPr>
          <w:p>
            <w:pPr>
              <w:spacing w:after="0"/>
              <w:rPr>
                <w:sz w:val="18"/>
                <w:szCs w:val="18"/>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2"/>
              </w:rPr>
              <w:t>Operations Attributable to Icahn</w:t>
            </w:r>
          </w:p>
        </w:tc>
      </w:tr>
      <w:tr>
        <w:trPr>
          <w:trHeight w:val="234"/>
        </w:trPr>
        <w:tc>
          <w:tcPr>
            <w:tcW w:w="1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4"/>
              </w:rPr>
              <w:t>Revenues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center"/>
              <w:ind w:left="811"/>
              <w:spacing w:after="0"/>
              <w:rPr>
                <w:sz w:val="20"/>
                <w:szCs w:val="20"/>
                <w:color w:val="auto"/>
              </w:rPr>
            </w:pPr>
            <w:r>
              <w:rPr>
                <w:rFonts w:ascii="Arial" w:cs="Arial" w:eastAsia="Arial" w:hAnsi="Arial"/>
                <w:sz w:val="18"/>
                <w:szCs w:val="18"/>
                <w:b w:val="1"/>
                <w:bCs w:val="1"/>
                <w:color w:val="auto"/>
                <w:w w:val="90"/>
              </w:rPr>
              <w:t>Operations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Enterprises</w:t>
            </w:r>
          </w:p>
        </w:tc>
        <w:tc>
          <w:tcPr>
            <w:tcW w:w="98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324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Six Months Ended June 30,</w:t>
            </w:r>
          </w:p>
        </w:tc>
        <w:tc>
          <w:tcPr>
            <w:tcW w:w="120" w:type="dxa"/>
            <w:vAlign w:val="bottom"/>
          </w:tcPr>
          <w:p>
            <w:pPr>
              <w:spacing w:after="0"/>
              <w:rPr>
                <w:sz w:val="20"/>
                <w:szCs w:val="20"/>
                <w:color w:val="auto"/>
              </w:rPr>
            </w:pPr>
          </w:p>
        </w:tc>
        <w:tc>
          <w:tcPr>
            <w:tcW w:w="30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Six Months Ended June 30,</w:t>
            </w:r>
          </w:p>
        </w:tc>
        <w:tc>
          <w:tcPr>
            <w:tcW w:w="120" w:type="dxa"/>
            <w:vAlign w:val="bottom"/>
          </w:tcPr>
          <w:p>
            <w:pPr>
              <w:spacing w:after="0"/>
              <w:rPr>
                <w:sz w:val="20"/>
                <w:szCs w:val="20"/>
                <w:color w:val="auto"/>
              </w:rPr>
            </w:pPr>
          </w:p>
        </w:tc>
        <w:tc>
          <w:tcPr>
            <w:tcW w:w="29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1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51"/>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1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1,423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3,520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Railcar</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1,051</w:t>
            </w:r>
          </w:p>
        </w:tc>
      </w:tr>
      <w:tr>
        <w:trPr>
          <w:trHeight w:val="27"/>
        </w:trPr>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Mining</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Holding Company</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7"/>
        </w:trPr>
        <w:tc>
          <w:tcPr>
            <w:tcW w:w="1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19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6,733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60" w:top="526"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invest our proprietary capital through various private investment funds ("Investment Funds"). As of June 30, 2018 and December 31, 2017, we had investments with a fair market value of approximately $3.3 billion and $3.0 billion, respectively, in the Investment Funds. As of June 30, 2018 and December 31, 2017, the total fair market value of investments in the Investment Funds made by Mr. Icahn and his affiliates (excluding us) was approximately $5.1 billion and $4.4 billion, respectively.</w:t>
      </w:r>
    </w:p>
    <w:p>
      <w:pPr>
        <w:spacing w:after="0" w:line="79" w:lineRule="exact"/>
        <w:rPr>
          <w:sz w:val="20"/>
          <w:szCs w:val="20"/>
          <w:color w:val="auto"/>
        </w:rPr>
      </w:pPr>
    </w:p>
    <w:p>
      <w:pPr>
        <w:ind w:firstLine="378"/>
        <w:spacing w:after="0" w:line="270" w:lineRule="auto"/>
        <w:rPr>
          <w:sz w:val="20"/>
          <w:szCs w:val="20"/>
          <w:color w:val="auto"/>
        </w:rPr>
      </w:pPr>
      <w:r>
        <w:rPr>
          <w:rFonts w:ascii="Arial" w:cs="Arial" w:eastAsia="Arial" w:hAnsi="Arial"/>
          <w:sz w:val="17"/>
          <w:szCs w:val="17"/>
          <w:color w:val="auto"/>
        </w:rPr>
        <w:t>Our Investment segment's results of operations are reflected in net income on the condensed consolidated statements of operations. Our Investment segment's net income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June 30, 2018.</w:t>
      </w:r>
    </w:p>
    <w:p>
      <w:pPr>
        <w:spacing w:after="0" w:line="74" w:lineRule="exact"/>
        <w:rPr>
          <w:sz w:val="20"/>
          <w:szCs w:val="20"/>
          <w:color w:val="auto"/>
        </w:rPr>
      </w:pPr>
    </w:p>
    <w:p>
      <w:pPr>
        <w:jc w:val="both"/>
        <w:ind w:right="400" w:firstLine="378"/>
        <w:spacing w:after="0" w:line="312" w:lineRule="auto"/>
        <w:rPr>
          <w:sz w:val="20"/>
          <w:szCs w:val="20"/>
          <w:color w:val="auto"/>
        </w:rPr>
      </w:pPr>
      <w:r>
        <w:rPr>
          <w:rFonts w:ascii="Arial" w:cs="Arial" w:eastAsia="Arial" w:hAnsi="Arial"/>
          <w:sz w:val="16"/>
          <w:szCs w:val="16"/>
          <w:color w:val="auto"/>
        </w:rPr>
        <w:t>For the three months ended June 30, 2018 and 2017, our Investment Funds' returns were 4.9% and 4.3%, respectively, and for the six months ended June 30, 2018 and 2017, our Investment Funds' returns were 10.5% and 1.4%, respectively. Our Investment Funds' returns represent a weighted-average composite of the average returns, net of expenses. The following table sets forth the performance attribution for the Investment Funds' returns.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32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 June 30,</w:t>
            </w:r>
          </w:p>
        </w:tc>
        <w:tc>
          <w:tcPr>
            <w:tcW w:w="31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9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49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49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49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net income (loss) for our Investment segment for the three and six months ended June 30, 2018 and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47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273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2018 and 2017</w:t>
      </w:r>
    </w:p>
    <w:p>
      <w:pPr>
        <w:spacing w:after="0" w:line="117"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For the three months ended June 30, 2018, the Investment Funds' positive performance was driven by net gains in their long positions, offset in part by net losses in their short positions. The positive performance of our Investment segment's long positions was driven by gains from an energy sector investment and a consumer, non-cyclical sector investment aggregating $478 million, offset in part by losses from a consumer non-cyclical sector investment of $106 million. The aggregate performance of investments with net gains across various other sectors accounted for the additional positive performance of our Investment segment's long positions. Losses in short positions were attributable to the negative performance of broad market hedges of $167 million offset in part by the performance of short positions with net gains across various other sectors.</w:t>
      </w:r>
    </w:p>
    <w:p>
      <w:pPr>
        <w:spacing w:after="0" w:line="70" w:lineRule="exact"/>
        <w:rPr>
          <w:sz w:val="20"/>
          <w:szCs w:val="20"/>
          <w:color w:val="auto"/>
        </w:rPr>
      </w:pPr>
    </w:p>
    <w:p>
      <w:pPr>
        <w:ind w:right="300" w:firstLine="378"/>
        <w:spacing w:after="0" w:line="257" w:lineRule="auto"/>
        <w:rPr>
          <w:sz w:val="20"/>
          <w:szCs w:val="20"/>
          <w:color w:val="auto"/>
        </w:rPr>
      </w:pPr>
      <w:r>
        <w:rPr>
          <w:rFonts w:ascii="Arial" w:cs="Arial" w:eastAsia="Arial" w:hAnsi="Arial"/>
          <w:sz w:val="18"/>
          <w:szCs w:val="18"/>
          <w:color w:val="auto"/>
        </w:rPr>
        <w:t>For the three months ended June 30, 2017, our Investment Funds' positive performance was driven by net gains in their long and short positions. The positive performance of our Investment segment's long positions was driven by gains from two consumer, non-cyclical sector investments with gains aggregating $422 million. The aggregate performance of investments with gains across various other sectors accounted for the additional positive performance of our Investment segment's long positions. These gains were offset in part by the aggregate performance of investments with losses across various sectors,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8" w:name="page49"/>
    <w:bookmarkEnd w:id="48"/>
    <w:p>
      <w:pPr>
        <w:ind w:right="320"/>
        <w:spacing w:after="0" w:line="264" w:lineRule="auto"/>
        <w:rPr>
          <w:sz w:val="20"/>
          <w:szCs w:val="20"/>
          <w:color w:val="auto"/>
        </w:rPr>
      </w:pPr>
      <w:r>
        <w:rPr>
          <w:rFonts w:ascii="Arial" w:cs="Arial" w:eastAsia="Arial" w:hAnsi="Arial"/>
          <w:sz w:val="18"/>
          <w:szCs w:val="18"/>
          <w:color w:val="auto"/>
        </w:rPr>
        <w:t>including a consumer non-cyclical sector investment with a loss of $141 million. Gains in short positions were attributable to the positive performance of three consumer, cyclical sector investments with gains aggregating $448 million offset in part by the negative performance of broad market hedges aggregating $378 million and losses from various other short positions.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2018 and 2017</w:t>
      </w:r>
    </w:p>
    <w:p>
      <w:pPr>
        <w:spacing w:after="0" w:line="117" w:lineRule="exact"/>
        <w:rPr>
          <w:sz w:val="20"/>
          <w:szCs w:val="20"/>
          <w:color w:val="auto"/>
        </w:rPr>
      </w:pPr>
    </w:p>
    <w:p>
      <w:pPr>
        <w:ind w:right="60" w:firstLine="378"/>
        <w:spacing w:after="0" w:line="259" w:lineRule="auto"/>
        <w:rPr>
          <w:sz w:val="20"/>
          <w:szCs w:val="20"/>
          <w:color w:val="auto"/>
        </w:rPr>
      </w:pPr>
      <w:r>
        <w:rPr>
          <w:rFonts w:ascii="Arial" w:cs="Arial" w:eastAsia="Arial" w:hAnsi="Arial"/>
          <w:sz w:val="18"/>
          <w:szCs w:val="18"/>
          <w:color w:val="auto"/>
        </w:rPr>
        <w:t>For the six months ended June 30, 2018, the Investment Funds' positive performance was driven by net gains in their long positions. The positive performance of our Investment segment's long positions was driven by gains from an energy sector investment and consumer, non-cyclical sector investment aggregating approximately $1.0 billion, offset in part by losses from a consumer non-cyclical sector investment of $158 million and the aggregate performance of investments with net losses across various other sectors.</w:t>
      </w:r>
    </w:p>
    <w:p>
      <w:pPr>
        <w:spacing w:after="0" w:line="79"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For the six months ended June 30, 2017, the Investment Funds' positive performance was driven by net gains in their long positions, offset in part by net losses in their short positions. The positive performance of our Investment segment's long positions was driven by gains from two consumer, non-cyclical sector investments, an energy sector investment and a technology sector investment with gains aggregating approximately $1.0 billion. The aggregate performance of investments with gains across various other sectors accounted for the additional positive performance of our Investment segment's long positions. These gains were offset in part by the aggregate performance of investments with losses across various sectors, including a consumer non-cyclical sector investment with a loss of $236 million. Losses in short positions were attributable to the negative performance of broad market hedges of approximately $1.1 billion and the negative performance of various other short positions across multiple sectors. Losses in short positions were offset in part by the positive performance of short positions in the consumer, cyclical sector aggregating $628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firstLine="378"/>
        <w:spacing w:after="0" w:line="271" w:lineRule="auto"/>
        <w:rPr>
          <w:sz w:val="20"/>
          <w:szCs w:val="20"/>
          <w:color w:val="auto"/>
        </w:rPr>
      </w:pPr>
      <w:r>
        <w:rPr>
          <w:rFonts w:ascii="Arial" w:cs="Arial" w:eastAsia="Arial" w:hAnsi="Arial"/>
          <w:sz w:val="17"/>
          <w:szCs w:val="17"/>
          <w:color w:val="auto"/>
        </w:rPr>
        <w:t>Our Automotive segment's results of operations are generally driven by the distribution and installation of automotive parts and are affected by the relative strength of automotive part replacement trends, among other factors. Acquisitions in recent years within our Automotive segment, including our acquisitions of the franchise businesses of Precision Tune Auto Care and American Driveline Systems, the franchisor of AAMCO and licensor of Cottman Transmission service centers, in 2017, provided operating synergies, expanded our market presence, strengthened our parts distribution channel and enhanced our Automotive segment's ability to better service its customers.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Our Automotive segment is in the process of implementing a multi-year transformation plan, which includes the integration and restructuring of the operations of The Pep Boys - Manny, Moe &amp; Jack ("Pep Boys"), IEH Auto Parts Holding LLC ("IEH Auto") and the franchise businesses of Precision Tune Auto Care and American Driveline Systems. Our Automotive segment's priorities include:</w:t>
      </w:r>
    </w:p>
    <w:p>
      <w:pPr>
        <w:spacing w:after="0" w:line="19" w:lineRule="exact"/>
        <w:rPr>
          <w:sz w:val="20"/>
          <w:szCs w:val="20"/>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Positioning the service business to take advantage of opportunities in the do-it-for-me market and vehicle fleets;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Growing the commercial parts distribution business in high volume markets;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Optimizing inventory across Icahn Automotive's parts and tire distribution network;</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Optimizing the store and warehouse footprint through openings, closings, consolidations and conversions by market;</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Digital initiatives including a new e-commerce platform and enhanced e-fulfillment capabilities;</w:t>
      </w:r>
    </w:p>
    <w:p>
      <w:pPr>
        <w:spacing w:after="0" w:line="15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 customer experience initiatives such as enhanced customer loyalty programs and selective upgrades in facilities;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integration of the businesses including, but not limited to, supply chain and information technology capabilities.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76" w:right="2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services labor revenues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 and services labor</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99"/>
              </w:rPr>
              <w:t>492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948</w:t>
            </w: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2018 and 2017</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Net sales and automotive services labor revenues for our Automotive segment for the three months ended June 30, 2018 increased by $43 million (6%) as compared to the comparable prior year period. The increase was due to acquisitions which accounted for $33 million of the increase and organic revenue growth of $28 million, offset in part by $18 million from the effects of the adoption of FASB ASC Topic 606. On an organic basis, commercial sales increased $17 million (7%) driven by growth in both Pep Boys commercial programs as well as increases in IEH Auto sales, service sales (including labor) increased $13 million (4%) due to growing do-it-for-me and fleet businesses, and retail sales decreased $2 million (1%).</w:t>
      </w:r>
    </w:p>
    <w:p>
      <w:pPr>
        <w:spacing w:after="0" w:line="64" w:lineRule="exact"/>
        <w:rPr>
          <w:sz w:val="20"/>
          <w:szCs w:val="20"/>
          <w:color w:val="auto"/>
        </w:rPr>
      </w:pPr>
    </w:p>
    <w:p>
      <w:pPr>
        <w:ind w:right="260" w:firstLine="405"/>
        <w:spacing w:after="0" w:line="293" w:lineRule="auto"/>
        <w:rPr>
          <w:sz w:val="20"/>
          <w:szCs w:val="20"/>
          <w:color w:val="auto"/>
        </w:rPr>
      </w:pPr>
      <w:r>
        <w:rPr>
          <w:rFonts w:ascii="Arial" w:cs="Arial" w:eastAsia="Arial" w:hAnsi="Arial"/>
          <w:sz w:val="16"/>
          <w:szCs w:val="16"/>
          <w:color w:val="auto"/>
        </w:rPr>
        <w:t>Cost of goods sold and automotive services labor for the three months ended June 30, 2018 increased by $9 million (2%), as compared to the comparable prior year period. The increase was due to volume increases offset in part by the effects of the adoption of FASB ASC Topic 606 as discussed above. Gross margin on net sales and automotive services labor revenues for the three months ended June 30, 2018 increased by $34 million (17%) as compared to the comparable prior year period. Gross margin as a percentage of net sales and automotive services labor revenues was 32% and 29% for the three months ended June 30, 2018 and 2017, respectively. The improvement in gross margin primarily reflects higher margin percentages from franchisor operations as well as higher margins in automotive services due to cost improvements and selective price increases.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2018 and 2017</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Net sales and automotive services labor revenues for our Automotive segment for the six months ended June 30, 2018 increased by $92 million (7%) as compared to the comparable prior year period. The increase was due to acquisitions which accounted for $71 million of the increase and organic revenue growth of $57 million, offset in part by $36 million from the effects of the adoption of FASB ASC Topic 606. On an organic basis, services sales (including labor) increased $33 million (6%) due to growing do-it-for-me and fleet businesses, commercial sales increased $25 million (6%) driven by growth in both Pep Boys commercial programs as well as increases in IEH Auto sales, and retail sales decreased by $1 million (0%).</w:t>
      </w:r>
    </w:p>
    <w:p>
      <w:pPr>
        <w:spacing w:after="0" w:line="6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Cost of goods sold and automotive services labor for the six months ended June 30, 2018 increased by $27 million (3%), as compared to the comparable prior year period. The increase was due to volume increases offset in part by the effects of the adoption of FASB ASC Topic 606 as discussed above. Gross margin on net sales and automotive services labor revenues for the six months ended June 30, 2018 increased by $65 million (17%) as compared to the comparable prior year period. Gross margin as a percentage of net sales and automotive services labor revenues was 31% and 29% for the six months ended June 30, 2018 and 2017, respectively. The improvement in gross margin primarily reflects higher margin percentages from franchisor operations as well as higher margins in automotive services due to cost improvements and selective price increases.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71"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Our Energy segment is primarily engaged in the petroleum refining and nitrogen fertilizer manufacturing businesses. The petroleum business accounted for approximately 95%, and 94% of our Energy segment's net sales for the six months ended June 30, 2018 and 2017, respectively.</w:t>
      </w:r>
    </w:p>
    <w:p>
      <w:pPr>
        <w:spacing w:after="0" w:line="38" w:lineRule="exact"/>
        <w:rPr>
          <w:sz w:val="20"/>
          <w:szCs w:val="20"/>
          <w:color w:val="auto"/>
        </w:rPr>
      </w:pPr>
    </w:p>
    <w:p>
      <w:pPr>
        <w:ind w:right="80" w:firstLine="378"/>
        <w:spacing w:after="0" w:line="270"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depends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 term because of changes in the value of its unhedged on-hand inventory. The effect of changes in crude oil prices on the petroleum business' results of operations is influenced by the rate at which the prices of refined products adjust to reflect these changes.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34" w:right="239" w:bottom="1440" w:gutter="0" w:footer="0" w:header="0"/>
        </w:sectPr>
      </w:pPr>
    </w:p>
    <w:bookmarkStart w:id="50" w:name="page51"/>
    <w:bookmarkEnd w:id="50"/>
    <w:p>
      <w:pPr>
        <w:ind w:right="60" w:firstLine="378"/>
        <w:spacing w:after="0" w:line="253" w:lineRule="auto"/>
        <w:rPr>
          <w:sz w:val="20"/>
          <w:szCs w:val="20"/>
          <w:color w:val="auto"/>
        </w:rPr>
      </w:pPr>
      <w:r>
        <w:rPr>
          <w:rFonts w:ascii="Arial" w:cs="Arial" w:eastAsia="Arial" w:hAnsi="Arial"/>
          <w:sz w:val="18"/>
          <w:szCs w:val="18"/>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in with its transportation fuels or purchase renewable fuel credits, known as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1,914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1,776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2,834</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2018 and 2017</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Net sales for our Energy segment increased by $480 million (33%) for the three months ended June 30, 2018 as compared to the comparable prior year period. The increase was primarily due to our petroleum business as a result of higher sales prices, including increases of approximately 32% for gasoline and 42% for distillates as compared to the comparable prior year period. This increase was offset in part by a decrease in sales volume for our petroleum and nitrogen fertilizer business' products.</w:t>
      </w:r>
    </w:p>
    <w:p>
      <w:pPr>
        <w:spacing w:after="0" w:line="79"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Cost of goods sold for our Energy segment increased by $360 million (25%) for the three months ended June 30, 2018 as compared to the comparable prior year period. The increase was primarily due to our petroleum business as a result of a higher cost of consumed crude oil costs due to an increase in crude oil prices. This increase was offset in part by volume decreases for our petroleum business' products and lower third-party costs and volume for our nitrogen fertilizer business.</w:t>
      </w:r>
    </w:p>
    <w:p>
      <w:pPr>
        <w:spacing w:after="0" w:line="79" w:lineRule="exact"/>
        <w:rPr>
          <w:sz w:val="20"/>
          <w:szCs w:val="20"/>
          <w:color w:val="auto"/>
        </w:rPr>
      </w:pPr>
    </w:p>
    <w:p>
      <w:pPr>
        <w:ind w:right="20" w:firstLine="378"/>
        <w:spacing w:after="0" w:line="257" w:lineRule="auto"/>
        <w:rPr>
          <w:sz w:val="20"/>
          <w:szCs w:val="20"/>
          <w:color w:val="auto"/>
        </w:rPr>
      </w:pPr>
      <w:r>
        <w:rPr>
          <w:rFonts w:ascii="Arial" w:cs="Arial" w:eastAsia="Arial" w:hAnsi="Arial"/>
          <w:sz w:val="18"/>
          <w:szCs w:val="18"/>
          <w:color w:val="auto"/>
        </w:rPr>
        <w:t>Gross margin for our Energy segment increased by $120 million for the three months ended June 30, 2018 as compared to the comparable prior year period. Gross margin as a percentage of net sales was 7% and 1% for the three months ended June 30, 2018 and 2017, respectively, with an increase attributable to our petroleum business offset in part by a decrease attributable to our fertilizer business. The increase in the gross margin as a percentage of net sales for our petroleum business was primarily due to higher gross margins per barrel resulting from a higher spread between crude oil and transportation fuels pricing.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2018 and 2017</w:t>
      </w:r>
    </w:p>
    <w:p>
      <w:pPr>
        <w:spacing w:after="0" w:line="11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Net sales for our Energy segment increased by $509 million (17%) for the six months ended June 30, 2018 as compared to the comparable prior year period. The increase was primarily due to our petroleum business as a result of higher sales prices, including increases of approximately 26% for gasoline and 35% for distillates as compared to the comparable prior year period. This increase was offset in part by a decrease in sales volume for our petroleum and nitrogen fertilizer business' products.</w:t>
      </w:r>
    </w:p>
    <w:p>
      <w:pPr>
        <w:spacing w:after="0" w:line="79" w:lineRule="exact"/>
        <w:rPr>
          <w:sz w:val="20"/>
          <w:szCs w:val="20"/>
          <w:color w:val="auto"/>
        </w:rPr>
      </w:pPr>
    </w:p>
    <w:p>
      <w:pPr>
        <w:ind w:firstLine="378"/>
        <w:spacing w:after="0" w:line="312" w:lineRule="auto"/>
        <w:rPr>
          <w:sz w:val="20"/>
          <w:szCs w:val="20"/>
          <w:color w:val="auto"/>
        </w:rPr>
      </w:pPr>
      <w:r>
        <w:rPr>
          <w:rFonts w:ascii="Arial" w:cs="Arial" w:eastAsia="Arial" w:hAnsi="Arial"/>
          <w:sz w:val="16"/>
          <w:szCs w:val="16"/>
          <w:color w:val="auto"/>
        </w:rPr>
        <w:t>Cost of goods sold for our Energy segment increased by $372 million (13%) for the six months ended June 30, 2018 as compared to the comparable prior year period. The increase was primarily due to our petroleum business as a result of a higher cost of consumed crude oil costs due to an increase in crude oil prices, offset in part by a decrease in the cost of other feedstocks and RINs as well as by volume decreases for our petroleum business' products.</w:t>
      </w:r>
    </w:p>
    <w:p>
      <w:pPr>
        <w:spacing w:after="0" w:line="39" w:lineRule="exact"/>
        <w:rPr>
          <w:sz w:val="20"/>
          <w:szCs w:val="20"/>
          <w:color w:val="auto"/>
        </w:rPr>
      </w:pPr>
    </w:p>
    <w:p>
      <w:pPr>
        <w:ind w:right="40" w:firstLine="378"/>
        <w:spacing w:after="0" w:line="302" w:lineRule="auto"/>
        <w:rPr>
          <w:sz w:val="20"/>
          <w:szCs w:val="20"/>
          <w:color w:val="auto"/>
        </w:rPr>
      </w:pPr>
      <w:r>
        <w:rPr>
          <w:rFonts w:ascii="Arial" w:cs="Arial" w:eastAsia="Arial" w:hAnsi="Arial"/>
          <w:sz w:val="16"/>
          <w:szCs w:val="16"/>
          <w:color w:val="auto"/>
        </w:rPr>
        <w:t>Gross margin for our Energy segment increased by $137 million for the six months ended June 30, 2018 as compared to the comparable prior year period. Gross margin as a percentage of net sales was 7% and 4% for the six months ended June 30, 2018 and 2017, respectively, with an increase attributable to our petroleum business offset in part by a decrease attributable to our fertilizer business. The increase in the gross margin as a percentage of net sales for our petroleum business was primarily due to higher gross margins per barrel resulting from a higher spread between crude oil and transportation fuels pricing.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Railcar</w:t>
      </w:r>
    </w:p>
    <w:p>
      <w:pPr>
        <w:spacing w:after="0" w:line="171"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Our Railcar segment's results of operations are generally driven by the manufacturing and leasing of railcars. On June 1, 2017 we sold American Railcar Leasing, LLC ("ARL") along with a majority of its railcar lease fleet. We sold the substantial majority of the remaining railcars previously owned by ARL throughout the remainder of 2017 and the first half of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176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Manufacturing</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Leasing</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Services</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Summarized shipments of railcars to leasing and non-leasing customers for the three and six months ended June 30, 2018 and 2017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6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 June 30,</w:t>
            </w:r>
          </w:p>
        </w:tc>
        <w:tc>
          <w:tcPr>
            <w:tcW w:w="32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Shipments to leasing customers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Shipments to non-leasing customers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1,080</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As of June 30, 2018, our Railcar segment had a backlog of 3,387 railcars, including 1,041 railcars expected to be built for lease customers and 2,346 railcars for non-lease customers. In response to changes in customer demand, our Railcar segment continues to adjust production rates at its railcar manufacturing facilities as needed.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2018 and 2017</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Total manufacturing revenues for the three months ended June 30, 2018 increased by $35 million (64%) as compared to the comparable prior year period. The increase was primarily due to an increase in shipments to non-leasing customers offset in part by a decrease in average selling prices due to a shift in mix of railcars shipped as well as more competitive pricing for both hopper and tank railcars.</w:t>
      </w:r>
    </w:p>
    <w:p>
      <w:pPr>
        <w:spacing w:after="0" w:line="7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Gross margin from manufacturing operations for the three months ended June 30, 2018 increased by $1 million as compared to the comparable prior year period. Gross margin from manufacturing operations as a percentage of manufacturing revenues was 7% and 9% for the three months ended June 30, 2018 and 2017, respectively. The decrease in gross margin as a percentage of revenue was due to higher costs associated with lower production volumes and a more competitive market for both hopper and tank railcars.</w:t>
      </w:r>
    </w:p>
    <w:p>
      <w:pPr>
        <w:spacing w:after="0" w:line="7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Railcar leasing revenues decreased for the three months ended June 30, 2018 as compared to the comparable prior year period due to a decrease in leased railcars as a result of the closing of the ARL Initial Sale on June 1, 2017 as well as a decrease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52" w:name="page53"/>
    <w:bookmarkEnd w:id="52"/>
    <w:p>
      <w:pPr>
        <w:ind w:right="1920"/>
        <w:spacing w:after="0" w:line="375" w:lineRule="auto"/>
        <w:rPr>
          <w:sz w:val="20"/>
          <w:szCs w:val="20"/>
          <w:color w:val="auto"/>
        </w:rPr>
      </w:pPr>
      <w:r>
        <w:rPr>
          <w:rFonts w:ascii="Arial" w:cs="Arial" w:eastAsia="Arial" w:hAnsi="Arial"/>
          <w:sz w:val="18"/>
          <w:szCs w:val="18"/>
          <w:color w:val="auto"/>
        </w:rPr>
        <w:t xml:space="preserve">in weighted average lease rates. The lease fleet decreased to 13,128 railcars at June 30, 2018 from 16,905 railcars at June 30, 2017. </w:t>
      </w:r>
      <w:r>
        <w:rPr>
          <w:rFonts w:ascii="Arial" w:cs="Arial" w:eastAsia="Arial" w:hAnsi="Arial"/>
          <w:sz w:val="18"/>
          <w:szCs w:val="18"/>
          <w:i w:val="1"/>
          <w:iCs w:val="1"/>
          <w:u w:val="single" w:color="auto"/>
          <w:color w:val="auto"/>
        </w:rPr>
        <w:t>Six Months Ended June 30, 2018 and 2017</w:t>
      </w:r>
    </w:p>
    <w:p>
      <w:pPr>
        <w:spacing w:after="0" w:line="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Total manufacturing revenues for the six months ended June 30, 2018 increased by $38 million (33%) as compared to the comparable prior year period. The increase was primarily due to an increase in shipments to non-leasing customers offset in part by a decrease in average selling prices due to a shift in mix of railcars shipped as well as more competitive pricing for both hopper and tank railcars.</w:t>
      </w:r>
    </w:p>
    <w:p>
      <w:pPr>
        <w:spacing w:after="0" w:line="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Gross margin from manufacturing operations for the six months ended June 30, 2018 increased by $1 million as compared to the comparable prior year period. Gross margin from manufacturing operations as a percentage of manufacturing revenues was 8% and 9% for the six months ended June 30, 2018 and 2017, respectively. The decrease in gross margin as a percentage of revenue was due to higher costs associated with lower production volumes and a more competitive market for both hopper and tank railcars.</w:t>
      </w:r>
    </w:p>
    <w:p>
      <w:pPr>
        <w:spacing w:after="0" w:line="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Railcar leasing revenues decreased for the six months ended June 30, 2018 as compared to the comparable prior year period due to a decrease in leased railcars as a result of the sale of ARL in 2017 as well as a decrease in weighted average lease rates. The lease fleet decreased to 13,128 railcars at June 30, 2018 from 16,905 railcars at June 30,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jc w:val="both"/>
        <w:ind w:right="100" w:firstLine="378"/>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2018 and 2017</w:t>
      </w:r>
    </w:p>
    <w:p>
      <w:pPr>
        <w:spacing w:after="0" w:line="117" w:lineRule="exact"/>
        <w:rPr>
          <w:sz w:val="20"/>
          <w:szCs w:val="20"/>
          <w:color w:val="auto"/>
        </w:rPr>
      </w:pPr>
    </w:p>
    <w:p>
      <w:pPr>
        <w:ind w:right="120" w:firstLine="378"/>
        <w:spacing w:after="0" w:line="297" w:lineRule="auto"/>
        <w:rPr>
          <w:sz w:val="20"/>
          <w:szCs w:val="20"/>
          <w:color w:val="auto"/>
        </w:rPr>
      </w:pPr>
      <w:r>
        <w:rPr>
          <w:rFonts w:ascii="Arial" w:cs="Arial" w:eastAsia="Arial" w:hAnsi="Arial"/>
          <w:sz w:val="16"/>
          <w:szCs w:val="16"/>
          <w:color w:val="auto"/>
        </w:rPr>
        <w:t>Net sales for the three months ended June 30, 2018 increased by $30 million (29%) compared to the comparable prior year period primarily due to higher shipment volumes of ferrous and non-ferrous materials and higher average selling prices for most grades of material. Ferrous selling prices increased due to higher market pricing as domestic mill production benefited from trade cases and speculation regarding the recent probe into steel imports. Improved consumer market pricing was also driven primarily by the increased demand from domestic steel mills. Non-ferrous shipment volumes increased primarily due to the capital investment in aluminum processing at one of our facilities made in late 2017, while higher pricing reflected higher terminal market prices.</w:t>
      </w:r>
    </w:p>
    <w:p>
      <w:pPr>
        <w:spacing w:after="0" w:line="50" w:lineRule="exact"/>
        <w:rPr>
          <w:sz w:val="20"/>
          <w:szCs w:val="20"/>
          <w:color w:val="auto"/>
        </w:rPr>
      </w:pPr>
    </w:p>
    <w:p>
      <w:pPr>
        <w:ind w:right="80" w:firstLine="378"/>
        <w:spacing w:after="0" w:line="259" w:lineRule="auto"/>
        <w:rPr>
          <w:sz w:val="20"/>
          <w:szCs w:val="20"/>
          <w:color w:val="auto"/>
        </w:rPr>
      </w:pPr>
      <w:r>
        <w:rPr>
          <w:rFonts w:ascii="Arial" w:cs="Arial" w:eastAsia="Arial" w:hAnsi="Arial"/>
          <w:sz w:val="18"/>
          <w:szCs w:val="18"/>
          <w:color w:val="auto"/>
        </w:rPr>
        <w:t>Cost of goods sold for the three months ended June 30, 2018 increased by $26 million (27%) compared to the comparable prior year period. The increase was due to higher shipment volumes, as discussed above, and to increased material costs due to higher market prices. Gross margin as a percentage of net sales was 6% and 4% for the three months ended June 30, 2018 and 2017, respectively. Our Metals segments continues to focus on disciplined buying and efforts to bring processing costs in line with volume and market pricing.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2018 and 2017</w:t>
      </w:r>
    </w:p>
    <w:p>
      <w:pPr>
        <w:spacing w:after="0" w:line="117" w:lineRule="exact"/>
        <w:rPr>
          <w:sz w:val="20"/>
          <w:szCs w:val="20"/>
          <w:color w:val="auto"/>
        </w:rPr>
      </w:pPr>
    </w:p>
    <w:p>
      <w:pPr>
        <w:ind w:right="60" w:firstLine="378"/>
        <w:spacing w:after="0" w:line="297" w:lineRule="auto"/>
        <w:rPr>
          <w:sz w:val="20"/>
          <w:szCs w:val="20"/>
          <w:color w:val="auto"/>
        </w:rPr>
      </w:pPr>
      <w:r>
        <w:rPr>
          <w:rFonts w:ascii="Arial" w:cs="Arial" w:eastAsia="Arial" w:hAnsi="Arial"/>
          <w:sz w:val="16"/>
          <w:szCs w:val="16"/>
          <w:color w:val="auto"/>
        </w:rPr>
        <w:t>Net sales for the six months ended June 30, 2018 increased by $45 million (22%) compared to the comparable prior year period primarily due to higher shipment volumes of ferrous and non-ferrous materials and higher average selling prices for most grades of material. Ferrous selling prices increased due to higher market pricing as domestic mill production benefited from trade cases and speculation regarding the recent probe into steel imports. Improved consumer market pricing was also driven primarily by the increased demand from domestic steel mills. Non-ferrous shipment volumes increased primarily due to the capital investment in aluminum processing at one of our facilities made in late 2017, while higher pricing reflected higher terminal market prices.</w:t>
      </w:r>
    </w:p>
    <w:p>
      <w:pPr>
        <w:spacing w:after="0" w:line="50" w:lineRule="exact"/>
        <w:rPr>
          <w:sz w:val="20"/>
          <w:szCs w:val="20"/>
          <w:color w:val="auto"/>
        </w:rPr>
      </w:pPr>
    </w:p>
    <w:p>
      <w:pPr>
        <w:ind w:right="40" w:firstLine="378"/>
        <w:spacing w:after="0" w:line="279" w:lineRule="auto"/>
        <w:rPr>
          <w:sz w:val="20"/>
          <w:szCs w:val="20"/>
          <w:color w:val="auto"/>
        </w:rPr>
      </w:pPr>
      <w:r>
        <w:rPr>
          <w:rFonts w:ascii="Arial" w:cs="Arial" w:eastAsia="Arial" w:hAnsi="Arial"/>
          <w:sz w:val="17"/>
          <w:szCs w:val="17"/>
          <w:color w:val="auto"/>
        </w:rPr>
        <w:t>Cost of goods sold for the six months ended June 30, 2018 increased by $40 million (21%) compared to the comparable prior year period. The increase was primarily due to higher shipment volumes, as discussed above, and to increased material costs due to higher market prices. Gross margin as a percentage of net sales was 6% and 5% for the six months ended June 30, 2018 and 2017, respectively. As discussed above, our Metals segments continues to focus on disciplined buying and efforts to bring processing costs in line with volume and market pricing.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Mining segment's performance is driven by global iron ore prices and demand for raw materials from Chinese steelmakers. Since acquiring Ferrous Resources Ltd. in 2015, our Mining segment has been concentrating on sales in its domestic market, Brazil.</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76"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auto"/>
        </w:rPr>
        <w:t>Three Months Ended June 30, 2018 and 2017</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Net sales for the three months ended June 30, 2018 increased $4 million as compared to the comparable prior year period primarily due to iron ore price and volume increases. Cost of goods sold for the three months ended June 30, 2018 increased $6 million (46%) compared to the comparable prior year period due to a certain plant operation resuming in 2018, increasing the cost of production.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2018 and 2017</w:t>
      </w:r>
    </w:p>
    <w:p>
      <w:pPr>
        <w:spacing w:after="0" w:line="117"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Net sales for the six months ended June 30, 2018 decreased $9 million as compared to the comparable prior year period primarily due to iron ore price and volume decreases. Cost of goods sold for the six months ended June 30, 2018 increased $6 million (20%) compared to the comparable prior year period due to a certain plant operation resuming in 2018, increasing the cost of production, offset in part by volume decreases.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2018 and 2017</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Net sales for the three months ended June 30, 2018 increased by $5 million (5%) as compared to the corresponding prior year period. The increase was primarily due to higher sales volume and the favorable effects of foreign exchange, offset in part by unfavorable price and product mix. Cost of goods sold for the three months ended June 30, 2018 increased by $5 million (7%) as compared to the corresponding prior year period due to higher sales volume, lower production volume resulting in lower fixed cost absorption, input material and labor cost increases, offset in part by lower cost related to acquisition synergies. Gross margin as a percentage of net sales was 23% and 24% for the three months ended June 30, 2018 and 2017,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2018 and 2017</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Net sales for the six months ended June 30, 2018 increased by $12 million (6%) as compared to the corresponding prior year period. The increase was primarily due to higher sales volume and the favorable effects of foreign exchange, offset in part by unfavorable price and product mix. Cost of goods sold for the six months ended June 30, 2018 increased by $14 million (10%) as compared to the corresponding prior year period due to higher sales volume, lower production volume resulting in lower fixed cost absorption, input material and labor cost increases, offset in part by lower cost related to acquisition synergies. Gross margin as a percentage of net sales was 22% and 24% for the six months ended June 30, 2018 and 2017, respectively. The decrease in gross margin as a percentage of net sales over the comparable periods was primarily due to increasing raw material costs and lower fixed cost absorption.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jc w:val="both"/>
        <w:ind w:right="300" w:firstLine="405"/>
        <w:spacing w:after="0" w:line="257" w:lineRule="auto"/>
        <w:rPr>
          <w:sz w:val="20"/>
          <w:szCs w:val="20"/>
          <w:color w:val="auto"/>
        </w:rPr>
      </w:pPr>
      <w:r>
        <w:rPr>
          <w:rFonts w:ascii="Arial" w:cs="Arial" w:eastAsia="Arial" w:hAnsi="Arial"/>
          <w:sz w:val="18"/>
          <w:szCs w:val="18"/>
          <w:color w:val="auto"/>
        </w:rPr>
        <w:t>Real Estate revenues and expenses include sales of residential units, results from club operations and rental income and expenses, including income from financing leases. Sales of residential units are included in net sales in our condensed consolidated financial statements. Results from club and rental operations, including financing lease income, are included in other revenues from operations in our condensed consolidated financial statements. Revenue from our real estate operations for each of the three and six months ended June 30, 2018 and 2017 were substantially derived from income from club and rental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2018 and 2017</w:t>
      </w:r>
    </w:p>
    <w:p>
      <w:pPr>
        <w:spacing w:after="0" w:line="117" w:lineRule="exact"/>
        <w:rPr>
          <w:sz w:val="20"/>
          <w:szCs w:val="20"/>
          <w:color w:val="auto"/>
        </w:rPr>
      </w:pPr>
    </w:p>
    <w:p>
      <w:pPr>
        <w:jc w:val="both"/>
        <w:ind w:right="400" w:firstLine="405"/>
        <w:spacing w:after="0" w:line="286" w:lineRule="auto"/>
        <w:rPr>
          <w:sz w:val="20"/>
          <w:szCs w:val="20"/>
          <w:color w:val="auto"/>
        </w:rPr>
      </w:pPr>
      <w:r>
        <w:rPr>
          <w:rFonts w:ascii="Arial" w:cs="Arial" w:eastAsia="Arial" w:hAnsi="Arial"/>
          <w:sz w:val="17"/>
          <w:szCs w:val="17"/>
          <w:color w:val="auto"/>
        </w:rPr>
        <w:t>Net sales for the three months ended June 30, 2018 was flat compared to the comparable prior year period. Cost of goods sold for the three months ended June 30, 2018 decreased by $1 million (3%) compared to the comparable prior year period. The decrease was primarily due to product mix. Gross margin as a percentage of net sales was 13% and 11% for the three months ended June 30, 2018 and 2017,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2018 and 2017</w:t>
      </w:r>
    </w:p>
    <w:p>
      <w:pPr>
        <w:spacing w:after="0" w:line="11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Net sales for the six months ended June 30, 2018 decreased by $5 million (5%) compared to the comparable prior year period. The decrease was primarily due to lower sales volume. Cost of goods sold for the six months ended June 30,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76" w:right="259" w:bottom="1440" w:gutter="0" w:footer="0" w:header="0"/>
        </w:sectPr>
      </w:pPr>
    </w:p>
    <w:bookmarkStart w:id="54" w:name="page55"/>
    <w:bookmarkEnd w:id="54"/>
    <w:p>
      <w:pPr>
        <w:ind w:right="560"/>
        <w:spacing w:after="0" w:line="277" w:lineRule="auto"/>
        <w:rPr>
          <w:sz w:val="20"/>
          <w:szCs w:val="20"/>
          <w:color w:val="auto"/>
        </w:rPr>
      </w:pPr>
      <w:r>
        <w:rPr>
          <w:rFonts w:ascii="Arial" w:cs="Arial" w:eastAsia="Arial" w:hAnsi="Arial"/>
          <w:sz w:val="18"/>
          <w:szCs w:val="18"/>
          <w:color w:val="auto"/>
        </w:rPr>
        <w:t>decreased by $5 million (6%) compared to the comparable prior year period. The decrease was primarily due to lower sales volume. Gross margin as a percentage of net sales was 14% and 13% for the six months ended June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 Net</w:t>
      </w:r>
    </w:p>
    <w:p>
      <w:pPr>
        <w:spacing w:after="0" w:line="22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On June 1, 2017, we closed on the initial sale of ARL, resulting in a pretax gain on disposition of assets of approximately $1.5 billion recorded by our Railcar segment for the three and six months ended June 30,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2018 and 2017</w:t>
      </w:r>
    </w:p>
    <w:p>
      <w:pPr>
        <w:spacing w:after="0" w:line="117" w:lineRule="exact"/>
        <w:rPr>
          <w:sz w:val="20"/>
          <w:szCs w:val="20"/>
          <w:color w:val="auto"/>
        </w:rPr>
      </w:pPr>
    </w:p>
    <w:p>
      <w:pPr>
        <w:ind w:right="500" w:firstLine="405"/>
        <w:spacing w:after="0" w:line="312" w:lineRule="auto"/>
        <w:rPr>
          <w:sz w:val="20"/>
          <w:szCs w:val="20"/>
          <w:color w:val="auto"/>
        </w:rPr>
      </w:pPr>
      <w:r>
        <w:rPr>
          <w:rFonts w:ascii="Arial" w:cs="Arial" w:eastAsia="Arial" w:hAnsi="Arial"/>
          <w:sz w:val="16"/>
          <w:szCs w:val="16"/>
          <w:color w:val="auto"/>
        </w:rPr>
        <w:t>Our consolidated selling, general and administrative for the three months ended June 30, 2018 increased by $45 million (15%) as compared to the comparable prior year period. The increase was primarily attributable to an increase from our Automotive segment of $46 million primarily due to the inclusion of various acquisitions of automotive businesses as well as costs associated with the growth of the commercial parts business.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2018 and 2017</w:t>
      </w:r>
    </w:p>
    <w:p>
      <w:pPr>
        <w:spacing w:after="0" w:line="117"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Our consolidated selling, general and administrative for the six months ended June 30, 2018 increased by $75 million (12%) as compared to the comparable prior year period. The increase was primarily attributable to an increase from our Automotive segment of $88 million primarily due to the inclusion of various acquisitions of automotive businesses as well as costs associated with the growth of the commercial parts business. This increase was offset in part by a decrease in our Railcar segment due to the sale of ARL in the second quarter of 2017.</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2018 and 2017</w:t>
      </w:r>
    </w:p>
    <w:p>
      <w:pPr>
        <w:spacing w:after="0" w:line="117"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Our consolidated interest expense during the three months ended June 30, 2018 decreased by $52 million as compared the corresponding prior year period. The decrease was primarily due to lower interest expense from our Investment segment attributable to a decrease in due to broker balances over the respective periods, as well as lower interest expense from our Railcar segment due to the sale of ARL in the second quarter of 2017. These decreases were offset in part by higher interest expense from our Holding Company due to debt refinancing in December 2017, resulting in debt with higher interest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2018 and 2017</w:t>
      </w:r>
    </w:p>
    <w:p>
      <w:pPr>
        <w:spacing w:after="0" w:line="117"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Our consolidated interest expense during the six months ended June 30, 2018 decreased by $84 million as compared the corresponding prior year period. The decrease was primarily due to lower interest expense from our Investment segment attributable to a decrease in due to broker balances over the respective periods, as well as lower interest expense from our Railcar segment due to the sale of ARL in the second quarter of 2017. These decreases were offset in part by higher interest expense from our Holding Company due to debt refinancing in December 2017, resulting in debt with higher interest rates.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For the three and six months ended June 30, 2018, the statutory federal tax rate was 21% which decreased as compared to the statutory federal tax rate of 35% for the three and six months ended June 30, 2017, as a result of tax legislation enacted in December 2017. Refer to Note 13, "Income Taxes," to the condensed consolidated financial statements for a discussion of income taxes.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As discussed in Note 1, "Description of Business," we operated discontinued operations previously included in our Automotive segment and our former Gaming segment effective in the second quarter of 2018. The sales of the businesses are each expected to close in the second half of 2018.</w:t>
      </w:r>
    </w:p>
    <w:p>
      <w:pPr>
        <w:spacing w:after="0" w:line="3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Following the sale of Federal-Mogul, we will obtain a non-controlling interest in Tenneco Inc. ("Tenneco"), the purchaser of Federal-Mogul. In addition, All of Federal-Mogul's outstanding debt at the time of closing will be assumed by Tenneco.</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"Discontinued Operations," for financial information with respect to each of our discontinued operating businesses.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11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8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of June 30, 2018, our Holding Company had cash and cash equivalents of $79 million and total debt of approximately $5.5 billion. As of June 30, 2018, our Holding Company had investments in the Investment Funds with a total fair market value of approximately $3.3 billion. We may redeem our direct investment in the Investment Funds upon notice. See "Segment Liquidity and Capital Resources" below for additional information with respect to our Investment segment liquidity.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to Sell Interests in Consolidated Subsidiaries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April 2018, we announced definitive agreements to sell Federal-Mogul and Tropicana which are expected to provide significant additional liquidity to our Holding Company. Each transaction is expected to close in the second half of 2018. Refer to Note 1, "Description of Business," to the condensed consolidated financial statements for further discussion.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From/Investments In Subsidiaries</w:t>
      </w:r>
    </w:p>
    <w:p>
      <w:pPr>
        <w:spacing w:after="0" w:line="11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During the six months ended June 30, 2018, we received $77 million in aggregate dividends and distributions from our Energy segment. In addition, CVR Energy and CVR Refining declared a quarterly dividend and distribution, respectively, which will result in an additional aggregate $57 million in dividends and distributions payable to us in the third quarter of 2018.</w:t>
      </w:r>
    </w:p>
    <w:p>
      <w:pPr>
        <w:spacing w:after="0" w:line="73"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During the six months ended June 30, 2018, we received $26 million in aggregate dividends and distributions from our Railcar segment. In addition, ARI declared a quarterly dividend, which will result in an additional $5 million in dividends payable to us in the third quarter of 2018.</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 months ended June 30, 2018, we received $22 million in distributions from our Real Estate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 months ended June 30, 2018, we invested $240 million in our Automotive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Additional Interests in Consolidated Subsidiaries</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During January 2018, we increased our ownership in Viskase to 78.6% through a rights offering for additional shares of Viskase common stock for an aggregate additional investment of $44 million.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Holding Company Borrowings and Availability</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6.000% senior unsecured notes due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Holding Company debt consists of various issues of fixed-rate senior unsecured notes issued by Icahn Enterprises and Icahn Enterprises Finance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guaranteed by Icahn Enterprises Holdings. Interest on each of the senior unsecured notes are payable semi-annually.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sectPr>
      </w:pPr>
    </w:p>
    <w:bookmarkStart w:id="56" w:name="page57"/>
    <w:bookmarkEnd w:id="56"/>
    <w:p>
      <w:pPr>
        <w:ind w:right="40" w:firstLine="405"/>
        <w:spacing w:after="0" w:line="272" w:lineRule="auto"/>
        <w:rPr>
          <w:sz w:val="20"/>
          <w:szCs w:val="20"/>
          <w:color w:val="auto"/>
        </w:rPr>
      </w:pPr>
      <w:r>
        <w:rPr>
          <w:rFonts w:ascii="Arial" w:cs="Arial" w:eastAsia="Arial" w:hAnsi="Arial"/>
          <w:sz w:val="17"/>
          <w:szCs w:val="17"/>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June 30, 2018 are subject to optional redemption premiums in the event we redeem any of the notes prior to certain dates as described in the indentures.</w:t>
      </w:r>
    </w:p>
    <w:p>
      <w:pPr>
        <w:spacing w:after="0" w:line="70" w:lineRule="exact"/>
        <w:rPr>
          <w:sz w:val="20"/>
          <w:szCs w:val="20"/>
          <w:color w:val="auto"/>
        </w:rPr>
      </w:pPr>
    </w:p>
    <w:p>
      <w:pPr>
        <w:ind w:right="420" w:firstLine="378"/>
        <w:spacing w:after="0" w:line="264" w:lineRule="auto"/>
        <w:rPr>
          <w:sz w:val="20"/>
          <w:szCs w:val="20"/>
          <w:color w:val="auto"/>
        </w:rPr>
      </w:pPr>
      <w:r>
        <w:rPr>
          <w:rFonts w:ascii="Arial" w:cs="Arial" w:eastAsia="Arial" w:hAnsi="Arial"/>
          <w:sz w:val="18"/>
          <w:szCs w:val="18"/>
          <w:color w:val="auto"/>
        </w:rPr>
        <w:t>As of June 30, 2018 and 2017, we were in compliance with all covenants, including maintaining certain minimum financial ratios, as defined in the indentures. Additionally, as of June 30, 2018, based on covenants in the indentures governing our senior unsecured notes, we are permitted to incur approximately $705 million of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On July 31, 2018, the Board of Directors of the general partner of Icahn Enterprises declared a quarterly distribution in the amount of $1.75 per depositary unit. The quarterly distribution is payable in either cash or additional depositary units, at the election of each depositary unit holder and will be paid on or about September 18, 2018 to depositary unit holders of record at the close of business on August 13, 2018.</w:t>
      </w:r>
    </w:p>
    <w:p>
      <w:pPr>
        <w:spacing w:after="0" w:line="5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During the six months ended June 30, 2018, we declared two quarterly distributions aggregating $3.50 per depositary unit. Mr. Icahn and his affiliates elected to receive their proportionate share of these distributions in depositary units. Mr. Icahn and his affiliates owned approximately 91.3% of Icahn Enterprises' outstanding depositary units as of June 30, 2018. In connection with these distributions, aggregate cash distributions to all depositary unitholders was $47 million during the six months ended June 30, 2018</w:t>
      </w:r>
    </w:p>
    <w:p>
      <w:pPr>
        <w:spacing w:after="0" w:line="79" w:lineRule="exact"/>
        <w:rPr>
          <w:sz w:val="20"/>
          <w:szCs w:val="20"/>
          <w:color w:val="auto"/>
        </w:rPr>
      </w:pPr>
    </w:p>
    <w:p>
      <w:pPr>
        <w:ind w:firstLine="378"/>
        <w:spacing w:after="0" w:line="272" w:lineRule="auto"/>
        <w:rPr>
          <w:sz w:val="20"/>
          <w:szCs w:val="20"/>
          <w:color w:val="auto"/>
        </w:rPr>
      </w:pPr>
      <w:r>
        <w:rPr>
          <w:rFonts w:ascii="Arial" w:cs="Arial" w:eastAsia="Arial" w:hAnsi="Arial"/>
          <w:sz w:val="17"/>
          <w:szCs w:val="17"/>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117"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During the six months ended June 30, 2018, affiliates of Mr. Icahn (excluding us and our subsidiaries) invested $280 million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7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June 30, 2018, the Investment Funds' had a net long notional exposure of 11%. The Investment Funds' long exposure was 99% (97% long equity and 2% long credit and other) and its short exposure was 88% (85% short equity, 3% short credit and other). The notional exposure represents the ratio of the notional exposure of the Investment Funds' invested capital to the net asset value of the Investment Funds at June 30, 2018.</w:t>
      </w:r>
    </w:p>
    <w:p>
      <w:pPr>
        <w:spacing w:after="0" w:line="63" w:lineRule="exact"/>
        <w:rPr>
          <w:sz w:val="20"/>
          <w:szCs w:val="20"/>
          <w:color w:val="auto"/>
        </w:rPr>
      </w:pPr>
    </w:p>
    <w:p>
      <w:pPr>
        <w:ind w:right="80" w:firstLine="378"/>
        <w:spacing w:after="0" w:line="286" w:lineRule="auto"/>
        <w:rPr>
          <w:sz w:val="20"/>
          <w:szCs w:val="20"/>
          <w:color w:val="auto"/>
        </w:rPr>
      </w:pPr>
      <w:r>
        <w:rPr>
          <w:rFonts w:ascii="Arial" w:cs="Arial" w:eastAsia="Arial" w:hAnsi="Arial"/>
          <w:sz w:val="17"/>
          <w:szCs w:val="17"/>
          <w:color w:val="auto"/>
        </w:rPr>
        <w:t>Of the Investment Funds' 99% long exposure, 96% was comprised of the fair value of its long positions (with certain adjustments) and 3% was comprised of single name equity forward contracts and credit contracts. Of the Investment Funds' 88% short exposure, 4% was comprised of the fair value of our short positions and 84% was comprised of short credit default swap contracts and short broad market index swap derivative contracts.</w:t>
      </w:r>
    </w:p>
    <w:p>
      <w:pPr>
        <w:spacing w:after="0" w:line="57"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(96% long exposure) and our short positions that are not notionalized (4%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jc w:val="both"/>
        <w:ind w:right="100" w:firstLine="378"/>
        <w:spacing w:after="0" w:line="264" w:lineRule="auto"/>
        <w:rPr>
          <w:sz w:val="20"/>
          <w:szCs w:val="20"/>
          <w:color w:val="auto"/>
        </w:rPr>
      </w:pPr>
      <w:r>
        <w:rPr>
          <w:rFonts w:ascii="Arial" w:cs="Arial" w:eastAsia="Arial" w:hAnsi="Arial"/>
          <w:sz w:val="18"/>
          <w:szCs w:val="18"/>
          <w:color w:val="auto"/>
        </w:rPr>
        <w:t>With respect to the notional value of our other short positions (84%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7" w:name="page58"/>
    <w:bookmarkEnd w:id="57"/>
    <w:p>
      <w:pPr>
        <w:jc w:val="both"/>
        <w:spacing w:after="0" w:line="312" w:lineRule="auto"/>
        <w:rPr>
          <w:sz w:val="20"/>
          <w:szCs w:val="20"/>
          <w:color w:val="auto"/>
        </w:rPr>
      </w:pPr>
      <w:r>
        <w:rPr>
          <w:rFonts w:ascii="Arial" w:cs="Arial" w:eastAsia="Arial" w:hAnsi="Arial"/>
          <w:sz w:val="16"/>
          <w:szCs w:val="16"/>
          <w:color w:val="auto"/>
        </w:rPr>
        <w:t>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Segment Liquidity</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Segment Cash and Cash Equivalents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w w:val="98"/>
              </w:rPr>
              <w:t>Segment cash and cash equivalents (excluding our Investment segment) consists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Automotive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Energy</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Railcar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Metals</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Mining</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Food Packaging</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Home Fashion</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Segment debt consists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Energy</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Railcar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Metals</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Mining</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Home Fashion</w:t>
            </w: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Refer to our Annual Report on Form 10-K for the year ended December 31, 2017 for information concerning terms, restrictions and covenants pertaining to our subsidiaries' debt. As of June 30, 2018, our subsidiaries are in compliance with all debt covenants.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segments have additional borrowing availability under certain revolving credit facilities as summarized below:</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2"/>
              <w:spacing w:after="0"/>
              <w:rPr>
                <w:sz w:val="20"/>
                <w:szCs w:val="20"/>
                <w:color w:val="auto"/>
              </w:rPr>
            </w:pPr>
            <w:r>
              <w:rPr>
                <w:rFonts w:ascii="Arial" w:cs="Arial" w:eastAsia="Arial" w:hAnsi="Arial"/>
                <w:sz w:val="18"/>
                <w:szCs w:val="18"/>
                <w:b w:val="1"/>
                <w:bCs w:val="1"/>
                <w:color w:val="auto"/>
                <w:w w:val="95"/>
              </w:rPr>
              <w:t>June 30, 2018</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5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6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Energy</w:t>
            </w:r>
          </w:p>
        </w:tc>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Railcar</w:t>
            </w:r>
          </w:p>
        </w:tc>
        <w:tc>
          <w:tcPr>
            <w:tcW w:w="6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6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400" w:type="dxa"/>
            <w:vAlign w:val="bottom"/>
            <w:vMerge w:val="restart"/>
          </w:tcPr>
          <w:p>
            <w:pPr>
              <w:jc w:val="right"/>
              <w:ind w:right="3930"/>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4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58" w:name="page59"/>
    <w:bookmarkEnd w:id="58"/>
    <w:p>
      <w:pPr>
        <w:ind w:right="40" w:firstLine="405"/>
        <w:spacing w:after="0" w:line="259" w:lineRule="auto"/>
        <w:rPr>
          <w:sz w:val="20"/>
          <w:szCs w:val="20"/>
          <w:color w:val="auto"/>
        </w:rPr>
      </w:pPr>
      <w:r>
        <w:rPr>
          <w:rFonts w:ascii="Arial" w:cs="Arial" w:eastAsia="Arial" w:hAnsi="Arial"/>
          <w:sz w:val="18"/>
          <w:szCs w:val="18"/>
          <w:color w:val="auto"/>
        </w:rPr>
        <w:t>In addition to the above, in July 2018, our Metals segment obtained an asset-based lending facility with borrowing availability of up to $65 million. The above outstanding debt and borrowing availability with respect to each of our continuing operating segments reflects third-party obligations. Certain terms of financings for certain of our businesses impose restrictions on the business' ability to transfer funds to us, including restrictions on dividends, distributions, loans and other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Subsidiary Dividends and Distributions to Non-Controlling Interests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the six months ended June 30, 2018, our Energy and Railcar segments had dividends and distributions to non-controlling interests of $58 million and $6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and distributions from Mr. Icahn and his affiliates (including Icahn Enterprises and Icahn Enterprises Holdings), which are included in net cash flows from financing activities. Our other operating segments' cash flows are driven by the activities and performance of each business as well as transactions with our Holding Company, as discussed below.</w:t>
      </w:r>
    </w:p>
    <w:p>
      <w:pPr>
        <w:spacing w:after="0" w:line="5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following table summarizes cash flow information for the six months ended June 30, 2018 and 2017 for Icahn Enterprises' reporting segments, discontinued operations and our Holding Company:</w:t>
      </w:r>
    </w:p>
    <w:p>
      <w:pPr>
        <w:sectPr>
          <w:pgSz w:w="11900" w:h="16838" w:orient="portrait"/>
          <w:cols w:equalWidth="0" w:num="1">
            <w:col w:w="11400"/>
          </w:cols>
          <w:pgMar w:left="240" w:top="476" w:right="259" w:bottom="1440" w:gutter="0" w:footer="0" w:header="0"/>
        </w:sectPr>
      </w:pPr>
    </w:p>
    <w:p>
      <w:pPr>
        <w:spacing w:after="0" w:line="130"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2349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66"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2349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66" w:lineRule="exact"/>
        <w:rPr>
          <w:sz w:val="20"/>
          <w:szCs w:val="20"/>
          <w:color w:val="auto"/>
        </w:rPr>
      </w:pPr>
    </w:p>
    <w:p>
      <w:pPr>
        <w:ind w:left="4240"/>
        <w:spacing w:after="0"/>
        <w:tabs>
          <w:tab w:leader="none" w:pos="5540" w:val="left"/>
          <w:tab w:leader="none" w:pos="678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4280"/>
        <w:spacing w:after="0"/>
        <w:tabs>
          <w:tab w:leader="none" w:pos="5540" w:val="left"/>
          <w:tab w:leader="none" w:pos="680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33020</wp:posOffset>
            </wp:positionV>
            <wp:extent cx="4690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22726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22726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p>
      <w:pPr>
        <w:spacing w:after="0"/>
        <w:tabs>
          <w:tab w:leader="none" w:pos="1240" w:val="left"/>
          <w:tab w:leader="none" w:pos="2440" w:val="left"/>
        </w:tabs>
        <w:rPr>
          <w:sz w:val="20"/>
          <w:szCs w:val="20"/>
          <w:color w:val="auto"/>
        </w:rPr>
      </w:pPr>
      <w:r>
        <w:rPr>
          <w:rFonts w:ascii="Arial" w:cs="Arial" w:eastAsia="Arial" w:hAnsi="Arial"/>
          <w:sz w:val="16"/>
          <w:szCs w:val="16"/>
          <w:b w:val="1"/>
          <w:bCs w:val="1"/>
          <w:color w:val="auto"/>
        </w:rPr>
        <w:t>Operating</w:t>
      </w:r>
      <w:r>
        <w:rPr>
          <w:sz w:val="20"/>
          <w:szCs w:val="20"/>
          <w:color w:val="auto"/>
        </w:rPr>
        <w:tab/>
      </w:r>
      <w:r>
        <w:rPr>
          <w:rFonts w:ascii="Arial" w:cs="Arial" w:eastAsia="Arial" w:hAnsi="Arial"/>
          <w:sz w:val="16"/>
          <w:szCs w:val="16"/>
          <w:b w:val="1"/>
          <w:bCs w:val="1"/>
          <w:color w:val="auto"/>
        </w:rPr>
        <w:t>Investing</w:t>
      </w:r>
      <w:r>
        <w:rPr>
          <w:sz w:val="20"/>
          <w:szCs w:val="20"/>
          <w:color w:val="auto"/>
        </w:rPr>
        <w:tab/>
      </w:r>
      <w:r>
        <w:rPr>
          <w:rFonts w:ascii="Arial" w:cs="Arial" w:eastAsia="Arial" w:hAnsi="Arial"/>
          <w:sz w:val="14"/>
          <w:szCs w:val="14"/>
          <w:b w:val="1"/>
          <w:bCs w:val="1"/>
          <w:color w:val="auto"/>
        </w:rPr>
        <w:t>Financing</w:t>
      </w:r>
    </w:p>
    <w:p>
      <w:pPr>
        <w:spacing w:after="0" w:line="26" w:lineRule="exact"/>
        <w:rPr>
          <w:sz w:val="20"/>
          <w:szCs w:val="20"/>
          <w:color w:val="auto"/>
        </w:rPr>
      </w:pPr>
    </w:p>
    <w:p>
      <w:pPr>
        <w:ind w:left="20"/>
        <w:spacing w:after="0"/>
        <w:tabs>
          <w:tab w:leader="none" w:pos="1240" w:val="left"/>
          <w:tab w:leader="none" w:pos="2460" w:val="left"/>
        </w:tabs>
        <w:rPr>
          <w:sz w:val="20"/>
          <w:szCs w:val="20"/>
          <w:color w:val="auto"/>
        </w:rPr>
      </w:pP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6"/>
          <w:szCs w:val="16"/>
          <w:b w:val="1"/>
          <w:bCs w:val="1"/>
          <w:color w:val="auto"/>
        </w:rPr>
        <w:t>Activities</w:t>
      </w:r>
      <w:r>
        <w:rPr>
          <w:sz w:val="20"/>
          <w:szCs w:val="20"/>
          <w:color w:val="auto"/>
        </w:rPr>
        <w:tab/>
      </w:r>
      <w:r>
        <w:rPr>
          <w:rFonts w:ascii="Arial" w:cs="Arial" w:eastAsia="Arial" w:hAnsi="Arial"/>
          <w:sz w:val="14"/>
          <w:szCs w:val="14"/>
          <w:b w:val="1"/>
          <w:bCs w:val="1"/>
          <w:color w:val="auto"/>
        </w:rPr>
        <w:t>Activities</w:t>
      </w:r>
    </w:p>
    <w:p>
      <w:pPr>
        <w:spacing w:after="0" w:line="127" w:lineRule="exact"/>
        <w:rPr>
          <w:sz w:val="20"/>
          <w:szCs w:val="20"/>
          <w:color w:val="auto"/>
        </w:rPr>
      </w:pPr>
    </w:p>
    <w:p>
      <w:pPr>
        <w:sectPr>
          <w:pgSz w:w="11900" w:h="16838" w:orient="portrait"/>
          <w:cols w:equalWidth="0" w:num="2">
            <w:col w:w="7500" w:space="540"/>
            <w:col w:w="3360"/>
          </w:cols>
          <w:pgMar w:left="240" w:top="476" w:right="259" w:bottom="1440" w:gutter="0" w:footer="0" w:header="0"/>
          <w:type w:val="continuous"/>
        </w:sectPr>
      </w:pPr>
    </w:p>
    <w:tbl>
      <w:tblPr>
        <w:tblLayout w:type="fixed"/>
        <w:tblInd w:w="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gridSpan w:val="3"/>
          </w:tcPr>
          <w:p>
            <w:pPr>
              <w:jc w:val="right"/>
              <w:ind w:right="99"/>
              <w:spacing w:after="0"/>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Holding Company</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r>
      <w:tr>
        <w:trPr>
          <w:trHeight w:val="237"/>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Investment</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1,600</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Other Operating Segments: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8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Automotive</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Energy</w:t>
            </w:r>
          </w:p>
        </w:tc>
        <w:tc>
          <w:tcPr>
            <w:tcW w:w="4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Railcar</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Metals</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Mining</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Food Packaging</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Real Estate</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20" w:type="dxa"/>
            <w:vAlign w:val="bottom"/>
          </w:tcPr>
          <w:p>
            <w:pPr>
              <w:spacing w:after="0"/>
              <w:rPr>
                <w:sz w:val="20"/>
                <w:szCs w:val="20"/>
                <w:color w:val="auto"/>
              </w:rPr>
            </w:pPr>
          </w:p>
        </w:tc>
        <w:tc>
          <w:tcPr>
            <w:tcW w:w="3980" w:type="dxa"/>
            <w:vAlign w:val="bottom"/>
            <w:gridSpan w:val="2"/>
          </w:tcPr>
          <w:p>
            <w:pPr>
              <w:ind w:left="140"/>
              <w:spacing w:after="0"/>
              <w:rPr>
                <w:sz w:val="20"/>
                <w:szCs w:val="20"/>
                <w:color w:val="auto"/>
              </w:rPr>
            </w:pPr>
            <w:r>
              <w:rPr>
                <w:rFonts w:ascii="Arial" w:cs="Arial" w:eastAsia="Arial" w:hAnsi="Arial"/>
                <w:sz w:val="16"/>
                <w:szCs w:val="16"/>
                <w:color w:val="auto"/>
              </w:rPr>
              <w:t>Home Fashion</w:t>
            </w:r>
          </w:p>
        </w:tc>
        <w:tc>
          <w:tcPr>
            <w:tcW w:w="4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operating segments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7"/>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Discontinued operations</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before eliminations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1,874</w:t>
            </w:r>
          </w:p>
        </w:tc>
      </w:tr>
      <w:tr>
        <w:trPr>
          <w:trHeight w:val="217"/>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Eliminations</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w:t>
            </w:r>
          </w:p>
        </w:tc>
      </w:tr>
      <w:tr>
        <w:trPr>
          <w:trHeight w:val="33"/>
        </w:trPr>
        <w:tc>
          <w:tcPr>
            <w:tcW w:w="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Consolidated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1,073</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Eliminations</w:t>
      </w:r>
    </w:p>
    <w:p>
      <w:pPr>
        <w:spacing w:after="0" w:line="11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Eliminations in the table above relate to our Holding Company's transactions with our Investment and other operating segments. Our Holding Company's net investments in the Investments Funds were zero and $1.0 billion for the six months ended June 30, 2018 and 2017, respectively, which are included in cash flows from investing activities for our Holding Company and cash flows from financing activities for our Investment segment. Our Holding Company's net (investments in) distributions from our other operating segments were $(233) million and $79 million for the six months ended June 30, 2018 and 2017, respectively, which are included in cash flows from investing activities for our Holding Company and cash flows from financing activities for our other operating segments. In addition, our Holding Company repaid a loan from our Railcar segment of $120 million during the six months ended June 30, 2017.</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76" w:right="2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Holding Company's cash flows from operating activities for each of the six months ended June 30, 2018 and 2017 were primarily attributable to our semi-annual interest payments on our senior unsecured notes.</w:t>
      </w:r>
    </w:p>
    <w:p>
      <w:pPr>
        <w:spacing w:after="0" w:line="6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Holding Company's cash flows from investing activities for the six months ended June 30, 2018 were due to an investment in our Automotive segment of $240 million, contributions to our Food Packaging segment in connection with Viskase's rights offering of $44 million and other net contributions to our subsidiaries of $74 million, offset in part by dividends and distributions received from our Energy, Railcar and Real Estate segments aggregating $125 million. For the six months ended June 30, 2017, our Holding Company had proceeds of approximately $1.3 billion from the sale of ARL and aggregate dividends and distributions received from our Energy, Railcar and Real Estate segments aggregating $113 million, offset in part by net investments in the Investment Funds of $1.0 billion and payments to acquire additional outstanding common stock of Federal-Mogul for $254 million and other net contributions to our subsidiaries of $34 million.</w:t>
      </w:r>
    </w:p>
    <w:p>
      <w:pPr>
        <w:spacing w:after="0" w:line="8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Holding Company's cash flows from financing activities for the six months ended June 30, 2018 was due to payments on our aggregate quarterly distributions of $48 million (including $1 million in distributions to our general partner in order to maintain its ownership percentage in us). Our Holding Company's cash flows from financing activities for the six months ended June 30, 2017 were due to aggregate proceeds from our rights offering of $612 million (which includes a contribution of $12 million from our general partner in order to maintain its aggregate 1.99% general partner interest in us) and net proceeds from our senior unsecured debt refinancing of $20 million, offset in part by repayment of an intercompany loan due to ARL of $120 million and payments on our aggregate quarterly distributions of $40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Investment segment's cash flows from operating activities for the comparable periods were attributable to its net investment transactions.</w:t>
      </w:r>
    </w:p>
    <w:p>
      <w:pPr>
        <w:spacing w:after="0" w:line="1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Investment segment's cash flows from financing activities for the comparable periods were due to net contributions from our Holding Company and Mr. Icahn and his affiliates. For the six months ended June 30, 2018, Mr. Icahn and his affiliates (excluding us) invested $280 million in the Investment Funds. For the six months ended June 30, 2017, our Holding Company invested $1.0 billion in the Investment Funds, net of redemptions and Mr. Icahn and his affiliates (excluding us) invested an additional $600 million in the Investment Funds.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Segments</w:t>
      </w:r>
    </w:p>
    <w:p>
      <w:pPr>
        <w:spacing w:after="0" w:line="11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other operating segments' cash flows from operating activities were primarily attributable to net cash flows from operating activities before changes in operating assets and liabilities of $388 million and $396 million for the six months ended June 30, 2018 and 2017, respectively. The change in net cash provided by operating activities from our other operating segments in 2018 compared to 2017 was primarily attributable to changes in operating assets and liabilities, particularly from our Energy segment, offset in part by our Automotive segment.</w:t>
      </w:r>
    </w:p>
    <w:p>
      <w:pPr>
        <w:spacing w:after="0" w:line="63" w:lineRule="exact"/>
        <w:rPr>
          <w:sz w:val="20"/>
          <w:szCs w:val="20"/>
          <w:color w:val="auto"/>
        </w:rPr>
      </w:pPr>
    </w:p>
    <w:p>
      <w:pPr>
        <w:ind w:right="240" w:firstLine="405"/>
        <w:spacing w:after="0" w:line="297" w:lineRule="auto"/>
        <w:rPr>
          <w:sz w:val="20"/>
          <w:szCs w:val="20"/>
          <w:color w:val="auto"/>
        </w:rPr>
      </w:pPr>
      <w:r>
        <w:rPr>
          <w:rFonts w:ascii="Arial" w:cs="Arial" w:eastAsia="Arial" w:hAnsi="Arial"/>
          <w:sz w:val="16"/>
          <w:szCs w:val="16"/>
          <w:color w:val="auto"/>
        </w:rPr>
        <w:t>Our other operating segments cash flows from investing activities for the six months ended June 30, 2018 and 2017 were primarily due to capital expenditures. For the six months ended June 30, 2018, our Automotive segment's capital expenditures were $37 million, primarily for store improvements, our Energy segment had capital expenditures of $42 million, primarily for maintenance, our Railcar segment's capital expenditures were $24 million, primarily for railcars for lease, and our Mining segment capital expenditures were $23 million. For the six months ended June 30, 2017, our Automotive, Energy, Railcar and Mining segments had capital expenditures of $35 million, $58 million, $109 million, and $17 million, respectively.</w:t>
      </w:r>
    </w:p>
    <w:p>
      <w:pPr>
        <w:spacing w:after="0" w:line="5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other operating segments cash flows from financing activities for the six months ended June 30, 2018 and 2017 were primarily due to contributions from us, dividends and distributions to us and non-controlling interests, and net debt transactions. For the six months ended June 30, 2018 and 2017, our other operating segments had net cash contributions from (distributions to) our Holding Company of $233 million and $(79) million, respectively, as described above. Distributions to non-controlling interests were $62 million and $24 million for the six months ended June 30, 2018 and 2017, respectively, primarily from our Energy, Railcar and Real Estate segments. In addition, for the six months ended June 30, 2018 and 2017, our other operating segments had net cash repayments for debt transactions of $39 million and $75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Our cash flows from operating activities from discontinued operations for the six months ended June 30, 2018 was comprised of $146 million provided by Federal-Mogul and $82 million provided by our former Gaming segment compared to $228 million provided by Federal-Mogul and $57 million provided by our former Gaming segment for the six months ended June 30, 2017. Cash flows provided by operating activities from discontinued operations was net of cash payments for interest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76" w:right="259" w:bottom="1440" w:gutter="0" w:footer="0" w:header="0"/>
        </w:sectPr>
      </w:pPr>
    </w:p>
    <w:bookmarkStart w:id="60" w:name="page61"/>
    <w:bookmarkEnd w:id="60"/>
    <w:p>
      <w:pPr>
        <w:ind w:right="100"/>
        <w:spacing w:after="0" w:line="277" w:lineRule="auto"/>
        <w:rPr>
          <w:sz w:val="20"/>
          <w:szCs w:val="20"/>
          <w:color w:val="auto"/>
        </w:rPr>
      </w:pPr>
      <w:r>
        <w:rPr>
          <w:rFonts w:ascii="Arial" w:cs="Arial" w:eastAsia="Arial" w:hAnsi="Arial"/>
          <w:sz w:val="18"/>
          <w:szCs w:val="18"/>
          <w:color w:val="auto"/>
        </w:rPr>
        <w:t>of $86 million for Federal-Mogul and $3 million for our former Gaming segment for the six months ended June 30, 2018 and $64 million for Federal-Mogul and $7 million for our former Gaming segment for the six months ended June 30, 2017.</w:t>
      </w:r>
    </w:p>
    <w:p>
      <w:pPr>
        <w:spacing w:after="0" w:line="62"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cash flows from investing activities from discontinued operations for the six months ended June 30, 2018 was comprised of $210 million used by Federal-Mogul and $45 million used by our former Gaming segment compared to $181 million used by Federal-Mogul and zero for our former Gaming segment for the six months ended June 30, 2017. Federal-Mogul's capital expenditures were $215 million and $185 million for the six months ended June 30, 2018 and 2017, respectively, and our former Gaming segment's capital expenditures were $46 million and $53 million for the six months ended June 30, 2018 and 2017, respectively. Our former Gaming segment also had proceeds from the disposition of assets of $50 million for the six months ended June 30, 2017.</w:t>
      </w:r>
    </w:p>
    <w:p>
      <w:pPr>
        <w:spacing w:after="0" w:line="50"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Our cash flows from financing activities from discontinued operations for the six months ended June 30, 2018 was comprised of $8 million used by Federal-Mogul and $50 million used by our former Gaming segment compared to $19 million used by Federal-Mogul and $2 million used by our former Gaming segment for the six months ended June 30, 2017. Cash flow used in financing activities from discontinued operations relate primarily to net debt transactions. For the six months ended June 30, 2018, Federal-Mogul's cash flows from financing activities included $2 million paid to non-controlling interests.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117" w:lineRule="exact"/>
        <w:rPr>
          <w:sz w:val="20"/>
          <w:szCs w:val="20"/>
          <w:color w:val="auto"/>
        </w:rPr>
      </w:pPr>
    </w:p>
    <w:p>
      <w:pPr>
        <w:ind w:right="400" w:firstLine="405"/>
        <w:spacing w:after="0" w:line="312" w:lineRule="auto"/>
        <w:rPr>
          <w:sz w:val="20"/>
          <w:szCs w:val="20"/>
          <w:color w:val="auto"/>
        </w:rPr>
      </w:pPr>
      <w:r>
        <w:rPr>
          <w:rFonts w:ascii="Arial" w:cs="Arial" w:eastAsia="Arial" w:hAnsi="Arial"/>
          <w:sz w:val="16"/>
          <w:szCs w:val="16"/>
          <w:color w:val="auto"/>
        </w:rPr>
        <w:t>There have been no significant changes to our capital expenditures during the six months ended June 30, 2018 as compared to the estimated capital expenditures for 2018 as reported in our Annual Report on Form 10-K for the year ended December 31, 2017. Capital expenditures with respect to discontinued operations are discussed under "Consolidated Cash Flows" above and also disclosed in Note 12, "Discontinued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117" w:lineRule="exact"/>
        <w:rPr>
          <w:sz w:val="20"/>
          <w:szCs w:val="20"/>
          <w:color w:val="auto"/>
        </w:rPr>
      </w:pPr>
    </w:p>
    <w:p>
      <w:pPr>
        <w:ind w:right="220" w:firstLine="378"/>
        <w:spacing w:after="0" w:line="286" w:lineRule="auto"/>
        <w:rPr>
          <w:sz w:val="20"/>
          <w:szCs w:val="20"/>
          <w:color w:val="auto"/>
        </w:rPr>
      </w:pPr>
      <w:r>
        <w:rPr>
          <w:rFonts w:ascii="Arial" w:cs="Arial" w:eastAsia="Arial" w:hAnsi="Arial"/>
          <w:sz w:val="17"/>
          <w:szCs w:val="17"/>
          <w:color w:val="auto"/>
        </w:rPr>
        <w:t>There have been no material changes to our contractual commitments and contingencies as compared to those reported in our Annual Report on Form 10-K for the year ended December 31, 2017</w:t>
      </w:r>
      <w:r>
        <w:rPr>
          <w:rFonts w:ascii="Arial" w:cs="Arial" w:eastAsia="Arial" w:hAnsi="Arial"/>
          <w:sz w:val="17"/>
          <w:szCs w:val="17"/>
          <w:b w:val="1"/>
          <w:bCs w:val="1"/>
          <w:color w:val="auto"/>
        </w:rPr>
        <w:t>.</w:t>
      </w:r>
      <w:r>
        <w:rPr>
          <w:rFonts w:ascii="Arial" w:cs="Arial" w:eastAsia="Arial" w:hAnsi="Arial"/>
          <w:sz w:val="17"/>
          <w:szCs w:val="17"/>
          <w:color w:val="auto"/>
        </w:rPr>
        <w:t xml:space="preserve"> However, certain debt with respect to discontinued operations is classified as held for sale beginning in the second quarter of 2018 and is disclosed in Note 12, "Discontinued Operations," to the condensed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The critical accounting policies and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2017.</w:t>
      </w:r>
    </w:p>
    <w:p>
      <w:pPr>
        <w:spacing w:after="0" w:line="79" w:lineRule="exact"/>
        <w:rPr>
          <w:sz w:val="20"/>
          <w:szCs w:val="20"/>
          <w:color w:val="auto"/>
        </w:rPr>
      </w:pPr>
    </w:p>
    <w:p>
      <w:pPr>
        <w:ind w:right="220" w:firstLine="378"/>
        <w:spacing w:after="0" w:line="264" w:lineRule="auto"/>
        <w:rPr>
          <w:sz w:val="20"/>
          <w:szCs w:val="20"/>
          <w:color w:val="auto"/>
        </w:rPr>
      </w:pPr>
      <w:r>
        <w:rPr>
          <w:rFonts w:ascii="Arial" w:cs="Arial" w:eastAsia="Arial" w:hAnsi="Arial"/>
          <w:sz w:val="18"/>
          <w:szCs w:val="18"/>
          <w:color w:val="auto"/>
        </w:rPr>
        <w:t xml:space="preserve">Effective January 1, 2018, we adopted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Although this new standard is not expected to have a material impact on our ongoing results of operations, we determined that it was appropriate to identify our updated accounting policy as a critical accounting policy.</w:t>
      </w:r>
    </w:p>
    <w:p>
      <w:pPr>
        <w:spacing w:after="0" w:line="73" w:lineRule="exact"/>
        <w:rPr>
          <w:sz w:val="20"/>
          <w:szCs w:val="20"/>
          <w:color w:val="auto"/>
        </w:rPr>
      </w:pPr>
    </w:p>
    <w:p>
      <w:pPr>
        <w:ind w:right="40" w:firstLine="378"/>
        <w:spacing w:after="0" w:line="342" w:lineRule="auto"/>
        <w:rPr>
          <w:sz w:val="20"/>
          <w:szCs w:val="20"/>
          <w:color w:val="auto"/>
        </w:rPr>
      </w:pPr>
      <w:r>
        <w:rPr>
          <w:rFonts w:ascii="Arial" w:cs="Arial" w:eastAsia="Arial" w:hAnsi="Arial"/>
          <w:sz w:val="16"/>
          <w:szCs w:val="16"/>
          <w:color w:val="auto"/>
        </w:rPr>
        <w:t>Except for the adoption of FASB ASC Topic 606, discussed above, there have been no material changes to our critical accounting policies and estimates during the six months ended June 30, 2018 as compared to those reported in our Annual Report on Form 10-K for the year ended December 31, 2017.</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440" w:firstLine="378"/>
        <w:spacing w:after="0" w:line="277" w:lineRule="auto"/>
        <w:rPr>
          <w:sz w:val="20"/>
          <w:szCs w:val="20"/>
          <w:color w:val="auto"/>
        </w:rPr>
      </w:pPr>
      <w:r>
        <w:rPr>
          <w:rFonts w:ascii="Arial" w:cs="Arial" w:eastAsia="Arial" w:hAnsi="Arial"/>
          <w:sz w:val="18"/>
          <w:szCs w:val="18"/>
          <w:color w:val="auto"/>
        </w:rPr>
        <w:t>Refer to Note 2, "Basis of Presentation and Summary of Significant Accounting Policies," to the condensed consolidated financial statements for a discussion of recent accounting pronouncements applicable to us.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76"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Except as discussed below, information about our quantitative and qualitative disclosures about market risk did not differ materially from those disclosed in our Annual Report on Form 10-K for the year ended December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64"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2018, we estimate that in the event of a 10% adverse change in the fair value of these investments, the fair values of securities owned, securities sold, not yet purchased and derivatives would decrease by approximately $813 million, $37 million and $733 million, respectively. However, as of June 30, 2018, we estimate that the impact to our share of the net gain (loss) from investment activities reported in our condensed consolidated statement of operations would be less than the change in fair value since we have an investment of approximately 40% in the Investment Funds, and the non-controlling interests in income would correspondingly offset approximately 60% of the change in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As of June 30, 2018,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64"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Except for the risk factor disclosed below, there were no material changes to our risk factors during the six months ended June 30, 2018 as compared to those reported in our Annual Report on Form 10-K for the year ended December 31, 2017.</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the risk of becoming an investment company.</w:t>
      </w:r>
    </w:p>
    <w:p>
      <w:pPr>
        <w:spacing w:after="0" w:line="11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In addition,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w:t>
      </w:r>
    </w:p>
    <w:p>
      <w:pPr>
        <w:spacing w:after="0" w:line="8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April 2018, we announced definitive agreements to sell Federal-Mogul and Tropicana. Following the closing of our contemplated sale of Federal-Mogul, it is likely that we would be considered an investment company but for an exemption under the Investment Company Act that would provide us up to one year to take steps to avoid becoming classified as an investment company. We expect to take steps to avoid becoming classified as an investment company during this exemption period, but no assurance can be made that we will successfully be able to take the steps necessary to avoid becoming classified as an investment company.</w:t>
      </w:r>
    </w:p>
    <w:p>
      <w:pPr>
        <w:spacing w:after="0" w:line="8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under the caption, “Risk Factors - Risks Relating to Our Structure - We may become taxable as a corporation if we are no longer treated as a partnership for federal income tax purposes” in our Annual Report on Form 10-K for the year ended December 31, 2017.</w:t>
      </w:r>
    </w:p>
    <w:p>
      <w:pPr>
        <w:spacing w:after="0" w:line="5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Securities and Exchange Commission, that we would be unable to enforce contracts with third parties or that third parties could seek to obtain rescission of transactions with us undertaken during the period it was established that we were an unregistered investment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15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5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80" w:type="dxa"/>
            <w:vAlign w:val="bottom"/>
            <w:gridSpan w:val="11"/>
          </w:tcPr>
          <w:p>
            <w:pPr>
              <w:ind w:left="20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6"/>
        </w:trPr>
        <w:tc>
          <w:tcPr>
            <w:tcW w:w="580" w:type="dxa"/>
            <w:vAlign w:val="bottom"/>
            <w:gridSpan w:val="2"/>
          </w:tcPr>
          <w:p>
            <w:pPr>
              <w:spacing w:after="0"/>
              <w:rPr>
                <w:sz w:val="17"/>
                <w:szCs w:val="17"/>
                <w:color w:val="auto"/>
              </w:rPr>
            </w:pPr>
          </w:p>
        </w:tc>
        <w:tc>
          <w:tcPr>
            <w:tcW w:w="280" w:type="dxa"/>
            <w:vAlign w:val="bottom"/>
            <w:gridSpan w:val="2"/>
          </w:tcPr>
          <w:p>
            <w:pPr>
              <w:jc w:val="center"/>
              <w:ind w:right="60"/>
              <w:spacing w:after="0" w:line="196" w:lineRule="exact"/>
              <w:rPr>
                <w:rFonts w:ascii="Arial" w:cs="Arial" w:eastAsia="Arial" w:hAnsi="Arial"/>
                <w:sz w:val="18"/>
                <w:szCs w:val="18"/>
                <w:color w:val="0000FF"/>
                <w:w w:val="87"/>
              </w:rPr>
            </w:pPr>
            <w:hyperlink r:id="rId27">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6" w:lineRule="exact"/>
              <w:rPr>
                <w:rFonts w:ascii="Arial" w:cs="Arial" w:eastAsia="Arial" w:hAnsi="Arial"/>
                <w:sz w:val="18"/>
                <w:szCs w:val="18"/>
                <w:color w:val="0000FF"/>
                <w:w w:val="99"/>
              </w:rPr>
            </w:pPr>
            <w:hyperlink r:id="rId27">
              <w:r>
                <w:rPr>
                  <w:rFonts w:ascii="Arial" w:cs="Arial" w:eastAsia="Arial" w:hAnsi="Arial"/>
                  <w:sz w:val="18"/>
                  <w:szCs w:val="18"/>
                  <w:color w:val="0000FF"/>
                  <w:w w:val="99"/>
                </w:rPr>
                <w:t>Membership Interest Purchase Agreement, dated April 10, 2018, by and among Tenneco Inc., Federal-Mogul LLC, American</w:t>
              </w:r>
            </w:hyperlink>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6"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Entertainment Properties Corp., and Icahn Enterprises L.P. (incorporated by reference to Exhibit 2.1 to Icahn Enterprises' and Icahn</w:t>
              </w:r>
            </w:hyperlink>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Enterprises Holdings' joint Form 8-K (SEC File Nos. 1-9516 and 333-118021-01, respectively) filed April 10, 2018).</w:t>
              </w:r>
            </w:hyperlink>
          </w:p>
        </w:tc>
        <w:tc>
          <w:tcPr>
            <w:tcW w:w="1020" w:type="dxa"/>
            <w:vAlign w:val="bottom"/>
            <w:tcBorders>
              <w:top w:val="single" w:sz="8" w:color="0000FF"/>
            </w:tcBorders>
            <w:gridSpan w:val="4"/>
          </w:tcPr>
          <w:p>
            <w:pPr>
              <w:spacing w:after="0"/>
              <w:rPr>
                <w:sz w:val="17"/>
                <w:szCs w:val="17"/>
                <w:color w:val="auto"/>
              </w:rPr>
            </w:pPr>
          </w:p>
        </w:tc>
        <w:tc>
          <w:tcPr>
            <w:tcW w:w="440" w:type="dxa"/>
            <w:vAlign w:val="bottom"/>
            <w:gridSpan w:val="4"/>
          </w:tcPr>
          <w:p>
            <w:pPr>
              <w:spacing w:after="0"/>
              <w:rPr>
                <w:sz w:val="17"/>
                <w:szCs w:val="17"/>
                <w:color w:val="auto"/>
              </w:rPr>
            </w:pPr>
          </w:p>
        </w:tc>
      </w:tr>
      <w:tr>
        <w:trPr>
          <w:trHeight w:val="250"/>
        </w:trPr>
        <w:tc>
          <w:tcPr>
            <w:tcW w:w="580" w:type="dxa"/>
            <w:vAlign w:val="bottom"/>
            <w:gridSpan w:val="2"/>
          </w:tcPr>
          <w:p>
            <w:pPr>
              <w:spacing w:after="0"/>
              <w:rPr>
                <w:sz w:val="21"/>
                <w:szCs w:val="21"/>
                <w:color w:val="auto"/>
              </w:rPr>
            </w:pPr>
          </w:p>
        </w:tc>
        <w:tc>
          <w:tcPr>
            <w:tcW w:w="280" w:type="dxa"/>
            <w:vAlign w:val="bottom"/>
            <w:gridSpan w:val="2"/>
          </w:tcPr>
          <w:p>
            <w:pPr>
              <w:jc w:val="center"/>
              <w:ind w:right="60"/>
              <w:spacing w:after="0"/>
              <w:rPr>
                <w:rFonts w:ascii="Arial" w:cs="Arial" w:eastAsia="Arial" w:hAnsi="Arial"/>
                <w:sz w:val="18"/>
                <w:szCs w:val="18"/>
                <w:color w:val="0000FF"/>
                <w:w w:val="87"/>
              </w:rPr>
            </w:pPr>
            <w:hyperlink r:id="rId28">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Agreement and Plan of Merger, dated April 15, 2018, by and among Eldorado Resorts, Inc., Delta Merger Sub, Inc., GLP Capital, L.P.</w:t>
              </w:r>
            </w:hyperlink>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and Tropicana Entertainment Inc. (incorporated by reference to Exhibit 2.1 to Icahn Enterprises' and Icahn Enterprises Holdings' joint</w:t>
              </w:r>
            </w:hyperlink>
          </w:p>
        </w:tc>
        <w:tc>
          <w:tcPr>
            <w:tcW w:w="4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Form 8-K (SEC File Nos. 1-9516 and 333-118021-01, respectively) filed April 16, 2018).</w:t>
              </w:r>
            </w:hyperlink>
          </w:p>
        </w:tc>
      </w:tr>
      <w:tr>
        <w:trPr>
          <w:trHeight w:val="20"/>
        </w:trPr>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250"/>
        </w:trPr>
        <w:tc>
          <w:tcPr>
            <w:tcW w:w="1380" w:type="dxa"/>
            <w:vAlign w:val="bottom"/>
            <w:gridSpan w:val="5"/>
          </w:tcPr>
          <w:p>
            <w:pPr>
              <w:jc w:val="center"/>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7"/>
              </w:rPr>
            </w:pPr>
            <w:hyperlink w:anchor="page66">
              <w:r>
                <w:rPr>
                  <w:rFonts w:ascii="Arial" w:cs="Arial" w:eastAsia="Arial" w:hAnsi="Arial"/>
                  <w:sz w:val="18"/>
                  <w:szCs w:val="18"/>
                  <w:color w:val="0000FF"/>
                  <w:w w:val="97"/>
                </w:rPr>
                <w:t>Certification of Chief Executive Officer pursuant to Section 302(a) of the Sarbanes-Oxley Act of 2002 and Rule 13a-14(a) of the</w:t>
              </w:r>
            </w:hyperlink>
          </w:p>
        </w:tc>
      </w:tr>
      <w:tr>
        <w:trPr>
          <w:trHeight w:val="196"/>
        </w:trPr>
        <w:tc>
          <w:tcPr>
            <w:tcW w:w="5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Securities Exchange Act of 1934.</w:t>
              </w:r>
            </w:hyperlink>
          </w:p>
        </w:tc>
        <w:tc>
          <w:tcPr>
            <w:tcW w:w="6860" w:type="dxa"/>
            <w:vAlign w:val="bottom"/>
            <w:tcBorders>
              <w:top w:val="single" w:sz="8" w:color="0000FF"/>
            </w:tcBorders>
            <w:gridSpan w:val="6"/>
          </w:tcPr>
          <w:p>
            <w:pPr>
              <w:spacing w:after="0"/>
              <w:rPr>
                <w:sz w:val="17"/>
                <w:szCs w:val="17"/>
                <w:color w:val="auto"/>
              </w:rPr>
            </w:pPr>
          </w:p>
        </w:tc>
        <w:tc>
          <w:tcPr>
            <w:tcW w:w="620" w:type="dxa"/>
            <w:vAlign w:val="bottom"/>
            <w:gridSpan w:val="5"/>
          </w:tcPr>
          <w:p>
            <w:pPr>
              <w:spacing w:after="0"/>
              <w:rPr>
                <w:sz w:val="17"/>
                <w:szCs w:val="17"/>
                <w:color w:val="auto"/>
              </w:rPr>
            </w:pPr>
          </w:p>
        </w:tc>
      </w:tr>
      <w:tr>
        <w:trPr>
          <w:trHeight w:val="250"/>
        </w:trPr>
        <w:tc>
          <w:tcPr>
            <w:tcW w:w="1380" w:type="dxa"/>
            <w:vAlign w:val="bottom"/>
            <w:gridSpan w:val="5"/>
          </w:tcPr>
          <w:p>
            <w:pPr>
              <w:jc w:val="cente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8"/>
              </w:rPr>
            </w:pPr>
            <w:hyperlink w:anchor="page67">
              <w:r>
                <w:rPr>
                  <w:rFonts w:ascii="Arial" w:cs="Arial" w:eastAsia="Arial" w:hAnsi="Arial"/>
                  <w:sz w:val="18"/>
                  <w:szCs w:val="18"/>
                  <w:color w:val="0000FF"/>
                  <w:w w:val="98"/>
                </w:rPr>
                <w:t>Certification of Chief Financial Officer pursuant to Section 302(a) of the Sarbanes-Oxley Act of 2002 and Rule 13a-14(a) of the</w:t>
              </w:r>
            </w:hyperlink>
          </w:p>
        </w:tc>
      </w:tr>
      <w:tr>
        <w:trPr>
          <w:trHeight w:val="196"/>
        </w:trPr>
        <w:tc>
          <w:tcPr>
            <w:tcW w:w="5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Securities Exchange Act of 1934.</w:t>
              </w:r>
            </w:hyperlink>
          </w:p>
        </w:tc>
        <w:tc>
          <w:tcPr>
            <w:tcW w:w="6800" w:type="dxa"/>
            <w:vAlign w:val="bottom"/>
            <w:tcBorders>
              <w:top w:val="single" w:sz="8" w:color="0000FF"/>
            </w:tcBorders>
            <w:gridSpan w:val="5"/>
          </w:tcPr>
          <w:p>
            <w:pPr>
              <w:spacing w:after="0"/>
              <w:rPr>
                <w:sz w:val="17"/>
                <w:szCs w:val="17"/>
                <w:color w:val="auto"/>
              </w:rPr>
            </w:pPr>
          </w:p>
        </w:tc>
        <w:tc>
          <w:tcPr>
            <w:tcW w:w="680" w:type="dxa"/>
            <w:vAlign w:val="bottom"/>
            <w:gridSpan w:val="6"/>
          </w:tcPr>
          <w:p>
            <w:pPr>
              <w:spacing w:after="0"/>
              <w:rPr>
                <w:sz w:val="17"/>
                <w:szCs w:val="17"/>
                <w:color w:val="auto"/>
              </w:rPr>
            </w:pPr>
          </w:p>
        </w:tc>
      </w:tr>
      <w:tr>
        <w:trPr>
          <w:trHeight w:val="250"/>
        </w:trPr>
        <w:tc>
          <w:tcPr>
            <w:tcW w:w="1380" w:type="dxa"/>
            <w:vAlign w:val="bottom"/>
            <w:gridSpan w:val="5"/>
          </w:tcPr>
          <w:p>
            <w:pPr>
              <w:jc w:val="cente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6"/>
              </w:rPr>
            </w:pPr>
            <w:hyperlink w:anchor="page68">
              <w:r>
                <w:rPr>
                  <w:rFonts w:ascii="Arial" w:cs="Arial" w:eastAsia="Arial" w:hAnsi="Arial"/>
                  <w:sz w:val="18"/>
                  <w:szCs w:val="18"/>
                  <w:color w:val="0000FF"/>
                  <w:w w:val="96"/>
                </w:rPr>
                <w:t>Certification of Chief Executive Officer and Chief Financial Officer pursuant to Section 906 of the Sarbanes-Oxley Act of 2002 (18</w:t>
              </w:r>
            </w:hyperlink>
          </w:p>
        </w:tc>
      </w:tr>
      <w:tr>
        <w:trPr>
          <w:trHeight w:val="196"/>
        </w:trPr>
        <w:tc>
          <w:tcPr>
            <w:tcW w:w="5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68">
              <w:r>
                <w:rPr>
                  <w:rFonts w:ascii="Arial" w:cs="Arial" w:eastAsia="Arial" w:hAnsi="Arial"/>
                  <w:sz w:val="18"/>
                  <w:szCs w:val="18"/>
                  <w:color w:val="0000FF"/>
                  <w:w w:val="90"/>
                </w:rPr>
                <w:t>U.S.C. 1350) and Rule 13a-14(b) of the Securities Exchange Act of 1934.</w:t>
              </w:r>
            </w:hyperlink>
          </w:p>
        </w:tc>
        <w:tc>
          <w:tcPr>
            <w:tcW w:w="4180" w:type="dxa"/>
            <w:vAlign w:val="bottom"/>
            <w:tcBorders>
              <w:top w:val="single" w:sz="8" w:color="0000FF"/>
            </w:tcBorders>
            <w:gridSpan w:val="7"/>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291"/>
        </w:trPr>
        <w:tc>
          <w:tcPr>
            <w:tcW w:w="150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50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00" w:type="dxa"/>
            <w:vAlign w:val="bottom"/>
            <w:gridSpan w:val="6"/>
          </w:tcPr>
          <w:p>
            <w:pPr>
              <w:jc w:val="center"/>
              <w:ind w:right="10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00" w:type="dxa"/>
            <w:vAlign w:val="bottom"/>
            <w:gridSpan w:val="6"/>
          </w:tcPr>
          <w:p>
            <w:pPr>
              <w:jc w:val="center"/>
              <w:ind w:right="10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00" w:type="dxa"/>
            <w:vAlign w:val="bottom"/>
            <w:gridSpan w:val="6"/>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50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4"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64" w:right="2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June 30,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2018;</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June 30,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2018;</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June 30, 2018, the undersigned certify that, to the best of his knowledge, based upon a review of the Icahn Enterprises L.P. and Icahn Enterprises Holdings L.P. joint quarterly report on Form 10-Q for the period ended June 30, 2018:</w:t>
      </w:r>
    </w:p>
    <w:p>
      <w:pPr>
        <w:spacing w:after="0" w:line="181"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lowerRoman"/>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6"/>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8"/>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27" Type="http://schemas.openxmlformats.org/officeDocument/2006/relationships/hyperlink" Target="http://www.sec.gov/Archives/edgar/data/813762/000119312518112277/d554615dex21.htm" TargetMode="External"/><Relationship Id="rId28" Type="http://schemas.openxmlformats.org/officeDocument/2006/relationships/hyperlink" Target="http://www.sec.gov/Archives/edgar/data/813762/000110465918024062/a18-11003_1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2019-12-28T20:49:54Z</dcterms:created>
  <dcterms:modified xsi:type="dcterms:W3CDTF">2019-12-28T20:49:54Z</dcterms:modified>
</cp:coreProperties>
</file>