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411480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(Mark one)</w:t>
      </w:r>
    </w:p>
    <w:p>
      <w:pPr>
        <w:spacing w:after="0" w:line="12" w:lineRule="exact"/>
        <w:rPr>
          <w:sz w:val="24"/>
          <w:szCs w:val="24"/>
          <w:color w:val="auto"/>
        </w:rPr>
      </w:pPr>
    </w:p>
    <w:p>
      <w:pPr>
        <w:ind w:left="3640" w:right="2720" w:hanging="3630"/>
        <w:spacing w:after="0" w:line="427" w:lineRule="auto"/>
        <w:tabs>
          <w:tab w:leader="none" w:pos="18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211"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40" w:type="dxa"/>
            <w:vAlign w:val="bottom"/>
          </w:tcPr>
          <w:p>
            <w:pPr>
              <w:spacing w:after="0"/>
              <w:rPr>
                <w:sz w:val="16"/>
                <w:szCs w:val="16"/>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300" w:type="dxa"/>
            <w:vAlign w:val="bottom"/>
          </w:tcPr>
          <w:p>
            <w:pPr>
              <w:spacing w:after="0"/>
              <w:rPr>
                <w:sz w:val="24"/>
                <w:szCs w:val="24"/>
                <w:color w:val="auto"/>
              </w:rPr>
            </w:pPr>
          </w:p>
        </w:tc>
        <w:tc>
          <w:tcPr>
            <w:tcW w:w="3520" w:type="dxa"/>
            <w:vAlign w:val="bottom"/>
            <w:gridSpan w:val="6"/>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(State or Other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520" w:type="dxa"/>
            <w:vAlign w:val="bottom"/>
            <w:gridSpan w:val="6"/>
            <w:vMerge w:val="continue"/>
          </w:tcPr>
          <w:p>
            <w:pPr>
              <w:spacing w:after="0"/>
              <w:rPr>
                <w:sz w:val="12"/>
                <w:szCs w:val="12"/>
                <w:color w:val="auto"/>
              </w:rPr>
            </w:pP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48"/>
        </w:trPr>
        <w:tc>
          <w:tcPr>
            <w:tcW w:w="3300" w:type="dxa"/>
            <w:vAlign w:val="bottom"/>
            <w:vMerge w:val="restart"/>
          </w:tcPr>
          <w:p>
            <w:pPr>
              <w:jc w:val="center"/>
              <w:ind w:right="608"/>
              <w:spacing w:after="0"/>
              <w:rPr>
                <w:sz w:val="20"/>
                <w:szCs w:val="20"/>
                <w:color w:val="auto"/>
              </w:rPr>
            </w:pPr>
            <w:r>
              <w:rPr>
                <w:rFonts w:ascii="Times New Roman" w:cs="Times New Roman" w:eastAsia="Times New Roman" w:hAnsi="Times New Roman"/>
                <w:sz w:val="14"/>
                <w:szCs w:val="14"/>
                <w:color w:val="auto"/>
              </w:rPr>
              <w:t>(Commission File Number)</w:t>
            </w:r>
          </w:p>
        </w:tc>
        <w:tc>
          <w:tcPr>
            <w:tcW w:w="3520" w:type="dxa"/>
            <w:vAlign w:val="bottom"/>
            <w:gridSpan w:val="6"/>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jc w:val="center"/>
              <w:ind w:left="808"/>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(Telephone Number)</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Times New Roman" w:cs="Times New Roman" w:eastAsia="Times New Roman" w:hAnsi="Times New Roman"/>
                <w:sz w:val="14"/>
                <w:szCs w:val="14"/>
                <w:color w:val="auto"/>
              </w:rPr>
              <w:t>Organization)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311"/>
        </w:trPr>
        <w:tc>
          <w:tcPr>
            <w:tcW w:w="3300" w:type="dxa"/>
            <w:vAlign w:val="bottom"/>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ICAHN ENTERPRISES L.P.</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13-3398766</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16690 Collins Avenue, PH-1</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Sunny Isles Beach, FL 33160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3520" w:type="dxa"/>
            <w:vAlign w:val="bottom"/>
            <w:gridSpan w:val="6"/>
          </w:tcPr>
          <w:p>
            <w:pPr>
              <w:jc w:val="center"/>
              <w:ind w:left="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5"/>
        </w:trPr>
        <w:tc>
          <w:tcPr>
            <w:tcW w:w="3300" w:type="dxa"/>
            <w:vAlign w:val="bottom"/>
            <w:tcBorders>
              <w:top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Depositary Units of Icahn Enterprises L.P.</w:t>
            </w: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5"/>
              </w:rPr>
              <w:t>IEP</w:t>
            </w:r>
          </w:p>
        </w:tc>
        <w:tc>
          <w:tcPr>
            <w:tcW w:w="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Representing Limited Partner Interests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left="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65" w:lineRule="exact"/>
        <w:rPr>
          <w:sz w:val="24"/>
          <w:szCs w:val="24"/>
          <w:color w:val="auto"/>
        </w:rPr>
      </w:pPr>
    </w:p>
    <w:p>
      <w:pPr>
        <w:ind w:left="20"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5" w:lineRule="exact"/>
        <w:rPr>
          <w:sz w:val="24"/>
          <w:szCs w:val="24"/>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03"/>
        </w:trPr>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78" w:lineRule="exact"/>
        <w:rPr>
          <w:sz w:val="24"/>
          <w:szCs w:val="24"/>
          <w:color w:val="auto"/>
        </w:rPr>
      </w:pPr>
    </w:p>
    <w:p>
      <w:pPr>
        <w:ind w:left="20" w:right="16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6, 2026, there were 672,050,553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917575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restart"/>
          </w:tcPr>
          <w:p>
            <w:pPr>
              <w:ind w:left="200"/>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 No</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56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488"/>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2"/>
          </w:tcPr>
          <w:p>
            <w:pPr>
              <w:spacing w:after="0"/>
              <w:rPr>
                <w:sz w:val="16"/>
                <w:szCs w:val="16"/>
                <w:color w:val="auto"/>
              </w:rPr>
            </w:pPr>
          </w:p>
        </w:tc>
        <w:tc>
          <w:tcPr>
            <w:tcW w:w="7100" w:type="dxa"/>
            <w:vAlign w:val="bottom"/>
            <w:gridSpan w:val="10"/>
          </w:tcPr>
          <w:p>
            <w:pPr>
              <w:ind w:left="200"/>
              <w:spacing w:after="0" w:line="194" w:lineRule="exact"/>
              <w:rPr>
                <w:sz w:val="20"/>
                <w:szCs w:val="20"/>
                <w:color w:val="auto"/>
              </w:rPr>
            </w:pPr>
            <w:r>
              <w:rPr>
                <w:rFonts w:ascii="Times New Roman" w:cs="Times New Roman" w:eastAsia="Times New Roman" w:hAnsi="Times New Roman"/>
                <w:sz w:val="18"/>
                <w:szCs w:val="18"/>
                <w:color w:val="0000EE"/>
              </w:rPr>
              <w:t>Legal Proceedings</w:t>
            </w:r>
          </w:p>
        </w:tc>
        <w:tc>
          <w:tcPr>
            <w:tcW w:w="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2"/>
          </w:tcPr>
          <w:p>
            <w:pPr>
              <w:spacing w:after="0"/>
              <w:rPr>
                <w:sz w:val="17"/>
                <w:szCs w:val="17"/>
                <w:color w:val="auto"/>
              </w:rPr>
            </w:pPr>
          </w:p>
        </w:tc>
        <w:tc>
          <w:tcPr>
            <w:tcW w:w="7100" w:type="dxa"/>
            <w:vAlign w:val="bottom"/>
            <w:gridSpan w:val="10"/>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9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our investment activities, including the nature of the investments made by the private funds in which we invest, including the impact of the use of leverage through options, short sales, swaps, forwards and other derivative instruments; risks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related to potential strategic transactions involving our Energy segment, and the impact of tariffs; risks related to our automotive activities and exposure to adverse conditions in the automotive industry;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from the Russia/Ukraine conflict and conflict in the Middle East, the U.S.-Israel and Iran war, and any related economic volatility, disruptions to global commodity markets, export controls and other economic sanctions; and political and regulatory uncertainty, including changing economic policy and the imposition of tariffs. These risks and uncertainties also include the risks and uncertainties described in our Annual Report on Form 10-K for the year ended December 31, 2025. Additionally, there may be other factors not presently known to us or which we currently consider to be immaterial that may cause our actual results to differ materially from the forward-looking statements. Except as required by law, we undertake no obligation to publicly update or review any forward-looking statements, whether as a result of new information, future developments or otherwise,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ICAHN ENTERPRISES L.P. AND SUBSIDIARIES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56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color w:val="auto"/>
                <w:w w:val="93"/>
              </w:rPr>
              <w:t>(in millions, except</w:t>
            </w:r>
          </w:p>
        </w:tc>
        <w:tc>
          <w:tcPr>
            <w:tcW w:w="110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color w:val="auto"/>
              </w:rPr>
              <w:t>unit amounts)</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brokers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637,209,452 units issued and outstanding at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6"/>
          </w:tcPr>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w w:val="97"/>
              </w:rPr>
              <w:t>(in millions, except</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per unit amounts)</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40" w:type="dxa"/>
            <w:vAlign w:val="bottom"/>
          </w:tcPr>
          <w:p>
            <w:pPr>
              <w:spacing w:after="0"/>
              <w:rPr>
                <w:sz w:val="18"/>
                <w:szCs w:val="18"/>
                <w:color w:val="auto"/>
              </w:rPr>
            </w:pP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investment activities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disposition of assets, net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Icahn Enterprises allocated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4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LP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(0.71)</w:t>
            </w:r>
          </w:p>
        </w:tc>
        <w:tc>
          <w:tcPr>
            <w:tcW w:w="4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637</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4"/>
          </w:tcPr>
          <w:p>
            <w:pPr>
              <w:jc w:val="right"/>
              <w:ind w:right="53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5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gain, net of tax:</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Translation adjustments</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Icahn Enterprises allocated to:</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40" w:type="dxa"/>
            <w:vAlign w:val="bottom"/>
            <w:gridSpan w:val="13"/>
          </w:tcPr>
          <w:p>
            <w:pPr>
              <w:ind w:left="2460"/>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00" w:type="dxa"/>
            <w:vAlign w:val="bottom"/>
            <w:gridSpan w:val="19"/>
          </w:tcPr>
          <w:p>
            <w:pPr>
              <w:ind w:left="7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4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Purchase of additional interests 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Equity Attributable to Icahn Enterprises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Limited</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Partners’</w:t>
            </w:r>
          </w:p>
        </w:tc>
        <w:tc>
          <w:tcPr>
            <w:tcW w:w="14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(in millions)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Purchase of additional interests in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 segment distributions to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Dividends and distributions to non-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 in subsidiaries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subsidiary equity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ICAHN ENTERPRISES L.P.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6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5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from securities transactions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securities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securities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to cover securities sold, not yet purchased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securities sold, not yet purchased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receivables and payables relating to securities transactions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derivative assets and liabilities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on disposition of assets,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7"/>
                <w:szCs w:val="17"/>
                <w:color w:val="auto"/>
              </w:rPr>
            </w:pPr>
          </w:p>
        </w:tc>
      </w:tr>
      <w:tr>
        <w:trPr>
          <w:trHeight w:val="203"/>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Pr>
          <w:p>
            <w:pPr>
              <w:spacing w:after="0"/>
              <w:rPr>
                <w:sz w:val="17"/>
                <w:szCs w:val="17"/>
                <w:color w:val="auto"/>
              </w:rPr>
            </w:pPr>
          </w:p>
        </w:tc>
      </w:tr>
      <w:tr>
        <w:trPr>
          <w:trHeight w:val="203"/>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tcPr>
          <w:p>
            <w:pPr>
              <w:spacing w:after="0"/>
              <w:rPr>
                <w:sz w:val="17"/>
                <w:szCs w:val="17"/>
                <w:color w:val="auto"/>
              </w:rPr>
            </w:pPr>
          </w:p>
        </w:tc>
      </w:tr>
      <w:tr>
        <w:trPr>
          <w:trHeight w:val="19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40" w:type="dxa"/>
            <w:vAlign w:val="bottom"/>
          </w:tcPr>
          <w:p>
            <w:pPr>
              <w:spacing w:after="0"/>
              <w:rPr>
                <w:sz w:val="17"/>
                <w:szCs w:val="17"/>
                <w:color w:val="auto"/>
              </w:rPr>
            </w:pPr>
          </w:p>
        </w:tc>
      </w:tr>
      <w:tr>
        <w:trPr>
          <w:trHeight w:val="19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Turnaround expenditures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7"/>
                <w:szCs w:val="17"/>
                <w:color w:val="auto"/>
              </w:rPr>
            </w:pPr>
          </w:p>
        </w:tc>
      </w:tr>
      <w:tr>
        <w:trPr>
          <w:trHeight w:val="20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method investment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equity method investment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r>
      <w:tr>
        <w:trPr>
          <w:trHeight w:val="19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7"/>
                <w:szCs w:val="17"/>
                <w:color w:val="auto"/>
              </w:rPr>
            </w:pPr>
          </w:p>
        </w:tc>
      </w:tr>
      <w:tr>
        <w:trPr>
          <w:trHeight w:val="19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segment distributions to non-controlling interests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additional interests in consolidated subsidiaries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and distributions to non-controlling interests in subsidiaries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reverse recapitalization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Holding Company senior notes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subsidiary borrowings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subsidiary borrowings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7"/>
                <w:szCs w:val="17"/>
                <w:color w:val="auto"/>
              </w:rPr>
            </w:pPr>
          </w:p>
        </w:tc>
      </w:tr>
      <w:tr>
        <w:trPr>
          <w:trHeight w:val="20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r>
      <w:tr>
        <w:trPr>
          <w:trHeight w:val="19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17"/>
                <w:szCs w:val="17"/>
                <w:color w:val="auto"/>
              </w:rPr>
            </w:pPr>
          </w:p>
        </w:tc>
      </w:tr>
      <w:tr>
        <w:trPr>
          <w:trHeight w:val="169"/>
        </w:trPr>
        <w:tc>
          <w:tcPr>
            <w:tcW w:w="62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 and restricted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r>
      <w:tr>
        <w:trPr>
          <w:trHeight w:val="187"/>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 and restricted cash and restricted cash</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19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beginning of</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40" w:type="dxa"/>
            <w:vAlign w:val="bottom"/>
          </w:tcPr>
          <w:p>
            <w:pPr>
              <w:spacing w:after="0"/>
              <w:rPr>
                <w:sz w:val="18"/>
                <w:szCs w:val="18"/>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restricted cash equivalents, end of period</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4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Icahn Enterprises L.P. (“Icahn Enterprises”) is a master limited partnership formed in Delaware on February 17, 1987.</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“we,” “our” or “us” herein include both Icahn Enterprises and Icahn Enterprises Holdings L.P. (“Icahn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Enterprises Holdings”) and their subsidiaries, unless the context otherwise requires.</w:t>
      </w:r>
    </w:p>
    <w:p>
      <w:pPr>
        <w:spacing w:after="0" w:line="20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2026, representing an aggregate 1.99% general partner interest in Icahn Enterprises and Icahn Enterprises Holdings. Mr. Icahn and his affiliates owned approximately 86% of our outstanding depositary units as of March 31,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Continuing Operating Businesses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13, “Segment Reporting,” for a reconciliation of each of our reporting segment’s results of operations to our consolidated results. Certain additional information with respect to our segments is discussed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$2.2 billion and $2.7 billion as of March 31, 2026 and December 31, 2025,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as well as in the nitrogen fertilizer manufacturing and distribution businesses through its holdings in CVR Partners. CVR Energy is an independent petroleum refiner and is a marketer of high value transportation fuels primarily in the form of gasoline, diesel, jet fuel and distillates. CVR Partners produces and markets nitrogen fertilizers in the form of urea ammonium nitrate (“UAN”) and ammonia. CVR Energy held 100% of the general partner interest and approximately 37% of the outstanding common units of CVR Partners as of March 31, 2026.</w:t>
      </w:r>
    </w:p>
    <w:p>
      <w:pPr>
        <w:spacing w:after="0" w:line="192" w:lineRule="exact"/>
        <w:rPr>
          <w:sz w:val="20"/>
          <w:szCs w:val="20"/>
          <w:color w:val="auto"/>
        </w:rPr>
      </w:pPr>
    </w:p>
    <w:p>
      <w:pPr>
        <w:ind w:left="60" w:right="119" w:firstLine="36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increased our ownership of CVR Energy by acquiring 783,404 shares for a total purchase price of approximately $16 million. As of March 31, 2026, we owned approximately 71% of the total outstanding common stock of CVR Energy and 3% of the outstanding common units of CVR Partners.</w:t>
      </w:r>
    </w:p>
    <w:p>
      <w:pPr>
        <w:spacing w:after="0" w:line="17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December 2025, our Energy segment converted the renewable diesel unit back to hydrocarbon processing service, in response to unfavorable market economics of renewable fuels and to improve feedstock optimization and alleviate certain logistical constraints within our refining operations. CVR Energy retains the flexibility to return the unit to renewable diesel service should market conditions and incentives become favorable. At present, the unit no longer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processes renewable feedstocks, such as soybean oil, corn oil, and other similar feedstocks, into renewable diesel, and CVR Energy does not currently market renewable diesel.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Food Packaging</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conduct our Food Packaging segment through our majority owned subsidiary, Viskase Holdings, Inc. (“Viskase”).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Viskase is a producer of cellulosic, fibrous and plastic casings used to prepare and package processed meat products.</w:t>
      </w:r>
    </w:p>
    <w:p>
      <w:pPr>
        <w:spacing w:after="0" w:line="207"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January 2026, Viskase completed an equity private placement whereby we acquired an additional 25,862,069 shares of Viskase common stock for $15 million. In March 2026, Viskase completed its previously announced merger with Enzon Pharmaceuticals, Inc., and the combined company operates as “Viskase Holdings, Inc.” We own approximately 94% of the outstanding common stock of the combined company.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conduct our Real Estate segment through various wholly owned subsidiaries. Our Real Estate segment primarily consists of investment properties which includes land, retail, office and industrial properties leased to corporate tenants, the development and sale of single-family homes, and the operations of a resort and a country club.</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Home Fashion</w:t>
      </w:r>
    </w:p>
    <w:p>
      <w:pPr>
        <w:spacing w:after="0" w:line="227"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We conduct our Home Fashion segment through our wholly owned subsidiary, WestPoint Home LLC (“WPH”). WPH’s business consists of manufacturing, sourcing, marketing, distributing and selling hospitality and home fashion consumer products.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Pharma</w:t>
      </w:r>
    </w:p>
    <w:p>
      <w:pPr>
        <w:spacing w:after="0" w:line="22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8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should be read in conjunction with our consolidated financial statements and related notes contained in our Annual Report on Form 10-K for the year ended December 31, 2025.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spacing w:after="0" w:line="194"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established a captive insurance program to supplement the insurance coverage of the officers, directors, employees and agents of the Company, its subsidiaries and our general partner. We hold assets in a protected cell, which we are the primary beneficiary of, and therefore consolidate the protected cell. Our total assets related to the protected cell were $114 million and $113 million as of March 31, 2026 and December 31, 2025, respectively, and included in restricted cash in the condensed consolidated balance sheet.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4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2026 was approximately $6.4 billion and $6.2 billion, respectively. The carrying value and estimated fair value of our long-term debt as of December 31, 2025 was approximately $6.6 billion and $6.3 billion, respectively.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89" w:lineRule="exact"/>
        <w:rPr>
          <w:sz w:val="20"/>
          <w:szCs w:val="20"/>
          <w:color w:val="auto"/>
        </w:rPr>
      </w:pPr>
    </w:p>
    <w:p>
      <w:pPr>
        <w:jc w:val="both"/>
        <w:ind w:left="60" w:right="819"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Held at Consolidated Affiliated Partnerships and Restricted Cash</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$782 million and $746 million as of March 31, 2026 and December 31, 2025,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3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restricted cash balance was approximately $1.2 billion as of March 31, 2026 and December 31, 2025. Restricted cash includes, but is not limited to, our Investment segment’s cash pledged and held for margin requirements on derivative transactions and cash held related to our captive insurance program.</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Related Transactions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segments and Holding Company</w:t>
      </w:r>
    </w:p>
    <w:p>
      <w:pPr>
        <w:spacing w:after="0" w:line="185"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TEB LLC (“TEB”). </w:t>
      </w:r>
      <w:r>
        <w:rPr>
          <w:rFonts w:ascii="Times New Roman" w:cs="Times New Roman" w:eastAsia="Times New Roman" w:hAnsi="Times New Roman"/>
          <w:sz w:val="18"/>
          <w:szCs w:val="18"/>
          <w:color w:val="auto"/>
        </w:rPr>
        <w:t>In August 2025, the Company sold certain properties to TEB. TEB was formed by a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 for such developer to acquire, redevelop and operate the properties sold by the Company. In connection with the sale of the properties, the Company received cash, provided certain seller financing and also received a preferred equity interest and a profits interest in TEB. The Company did not provide any cash capital to TEB and the Company is not obligated to invest any capital contributions to support TEB or its operations in the future. The day-to-day operations of TEB’s business is the sole responsibility of the other member who serves as manager of TEB and the Company does not control those day-to-day operations. The Company has certain protective rights in connection with its preferred equity interest.</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 has evaluated its investment in and involvement with TEB and determined that the entity meets the definition of a variable interest entity. The Company determined it is not the primary beneficiary, as certain decisions related to the entity’s operations require the consent of both the Company and the other member serving as the manager. As a result, the Company does not consolidate TEB and accounts for its preferred equity investment under the equity method. As of March 31, 2026 and December 31, 2025, the carrying amount of our equity method investment in TEB was $81 million and $74 million, respectively, and is included in investments in the condensed consolidated balance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sheet. Our maximum exposure to loss in connection with our involvement in TEB is limited to the carrying value of our equity investment and related party loan receivable, which together total $213 million and $203 million as of March 31, 2026 and December 31, 2025,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the long-lived asset is not determined to be recoverable, a fair value assessment is performed.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 and Contract Balances</w:t>
      </w:r>
    </w:p>
    <w:p>
      <w:pPr>
        <w:spacing w:after="0" w:line="20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March 31, 2026, our Energy segment had $2 million of remaining performance obligations for contracts with an original expected duration of more than one year. Our Energy segment expects to recognize $2 million of these performance obligations as revenue by the end of 2026 and less than $1 million in 2027.</w:t>
      </w:r>
    </w:p>
    <w:p>
      <w:pPr>
        <w:spacing w:after="0" w:line="188" w:lineRule="exact"/>
        <w:rPr>
          <w:sz w:val="20"/>
          <w:szCs w:val="20"/>
          <w:color w:val="auto"/>
        </w:rPr>
      </w:pPr>
    </w:p>
    <w:p>
      <w:pPr>
        <w:ind w:left="60" w:right="79" w:firstLine="369"/>
        <w:spacing w:after="0" w:line="277" w:lineRule="auto"/>
        <w:rPr>
          <w:sz w:val="20"/>
          <w:szCs w:val="20"/>
          <w:color w:val="auto"/>
        </w:rPr>
      </w:pPr>
      <w:r>
        <w:rPr>
          <w:rFonts w:ascii="Times New Roman" w:cs="Times New Roman" w:eastAsia="Times New Roman" w:hAnsi="Times New Roman"/>
          <w:sz w:val="17"/>
          <w:szCs w:val="17"/>
          <w:color w:val="auto"/>
        </w:rPr>
        <w:t>In addition, deferred revenue includes agreements entered into with third-party investors that have allowed our Energy segment to monetize certain tax credits available under Section 45Q of the Internal Revenue Code (the “45Q Transaction”). Our Energy segment had deferred revenue of $43 million and $44 million as of March 31, 2026 and December 31, 2025, respectively. For the three months ended March 31, 2026 and 2025, our Energy segment recognized revenue of $12 million and $23 million, respectively, with respect to deferred revenue outstanding as of the beginning of each respective period.</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Automotive segment had deferred revenue with respect to extended warranty plans of $26 million and $28 million as of March 31, 2026 and December 31, 2025, respectively, which are included in accrued expenses and other liabilities on the condensed consolidated balance sheets. For each of the three months ended March 31, 2026 and 2025, our Automotive segment recorded deferred revenue of $5 million and $6 million, respectively, outstanding as of the beginning of each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xml:space="preserve"> and in January 2025, the FASB issued ASU 2025-01</w:t>
      </w:r>
      <w:r>
        <w:rPr>
          <w:rFonts w:ascii="Times New Roman" w:cs="Times New Roman" w:eastAsia="Times New Roman" w:hAnsi="Times New Roman"/>
          <w:sz w:val="18"/>
          <w:szCs w:val="18"/>
          <w:i w:val="1"/>
          <w:iCs w:val="1"/>
          <w:color w:val="auto"/>
        </w:rPr>
        <w:t>, 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Clarifying the Effective Date. </w:t>
      </w:r>
      <w:r>
        <w:rPr>
          <w:rFonts w:ascii="Times New Roman" w:cs="Times New Roman" w:eastAsia="Times New Roman" w:hAnsi="Times New Roman"/>
          <w:sz w:val="18"/>
          <w:szCs w:val="18"/>
          <w:color w:val="auto"/>
        </w:rPr>
        <w:t>The ASU requires disclosure of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as clarified by ASU 2025-01, is effective for the Company’s annual reporting period beginning January 1, 2027 and interim reporting periods beginning January 1, 2028 and should be applied on a retrospective or prospective basis, with early adoption permitted. We continue to evaluate the impact of adopting this standard on our consolidated financial statements.</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350-40) –Targeted Improvements to the Accounting for Internal-Use Software</w:t>
      </w:r>
      <w:r>
        <w:rPr>
          <w:rFonts w:ascii="Times New Roman" w:cs="Times New Roman" w:eastAsia="Times New Roman" w:hAnsi="Times New Roman"/>
          <w:sz w:val="18"/>
          <w:szCs w:val="18"/>
          <w:color w:val="auto"/>
        </w:rPr>
        <w:t>, which amends certain aspects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and disclosure of software costs under ASC 350-40, including the elimination of accounting consideration of software project development stages and enhancement to the guidance around the ‘probable-to-complete’ threshold. This standard is effective for the Company’s annual and interim reporting periods beginning January 1, 2028, with early adoption permitted. We continue to evaluate the potential impacts of adopting this standard on our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Funds</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total fair market value of investments in the Investment Funds made by Mr. Icahn and his affiliates (excluding us and Brett Icahn) was approximately $665 million and $908 million, respectively, representing approximately 23% and 25% of the Investment Funds’ assets under management as of each respective date. Mr. Icahn and his affiliates (excluding us and Brett Icahn) redeemed $175 million from his personal interests in the Investment Funds and the Holding Company redeemed $240 million during the three months ended March 31, 2026. In addition, during the three months ended March 31, 2026, the Holding Company redeemed $40 million in securities from the Investment Funds. There were no redemptions from the Investment Funds during the three months ended March 31, 2025.</w:t>
      </w:r>
    </w:p>
    <w:p>
      <w:pPr>
        <w:spacing w:after="0" w:line="192"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March 31, 2026 and 2025, $4 million and $3 million, respectively, was allocated to the Investment Funds based on this expense-sharing arrangement.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TEB</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August 2025, the Company sold certain properties to TEB. TEB was formed by a third-party developer to acquire, redevelop and operate the properties sold by the Company. In connection with the sale of the properties, the Company provided certain seller financing and received cash, a preferred equity interest and a profits interest in TEB. The Company did not provide any cash capital to TEB and the Company is not obligated to invest any capital contributions to support TEB or its operations in the future. The day-to-day operations of TEB’s business is the sole responsibility of the other member who serves as manager of TEB and the Company does not control those day-to-day operations. The Company has certain protective rights in connection with its preferred equity interest. The Company does not consolidate TEB and accounts for its preferred equity investment under the equity method. Entities that are recognized under the equity method of accounting are deemed to be related parties.</w:t>
      </w:r>
    </w:p>
    <w:p>
      <w:pPr>
        <w:spacing w:after="0" w:line="188"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In connection with the sale in August 2025, the Company entered into a loan agreement with TEB. As of March 31, 2026, the outstanding balance of the loan was $132 million, representing the seller-financed debt portion of the transaction. For the three months ended March 31, 2026, the Company recognized interest income of $4 million related to this loan and the interest income is included in interest and dividend income in the condensed consolidated statements of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Agreements</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 October 1, 2020, we entered into a manager agreement with Brett Icahn, the son of Mr. Icahn, and affiliates of Brett Icahn. Under the manager agreement, Brett Icahn serves as the portfolio manager of a designated portfolio of assets within the Investment Funds over a seven-year term, subject to veto rights by our Investment segment and Mr.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no redemptions during the three months ended March 31, 2026 and 2025. As of March 31, 2026 and December 31, 2025, Brett Icahn had investments in the Investment Funds with a total fair market value of $3 million and $4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56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8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ind w:left="66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cyclical</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Healthcare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Utilities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The portion of unrealized losses that related to securities still held by our Investment segment, primarily equity securities, were $65 million and $223 million for the three months ended March 31, 2026 and 2025, respectively.</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Segments and Holding Company</w:t>
      </w:r>
    </w:p>
    <w:p>
      <w:pPr>
        <w:spacing w:after="0" w:line="202" w:lineRule="exact"/>
        <w:rPr>
          <w:sz w:val="20"/>
          <w:szCs w:val="20"/>
          <w:color w:val="auto"/>
        </w:rPr>
      </w:pPr>
    </w:p>
    <w:p>
      <w:pPr>
        <w:jc w:val="both"/>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With the exception of certain equity method investments at our operating subsidiaries and our Holding Company disclosed in the table below, our investments are measured at fair value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investments held by our other segments and our Holding Company consist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18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20" w:type="dxa"/>
            <w:vAlign w:val="bottom"/>
            <w:vMerge w:val="restart"/>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restart"/>
          </w:tcPr>
          <w:p>
            <w:pPr>
              <w:spacing w:after="0"/>
              <w:rPr>
                <w:sz w:val="5"/>
                <w:szCs w:val="5"/>
                <w:color w:val="auto"/>
              </w:rPr>
            </w:pPr>
          </w:p>
        </w:tc>
        <w:tc>
          <w:tcPr>
            <w:tcW w:w="7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left="57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to maturity debt investments measured at amortized cost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measured at fair value</w:t>
            </w:r>
          </w:p>
        </w:tc>
        <w:tc>
          <w:tcPr>
            <w:tcW w:w="1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unrealized gains and (losses) that related to equity securities still held by our other segments and Holding Company for each of the three months ended March 31, 2026 and 2025.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0"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and reported at fair value are classified and disclosed in one of the following categories: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and liabilities as of the reporting date.</w:t>
      </w:r>
    </w:p>
    <w:p>
      <w:pPr>
        <w:spacing w:after="0" w:line="185" w:lineRule="exact"/>
        <w:rPr>
          <w:sz w:val="20"/>
          <w:szCs w:val="20"/>
          <w:color w:val="auto"/>
        </w:rPr>
      </w:pPr>
    </w:p>
    <w:p>
      <w:pPr>
        <w:ind w:left="380" w:right="559"/>
        <w:spacing w:after="0" w:line="258"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56" w:lineRule="exact"/>
        <w:rPr>
          <w:sz w:val="20"/>
          <w:szCs w:val="20"/>
          <w:color w:val="auto"/>
        </w:rPr>
      </w:pPr>
    </w:p>
    <w:p>
      <w:pPr>
        <w:ind w:left="380" w:right="59"/>
        <w:spacing w:after="0" w:line="261" w:lineRule="auto"/>
        <w:rPr>
          <w:sz w:val="20"/>
          <w:szCs w:val="20"/>
          <w:color w:val="auto"/>
        </w:rPr>
      </w:pPr>
      <w:r>
        <w:rPr>
          <w:rFonts w:ascii="Times New Roman" w:cs="Times New Roman" w:eastAsia="Times New Roman" w:hAnsi="Times New Roman"/>
          <w:sz w:val="18"/>
          <w:szCs w:val="18"/>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valuation of our assets and liabilities by the above fair value hierarchy levels measured on a recurring basis: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6"/>
                <w:szCs w:val="16"/>
                <w:b w:val="1"/>
                <w:bCs w:val="1"/>
                <w:color w:val="auto"/>
              </w:rPr>
              <w:t>Level 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7"/>
              </w:rPr>
              <w:t>Total</w:t>
            </w:r>
          </w:p>
        </w:tc>
        <w:tc>
          <w:tcPr>
            <w:tcW w:w="20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(Note 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$ 2,149</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net (Note 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$ 2,156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Securities sold, not yet purchased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$ 1,382</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net (Note 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RFS obligations (Note 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$ 1,382</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$ 2,049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changes in investments measured at fair value on a recurring basis for which we use Level 3 inputs to determine fair value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5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09"/>
        </w:trPr>
        <w:tc>
          <w:tcPr>
            <w:tcW w:w="3980" w:type="dxa"/>
            <w:vAlign w:val="bottom"/>
          </w:tcPr>
          <w:p>
            <w:pPr>
              <w:spacing w:after="0"/>
              <w:rPr>
                <w:sz w:val="18"/>
                <w:szCs w:val="18"/>
                <w:color w:val="auto"/>
              </w:rPr>
            </w:pPr>
          </w:p>
        </w:tc>
        <w:tc>
          <w:tcPr>
            <w:tcW w:w="2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3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spacing w:after="0"/>
              <w:rPr>
                <w:sz w:val="11"/>
                <w:szCs w:val="1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out of Level 3</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39,277 shares of Enzon Series C Non-Convertible Redeemable Preferred Stock, par value $0.01 per share (“Enzon Series C Preferred Stock”), were converted in connection with the closing of the merger of Viskase and Enzon and transferred out of Level 3.</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1, “Description of Business,” for discussion of the Viskase–Enzon merger.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 for Which We Use Level 3 Inputs to Determine Fair Value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related party loan receivable from TEB is collateral-dependent, as repayment is expected to be provided substantially through the planned sale of certain properties by TEB. As of March 31, 2026, management individually evaluated the related party loan for credit losses and determined that the expected credit losses on the loan receivable are not material due to significant collateral coverage and ongoing support of TEB by co-investors.</w:t>
      </w:r>
    </w:p>
    <w:p>
      <w:pPr>
        <w:spacing w:after="0" w:line="180"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With respect to the preferred equity investment, subsequent accounting and disclosures should not reflect a fair value approach, as the fair value option was not elected and only utilized in determining the initial carrying value. As the transaction occurred in a prior period and is not subsequently measured at fair value nor reported in the statement of financial position at fair value (either in the current or prior periods), there is no requirement for nonrecurring fair value disclosures, and the disclosures are limited to those required under ASC 323.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have entered into various types of swap contracts with other counterparties. These agreements provide that they are entitled to receive or are obligated to pay in cash an amount equal to the increase or decrease,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spacing w:after="0" w:line="18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 and to the independent amount posted on such forward contracts pursuant to the margin requirements of the relevant agreement, which is recognized in restricted cash in our consolidated balance sheets.</w:t>
      </w:r>
    </w:p>
    <w:p>
      <w:pPr>
        <w:spacing w:after="0" w:line="189"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March 31, 2026 and December 31, 2025.</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volume of our Investment segment’s derivative activities based on their notional exposure, categorized by primary underlying risk:</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Long</w:t>
            </w:r>
          </w:p>
        </w:tc>
        <w:tc>
          <w:tcPr>
            <w:tcW w:w="200" w:type="dxa"/>
            <w:vAlign w:val="bottom"/>
          </w:tcPr>
          <w:p>
            <w:pPr>
              <w:spacing w:after="0"/>
              <w:rPr>
                <w:sz w:val="16"/>
                <w:szCs w:val="16"/>
                <w:color w:val="auto"/>
              </w:rPr>
            </w:pPr>
          </w:p>
        </w:tc>
        <w:tc>
          <w:tcPr>
            <w:tcW w:w="760" w:type="dxa"/>
            <w:vAlign w:val="bottom"/>
          </w:tcPr>
          <w:p>
            <w:pPr>
              <w:jc w:val="right"/>
              <w:ind w:right="76"/>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200" w:type="dxa"/>
            <w:vAlign w:val="bottom"/>
          </w:tcPr>
          <w:p>
            <w:pPr>
              <w:spacing w:after="0"/>
              <w:rPr>
                <w:sz w:val="16"/>
                <w:szCs w:val="16"/>
                <w:color w:val="auto"/>
              </w:rPr>
            </w:pPr>
          </w:p>
        </w:tc>
        <w:tc>
          <w:tcPr>
            <w:tcW w:w="7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Long</w:t>
            </w:r>
          </w:p>
        </w:tc>
        <w:tc>
          <w:tcPr>
            <w:tcW w:w="200" w:type="dxa"/>
            <w:vAlign w:val="bottom"/>
          </w:tcPr>
          <w:p>
            <w:pPr>
              <w:spacing w:after="0"/>
              <w:rPr>
                <w:sz w:val="16"/>
                <w:szCs w:val="16"/>
                <w:color w:val="auto"/>
              </w:rPr>
            </w:pPr>
          </w:p>
        </w:tc>
        <w:tc>
          <w:tcPr>
            <w:tcW w:w="7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Short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5440" w:type="dxa"/>
            <w:vAlign w:val="bottom"/>
            <w:gridSpan w:val="8"/>
          </w:tcPr>
          <w:p>
            <w:pPr>
              <w:jc w:val="right"/>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7"/>
                <w:szCs w:val="17"/>
                <w:b w:val="1"/>
                <w:bCs w:val="1"/>
                <w:color w:val="auto"/>
              </w:rPr>
              <w:t>Exposure ​​​Exposure ​​​Exposure ​​​Exposure</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Primary underlying risk:</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contracts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2,386</w:t>
            </w:r>
          </w:p>
        </w:tc>
        <w:tc>
          <w:tcPr>
            <w:tcW w:w="0" w:type="dxa"/>
            <w:vAlign w:val="bottom"/>
          </w:tcPr>
          <w:p>
            <w:pPr>
              <w:spacing w:after="0"/>
              <w:rPr>
                <w:sz w:val="1"/>
                <w:szCs w:val="1"/>
                <w:color w:val="auto"/>
              </w:rPr>
            </w:pPr>
          </w:p>
        </w:tc>
      </w:tr>
      <w:tr>
        <w:trPr>
          <w:trHeight w:val="234"/>
        </w:trPr>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Commodity contracts</w:t>
            </w:r>
          </w:p>
        </w:tc>
        <w:tc>
          <w:tcPr>
            <w:tcW w:w="1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of our Investment segment’s derivatives that are not designated as hedging instruments in accordance with U.S. GAAP:</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816"/>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March 31, 2026  </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December 31, 2025 </w:t>
            </w: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0" w:type="dxa"/>
            <w:vAlign w:val="bottom"/>
            <w:gridSpan w:val="6"/>
          </w:tcPr>
          <w:p>
            <w:pPr>
              <w:ind w:left="50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190"/>
        </w:trPr>
        <w:tc>
          <w:tcPr>
            <w:tcW w:w="19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Netting across contract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98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types</w:t>
            </w:r>
            <w:r>
              <w:rPr>
                <w:rFonts w:ascii="Times New Roman" w:cs="Times New Roman" w:eastAsia="Times New Roman" w:hAnsi="Times New Roman"/>
                <w:sz w:val="26"/>
                <w:szCs w:val="26"/>
                <w:color w:val="auto"/>
                <w:vertAlign w:val="superscript"/>
              </w:rPr>
              <w:t>(1)</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1980" w:type="dxa"/>
            <w:vAlign w:val="bottom"/>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219" w:hanging="330"/>
        <w:spacing w:after="0" w:line="180" w:lineRule="auto"/>
        <w:tabs>
          <w:tab w:leader="none" w:pos="380" w:val="left"/>
        </w:tabs>
        <w:numPr>
          <w:ilvl w:val="0"/>
          <w:numId w:val="3"/>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Excludes netting of cash collateral received and posted. The total collateral posted at March 31, 2026 and December 31, 2025 was $1.0 billion and $1.0 billion, respectively, across all counterparties, which are included in cash held at consolidated affiliated partnerships and restricted cash in the condensed consolidated balance sheets.</w:t>
      </w:r>
    </w:p>
    <w:p>
      <w:pPr>
        <w:spacing w:after="0" w:line="183"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 (loss) recognized in the condensed consolidated statements of operations for our Investment segment’s derivatives not designated as hedging instruments: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40" w:type="dxa"/>
            <w:vAlign w:val="bottom"/>
            <w:tcBorders>
              <w:top w:val="single" w:sz="8" w:color="auto"/>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contracts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contracts</w:t>
            </w:r>
          </w:p>
        </w:tc>
        <w:tc>
          <w:tcPr>
            <w:tcW w:w="10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419" w:hanging="330"/>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(losses) recognized on derivatives are classified in net (loss) gain from investment activities in our condensed consolidated statements of operations for our Investment segment.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CVR Energy had swap positions for crack spreads that offset to 12.2 million and 3.1 million barrels at each period, respectively. As of March 31, 2026 and December 31, 2025, CVR Energy had no barrels and 75 thousand barrels of futures contracts at each period, respectively. As of March 31, 2026 and December 31, 2025, CVR Energy had forward contracts of 52 thousand and 736 thousand barrels at each period, respectively. As of March 31, 2026, CVR Energy held offsetting forward crude and crack commodity buy and sell positions of approximately 1.9 million and 0.7 million barrels, respectively. As of March 31, 2026, CVR Energy had open fixed-price commitments to purchase a net 17 million RINs. As of December 31, 2025, CVR Energy had open fixed-price commitments to purchase a net of 11 million RINs.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fair value of our Energy segment’s derivatives and the effect of the collateral netting: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 Assets</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600" w:type="dxa"/>
            <w:vAlign w:val="bottom"/>
          </w:tcPr>
          <w:p>
            <w:pPr>
              <w:spacing w:after="0"/>
              <w:rPr>
                <w:sz w:val="18"/>
                <w:szCs w:val="18"/>
                <w:color w:val="auto"/>
              </w:rPr>
            </w:pPr>
          </w:p>
        </w:tc>
        <w:tc>
          <w:tcPr>
            <w:tcW w:w="466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31,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December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March 31, 2026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7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26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Netting across contract types</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09"/>
        </w:trPr>
        <w:tc>
          <w:tcPr>
            <w:tcW w:w="260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4"/>
                <w:szCs w:val="24"/>
                <w:color w:val="auto"/>
                <w:vertAlign w:val="superscript"/>
              </w:rPr>
              <w:t>(1)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720" w:right="159" w:hanging="319"/>
        <w:spacing w:after="0" w:line="261"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netting of derivatives primarily related to initial margin requirements of $13 million and $5 million at March 31, 2026 and December 31, 2025, respectively, which was not offset against derivatives liabilities, net in the condensed consolidated balance sheets.</w:t>
      </w:r>
    </w:p>
    <w:p>
      <w:pPr>
        <w:spacing w:after="0" w:line="16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Certain derivative instruments within our Energy segment contain credit risk-related contingent provisions associated with our Energy segment’s credit ratings. If our Energy segment’s credit rating were to be downgraded below specified levels, counterparties could require our Energy segment to post additional collateral or to request immediate settlement of derivative instruments in a liability position. As of March 31, 2026, the aggregate fair value of derivative instruments in a gross liability position subject to these provisions was $178 million, for which our Energy segment has posted collateral of $74 million. Based on our Energy segment’s derivative positions and collateral posted as of March 31, 2026, our Energy segment would not have been required to post additional collateral or settle its derivative liabilities if the credit-risk related contingent provisions had been triggered at that date.</w:t>
      </w:r>
    </w:p>
    <w:p>
      <w:pPr>
        <w:spacing w:after="0" w:line="192"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(losses) gains recognized on derivatives for our Energy segment were $(182) million and $15 million for the three months ended March 31, 2026 and 2025, respectively. Losses and gains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Related Party Notes Receivable,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Related party notes receivable and its related allowance for expected credit losses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ind w:left="1080"/>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7"/>
                <w:szCs w:val="17"/>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gross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00" w:type="dxa"/>
            <w:vAlign w:val="bottom"/>
          </w:tcPr>
          <w:p>
            <w:pPr>
              <w:spacing w:after="0"/>
              <w:rPr>
                <w:sz w:val="18"/>
                <w:szCs w:val="18"/>
                <w:color w:val="auto"/>
              </w:rPr>
            </w:pP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There were no write-offs associated with related party notes receivable for the three months ended March 31, 2026. See Note 5, “Fair Value Measurements” for additional information related to the fair value of the related party notes receivable.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 Inventories, Net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 consists of the following: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3"/>
        </w:trPr>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2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
        </w:trPr>
        <w:tc>
          <w:tcPr>
            <w:tcW w:w="4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28"/>
        </w:trPr>
        <w:tc>
          <w:tcPr>
            <w:tcW w:w="4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left="47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spacing w:after="0"/>
              <w:rPr>
                <w:sz w:val="11"/>
                <w:szCs w:val="1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9"/>
        </w:trPr>
        <w:tc>
          <w:tcPr>
            <w:tcW w:w="4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4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80" w:right="5999" w:hanging="330"/>
        <w:spacing w:after="0" w:line="538" w:lineRule="auto"/>
        <w:tabs>
          <w:tab w:leader="none" w:pos="28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Net </w:t>
      </w:r>
      <w:r>
        <w:rPr>
          <w:rFonts w:ascii="Times New Roman" w:cs="Times New Roman" w:eastAsia="Times New Roman" w:hAnsi="Times New Roman"/>
          <w:sz w:val="17"/>
          <w:szCs w:val="17"/>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March 31, 2026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20"/>
                <w:szCs w:val="20"/>
                <w:color w:val="auto"/>
              </w:rPr>
            </w:pPr>
          </w:p>
        </w:tc>
      </w:tr>
      <w:tr>
        <w:trPr>
          <w:trHeight w:val="187"/>
        </w:trPr>
        <w:tc>
          <w:tcPr>
            <w:tcW w:w="20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580" w:type="dxa"/>
            <w:vAlign w:val="bottom"/>
            <w:gridSpan w:val="2"/>
          </w:tcPr>
          <w:p>
            <w:pPr>
              <w:jc w:val="right"/>
              <w:ind w:right="273"/>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600" w:type="dxa"/>
            <w:vAlign w:val="bottom"/>
            <w:gridSpan w:val="2"/>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6"/>
                <w:szCs w:val="16"/>
                <w:color w:val="auto"/>
              </w:rPr>
            </w:pPr>
          </w:p>
        </w:tc>
        <w:tc>
          <w:tcPr>
            <w:tcW w:w="320" w:type="dxa"/>
            <w:vAlign w:val="bottom"/>
            <w:gridSpan w:val="2"/>
          </w:tcPr>
          <w:p>
            <w:pPr>
              <w:jc w:val="right"/>
              <w:ind w:right="16"/>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040" w:type="dxa"/>
            <w:vAlign w:val="bottom"/>
          </w:tcPr>
          <w:p>
            <w:pPr>
              <w:spacing w:after="0"/>
              <w:rPr>
                <w:sz w:val="18"/>
                <w:szCs w:val="18"/>
                <w:color w:val="auto"/>
              </w:rPr>
            </w:pPr>
          </w:p>
        </w:tc>
        <w:tc>
          <w:tcPr>
            <w:tcW w:w="6860" w:type="dxa"/>
            <w:vAlign w:val="bottom"/>
            <w:gridSpan w:val="20"/>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6"/>
        </w:trPr>
        <w:tc>
          <w:tcPr>
            <w:tcW w:w="2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Food Packaging</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Fashion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Pharma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60" w:type="dxa"/>
            <w:vAlign w:val="bottom"/>
            <w:gridSpan w:val="2"/>
          </w:tcPr>
          <w:p>
            <w:pPr>
              <w:jc w:val="right"/>
              <w:ind w:right="253"/>
              <w:spacing w:after="0" w:line="18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5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definite-lived intangible assets was $9 million and $14 million for the three months ended March 31, 2026 and 2025,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 Segments and Holding Company</w:t>
      </w:r>
    </w:p>
    <w:p>
      <w:pPr>
        <w:spacing w:after="0" w:line="22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are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3"/>
        </w:trPr>
        <w:tc>
          <w:tcPr>
            <w:tcW w:w="52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December 31,</w:t>
            </w:r>
          </w:p>
        </w:tc>
      </w:tr>
      <w:tr>
        <w:trPr>
          <w:trHeight w:val="238"/>
        </w:trPr>
        <w:tc>
          <w:tcPr>
            <w:tcW w:w="5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29"/>
        </w:trPr>
        <w:tc>
          <w:tcPr>
            <w:tcW w:w="5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(other assets)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(accrued expenses and other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5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(property, plant and equipment,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our operating leases as of March 31, 2026 and December 31, 2025 is presented below. The lease terms and discount rates for our Energy, Automotive and Food Packaging segments represent weighted averages based on their respective lease liability balances.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Of-Use</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w:t>
            </w: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March 31, 2026</w:t>
            </w:r>
          </w:p>
        </w:tc>
        <w:tc>
          <w:tcPr>
            <w:tcW w:w="1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gridSpan w:val="2"/>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center"/>
              <w:ind w:right="1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5.0 years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8"/>
              </w:rPr>
              <w:t>5.0 years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7.6 years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0"/>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Right-</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Of-Use</w:t>
            </w:r>
          </w:p>
        </w:tc>
        <w:tc>
          <w:tcPr>
            <w:tcW w:w="3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w:t>
            </w:r>
          </w:p>
        </w:tc>
      </w:tr>
      <w:tr>
        <w:trPr>
          <w:trHeight w:val="238"/>
        </w:trPr>
        <w:tc>
          <w:tcPr>
            <w:tcW w:w="5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 as of December 31, 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Lease Term</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7"/>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 years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5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c>
          <w:tcPr>
            <w:tcW w:w="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 years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segments and Holding Company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2026 and 2025, lease cost was comprised of (i) operating lease cost of $46 million and $44 million, respectively, (ii) amortization of financing lease right-of-use assets of $3 million and $2 million, respectively, and (iii) interest expense on financing lease liabilities of less than $2 million and $1 million, respectively.</w:t>
      </w:r>
    </w:p>
    <w:p>
      <w:pPr>
        <w:spacing w:after="0" w:line="15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 accounted for $34 million and $31 million of total lease cost for each of the three months ended March 31,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Automotive</w:t>
      </w:r>
    </w:p>
    <w:p>
      <w:pPr>
        <w:spacing w:after="0" w:line="22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Our Automotive segment leases available and excess real estate in certain locations under long-term operating leases. Our Automotive segment’s revenues from operating leases were $5 million and $14 million for the three months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ended March 31, 2026 and 2025, respectively. Revenues from operating leases are included in other revenue from operations in the condensed consolidated statements of operations. Our Automotive segment’s expenses from operating leases including variable lease costs were $16 million and $24 million for the three months ended March 31, 2026 and 2025, respectively. Expenses from operating leases are included in other expenses from operations in the condensed consolidated statements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Real Estate segment leases real estate, primarily commercial properties under long-term operating leases. As of March 31, 2026 and December 31, 2025, our Real Estate segment had assets leased to others included in property, plant and equipment of $497 million and $484 million, respectively, net of accumulated depreciation. Our Real Estate segment’s revenues from operating leases were $7 million and $3 million for the three months ended March 31, 2026 and 2025, respectively. Revenues from operating leases are included in other revenue from operations in the condensed consolidated statements of operations. Our Real Estate segment’s expenses from operating leases including variable lease costs were $14 million and $7 million for the three months ended March 31, 2026 and 2025, respectively. Expenses from operating leases are included in other expenses from operations in the condensed consolidated statements of operations.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60" w:type="dxa"/>
            <w:vAlign w:val="bottom"/>
          </w:tcPr>
          <w:p>
            <w:pPr>
              <w:spacing w:after="0"/>
              <w:rPr>
                <w:sz w:val="24"/>
                <w:szCs w:val="24"/>
                <w:color w:val="auto"/>
              </w:rPr>
            </w:pP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60" w:type="dxa"/>
            <w:vAlign w:val="bottom"/>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center"/>
              <w:ind w:left="451"/>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 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 senior notes due 2026</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 senior notes due 2027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9.750% senior notes due 2029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 senior notes due 2029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9.000% senior notes due 2030</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Reporting Segments: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Holding Company debt is net of unamortized discounts, premiums, debt issuance costs and notes held in treasury.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February 2026, we redeemed all outstanding 6.250% senior unsecured notes due 2026, at par, using cash on hand.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Energy’s existing $600 million in aggregate principal amount of 8.50% senior unsecured notes due 2029 at a redemption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price equal to 104.25% of the principal amount in February 2026, resulting in a $28 million loss on extinguishment of debt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three months ended March 31, 2026, (ii) funded the partial redemption of $217 million of CVR Energy’s existing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$400 million in aggregate principal amount of 5.75% senior unsecured notes due 2028 at par in February 2026, resulting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less than $1 million loss on extinguishment of debt in the three months ended March 31, 2026, and (iii) repaid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principal balance of CVR Energy’s senior secured term loan facility, resulting in a $3 million loss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extinguishment of debt in the three months ended March 31, 2026.</w:t>
      </w:r>
    </w:p>
    <w:p>
      <w:pPr>
        <w:spacing w:after="0" w:line="20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February 2026, CVR Energy and certain of its subsidiaries entered into Amendment No. 5 (the “CVR Energy ABL Amendment”) to the Amended and Restated ABL Credit Agreement (the “CVR Energy ABL”) with a group of lenders and Wells Fargo Bank, National Association, a national banking association, as administrative agent, collateral agent and a lender. The CVR Energy ABL Amendment amended the CVR Energy ABL, dated December 20, 2012, to, among other things, (i) increase the aggregate principal amount available under the CVR Energy ABL from $345 million to $550 million, which commitments may be further increased up to $700 million in accordance with the CVR Energy ABL Amendment, (ii) extend the maturity date by an additional three years from June 30, 2027 to February 12, 2031, and (iii) make certain amendments to the borrowing base calculation and negative covenants.</w:t>
      </w:r>
    </w:p>
    <w:p>
      <w:pPr>
        <w:spacing w:after="0" w:line="8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total availability under the CVR Energy ABL and CVR Partners’ ABL Credit Agreement (the “CVR Partners ABL”) aggregated to $589 million. The CVR Energy ABL had $11 million of letters of credit outstanding as of March 31, 2026. The CVR Energy ABL matures on February 12, 2031, and the CVR Partners ABL matures on September 26, 2028.</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Non-Cash Charges to Interest Expense</w:t>
      </w:r>
    </w:p>
    <w:p>
      <w:pPr>
        <w:spacing w:after="0" w:line="22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deferred financing costs and debt discounts and premiums included in interest expense in the condensed consolidated statements of operations were $(30) million and less than $1 million for the three months ended March 31, 2026 and 2025,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Net Income (Loss) Per LP Unit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the computation of basic and diluted income (loss) per LP unit of Icahn Enterprises are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(in millions, except</w:t>
            </w:r>
          </w:p>
        </w:tc>
        <w:tc>
          <w:tcPr>
            <w:tcW w:w="1200" w:type="dxa"/>
            <w:vAlign w:val="bottom"/>
            <w:gridSpan w:val="2"/>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rPr>
              <w:t>per unit amounts)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Icahn Enterprises</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Icahn Enterprises allocated to limited partners</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00" w:type="dxa"/>
            <w:vAlign w:val="bottom"/>
            <w:gridSpan w:val="2"/>
            <w:vMerge w:val="continue"/>
          </w:tcPr>
          <w:p>
            <w:pPr>
              <w:spacing w:after="0"/>
              <w:rPr>
                <w:sz w:val="13"/>
                <w:szCs w:val="13"/>
                <w:color w:val="auto"/>
              </w:rPr>
            </w:pPr>
          </w:p>
        </w:tc>
        <w:tc>
          <w:tcPr>
            <w:tcW w:w="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(98.01% allocation)</w:t>
            </w:r>
          </w:p>
        </w:tc>
        <w:tc>
          <w:tcPr>
            <w:tcW w:w="48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80" w:type="dxa"/>
            <w:vAlign w:val="bottom"/>
            <w:gridSpan w:val="3"/>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6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6"/>
                <w:szCs w:val="16"/>
                <w:color w:val="auto"/>
              </w:rPr>
              <w:t xml:space="preserve">Basic and diluted weighted average LP units outstanding </w:t>
            </w:r>
            <w:r>
              <w:rPr>
                <w:rFonts w:ascii="Times New Roman" w:cs="Times New Roman" w:eastAsia="Times New Roman" w:hAnsi="Times New Roman"/>
                <w:sz w:val="22"/>
                <w:szCs w:val="22"/>
                <w:color w:val="auto"/>
                <w:vertAlign w:val="superscript"/>
              </w:rPr>
              <w:t>(1)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 immaterial amount of unvested RSU awards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LP Unit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 Distributions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February 23, 2026, we declared a quarterly distribution in the amount of $0.50 per depositary unit, in which each depositary unitholder had the option to make an election to receive either cash or additional depositary units. Because the depositary unitholders could elect to receive the distribution either in cash or additional depositary units, we recorded a unit distribution liability of $325 million as the unit distribution had not been made as of March 31, 2026. In addition, the unit distribution liability, which is included in accrued expenses and other liabilities in the condensed consolidated balance sheets, is considered a potentially dilutive security and is considered in the calculation of diluted income per depositary unit as disclosed above. Any difference between the liability recorded and the amount representing the aggregate value of the number of depositary units distributed and cash paid would be charged to equity.</w:t>
      </w:r>
    </w:p>
    <w:p>
      <w:pPr>
        <w:spacing w:after="0" w:line="19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April 2026, we distributed 34,841,101 depositary units to unitholders who did not elect to receive cash, of which 32,536,774 depositary units were distributed to Mr. Icahn and his affiliates. In connection with these distributions, aggregate cash distributions to all depositary unitholders that made a timely election to receive cash was $51 million, of which $25 million was distributed to Mr. Icahn and his affiliates in April 2026.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Icahn Enterprises enters into open market sale agreements providing for the sale of depositary units under its ongoing “at-the-market” offering program. As of March 31, 2026, Icahn Enterprises may sell depositary units for up to an additional $363 million in aggregate gross proceeds pursuant to the open market sale agreement entered into on August 26, 2024 (the “2024 Open Market Sale Agreement”). No assurance can be made that any or all amounts will be sold during the term of the agreement, and we have no obligation to sell additional depositary units under the 2024 Open Market Sale Agreement. Depending on market conditions, we may continue to sell depositary units under the 2024 Open Market Sale Agreement, and, if appropriate, enter into a new open market sale agreement to continue our “at-the-market” sales program once we have sold the full amount of our existing 2024 Open Market Sale Agreement. Our ability to access remaining capital under our “at-the-market” program may be limited by market conditions at the time of any future potential sale. There can be no assurance that any future capital will be available on acceptable terms or at all under this program.</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During the three months ended March 31, 2026, the Company did not repurchase any of the Company’s depositary units or fixed-rate senior notes under the Repurchase Program. Repurchased notes are extinguished but not retired when held in treasury. We remain authorized to repurchase up to $450 million of our senior notes and up to $500 million of our outstanding depositary units, in each case subject to restrictions on use of our cash contained in the indentures governing our indebtedness.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16"/>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2026</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jc w:val="right"/>
              <w:ind w:right="42"/>
              <w:spacing w:after="0" w:line="109"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40" w:type="dxa"/>
            <w:vAlign w:val="bottom"/>
          </w:tcPr>
          <w:p>
            <w:pPr>
              <w:spacing w:after="0"/>
              <w:rPr>
                <w:sz w:val="9"/>
                <w:szCs w:val="9"/>
                <w:color w:val="auto"/>
              </w:rPr>
            </w:pPr>
          </w:p>
        </w:tc>
        <w:tc>
          <w:tcPr>
            <w:tcW w:w="1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40" w:type="dxa"/>
            <w:vAlign w:val="bottom"/>
            <w:gridSpan w:val="2"/>
          </w:tcPr>
          <w:p>
            <w:pPr>
              <w:jc w:val="right"/>
              <w:ind w:right="117"/>
              <w:spacing w:after="0" w:line="109"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4"/>
          </w:tcPr>
          <w:p>
            <w:pPr>
              <w:jc w:val="right"/>
              <w:ind w:right="120"/>
              <w:spacing w:after="0" w:line="1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Holding</w:t>
            </w:r>
          </w:p>
        </w:tc>
        <w:tc>
          <w:tcPr>
            <w:tcW w:w="300" w:type="dxa"/>
            <w:vAlign w:val="bottom"/>
            <w:gridSpan w:val="2"/>
          </w:tcPr>
          <w:p>
            <w:pPr>
              <w:jc w:val="right"/>
              <w:ind w:right="177"/>
              <w:spacing w:after="0" w:line="109"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80" w:type="dxa"/>
            <w:vAlign w:val="bottom"/>
          </w:tcPr>
          <w:p>
            <w:pPr>
              <w:ind w:left="286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 xml:space="preserve">Investment </w:t>
            </w:r>
            <w:r>
              <w:rPr>
                <w:rFonts w:ascii="Times New Roman" w:cs="Times New Roman" w:eastAsia="Times New Roman" w:hAnsi="Times New Roman"/>
                <w:sz w:val="13"/>
                <w:szCs w:val="13"/>
                <w:color w:val="auto"/>
                <w:w w:val="97"/>
              </w:rPr>
              <w:t>​</w:t>
            </w: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 xml:space="preserve">Automotive </w:t>
            </w:r>
            <w:r>
              <w:rPr>
                <w:rFonts w:ascii="Times New Roman" w:cs="Times New Roman" w:eastAsia="Times New Roman" w:hAnsi="Times New Roman"/>
                <w:sz w:val="13"/>
                <w:szCs w:val="13"/>
                <w:color w:val="auto"/>
                <w:w w:val="96"/>
              </w:rPr>
              <w:t>​</w:t>
            </w:r>
          </w:p>
        </w:tc>
        <w:tc>
          <w:tcPr>
            <w:tcW w:w="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 xml:space="preserve">Packaging </w:t>
            </w:r>
            <w:r>
              <w:rPr>
                <w:rFonts w:ascii="Times New Roman" w:cs="Times New Roman" w:eastAsia="Times New Roman" w:hAnsi="Times New Roman"/>
                <w:sz w:val="13"/>
                <w:szCs w:val="13"/>
                <w:color w:val="auto"/>
                <w:w w:val="98"/>
              </w:rPr>
              <w:t>​</w:t>
            </w:r>
          </w:p>
        </w:tc>
        <w:tc>
          <w:tcPr>
            <w:tcW w:w="60" w:type="dxa"/>
            <w:vAlign w:val="bottom"/>
          </w:tcPr>
          <w:p>
            <w:pPr>
              <w:spacing w:after="0"/>
              <w:rPr>
                <w:sz w:val="13"/>
                <w:szCs w:val="13"/>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Fashion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Pharma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w w:val="74"/>
              </w:rPr>
              <w:t>(in millions)</w:t>
            </w:r>
          </w:p>
        </w:tc>
        <w:tc>
          <w:tcPr>
            <w:tcW w:w="1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2,311</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disposition of assets, net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loss (income), 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8"/>
        </w:trPr>
        <w:tc>
          <w:tcPr>
            <w:tcW w:w="28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1,967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2,206</w:t>
            </w:r>
          </w:p>
        </w:tc>
        <w:tc>
          <w:tcPr>
            <w:tcW w:w="0" w:type="dxa"/>
            <w:vAlign w:val="bottom"/>
          </w:tcPr>
          <w:p>
            <w:pPr>
              <w:spacing w:after="0"/>
              <w:rPr>
                <w:sz w:val="1"/>
                <w:szCs w:val="1"/>
                <w:color w:val="auto"/>
              </w:rPr>
            </w:pPr>
          </w:p>
        </w:tc>
      </w:tr>
      <w:tr>
        <w:trPr>
          <w:trHeight w:val="129"/>
        </w:trPr>
        <w:tc>
          <w:tcPr>
            <w:tcW w:w="2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2,340</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28"/>
        </w:trPr>
        <w:tc>
          <w:tcPr>
            <w:tcW w:w="28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2,173</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2,818</w:t>
            </w:r>
          </w:p>
        </w:tc>
        <w:tc>
          <w:tcPr>
            <w:tcW w:w="0" w:type="dxa"/>
            <w:vAlign w:val="bottom"/>
          </w:tcPr>
          <w:p>
            <w:pPr>
              <w:spacing w:after="0"/>
              <w:rPr>
                <w:sz w:val="1"/>
                <w:szCs w:val="1"/>
                <w:color w:val="auto"/>
              </w:rPr>
            </w:pPr>
          </w:p>
        </w:tc>
      </w:tr>
      <w:tr>
        <w:trPr>
          <w:trHeight w:val="128"/>
        </w:trPr>
        <w:tc>
          <w:tcPr>
            <w:tcW w:w="2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benefit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(612)</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benefit (expense)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28"/>
        </w:trPr>
        <w:tc>
          <w:tcPr>
            <w:tcW w:w="28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28"/>
        </w:trPr>
        <w:tc>
          <w:tcPr>
            <w:tcW w:w="28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4"/>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551"/>
        </w:trPr>
        <w:tc>
          <w:tcPr>
            <w:tcW w:w="2880" w:type="dxa"/>
            <w:vAlign w:val="bottom"/>
          </w:tcPr>
          <w:p>
            <w:pPr>
              <w:spacing w:after="0"/>
              <w:rPr>
                <w:sz w:val="24"/>
                <w:szCs w:val="24"/>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6"/>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2025</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jc w:val="right"/>
              <w:ind w:right="42"/>
              <w:spacing w:after="0" w:line="109"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1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40" w:type="dxa"/>
            <w:vAlign w:val="bottom"/>
          </w:tcPr>
          <w:p>
            <w:pPr>
              <w:spacing w:after="0"/>
              <w:rPr>
                <w:sz w:val="9"/>
                <w:szCs w:val="9"/>
                <w:color w:val="auto"/>
              </w:rPr>
            </w:pPr>
          </w:p>
        </w:tc>
        <w:tc>
          <w:tcPr>
            <w:tcW w:w="1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40" w:type="dxa"/>
            <w:vAlign w:val="bottom"/>
            <w:gridSpan w:val="2"/>
          </w:tcPr>
          <w:p>
            <w:pPr>
              <w:jc w:val="right"/>
              <w:ind w:right="117"/>
              <w:spacing w:after="0" w:line="109"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4"/>
          </w:tcPr>
          <w:p>
            <w:pPr>
              <w:jc w:val="right"/>
              <w:ind w:right="120"/>
              <w:spacing w:after="0" w:line="10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Holding</w:t>
            </w:r>
          </w:p>
        </w:tc>
        <w:tc>
          <w:tcPr>
            <w:tcW w:w="300" w:type="dxa"/>
            <w:vAlign w:val="bottom"/>
            <w:gridSpan w:val="2"/>
          </w:tcPr>
          <w:p>
            <w:pPr>
              <w:jc w:val="right"/>
              <w:ind w:right="177"/>
              <w:spacing w:after="0" w:line="109"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80" w:type="dxa"/>
            <w:vAlign w:val="bottom"/>
          </w:tcPr>
          <w:p>
            <w:pPr>
              <w:ind w:left="286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7"/>
              </w:rPr>
              <w:t xml:space="preserve">Investment </w:t>
            </w:r>
            <w:r>
              <w:rPr>
                <w:rFonts w:ascii="Times New Roman" w:cs="Times New Roman" w:eastAsia="Times New Roman" w:hAnsi="Times New Roman"/>
                <w:sz w:val="13"/>
                <w:szCs w:val="13"/>
                <w:color w:val="auto"/>
                <w:w w:val="97"/>
              </w:rPr>
              <w:t>​</w:t>
            </w:r>
          </w:p>
        </w:tc>
        <w:tc>
          <w:tcPr>
            <w:tcW w:w="60" w:type="dxa"/>
            <w:vAlign w:val="bottom"/>
          </w:tcPr>
          <w:p>
            <w:pPr>
              <w:spacing w:after="0"/>
              <w:rPr>
                <w:sz w:val="13"/>
                <w:szCs w:val="13"/>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 xml:space="preserve">Automotive </w:t>
            </w:r>
            <w:r>
              <w:rPr>
                <w:rFonts w:ascii="Times New Roman" w:cs="Times New Roman" w:eastAsia="Times New Roman" w:hAnsi="Times New Roman"/>
                <w:sz w:val="13"/>
                <w:szCs w:val="13"/>
                <w:color w:val="auto"/>
                <w:w w:val="96"/>
              </w:rPr>
              <w:t>​</w:t>
            </w:r>
          </w:p>
        </w:tc>
        <w:tc>
          <w:tcPr>
            <w:tcW w:w="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 xml:space="preserve">Packaging </w:t>
            </w:r>
            <w:r>
              <w:rPr>
                <w:rFonts w:ascii="Times New Roman" w:cs="Times New Roman" w:eastAsia="Times New Roman" w:hAnsi="Times New Roman"/>
                <w:sz w:val="13"/>
                <w:szCs w:val="13"/>
                <w:color w:val="auto"/>
                <w:w w:val="98"/>
              </w:rPr>
              <w:t>​</w:t>
            </w:r>
          </w:p>
        </w:tc>
        <w:tc>
          <w:tcPr>
            <w:tcW w:w="60" w:type="dxa"/>
            <w:vAlign w:val="bottom"/>
          </w:tcPr>
          <w:p>
            <w:pPr>
              <w:spacing w:after="0"/>
              <w:rPr>
                <w:sz w:val="13"/>
                <w:szCs w:val="13"/>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6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Fashion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Pharma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w w:val="74"/>
              </w:rPr>
              <w:t>(in millions)</w:t>
            </w:r>
          </w:p>
        </w:tc>
        <w:tc>
          <w:tcPr>
            <w:tcW w:w="1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8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sales</w:t>
            </w:r>
          </w:p>
        </w:tc>
        <w:tc>
          <w:tcPr>
            <w:tcW w:w="2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2,002</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revenues from operations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from investment activities</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disposition of assets, net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28"/>
        </w:trPr>
        <w:tc>
          <w:tcPr>
            <w:tcW w:w="28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348</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1,867</w:t>
            </w:r>
          </w:p>
        </w:tc>
        <w:tc>
          <w:tcPr>
            <w:tcW w:w="0" w:type="dxa"/>
            <w:vAlign w:val="bottom"/>
          </w:tcPr>
          <w:p>
            <w:pPr>
              <w:spacing w:after="0"/>
              <w:rPr>
                <w:sz w:val="1"/>
                <w:szCs w:val="1"/>
                <w:color w:val="auto"/>
              </w:rPr>
            </w:pPr>
          </w:p>
        </w:tc>
      </w:tr>
      <w:tr>
        <w:trPr>
          <w:trHeight w:val="129"/>
        </w:trPr>
        <w:tc>
          <w:tcPr>
            <w:tcW w:w="288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expenses from operations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Dividend expense</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28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Restructuring, 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29"/>
        </w:trPr>
        <w:tc>
          <w:tcPr>
            <w:tcW w:w="28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1,827</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28"/>
        </w:trPr>
        <w:tc>
          <w:tcPr>
            <w:tcW w:w="2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(Loss) income before income tax (expense) benefit</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(654)</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 (expense) benefit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29"/>
        </w:trPr>
        <w:tc>
          <w:tcPr>
            <w:tcW w:w="288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117"/>
        </w:trPr>
        <w:tc>
          <w:tcPr>
            <w:tcW w:w="28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net (loss) income attributable to non-controlling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29"/>
        </w:trPr>
        <w:tc>
          <w:tcPr>
            <w:tcW w:w="28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(loss) income attributable to Icahn Enterprises</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information:</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4"/>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60" w:right="109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condensed statements of operations by reporting segment above, we provide additional disaggregated revenue information for our Energy and Automotive segments below.</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Nitrogen fertilizer products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Borders>
              <w:top w:val="single" w:sz="8" w:color="auto"/>
            </w:tcBorders>
            <w:gridSpan w:val="2"/>
          </w:tcPr>
          <w:p>
            <w:pPr>
              <w:spacing w:after="0"/>
              <w:rPr>
                <w:sz w:val="18"/>
                <w:szCs w:val="18"/>
                <w:color w:val="auto"/>
              </w:rPr>
            </w:pP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Services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Aftermarket Parts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customers</w:t>
            </w: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Lease revenue outside the scope of ASC 606</w:t>
            </w:r>
          </w:p>
        </w:tc>
        <w:tc>
          <w:tcPr>
            <w:tcW w:w="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Automotive net sales and other revenues from operations</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3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80" w:type="dxa"/>
            <w:vAlign w:val="bottom"/>
          </w:tcPr>
          <w:p>
            <w:pPr>
              <w:spacing w:after="0"/>
              <w:rPr>
                <w:sz w:val="9"/>
                <w:szCs w:val="9"/>
                <w:color w:val="auto"/>
              </w:rPr>
            </w:pPr>
          </w:p>
        </w:tc>
        <w:tc>
          <w:tcPr>
            <w:tcW w:w="50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3"/>
              </w:rPr>
              <w:t>Investment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Estate</w:t>
            </w:r>
          </w:p>
        </w:tc>
        <w:tc>
          <w:tcPr>
            <w:tcW w:w="80" w:type="dxa"/>
            <w:vAlign w:val="bottom"/>
          </w:tcPr>
          <w:p>
            <w:pPr>
              <w:spacing w:after="0"/>
              <w:rPr>
                <w:sz w:val="13"/>
                <w:szCs w:val="13"/>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0"/>
              </w:rPr>
              <w:t>Fashion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15"/>
        </w:trPr>
        <w:tc>
          <w:tcPr>
            <w:tcW w:w="2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512</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3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w:t>
            </w:r>
          </w:p>
        </w:tc>
        <w:tc>
          <w:tcPr>
            <w:tcW w:w="0" w:type="dxa"/>
            <w:vAlign w:val="bottom"/>
          </w:tcPr>
          <w:p>
            <w:pPr>
              <w:spacing w:after="0"/>
              <w:rPr>
                <w:sz w:val="1"/>
                <w:szCs w:val="1"/>
                <w:color w:val="auto"/>
              </w:rPr>
            </w:pPr>
          </w:p>
        </w:tc>
      </w:tr>
      <w:tr>
        <w:trPr>
          <w:trHeight w:val="117"/>
        </w:trPr>
        <w:tc>
          <w:tcPr>
            <w:tcW w:w="24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Cash held at consolidated affiliated</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partnerships and restricted cash</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Related party note receivable</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927</w:t>
            </w: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3,634</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35"/>
        </w:trPr>
        <w:tc>
          <w:tcPr>
            <w:tcW w:w="248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948</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418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78</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2,197</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4,312</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4,268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433</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1,041</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12,933</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0" w:type="dxa"/>
            <w:vAlign w:val="bottom"/>
          </w:tcPr>
          <w:p>
            <w:pPr>
              <w:spacing w:after="0"/>
              <w:rPr>
                <w:sz w:val="1"/>
                <w:szCs w:val="1"/>
                <w:color w:val="auto"/>
              </w:rPr>
            </w:pPr>
          </w:p>
        </w:tc>
      </w:tr>
      <w:tr>
        <w:trPr>
          <w:trHeight w:val="117"/>
        </w:trPr>
        <w:tc>
          <w:tcPr>
            <w:tcW w:w="24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Securities sold, not yet purchased, at fair</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4,425</w:t>
            </w: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6,392</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1,423</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238</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4,865</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10,586</w:t>
            </w: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(3,824)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1,147</w:t>
            </w: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2,889</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1,110</w:t>
            </w: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195</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1,114</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(3,824)</w:t>
            </w: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2,347</w:t>
            </w: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4,312</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4,268</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1,298</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433</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1,041</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12,933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9"/>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Food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Home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Holding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3"/>
              </w:rPr>
              <w:t>Investment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Automotive</w:t>
            </w: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Packaging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Fashion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Pharma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color w:val="auto"/>
                <w:w w:val="86"/>
              </w:rPr>
              <w:t>(in millions)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1"/>
                <w:szCs w:val="11"/>
                <w:color w:val="auto"/>
              </w:rPr>
            </w:pPr>
          </w:p>
        </w:tc>
        <w:tc>
          <w:tcPr>
            <w:tcW w:w="220" w:type="dxa"/>
            <w:vAlign w:val="bottom"/>
            <w:gridSpan w:val="2"/>
          </w:tcPr>
          <w:p>
            <w:pPr>
              <w:jc w:val="right"/>
              <w:ind w:right="6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w:t>
            </w:r>
          </w:p>
        </w:tc>
        <w:tc>
          <w:tcPr>
            <w:tcW w:w="340" w:type="dxa"/>
            <w:vAlign w:val="bottom"/>
            <w:gridSpan w:val="3"/>
          </w:tcPr>
          <w:p>
            <w:pPr>
              <w:jc w:val="right"/>
              <w:ind w:right="104"/>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7"/>
              </w:rPr>
              <w:t>Cash held at consolidated affiliated partnerships</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restricted cash</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 party notes receivable,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Goodwill and intangible assets, net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1,661</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422</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236</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2,869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5,611</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4,129</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1,248</w:t>
            </w: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1,124</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212</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1,248</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Accounts payable, accrued expenses and other</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34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Securities sold, not yet purchased, at fair value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4,664</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6,616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1,988</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2,844</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793</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4,748</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10,789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Icahn Enterprises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3,623</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1,285</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455</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1,091</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(3,500)</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5,611</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4,129</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1,248</w:t>
            </w: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1,124</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212</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1,248</w:t>
            </w: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recorded an income tax benefit of $49 million on pre-tax loss of $612 million compared to an income tax benefit of $74 million on pre-tax loss of $654 million for the three months ended March 31, 2025. Our effective income tax rate was 7.97% and 11.2% for the three months ended March 31, 2026 and 2025,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lower than the statutory federal rate of 21%, for corporations, primarily due to partnership loss for which there was no tax benefit as such loss is allocated to the partners, changes in pre-tax earnings attributable to noncontrolling interests and changes in valuation allowances. For the</w:t>
      </w:r>
    </w:p>
    <w:p>
      <w:pPr>
        <w:spacing w:after="0" w:line="1" w:lineRule="exact"/>
        <w:rPr>
          <w:sz w:val="20"/>
          <w:szCs w:val="20"/>
          <w:color w:val="auto"/>
        </w:rPr>
      </w:pPr>
    </w:p>
    <w:p>
      <w:pPr>
        <w:ind w:left="60" w:right="259"/>
        <w:spacing w:after="0" w:line="290" w:lineRule="auto"/>
        <w:rPr>
          <w:sz w:val="20"/>
          <w:szCs w:val="20"/>
          <w:color w:val="auto"/>
        </w:rPr>
      </w:pPr>
      <w:r>
        <w:rPr>
          <w:rFonts w:ascii="Times New Roman" w:cs="Times New Roman" w:eastAsia="Times New Roman" w:hAnsi="Times New Roman"/>
          <w:sz w:val="17"/>
          <w:szCs w:val="17"/>
          <w:color w:val="auto"/>
        </w:rPr>
        <w:t>three months ended March 31, 2025, the effective tax rate was lower than the statutory federal rate of 21%, for corporations, primarily due to partnership loss for which there was no tax benefit as such loss is allocated to the partners.</w:t>
      </w:r>
    </w:p>
    <w:p>
      <w:pPr>
        <w:spacing w:after="0" w:line="15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Benefits,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28"/>
        </w:trPr>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Net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8"/>
                <w:szCs w:val="18"/>
                <w:color w:val="auto"/>
              </w:rPr>
            </w:pP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from non-consolidated affiliates</w:t>
            </w:r>
          </w:p>
        </w:tc>
        <w:tc>
          <w:tcPr>
            <w:tcW w:w="174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We do not believe that environmental matters will have a material adverse impact on our consolidated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Call Option Coverage Cases </w:t>
      </w:r>
      <w:r>
        <w:rPr>
          <w:rFonts w:ascii="Times New Roman" w:cs="Times New Roman" w:eastAsia="Times New Roman" w:hAnsi="Times New Roman"/>
          <w:sz w:val="18"/>
          <w:szCs w:val="18"/>
          <w:color w:val="auto"/>
        </w:rPr>
        <w:t>– The appeal filed by CVR Energy and certain of its affiliates (the “Call Defendants”)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summary judgment granted in Texas state court (the “Texas Suit”) in favor of certain of CVR Energy’s primary and excess insurers (the “Insurers”) relating to the August 2022 settlement (the “Settlement”) of the consolidated lawsuits filed by purported former unitholders of CVR Refining on behalf of themselves and an alleged class of similarly situated unitholders relating to CVR Energy’s exercise of the call option under the CVR Refining Amended and Restated Agreement of Limited Partnership, has been fully briefed but remains pending before an appellate court in Texas. In April 2026, the Call Defendants requested a status conference in the action filed by the Call Defendants in Delaware against the Insurers seeking recovery of all amounts paid in connection with the Settlement (the “Delaware Suit”), which Delaware Suit had been effectively stayed by the Delaware court pending the outcome of the Texas Suit appeal. While both cases remain pending, CVR Energy does not expect the outcome of these lawsuits to have a material adverse impact on the CVR Energy’s financial position, results of operations, or cash flows.</w:t>
      </w:r>
    </w:p>
    <w:p>
      <w:pPr>
        <w:spacing w:after="0" w:line="192" w:lineRule="exact"/>
        <w:rPr>
          <w:sz w:val="20"/>
          <w:szCs w:val="20"/>
          <w:color w:val="auto"/>
        </w:rPr>
      </w:pPr>
    </w:p>
    <w:p>
      <w:pPr>
        <w:ind w:left="60" w:right="2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RFS Disputes </w:t>
      </w:r>
      <w:r>
        <w:rPr>
          <w:rFonts w:ascii="Times New Roman" w:cs="Times New Roman" w:eastAsia="Times New Roman" w:hAnsi="Times New Roman"/>
          <w:sz w:val="18"/>
          <w:szCs w:val="18"/>
          <w:color w:val="auto"/>
        </w:rPr>
        <w:t>- The petitions for review filed by CVR Energy’s obligated-party subsidiary, Wynnewood Refining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(“WRC”) along with multiple other parties, challenging the August 2025 decisions of the U.S. Environmental Protection Agency (“EPA”) on several pending small refinery exemption (“SRE”) petitions including the August 2025 SRE Decisions, remain pending and are at an early stage. Petitions for review of the EPA’s December 2025 decisions addressing previously pending SRE petitions filed by other small refiners (together with the August 2025 SRE Decisions, the “2025 SRE Decisions”) are also pending and in preliminary stages.</w:t>
      </w:r>
    </w:p>
    <w:p>
      <w:pPr>
        <w:spacing w:after="0" w:line="184"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Certain small refineries, including WRC, have been granted leave to intervene in related proceedings brought by certain biofuels groups challenging the EPA’s issuance of SREs in the August 2025 SRE Decisions. Separately, the EPA has not yet issued a determination on WRC’s SRE petition filed in July 2025, notwithstanding the EPA’s legal obligation to act within ninety days. WRC is evaluating potential courses of action in the event the EPA fails to act or issues an adverse determination with respect to WRC’s 2025 SRE petition.</w:t>
      </w:r>
    </w:p>
    <w:p>
      <w:pPr>
        <w:spacing w:after="0" w:line="183"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Given the early stage of these matters, the Company is currently unable to estimate the potential impact on WRC’s past, current, and future obligations under the Renewable Fuel Standard (“RFS”) or on the Company’s financial position, results of operations, or cash flows; however, such impact could be material.</w:t>
      </w:r>
    </w:p>
    <w:p>
      <w:pPr>
        <w:spacing w:after="0" w:line="176"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costs to comply with the RFS obligations through the purchase of RINs, to the extent not otherwise reduced through the blending of ethanol, biodiesel, or renewable diesel, are included in cost of goods sold in the consolidated statements of operations. At each reporting period, to the extent RINs purchased or generated through blending are less than the RFS obligation (excluding the impact of exemptions or waivers to which CVR Energy’s obligated-party subsidiaries may be entitled), the remaining obligation is valued using period-end RIN market prices for the applicable or nearest vintage year. As of March 31, 2026 and December 31, 2025, CVR Energy’s obligated-party subsidiaries’ RFS liability was $204 million and $72 million, respectively, and is included in accrued expenses and other liabilities in the condensed consolidated balance sheets.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45Q Transaction</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is subject to fees of up to $15 million per year, with an overall cap at $45 million, should it fail to perform.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From time to time, we and our subsidiaries are involved in various lawsuits arising in the normal course of business. We do not believe that such normal routine litigation will have a material effect on our financial condition or results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operations. See the matters described under the caption “Other” below. Recent developments since the last periodic report of the Company are discussed below.</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171"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Guaranty Dispute </w:t>
      </w:r>
      <w:r>
        <w:rPr>
          <w:rFonts w:ascii="Times New Roman" w:cs="Times New Roman" w:eastAsia="Times New Roman" w:hAnsi="Times New Roman"/>
          <w:sz w:val="18"/>
          <w:szCs w:val="18"/>
          <w:color w:val="auto"/>
        </w:rPr>
        <w:t>– All deadlines in the 2024 action filed by one of CVR Energy’s subsidiaries in the Superior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which disputes the validity of an alleged 1993 guaranty (the “Guaranty Dispute”) asserted by Exxon Mobil Corporation (“XOM”), have been temporarily stayed until June 2026. The asserted guaranty purports to obligate the subsidiary to defend and indemnify XOM against multiple lawsuits filed against XOM between 2018 and 2025 by property owners in Louisiana alleging property contamination from oil wells. The stay is in place while the parties continue to engage in mediation . The subsidiary continues to dispute the validity of the alleged XOM guaranty. However, if these matters are ultimately resolved adversely to the Company, they could have a material, adverse effect on CVR Energy’s financial position, results of operations, or cash flows.</w:t>
      </w:r>
    </w:p>
    <w:p>
      <w:pPr>
        <w:spacing w:after="0" w:line="18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CRNF Ammonia Release </w:t>
      </w:r>
      <w:r>
        <w:rPr>
          <w:rFonts w:ascii="Times New Roman" w:cs="Times New Roman" w:eastAsia="Times New Roman" w:hAnsi="Times New Roman"/>
          <w:sz w:val="18"/>
          <w:szCs w:val="18"/>
          <w:color w:val="auto"/>
        </w:rPr>
        <w:t>– CVR Energy, CVR Partners and certain affiliates have been named in multiple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an October 2025 ammonia release at the nitrogen fertilizer facility in Coffeyville, Kansas. Following the incident, multiple contractors were evaluated and treated for potential injuries. The litigation includes personal injury and related damages claims filed in Texas state court, as well as a declaratory judgment action filed in Kansas state court by an insurance carrier seeking a determination that it has no duty to defend or indemnify the Company in connection with certain of the underlying claims. As these matters are in the preliminary stages, CVR Energy cannot yet determine whether they will have a material adverse effect on its financial position, results of operations, or cash flows.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Kansas Environmental Claims – </w:t>
      </w:r>
      <w:r>
        <w:rPr>
          <w:rFonts w:ascii="Times New Roman" w:cs="Times New Roman" w:eastAsia="Times New Roman" w:hAnsi="Times New Roman"/>
          <w:sz w:val="18"/>
          <w:szCs w:val="18"/>
          <w:color w:val="auto"/>
        </w:rPr>
        <w:t>Discovery has commenced in the lawsuit filed in the United States District Court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District of Kansas against CVR Energy, CVR Partners and certain of their affiliates (collectively, the "Kansas Defendants") by three residents of Coffeyville and a purported class of similarly situated persons seeking compensatory and punitive damages and a court-supervised medical monitoring program, arising from alleged emissions from operations at the Coffeyville Refinery and the Coffeyville Fertilizer Facility. While this matter is in its earliest stages, if ultimately concluded in a manner adverse to the Kansas Defendants, it could have a material effect on CVR Energy’s financial position, results of operations, or cash flows.</w:t>
      </w: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Pension Obligations</w:t>
      </w:r>
    </w:p>
    <w:p>
      <w:pPr>
        <w:spacing w:after="0" w:line="146" w:lineRule="exact"/>
        <w:rPr>
          <w:sz w:val="20"/>
          <w:szCs w:val="20"/>
          <w:color w:val="auto"/>
        </w:rPr>
      </w:pPr>
    </w:p>
    <w:p>
      <w:pPr>
        <w:ind w:left="60" w:right="59" w:firstLine="324"/>
        <w:spacing w:after="0" w:line="233" w:lineRule="auto"/>
        <w:rPr>
          <w:sz w:val="20"/>
          <w:szCs w:val="20"/>
          <w:color w:val="auto"/>
        </w:rPr>
      </w:pPr>
      <w:r>
        <w:rPr>
          <w:rFonts w:ascii="Times New Roman" w:cs="Times New Roman" w:eastAsia="Times New Roman" w:hAnsi="Times New Roman"/>
          <w:sz w:val="18"/>
          <w:szCs w:val="18"/>
          <w:color w:val="auto"/>
        </w:rPr>
        <w:t>Mr. Icahn, through certain affiliates, owns 100% of Icahn Enterprises GP and approximately 86% of Icahn Enterprises’ outstanding depositary units as of March 31, 2026.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20" w:lineRule="exact"/>
        <w:rPr>
          <w:sz w:val="20"/>
          <w:szCs w:val="20"/>
          <w:color w:val="auto"/>
        </w:rPr>
      </w:pPr>
    </w:p>
    <w:p>
      <w:pPr>
        <w:ind w:left="60" w:right="79" w:firstLine="324"/>
        <w:spacing w:after="0" w:line="232" w:lineRule="auto"/>
        <w:rPr>
          <w:sz w:val="20"/>
          <w:szCs w:val="20"/>
          <w:color w:val="auto"/>
        </w:rPr>
      </w:pPr>
      <w:r>
        <w:rPr>
          <w:rFonts w:ascii="Times New Roman" w:cs="Times New Roman" w:eastAsia="Times New Roman" w:hAnsi="Times New Roman"/>
          <w:sz w:val="18"/>
          <w:szCs w:val="18"/>
          <w:color w:val="auto"/>
        </w:rPr>
        <w:t>As a result of the more than 80% ownership interest in us by Mr. Icahn’s affiliates, we and our subsidiaries are subject to the pension liabilities of entities in which Mr. Icahn has a direct or indirect ownership interest of at least 80%, which include the liabilities of a pension plan sponsored by Viskase. All the minimum funding requirements of the Internal Revenue Code, as amended, and the Employee Retirement Income Security Act of 1974, as amended, for the Viskase plan have been met as of March 31, 2026. If the plan was voluntarily terminated, it would be underfunded by approximately $19 million as of March 31, 2026. These results are based on the most recent information provided by the plans’ actuary. This liability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 In addition, other entities now or in the future within the controlled group in which we are included may have pension plan obligations that are, or may become, underfunded and we would be liable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for any failure of such entity to make ongoing pension contributions or to pay the unfunded liabilities upon termination of such plan.</w:t>
      </w:r>
    </w:p>
    <w:p>
      <w:pPr>
        <w:spacing w:after="0" w:line="81" w:lineRule="exact"/>
        <w:rPr>
          <w:sz w:val="20"/>
          <w:szCs w:val="20"/>
          <w:color w:val="auto"/>
        </w:rPr>
      </w:pPr>
    </w:p>
    <w:p>
      <w:pPr>
        <w:ind w:left="60" w:right="139" w:firstLine="324"/>
        <w:spacing w:after="0"/>
        <w:rPr>
          <w:sz w:val="20"/>
          <w:szCs w:val="20"/>
          <w:color w:val="auto"/>
        </w:rPr>
      </w:pPr>
      <w:r>
        <w:rPr>
          <w:rFonts w:ascii="Times New Roman" w:cs="Times New Roman" w:eastAsia="Times New Roman" w:hAnsi="Times New Roman"/>
          <w:sz w:val="18"/>
          <w:szCs w:val="18"/>
          <w:color w:val="auto"/>
        </w:rPr>
        <w:t>The current underfunded status of the Viskase pension plan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spacing w:after="0" w:line="117" w:lineRule="exact"/>
        <w:rPr>
          <w:sz w:val="20"/>
          <w:szCs w:val="20"/>
          <w:color w:val="auto"/>
        </w:rPr>
      </w:pPr>
    </w:p>
    <w:p>
      <w:pPr>
        <w:ind w:left="60" w:right="99" w:firstLine="324"/>
        <w:spacing w:after="0" w:line="235" w:lineRule="auto"/>
        <w:rPr>
          <w:sz w:val="20"/>
          <w:szCs w:val="20"/>
          <w:color w:val="auto"/>
        </w:rPr>
      </w:pPr>
      <w:r>
        <w:rPr>
          <w:rFonts w:ascii="Times New Roman" w:cs="Times New Roman" w:eastAsia="Times New Roman" w:hAnsi="Times New Roman"/>
          <w:sz w:val="18"/>
          <w:szCs w:val="18"/>
          <w:color w:val="auto"/>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spacing w:after="0" w:line="179"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consists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4920" w:type="dxa"/>
            <w:vAlign w:val="bottom"/>
          </w:tcPr>
          <w:p>
            <w:pPr>
              <w:spacing w:after="0"/>
              <w:rPr>
                <w:sz w:val="18"/>
                <w:szCs w:val="18"/>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29"/>
        </w:trPr>
        <w:tc>
          <w:tcPr>
            <w:tcW w:w="49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Pr>
          <w:p>
            <w:pPr>
              <w:spacing w:after="0"/>
              <w:rPr>
                <w:sz w:val="11"/>
                <w:szCs w:val="1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16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 income taxes, net of payments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distributions payable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Icahn Enterprises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4, 2026, the Board of Directors of the general partner of Icahn Enterprises declared a quarterly distribution in the amount of $0.50 per depositary unit, which will be paid on or about June 25, 2026 to depositary unitholders of record at the close of business on May 18, 2026. Depositary unitholders will have until June 12,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22, 2026.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2026 (this “Report”), as well as our Annual Report on Form 10-K for the year ended December 31, 2025 filed with the Securities and Exchange Commission on February 25, 2026.</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spacing w:after="0" w:line="18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March 31, 2026 representing an aggregate 1.99% general partner interest in Icahn Enterprises and Icahn Enterprises Holdings. Mr. Icahn and his affiliates owned approximately 86% of Icahn Enterprises’ outstanding depositary units as of March 31,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February 2026, CVR Energy, Inc.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extinguishment of debt in the three months ended March 31, 2026, (ii) funded the partial redemption of $217 million of CVR Energy’s existing $400 million in aggregate principal amount of 5.75% senior unsecured notes due 2028 at par in February 2026, resulting in a less than $1 million loss on extinguishment of debt in the three months ended March 31, 2026, and (iii) repaid the aggregate principal balance of CVR Energy’s senior secured term loan facility (the “Term Loan”), resulting in a $3 million loss on extinguishment of debt in the three months ended March 31, 2026.</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Viskase Private Placement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In January 2026, Viskase completed equity private placements whereby we acquired an additional 25,862,069 shares of Viskase common stock for a purchase price of $15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Viskase Merger</w:t>
      </w:r>
    </w:p>
    <w:p>
      <w:pPr>
        <w:spacing w:after="0" w:line="2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June 20, 2025, Viskase, our majority-owned subsidiary, entered into an Agreement and Plan of Merger (as amended, the “Merger Agreement”) with Enzon Pharmaceuticals, Inc. (“Enzon”), of which we owned approximately 49% of its outstanding shares of common stock, par value $0.01 per share (the “Enzon Common Stock”) and approximately 98% of its outstanding Series C Non-Convertible Redeemable Preferred Stock, $0.01 par value per share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(“Enzon Preferred Stock”). Pursuant to the terms of the Merger Agreement, (i) a wholly-owned subsidiary of Enzon agreed to merge with and into Viskase, with Viskase surviving the merger as a wholly-owned subsidiary of Enzon (the “Merger”) and (ii) upon consummation of the Merger, each share of Viskase’s common stock, par value $0.01 per share (the “Viskase Common Stock”) issued and outstanding immediately prior to the consummation of the Merger (other than certain specified shares) is automatically converted into the right to receive a number of shares of Enzon Common Stock equal to the exchange ratio set forth in the Merger Agreement. In connection with execution of the Merger Agreement, we entered into a support agreement with Enzon and Viskase, pursuant to which we agreed to, among other things, convert our Enzon Preferred Stock into Enzon Common Stock for a number of shares of Enzon Common Stock equal to the aggregate liquidation preference of such shares of Enzon Preferred Stock, divided by the volume-weighted average price of Enzon Common Stock on the “OTCQB” tier of the OTC for the 20 trading days preceding October 24, 2025. The Merger was consummated on March 26, 2026. As a result of the Merger, the combined company now operates under the name “Viskase Holdings, Inc.” and we own approximately 94% of the outstanding common stock of the combined company.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Potential Strategic Transactions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we are considering, with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As of March 31, 2026 we own approximately 71% of the total outstanding common stock of CVR Energy and approximately 3% of the total outstanding common units of CVR Partners. As of March 31, 2026, CVR Energy, through its subsidiaries, held approximately 37% of CVR Partners’ outstanding common units and 100% of CVR Partners’ general partner interests.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 Redemption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“Investment Funds Redemptions” below under “Liquidity and Capital Resources.”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Results</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13, “Segment Reporting,” to the condensed consolidated financial statements for a reconciliation of each of our reporting segment’s results of continuing operations to our consolidated results.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Potential supply chain disruptions, geopolitical and economic instability, volatility in energy prices, the impacts of 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Quarterly Report on Form 10-Q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Increased tariffs, both by the U.S. and globally, ongoing and future trade conflicts and changes in U.S. economic trade policy, and economic uncertainty has led to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volatility. The impact of tariffs and associated impacts on global trade have not significantly affected our operating businesses as of March 31, 2026.</w:t>
      </w:r>
    </w:p>
    <w:p>
      <w:pPr>
        <w:spacing w:after="0" w:line="162"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comparability of our summarized consolidated financial results presented below is affected primarily by the performance of the Investment Funds and the results of operations of our Energy segment, impacted by the demand and pricing for its products. Refer to our respective segment discussions and “Other Consolidated Results of Operations,” below for further discussion.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Borders>
              <w:top w:val="single" w:sz="8" w:color="auto"/>
              <w:bottom w:val="single" w:sz="8" w:color="auto"/>
            </w:tcBorders>
            <w:gridSpan w:val="6"/>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top w:val="single" w:sz="8" w:color="auto"/>
              <w:bottom w:val="single" w:sz="8" w:color="auto"/>
            </w:tcBorders>
            <w:gridSpan w:val="6"/>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5"/>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2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3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0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jc w:val="right"/>
              <w:ind w:right="488"/>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60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4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3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3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4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Operating Segments:</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Energy</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Food Packaging</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Home Fashion</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Pharma</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operating segments</w:t>
            </w:r>
          </w:p>
        </w:tc>
        <w:tc>
          <w:tcPr>
            <w:tcW w:w="4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2,182</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w:t>
      </w:r>
    </w:p>
    <w:p>
      <w:pPr>
        <w:spacing w:after="0" w:line="175"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We invest our proprietary capital through various private investment funds (“Investment Funds”). As of March 31, 2026 and December 31, 2025, we had investments with a fair market value of approximately $2.2 billion and $2.7 billion, respectively in the Investment Funds. As of March 31, 2026 and December 31, 2025, the total fair market value of investments in the Investment Funds made by Mr. Icahn and his affiliates (excluding us and Brett Icahn) was approximately $665 million and $908 million, respectively. As of March 31, 2026, Mr. Icahn and his affiliates have pledged approximately $371 million of interests in the Investment Funds.</w:t>
      </w:r>
    </w:p>
    <w:p>
      <w:pPr>
        <w:spacing w:after="0" w:line="145" w:lineRule="exact"/>
        <w:rPr>
          <w:sz w:val="20"/>
          <w:szCs w:val="20"/>
          <w:color w:val="auto"/>
        </w:rPr>
      </w:pPr>
    </w:p>
    <w:p>
      <w:pPr>
        <w:ind w:left="60" w:right="79" w:firstLine="324"/>
        <w:spacing w:after="0" w:line="232" w:lineRule="auto"/>
        <w:rPr>
          <w:sz w:val="20"/>
          <w:szCs w:val="20"/>
          <w:color w:val="auto"/>
        </w:rPr>
      </w:pPr>
      <w:r>
        <w:rPr>
          <w:rFonts w:ascii="Times New Roman" w:cs="Times New Roman" w:eastAsia="Times New Roman" w:hAnsi="Times New Roman"/>
          <w:sz w:val="18"/>
          <w:szCs w:val="18"/>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2026.</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our Investment Funds’ returns were (8.2)% and (8.4)%, respectively. Our Investment Funds’ returns represent a weighted-average composite of the average returns, net of expenses. The Other category is primarily comprised of interest income earned on cash balances, collateral posted to counterparties and short rebates.</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set forth the performance attribution and net income (loss) for the Investment Funds’ returns for the three months ended March 31, 2026 and 2025, respectively, and includes performance of all investment and derivative position types including the impact of the use of leverage through options, short sales, swaps, forwards and other derivative instruments.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60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tcPr>
          <w:p>
            <w:pPr>
              <w:spacing w:after="0"/>
              <w:rPr>
                <w:sz w:val="18"/>
                <w:szCs w:val="18"/>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7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94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positions</w:t>
            </w:r>
          </w:p>
        </w:tc>
        <w:tc>
          <w:tcPr>
            <w:tcW w:w="294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positions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the Investment Funds’ performance was primarily driven by net losses in short positions, offset in part by net gains in long positions. The performance of our Investment segment’s short positions was primarily driven by net losses in the energy sector of $425 million related to losses on refining hedges, which represent certain equity and commodity derivative positions intended to serve as economic hedges against the value of CVR Energy. The performance of our Investment segment’s long positions was primarily driven by net gains from the utilities sector of $118 million.</w:t>
      </w:r>
    </w:p>
    <w:p>
      <w:pPr>
        <w:spacing w:after="0" w:line="18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Investment Funds’ performance was primarily driven by net losses in long positions, offset in part by net gains in short positions. The performance of our Investment segment’s long positions was primarily driven by net losses from the healthcare, consumer, cyclical and industrials sectors of $529 million, offset in part by net gains from the utilities sector of $119 million. The performance of our Investment segment’s short positions was primarily driven by gains from broad market hedges of $85 million, offset in part by net losses in the utilities and energy sectors of $78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Energy segment is primarily engaged in the petroleum refining and nitrogen fertilizer manufacturing businesses. The petroleum business accounted for approximately 91% and 90% of our Energy segment’s net sales for the three months ended March 31, 2026 and 2025, respectively.</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also influenced by the rate at which the processing of Refined Products adjusts to reflect these changes.</w:t>
      </w:r>
    </w:p>
    <w:p>
      <w:pPr>
        <w:spacing w:after="0" w:line="192"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addition to geopolitical conditions, including continued conflicts and tensions in the Middle East, the impact of the Russia/Ukraine conflict and recent developments in Venezuela, including continued political and economic uncertainty and sanctions-related constraints, long-term factors such as increased tariffs, ongoing and future trade conflicts and changes in U.S. economic trade policy may also impact the demand for and inventory of refined products. The recent escalation of conflicts in the Middle East, including the U.S.-Israel and Iran war, has contributed to increased volatility in global energy, oil and fertilizer markets by disrupting supply chains, key trade routes, and commodity pricing, which may impact the Energy segment’s results of operations. Additional factors that may impact the demand for and inventory of refined products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or, to the extent available, purchase renewable identification numbers (“RINs”)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supportive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17, “Commitments and Contingencies,” to the condensed consolidated financial statements for further discussion of RINs.</w:t>
      </w:r>
    </w:p>
    <w:p>
      <w:pPr>
        <w:spacing w:after="0" w:line="20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Ongoing and recently proposed changes to the U.S. global trade policy, along with actual and potential international retaliatory measures, have continued to cause volatility in global markets and uncertainty around short and long-term economic impacts in the U.S. and around the globe, including concerns over inflation, recession and slowing growth. In addition, the ongoing Russian/Ukraine war and Middle East conflicts and tensions continue to present significant geopolitical risks with direct implications to the global oil, fertilizer, and agriculture markets. Such conflicts pose significant geopolitical risks to global markets, raise concerns of major implications, such as enforcement of sanctions, can contribute to further oil price and inventory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Energy segment’s net sales, cost of goods sold and gross profit: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78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78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w:t>
            </w:r>
          </w:p>
        </w:tc>
        <w:tc>
          <w:tcPr>
            <w:tcW w:w="2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2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sales for our Energy segment increased by $334 million (20%) for the three months ended March 31, 2026 as compared to the comparable prior year period due to an increase in our petroleum business’ net sales of $325 million and an increase in our nitrogen fertilizer business’ net sales of $37 million over the comparable period. The increase in the petroleum business’ net sales was driven by higher throughput volumes in the current period as a result of the planned major maintenance turnaround at CVR Energy’s Coffeyville refinery (the “2025 Coffeyville Refinery Turnaround”) in the prior period combined with higher distillate prices, offset in part by lower revenue from sales of crude oil in 2026 due to inventory management activities during the 2025 Coffeyville Refinery Turnaround and lower gasoline prices. Our nitrogen fertilizer business’ net sales increased primarily due to favorable urea ammonium nitrate (“UAN”) and ammonia sales prices and favorable ammonia sales volumes, offset in part by decreased UAN sales volumes.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goods sold for our Energy segment increased by $347 million (20%) for the three months ended March 31, 2026 as compared to the comparable prior year period. The increase was primarily from our petroleum business, mainly due to higher throughput volumes as a result of the 2025 Coffeyville Refinery Turnaround in the prior period and unfavorable derivatives impact of $195 million, resulting primarily from losses on open crack swap positions in the current period, offset in part by favorable inventory valuation impacts of $120 million, primarily related to an increase in crude oil prices in the current period compared to a decrease in price in the previous period. Gross loss for our Energy segment increased by $13 million for the three months ended March 31, 2026 as compared to the comparable prior year period. Gross margin was (6)% for each of the three months ended March 31, 2026 and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00" w:lineRule="exact"/>
        <w:rPr>
          <w:sz w:val="20"/>
          <w:szCs w:val="20"/>
          <w:color w:val="auto"/>
        </w:rPr>
      </w:pPr>
    </w:p>
    <w:p>
      <w:pPr>
        <w:spacing w:after="0" w:line="24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7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w:t>
      </w:r>
    </w:p>
    <w:p>
      <w:pPr>
        <w:spacing w:after="0" w:line="18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its transformation plan, the Automotive segment leases available and excess real estate in certain locations under long-term operating leases previously utilized by the Aftermarket Parts business. During this multi-year transformation plan, the Automotive segment has continued investing capital to repurpose these locations for future multi-tenant use. In October and November 2025, we executed on the next phase of the transformation plan in which the Automotive segment transferred the majority of its owned real estate to the Real Estate segment. The Real Estate segment also assumed the existing leases with third party tenants from the transferred properties.</w:t>
      </w:r>
    </w:p>
    <w:p>
      <w:pPr>
        <w:spacing w:after="0" w:line="21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Automotive Services business entered into fair market value lease agreements with the Real Estate segment, which will not impact consolidated cash flows or consolidated operating expenses but will result in increased cash outflows from the Automotive segment to the Real Estate segment. We believe this will reduce the Automotive Services business’s focus on real estate activities and allow it to focus on managing its core business and executing its strategy.</w:t>
      </w:r>
    </w:p>
    <w:p>
      <w:pPr>
        <w:spacing w:after="0" w:line="180"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During the fourth quarter of 2024, the Automotive segment entered into an agreement with a tenant to terminate a group of leases, effective March 31, 2025. As a result of this termination, the segment received a lump sum termination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fee and had additional excess real estate available to lease, which has resulted in reduced cash flows during the anticipated lease-up period.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Automotive segment’s priorities include:</w:t>
      </w:r>
    </w:p>
    <w:p>
      <w:pPr>
        <w:spacing w:after="0" w:line="200" w:lineRule="exact"/>
        <w:rPr>
          <w:sz w:val="20"/>
          <w:szCs w:val="20"/>
          <w:color w:val="auto"/>
        </w:rPr>
      </w:pPr>
    </w:p>
    <w:p>
      <w:pPr>
        <w:spacing w:after="0" w:line="241" w:lineRule="exact"/>
        <w:rPr>
          <w:sz w:val="20"/>
          <w:szCs w:val="20"/>
          <w:color w:val="auto"/>
        </w:rPr>
      </w:pPr>
    </w:p>
    <w:p>
      <w:pPr>
        <w:ind w:left="880" w:right="459" w:hanging="317"/>
        <w:spacing w:after="0" w:line="26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the Automotive Services broad offerings to take advantage of opportunities in the do-it-for-me market and vehicle fleets;</w:t>
      </w:r>
    </w:p>
    <w:p>
      <w:pPr>
        <w:spacing w:after="0" w:line="1" w:lineRule="exact"/>
        <w:rPr>
          <w:rFonts w:ascii="Times New Roman" w:cs="Times New Roman" w:eastAsia="Times New Roman" w:hAnsi="Times New Roman"/>
          <w:sz w:val="18"/>
          <w:szCs w:val="18"/>
          <w:color w:val="auto"/>
        </w:rPr>
      </w:pPr>
    </w:p>
    <w:p>
      <w:pPr>
        <w:ind w:left="880" w:right="299" w:hanging="317"/>
        <w:spacing w:after="0" w:line="26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our current store footprint to keep pace with shifting market dynamics, with strategic investment in opening new locations with attractive growth potential and simultaneously closing our lowest and underperforming locations;</w:t>
      </w:r>
    </w:p>
    <w:p>
      <w:pPr>
        <w:spacing w:after="0" w:line="2" w:lineRule="exact"/>
        <w:rPr>
          <w:rFonts w:ascii="Times New Roman" w:cs="Times New Roman" w:eastAsia="Times New Roman" w:hAnsi="Times New Roman"/>
          <w:sz w:val="18"/>
          <w:szCs w:val="18"/>
          <w:color w:val="auto"/>
        </w:rPr>
      </w:pPr>
    </w:p>
    <w:p>
      <w:pPr>
        <w:ind w:left="880" w:right="219" w:hanging="317"/>
        <w:spacing w:after="0" w:line="25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and strategic review of, capital projects to increase leasing revenue, restructure lease liabilities, and reduce occupancy costs;</w:t>
      </w: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Store and Distribution Center network while improving inventory and cost position;</w:t>
      </w:r>
    </w:p>
    <w:p>
      <w:pPr>
        <w:spacing w:after="0" w:line="9"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to improve the overall customer experience through process, facilities and automation;</w:t>
      </w:r>
    </w:p>
    <w:p>
      <w:pPr>
        <w:spacing w:after="0" w:line="22"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employees with focus on training and career development; and</w:t>
      </w:r>
    </w:p>
    <w:p>
      <w:pPr>
        <w:spacing w:after="0" w:line="22" w:lineRule="exact"/>
        <w:rPr>
          <w:rFonts w:ascii="Times New Roman" w:cs="Times New Roman" w:eastAsia="Times New Roman" w:hAnsi="Times New Roman"/>
          <w:sz w:val="18"/>
          <w:szCs w:val="18"/>
          <w:color w:val="auto"/>
        </w:rPr>
      </w:pPr>
    </w:p>
    <w:p>
      <w:pPr>
        <w:ind w:left="880" w:right="199" w:hanging="317"/>
        <w:spacing w:after="0" w:line="27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improvements and sharing best practices through investments in people, technology, and our overall supply chain.</w:t>
      </w:r>
    </w:p>
    <w:p>
      <w:pPr>
        <w:spacing w:after="0" w:line="16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and other revenues from operations</w:t>
            </w:r>
          </w:p>
        </w:tc>
        <w:tc>
          <w:tcPr>
            <w:tcW w:w="14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other expenses from operations</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Net sales and other revenues from operations for our Automotive segment for the three months ended March 31, 2026 decreased by $11 million (3%) as compared to the comparable prior year period. The decrease was primarily due to the strategic closure of underperforming locations of $16 million in the current period, offset in part by price increases of $5 million.</w:t>
      </w:r>
    </w:p>
    <w:p>
      <w:pPr>
        <w:spacing w:after="0" w:line="18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goods sold and other expenses from operations for the three months ended March 31, 2026 decreased by $27 million (11%) as compared to the comparable prior year period. The decrease was mostly attributable to reduced costs from closed stores of $15 million. Gross profit for the three months ended March 31, 2026 increased by $16 million (20%) from the comparable prior year period. Gross margin was 29% and 24% for the three months ended March 31, 2026 and 2025,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Packaging</w:t>
      </w:r>
    </w:p>
    <w:p>
      <w:pPr>
        <w:spacing w:after="0" w:line="229" w:lineRule="exact"/>
        <w:rPr>
          <w:sz w:val="20"/>
          <w:szCs w:val="20"/>
          <w:color w:val="auto"/>
        </w:rPr>
      </w:pPr>
    </w:p>
    <w:p>
      <w:pPr>
        <w:jc w:val="both"/>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Implementation of the plan is causing interim disruption, but its objective is to maintain global production capability while achieving improved cost structure. The restructuring activities are expected to be substantially completed during the first half of 2026. However, we do not expect the segment to realize the efficiency and performance gains from the restructuring until later in 2026, if at all.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339" w:firstLine="324"/>
        <w:spacing w:after="0" w:line="257" w:lineRule="auto"/>
        <w:rPr>
          <w:sz w:val="20"/>
          <w:szCs w:val="20"/>
          <w:color w:val="auto"/>
        </w:rPr>
      </w:pPr>
      <w:r>
        <w:rPr>
          <w:rFonts w:ascii="Times New Roman" w:cs="Times New Roman" w:eastAsia="Times New Roman" w:hAnsi="Times New Roman"/>
          <w:sz w:val="18"/>
          <w:szCs w:val="18"/>
          <w:color w:val="auto"/>
        </w:rPr>
        <w:t>Net sales for the three months ended March 31, 2026 decreased $7 million (7%) as compared to the comparable prior year period. The decrease was primarily due to lower volumes of $13 million, offset in part by favorable effects of foreign exchange of $4 million and an increase in price and product mix of $1 million. Cost of goods sold for the</w:t>
      </w:r>
    </w:p>
    <w:p>
      <w:pPr>
        <w:spacing w:after="0" w:line="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three months ended March 31, 2026 decreased $2 million as compared to the comparable prior year period primarily due to lower volume. Gross margin as a percentage of net sales was 10% and 15% for the three months ended March 31, 2026 and 2025, respectively.</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Real Estate segment consists of investment properties which includes land, retail, office and industrial properties leased to commercial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 are included in other revenues from operations in our consolidated statements of operations. Net sales and other revenues from operations for the three months ended March 31, 2026 was primarily derived from the sale of single-family homes, resort and country club operations. Net sales and other revenues from operations for the three months ended March 31, 2025 was primarily derived from resort and country club operations.</w:t>
      </w:r>
    </w:p>
    <w:p>
      <w:pPr>
        <w:spacing w:after="0" w:line="192"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In the fourth quarter of 2025, our Automotive segment completed the transfer of a group of owned real estate properties to our Real Estate segment. Following the transfer, the Real Estate segment assumed control of the properties and will manage and lease them as part of its ongoing operations. The Real Estate segment will lease properties to the Automotive segment, which will not impact consolidated cash flows or other revenues from operations but will result in increased cash inflows to the Real Estate segment. The Real Estate segment also assumed the existing leases with third party tenants from the transferred properties.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March 31, 2026 increased $3 million (100%) as compared to the comparable prior year period due to an increase in single-family home sales. Cost of goods sold for the three months ended March 31, 2026 increased $3 million (100%) as compared to the prior year period due to an increase in single-family home sales. Gross margin as a percentage of net sales was 0% for both the three months ended March 31, 2026 and 2025.</w:t>
      </w:r>
    </w:p>
    <w:p>
      <w:pPr>
        <w:spacing w:after="0" w:line="180"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Other revenues from operations for the three months ended March 31, 2026 increased $1 million (6%) as compared to the comparable prior year period due to higher rental revenues. Other expenses from operations for the three months ended March 31, 2026 increased by $3 million (19%) as compared to the comparable prior year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 Fashion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Our Home Fashion segment is significantly influenced by the overall economic environment, including consumer spending, at the retail level, for home textile products.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2026 decreased by $2 million (5%) as compared to the comparable prior year period mostly due to lower demand from our retail business. Cost of goods sold for the three months ended March 31, 2026 increased $1 million (3%). Cost of goods sold was negatively impacted from the Iran war which resulted in lower production and higher unabsorbed costs. Gross margin as a percentage of net sales was 18% and 24% for the three months ended March 31, 2026 and 2025,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Pharma</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w:t>
      </w:r>
    </w:p>
    <w:p>
      <w:pPr>
        <w:spacing w:after="0" w:line="180" w:lineRule="exact"/>
        <w:rPr>
          <w:sz w:val="20"/>
          <w:szCs w:val="20"/>
          <w:color w:val="auto"/>
        </w:rPr>
      </w:pPr>
    </w:p>
    <w:p>
      <w:pPr>
        <w:ind w:left="60" w:right="399" w:firstLine="369"/>
        <w:spacing w:after="0" w:line="255" w:lineRule="auto"/>
        <w:rPr>
          <w:sz w:val="20"/>
          <w:szCs w:val="20"/>
          <w:color w:val="auto"/>
        </w:rPr>
      </w:pPr>
      <w:r>
        <w:rPr>
          <w:rFonts w:ascii="Times New Roman" w:cs="Times New Roman" w:eastAsia="Times New Roman" w:hAnsi="Times New Roman"/>
          <w:sz w:val="18"/>
          <w:szCs w:val="18"/>
          <w:color w:val="auto"/>
        </w:rPr>
        <w:t>Pursuant to previously announced settlement agreements, in 2025, two competitors launched competing generic products to the patent protected weight loss treatment sold within our Pharma segment in the United States, which has caused, and we anticipate will continue to cause, a moderate reduction of prescription volume in the retail pharmacy market in the United States. The Pharma segment has launched its weight loss treatment in the UAE and in several EU countries including Poland, Denmark, Finland, Sweden and Iceland. Additionally, launches in twelve other European countries and six additional countries in the Middle East are planned. We anticipate these new launches will eventually offset the lost revenue in the US.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2026 decreased $8 million (35%) as compared to the comparable prior year period primarily due to increased generic competition in the anti-obesity market resulting in decreased sales. Cost of goods sold for the three months ended March 31, 2026 decreased $4 million as compared to the comparable prior year period primarily due to decreased sales. Gross margin as a percentage of net sales was 40% and 43% for the three months ended March 31, 2026 and 2025,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Holding Company’s results of operations primarily reflect the interest expense on its senior notes for each of the three months ended March 31, 2026 and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consolidated selling, general and administrative costs during the three months ended March 31, 2026 increased by $8 million (4%) as compared to the comparable prior year period. The increase was primarily due to higher costs in the Automotive segment of $4 million mostly related to increased payroll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2026 and 2025</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consolidated interest expense during the three months ended March 31, 2026 decreased by $5 million (4%) as compared to the comparable prior year period. The decrease was primarily due to lower interest expense in our Investment segment of $5 million attributable to changes in short exposure composition, offset in part by higher interest expense in our Holding Company segment of $3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14, “Income Taxes,” to the condensed consolidated financial statements for a discussion of income taxes.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Liquidity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and other agreements.</w:t>
      </w:r>
    </w:p>
    <w:p>
      <w:pPr>
        <w:spacing w:after="0" w:line="19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our Holding Company had cash and cash equivalents of approximately $624 million and total debt of approximately $4.4 billion. As of March 31, 2026, our Holding Company had investments in the Investment Funds with a total fair market value of approximately $2.2 billion. We may redeem our direct investment in the Investment Funds upon notice. See “Investment Segment Liquidity,” including under “Investment Funds Redemptions,” below for additional information with respect to our Investment segment liquidity. See “Consolidated Cash Flows” below for additional information with respect to our Holding Company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Holding Company Borrowings and Availability</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6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Holding Company aggregate outstanding face amount of senior notes consists of the following:</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3"/>
        </w:trPr>
        <w:tc>
          <w:tcPr>
            <w:tcW w:w="22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29"/>
        </w:trPr>
        <w:tc>
          <w:tcPr>
            <w:tcW w:w="22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ind w:left="720"/>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spacing w:after="0"/>
              <w:rPr>
                <w:sz w:val="11"/>
                <w:szCs w:val="11"/>
                <w:color w:val="auto"/>
              </w:rPr>
            </w:pP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6.250% senior notes due 2026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5.250% senior notes due 2027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9.750% senior notes due 2029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 senior notes due 2029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9.000% senior notes due 2030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9"/>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outstanding face amount of senior notes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discounts, premiums, and debt issuance costs</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5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Notes held in treasury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0"/>
        </w:trPr>
        <w:tc>
          <w:tcPr>
            <w:tcW w:w="2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58" w:lineRule="exact"/>
        <w:rPr>
          <w:sz w:val="20"/>
          <w:szCs w:val="20"/>
          <w:color w:val="auto"/>
        </w:rPr>
      </w:pPr>
    </w:p>
    <w:p>
      <w:pPr>
        <w:ind w:left="380" w:right="7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total debt is net of notes held in treasury of $73 million aggregate principal amount of our 5.250% senior notes due 2027, $92 million aggregate principal amount of our 4.375% senior notes due 2029, and $50 million aggregate principal amount of our 9.000% senior notes due 2030. At December 31, 2025 total debt is net of notes held in treasury of $31 million aggregate principal amount of our 6.250% senior notes due 2026, $73 million aggregate principal amount of our 5.250% senior notes due 2027, and $92 million aggregate principal amount of our 4.375% senior notes due 2029.</w:t>
      </w:r>
    </w:p>
    <w:p>
      <w:pPr>
        <w:spacing w:after="0" w:line="181"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February, 2026, we redeemed all outstanding 6.250% senior notes due 2026, at par, using cash on hand.</w:t>
      </w:r>
    </w:p>
    <w:p>
      <w:pPr>
        <w:spacing w:after="0" w:line="22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spacing w:after="0" w:line="18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will be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we were in compliance with all covenants, including maintaining certain minimum financial ratios, as defined in the indentures. Additionally, as of March 31, 2026, based on covenants in the indentures governing our senior notes, we are not permitted to incur additional indebtedness; however, we are permitted to issue new notes in connection with debt refinancings of existing notes.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LP Unit Distributions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February 23, 2026, we declared a quarterly distribution in the amount of $0.50 per depositary unit, in which each depositary unitholder had the option to make an election to receive either cash or additional depositary units. Because the depositary unitholders could elect to receive the distribution either in cash or additional depositary units, we recorded a unit distribution liability of $325 million as the unit distribution had not been made as of March 31, 2026.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9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April 2026, we distributed 34,841,101 depositary units to unitholders who did not elect to receive cash, of which 32,536,774 depositary units were distributed to Mr. Icahn and his affiliates. In connection with these distributions, aggregate cash distributions to all depositary unitholders that made a timely election to receive cash was $51 million, of which $25 million was distributed to Mr. Icahn and his affiliates in April 2026.</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4, 2026, the Board of Directors of the general partner of Icahn Enterprises declared a quarterly distribution in the amount of $0.50 per depositary unit, which will be paid on or about June 25, 2026 to depositary unitholders of record at the close of business on May 18, 2026. Depositary unitholders will have until June 12,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June 22, 2026. Icahn Enterprises will make a cash payment in lieu of issuing fractional depositary units to any unitholders electing to receive (or who are deemed to have elected to receive) depositary units.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Icahn Enterprises enters into open market sale agreements providing for the sale of depositary units under its ongoing “at-the-market” offering program. As of March 31, 2026, Icahn Enterprises may sell depositary units for up to an additional $363 million in aggregate gross proceeds pursuant to the open market sale agreement entered into on August 26, 2024 (the “2024 Open Market Sale Agreement”). No assurance can be made that any or all amounts will be sold during the term of the agreement, and we have no obligation to sell additional depositary units under the 2024 Open Market Sale Agreement. Depending on market conditions, we may continue to sell depositary units under the 2024 Open Market Sale Agreement, and, if appropriate, enter into a new open market sale agreement to continue our “at-the-market” sales program once we have sold the full amount of our existing 2024 Open Market Sale Agreement. Our ability to access remaining capital under our “at-the-market” program may be limited by market conditions at the time of any future potential sale. There can be no assurance that any future capital will be available on acceptable terms or at all under this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Repurchase Authorization</w:t>
      </w:r>
    </w:p>
    <w:p>
      <w:pPr>
        <w:spacing w:after="0" w:line="227"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three months ended March 31, 2026, the Company did not repurchase any of the Company’s depositary units or fixed-rate senior notes under the Repurchase Program. Repurchased notes are extinguished but not retired when held in treasury. We remain authorized to repurchase up to $450 million of our senior notes and up to $500 million of our outstanding depositary units, in each case subject to restrictions on use of our cash contained in the indentures governing our indebtedness.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Segment Liquidity</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cash held at consolidated affiliated partnerships balance was $782 million and $746 million as of March 31, 2026 and December 31, 2025,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8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Additionally, our Investment segment liquidity is driven by the investment activities and performance of the Investment Funds. As of March 31, 2026, the Investment Funds had a net short notional exposure of 29%. The Investment Funds’ long exposure was 100% (100% long equity) and its short exposure was 129% (114% short equity and 15% short commodity). The notional exposure represents the ratio of the notional exposure of the Investment Funds’ invested capital to the net asset value of the Investment Funds at March 31, 2026.</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Of the Investment Funds’ 100% long exposure, 53% was comprised of the fair value of its long positions and 47% was comprised mostly of single name equity forward and swap contracts. Of the Investment Funds’ 129% short exposure, 26% was comprised of the fair value of its short positions and 103% was comprised mostly of short broad market index swap derivative contracts and short commodity contracts.</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With respect to both our long positions that are not notionalized (53% long exposure) and our short positions that are not notionalized (26%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With respect to the notional value of our other long positions (47% long exposure) and short positions (103%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Funds Redemption</w:t>
      </w:r>
    </w:p>
    <w:p>
      <w:pPr>
        <w:spacing w:after="0" w:line="227" w:lineRule="exact"/>
        <w:rPr>
          <w:sz w:val="20"/>
          <w:szCs w:val="20"/>
          <w:color w:val="auto"/>
        </w:rPr>
      </w:pPr>
    </w:p>
    <w:p>
      <w:pPr>
        <w:ind w:left="60" w:right="219" w:firstLine="324"/>
        <w:spacing w:after="0" w:line="274" w:lineRule="auto"/>
        <w:rPr>
          <w:sz w:val="20"/>
          <w:szCs w:val="20"/>
          <w:color w:val="auto"/>
        </w:rPr>
      </w:pPr>
      <w:r>
        <w:rPr>
          <w:rFonts w:ascii="Times New Roman" w:cs="Times New Roman" w:eastAsia="Times New Roman" w:hAnsi="Times New Roman"/>
          <w:sz w:val="17"/>
          <w:szCs w:val="17"/>
          <w:color w:val="auto"/>
        </w:rPr>
        <w:t>During the three months ended March 31, 2026, Mr. Icahn and his affiliates (excluding us and Brett Icahn) redeemed $175 million from his personal interest in the Investment Funds and the Holding Company redeemed $240 million. In addition, during the three months ended March 31, 2026, the Holding Company redeemed $40 million in securities from the Investment Funds. As of March 31, 2026 and December 31, 2025, the total fair market value of investments in the Investment Funds owned by the Company was approximately $2.2 billion and $2.7 billion, respectively, representing approximately 77% and 75% of the Investment Funds’ assets under management as of each respective date.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Segment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Cash and Cash Equivalents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17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left="47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9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7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Segment Borrowings and Availability</w:t>
            </w:r>
          </w:p>
        </w:tc>
        <w:tc>
          <w:tcPr>
            <w:tcW w:w="1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debt consists of the following:</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19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center"/>
              <w:ind w:left="472"/>
              <w:spacing w:after="0" w:line="129" w:lineRule="exact"/>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9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1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4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-10795</wp:posOffset>
            </wp:positionV>
            <wp:extent cx="1440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i w:val="1"/>
          <w:iCs w:val="1"/>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-126365</wp:posOffset>
            </wp:positionV>
            <wp:extent cx="1440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7"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w:t>
      </w:r>
    </w:p>
    <w:p>
      <w:pPr>
        <w:spacing w:after="0" w:line="3"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104.250% of the principal amount in February 2026, resulting in a $28 million loss on extinguishment of debt in the three months ended March 31, 2026, (ii) funded the partial redemption of $217 million of CVR Energy’s existing $400 million in aggregate principal amount of 5.75% senior unsecured notes due 2028 at par in February 2026, resulting in a less than $1 million loss on extinguishment of debt in the three months ended March 31, 2026, and (iii) repaid the aggregate principal balance of CVR Energy’s Term Loan, resulting in a $3 million loss on extinguishment of debt in the three months ended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February 2026, CVR Energy and certain of its subsidiaries entered into Amendment No. 5 (the “CVR Energy ABL Amendment”) to the Amended and Restated ABL Credit Agreement (the “CVR Energy ABL”) with a group of lenders, including Wells Fargo Bank, National Association, a national banking association, as administrative agent, collateral agent and a lender. The CVR Energy ABL Amendment amended the CVR Energy ABL, dated December 20, 2012, to, among other things, (i) increase the aggregate principal amount available under the CVR Energy ABL from $345 million to $550 million, which commitments may be further increased up to $700 million in accordance with the CVR Energy ABL Amendment, (ii) extend the maturity date by an additional three years from June 30 2027, to February 12, 2031, and (iii) make certain amendments to the borrowing base calculation and negative covenants.</w:t>
      </w:r>
    </w:p>
    <w:p>
      <w:pPr>
        <w:spacing w:after="0" w:line="8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total availability under the CVR Energy ABL and CVR Partners’ ABL Credit Agreement (the “CVR Partners ABL”) aggregated to $589 million. The CVR Energy ABL had $11 million of letters of credit outstanding as of March 31, 2026. The CVR Energy ABL matures on February 12, 2031, and the CVR Partners ABL matures on September 26, 2028.</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Refer to our Annual Report on Form 10-K for the year ended December 31, 2025 for information concerning terms, restrictions and covenants pertaining to our subsidiaries’ debt. As of March 31, 2026, all of our subsidiaries were in compliance with all debt covenants.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segments have additional borrowing availability under certain revolving credit facilities as summarized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5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142"/>
        </w:trPr>
        <w:tc>
          <w:tcPr>
            <w:tcW w:w="4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4"/>
                <w:szCs w:val="14"/>
                <w:color w:val="auto"/>
              </w:rPr>
              <w:t>(in millions)</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Food Packaging</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Fashion</w:t>
            </w:r>
          </w:p>
        </w:tc>
        <w:tc>
          <w:tcPr>
            <w:tcW w:w="3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0"/>
        </w:trPr>
        <w:tc>
          <w:tcPr>
            <w:tcW w:w="4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above outstanding debt and additional borrowing availability with respect to each of our continued operating segments reflects third-party obligations.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22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cash flow information for Icahn Enterprises’ reporting segments and our Holding Company:</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7620</wp:posOffset>
            </wp:positionV>
            <wp:extent cx="1739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7620</wp:posOffset>
            </wp:positionV>
            <wp:extent cx="17748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p>
      <w:pPr>
        <w:spacing w:after="0" w:line="20" w:lineRule="exact"/>
        <w:rPr>
          <w:sz w:val="20"/>
          <w:szCs w:val="20"/>
          <w:color w:val="auto"/>
        </w:rPr>
      </w:pPr>
    </w:p>
    <w:p>
      <w:pPr>
        <w:sectPr>
          <w:pgSz w:w="11900" w:h="16838" w:orient="portrait"/>
          <w:cols w:equalWidth="0" w:num="2">
            <w:col w:w="5760" w:space="640"/>
            <w:col w:w="26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Investing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40" w:type="dxa"/>
            <w:vAlign w:val="bottom"/>
            <w:vMerge w:val="continue"/>
          </w:tcPr>
          <w:p>
            <w:pPr>
              <w:spacing w:after="0"/>
              <w:rPr>
                <w:sz w:val="8"/>
                <w:szCs w:val="8"/>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20"/>
              <w:spacing w:after="0" w:line="97"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Investing</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240" w:type="dxa"/>
            <w:vAlign w:val="bottom"/>
            <w:gridSpan w:val="2"/>
            <w:vMerge w:val="continue"/>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20" w:type="dxa"/>
            <w:vAlign w:val="bottom"/>
            <w:gridSpan w:val="2"/>
            <w:vMerge w:val="continue"/>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20" w:type="dxa"/>
            <w:vAlign w:val="bottom"/>
            <w:gridSpan w:val="2"/>
            <w:vMerge w:val="continue"/>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240" w:type="dxa"/>
            <w:vAlign w:val="bottom"/>
            <w:gridSpan w:val="2"/>
            <w:vMerge w:val="continue"/>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Activities</w:t>
            </w:r>
          </w:p>
        </w:tc>
        <w:tc>
          <w:tcPr>
            <w:tcW w:w="240" w:type="dxa"/>
            <w:vAlign w:val="bottom"/>
            <w:gridSpan w:val="2"/>
            <w:vMerge w:val="continue"/>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Packaging</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Home Fashion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Pharma</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operating segments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before 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Eliminations</w:t>
      </w:r>
    </w:p>
    <w:p>
      <w:pPr>
        <w:spacing w:after="0" w:line="22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Holding Company</w:t>
      </w: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120" w:type="dxa"/>
            <w:vAlign w:val="bottom"/>
          </w:tcPr>
          <w:p>
            <w:pPr>
              <w:spacing w:after="0"/>
              <w:rPr>
                <w:sz w:val="17"/>
                <w:szCs w:val="17"/>
                <w:color w:val="auto"/>
              </w:rPr>
            </w:pPr>
          </w:p>
        </w:tc>
        <w:tc>
          <w:tcPr>
            <w:tcW w:w="4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2026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interest on senior unsecured notes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 and other</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from the Investment Funds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segments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to operating segments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and repurchases of Holding Company senior unsecured notes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subsidiaries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 restricted</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20" w:type="dxa"/>
            <w:vAlign w:val="bottom"/>
            <w:vMerge w:val="continue"/>
          </w:tcPr>
          <w:p>
            <w:pPr>
              <w:spacing w:after="0"/>
              <w:rPr>
                <w:sz w:val="13"/>
                <w:szCs w:val="13"/>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Operating transactions with subsidiaries includes the reimbursement of operating expenses to our Investment segment based on an expense-sharing agreement.</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Distributions paid from the Investment Funds include a distribution paid, which includes payment to the Holding Company, and are eliminated in consolidation.</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Cash from operating segments is made up of dividends, distributions, and repayments of intercompany loans that are eliminated in consolidation. During the three months ended March 31, 2026, this includes cash from our Real Estate segment of $4 million, cash from our Home Fashion segment of $1 million and cash from our Pharma segment of $1 million.</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 operating segments is made up of intercompany loans and contributions to operating segments that are eliminated in consolidation. During the three months ended March 31, 2026, changes in cash to operating segments was mainly attributable to cash paid to our Automotive segment of $126 million and our Real Estate segment of $12 million.</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Payments to acquire additional interests in subsidiaries represent payments to acquire additional interests in CVR Energy of $16 million and the private placements of Viskase of $15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Subsidiary Dividends</w:t>
      </w:r>
    </w:p>
    <w:p>
      <w:pPr>
        <w:spacing w:after="0" w:line="22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For the first quarter of 2026, our Energy segment declared a cash dividend of $0.10 per share, which is payable May 18, 2026 to shareholders of record as of May 11, 2026. Our portion of the dividend is estimated to be approximately $7 million in cash.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Investment Segment</w:t>
      </w:r>
    </w:p>
    <w:p>
      <w:pPr>
        <w:spacing w:after="0" w:line="227"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Our Investment segment’s cash flows from operating activities for the comparable periods were attributable to its net investment transactions.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Operating Segments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flow from operating activities before changes in operating assets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Turnaround expenditures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equity method investment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and distributions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reverse recapitalization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from Holding Company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to Holding Company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acquire additional interests in consolidated subsidiaries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62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Effect of exchange rate changes on cash and cash equivalents and restricted cash and</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Decrease (increase) in cash and cash equivalents and restricted cash and restricted</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Our other operating segments’ cash flows from operating activities before changes in operating assets and liabilities were primarily attributable to the results of our Energy segment during both periods. The change in cash flows from operating activities for the three months ended March 31, 2026 as compared to the comparable prior year was primarily due to an increase in the operating results of our Energy segment.</w:t>
      </w:r>
    </w:p>
    <w:p>
      <w:pPr>
        <w:spacing w:after="0" w:line="180"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Capital expenditures and turnaround expenditures are primarily from our Energy and Automotive segments and are primarily for maintenance and growth, including the planned maintenance of one of the Energy segment’s refineries in the comparable prior year period.</w:t>
      </w:r>
    </w:p>
    <w:p>
      <w:pPr>
        <w:spacing w:after="0" w:line="176"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Proceeds from other borrowings are related to our Energy segment’s issuance of $1 billion aggregate principal amount of notes, consisting of $600 million of 7.50% senior notes due February 2031 and $400 million of 7.875% senior notes due February 2034.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Repayments of other borrowings are primarily related to our Energy segment’s principal payments of $817 million on its senior notes due 2029 and senior notes due 2028 and principal payments of $157 million on the Term Loan during 2026.</w:t>
      </w:r>
    </w:p>
    <w:p>
      <w:pPr>
        <w:spacing w:after="0" w:line="14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Cash from Holding Company is made up of intercompany loans and contributions between our Holding Company and subsidiaries that are eliminated in consolidation. During the three months ended March 31, 2026, changes in cash to operating segments was mainly attributable to cash paid to our Automotive segment of $126 million and our Real Estate segment of $12 million.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Cash to Holding Company is made up of dividends, distributions, and repayments of intercompany loans that are eliminated in consolidation. During the three months ended March 31, 2026, this includes cash distributions paid from our Real Estate segment of $4 million, cash paid from our Home Fashion segment of $1 million and cash paid from our Pharma segment of $1 million.</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Proceeds from the acquisition of additional interests in consolidated subsidiaries are related to the Food Packaging private placements of $15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Capital Expenditures</w:t>
      </w:r>
    </w:p>
    <w:p>
      <w:pPr>
        <w:spacing w:after="0" w:line="229" w:lineRule="exact"/>
        <w:rPr>
          <w:sz w:val="20"/>
          <w:szCs w:val="20"/>
          <w:color w:val="auto"/>
        </w:rPr>
      </w:pPr>
    </w:p>
    <w:p>
      <w:pPr>
        <w:ind w:left="60" w:right="7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planned capital expenditures as compared to the estimated capital expenditures for 2026 reported in our Annual Report on Form 10-K for the year ended December 31, 2025.</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Refer to Note 2, “Basis of Presentation and Summary of Significant Accounting Policies,” to the condensed consolidated financial statements for a discussion of recent accounting pronouncements applicable to us.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Except as discussed below, information about our quantitative and qualitative disclosures about market risk did not differ materially from those disclosed in our Annual Report on Form 10-K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predominant exposure to market risk is related to our Investment segment and the sensitivities to movements in the fair value of the Investment Funds’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w:t>
      </w:r>
    </w:p>
    <w:p>
      <w:pPr>
        <w:spacing w:after="0" w:line="227"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2026, we estimate that in the event of a 10% adverse change in the fair value of these investments, the fair values of securities owned, securities sold, not yet purchased and derivatives would be negatively impacted by approximately $153 million, $75 million and $429 million, respectively. However, as of March 31, 2026, we estimate that the impact to our share of the net gain (loss) from investment activities reported in our condensed consolidated statement of operations would be less than the change in fair value since we have an interest of approximately 77% in the Investment Funds.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 Except for the lawsuits and proceedings disclosed in Note 17, there were no material changes to our lawsuits and proceedings as compared to those reported in our Annual Report on Form 10-K for the year ended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risk factors during the three months ended March 31, 2026 as compared to those reported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repurchase any depositary units pursuant to our approved repurchase program discussed above.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16a-f(1), adopted or terminated a “Rule 10b5-1 trading arrangement” or a “non-Rule 10b5-1 trading arrangement,” each as defined in Regulation S-K Item 408.</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Resignation of President and Chief Executive Officer of the Company</w:t>
      </w:r>
    </w:p>
    <w:p>
      <w:pPr>
        <w:spacing w:after="0" w:line="227" w:lineRule="exact"/>
        <w:rPr>
          <w:sz w:val="20"/>
          <w:szCs w:val="20"/>
          <w:color w:val="auto"/>
        </w:rPr>
      </w:pPr>
    </w:p>
    <w:p>
      <w:pPr>
        <w:jc w:val="both"/>
        <w:ind w:left="60" w:right="79" w:firstLine="562"/>
        <w:spacing w:after="0" w:line="266" w:lineRule="auto"/>
        <w:rPr>
          <w:sz w:val="20"/>
          <w:szCs w:val="20"/>
          <w:color w:val="auto"/>
        </w:rPr>
      </w:pPr>
      <w:r>
        <w:rPr>
          <w:rFonts w:ascii="Times New Roman" w:cs="Times New Roman" w:eastAsia="Times New Roman" w:hAnsi="Times New Roman"/>
          <w:sz w:val="18"/>
          <w:szCs w:val="18"/>
          <w:color w:val="auto"/>
        </w:rPr>
        <w:t>On May 6, 2026, Andrew J. Teno resigned as President and Chief Executive Officer of the Company and of Icahn Enterprises GP and Icahn Enterprises Holdings, and as a member of the Board. Mr. Teno’s resignation was not the result of any disagreement on any matter involving the Company’s or Icahn Enterprises GP’s operations, practices, or policies.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his resignation, the Company and Mr. Teno entered into a separation letter agreement (the “Teno Separation Agreement”) pursuant to which, among other things, the Company agreed to release Mr. Teno from his non-competition obligations under his employment agreement, subject to certain limitations during the period following his separation. The foregoing description of the terms of the Teno Separation Agreement does not purport to be complete and is qualified in its entirety by reference to the Teno Separation Agreement, which is filed as Exhibit 10.1 hereto, and is incorporated by reference herein.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Appointment of President and Chief Executive Officer</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6, 2026, the Company announced the appointment of Ted Papapostolou, the Company’s former Chief Financial Officer and a current member of the Board, as President and Chief Executive Officer of the Company, Icahn Enterprises GP, and Icahn Enterprises Holdings, effective as of May 6, 2026.</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Mr. Papapostolou has served as Chief Financial Officer of the Company (and Icahn Enterprises GP) since November 2021. In addition, Mr. Papapostolou has served as a member of the Board since December 2021 and its Secretary since April 2020. Mr. Papapostolou previously served as the Chief Accounting Officer of the Company from April 2020 to December 2023 and in various progressive accounting positions at the Company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a director of Caesars Entertainment, Inc. since March 2025. Mr. Papapostolou previously served as a director of Viskase Companies, Inc., from April 2020 to March 2025 and CVR Energy, Inc., from March 2023 to March 2025.</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than as described or incorporated by reference herein, there are no arrangements or understandings between Mr. Papapostolou and any other persons pursuant to which he was selected as President and Chief Executive Officer, and he has no direct or indirect material interest in any transaction required to be disclosed pursuant to Item 404(a) of Regulation S-K.</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Letter with Mr. Papapostolou</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4, 2026, in connection with his appointment as President and Chief Executive Officer, the Company entered into an employment letter agreement with Mr. Papapostolou (the “Papapostolou Employment Letter”). The Papapostolou Employment Letter supersedes and replaces in its entirety that certain offer letter agreement by and between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Mr. Papapostolou dated September 26, 2024. Pursuant to the Papapostolou Employment Letter, Mr. Papapostolou will serve as President and Chief Executive Officer of the Company and certain of its subsidiaries, for a term through October 31, 2028, unless earlier terminated in accordance with the terms of the Papapostolou Employment Letter (the “Papapostolou Term”). If Mr. Papapostolou’s employment with the Company continues past the Papapostolou Term, his compensation will be determined by the Board. Upon the effectiveness of the Papapostolou Employment Letter, Mr. Papapostolou’s previously disclosed NAV incentive program was terminated in full without payment (other than any accrued but unpaid portion of Mr. Papapostolou’s salary “draw” as of the date of the Papapostolou Employment Letter).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Papapostolou Term, Mr. Papapostolou will receive a base salary in the annualized amount of $3,500,000.</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during the Papapostolou Term, Mr. Papapostolou will be eligible to receive a series of up to eleven (11) separate grants (“Quarterly Awards”), in the form of cash-settled deferred depositary units (“Deferred Depositary Units”) of the Company pursuant to the Company’s 2017 Long-Term Incentive Plan (as amended, the “Plan”), with the number of Deferred Depositary Units subject to each grant determined by dividing (x) $250,000, by (y) the volume weighted average price (“VWAP”) of one (1) depositary unit of the Company for the five (5) trading day-period commencing on the trading day immediately following the date of the Company’s applicable quarterly earnings call to which the applicable Quarterly Award relates and ending on the fifth (5th) trading day thereafter, with such VWAP calculated in accordance with the Company’s then-applicable VWAP calculation methodology (and with each such grant of a Quarterly Award subject to Mr. Papapostolou’s active employment in good standing with the Company on the date of grant). The Deferred Depositary Units are eligible to accrue dividend equivalents and are generally scheduled to cliff-vest on October 31, 2028, subject to Mr. Papapostolou’s continued employment with the Company in good standing through such date, except as otherwise described below.</w:t>
      </w:r>
    </w:p>
    <w:p>
      <w:pPr>
        <w:spacing w:after="0" w:line="19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Although during the Papapostolou Term Mr. Papapostolou will generally be entitled to participate in all benefit programs and plans made available to other executives of the Company, he will not be entitled to participate in any short-term or long-term incentive compensation program (other than the Quarterly Awards), unless the Board (or a committee of the Board) determines otherwise in its sole discretion.</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Mr. Papapostolou’s employment is terminated by the Company without “Cause” (including due to Mr. Papapostolou’s death or disability) or by Mr. Papapostolou with “Good Reason” (each as defined in the Papapostolou Employment Letter), Mr. Papapostolou will be eligible to receive (subject to Mr. Papapostolou’s timely execution and non-revocation of a release of claims) the following severance payments and benefits: (i) a lump sum amount of $3,500,000;</w:t>
      </w:r>
    </w:p>
    <w:p>
      <w:pPr>
        <w:spacing w:after="0" w:line="3" w:lineRule="exact"/>
        <w:rPr>
          <w:sz w:val="20"/>
          <w:szCs w:val="20"/>
          <w:color w:val="auto"/>
        </w:rPr>
      </w:pPr>
    </w:p>
    <w:p>
      <w:pPr>
        <w:jc w:val="both"/>
        <w:ind w:left="60" w:right="59" w:hanging="10"/>
        <w:spacing w:after="0" w:line="253" w:lineRule="auto"/>
        <w:tabs>
          <w:tab w:leader="none" w:pos="3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cash settlement of any previously granted and unvested Quarterly Awards (including any accrued dividend equivalents); and (iii) an additional cash amount of $250,000 for each additional Quarterly Award that Mr. Papapostolou would have been eligible to be granted had Mr. Papapostolou’s employment with the Company continued through October 31, 2028.</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his compensation from the Company, Mr. Papapostolou will be entitled to retain any remuneration in respect of any board of directors (or similar governing body) on which Mr. Papapostolou sits at the Company’s (or its affiliate’s) request, unless the Company (or its affiliates) owns voting securities that constitute at least 40% of the vote for directors of such company.</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Papapostolou Employment Letter also contains customary confidentiality, intellectual property, and non-disparagement covenants, as well as non-solicitation and non-competition provisions.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Papapostolou Employment Letter does not purport to be complete and is qualified in its entirety by reference to the Papapostolou Employment Letter, which is filed as Exhibit 10.2 hereto, and is incorporated by reference 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6, 2026, the Company announced the appointment of Robert Flint as Chief Financial Officer of the Company, Icahn Enterprises GP, and Icahn Enterprises Holdings L.P, effective as of May 6, 2026. The Board also elected Mr. Flint to the Board to serve as a director as of such date.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Prior to his appointment as Chief Financial Officer, Mr. Flint has served as Chief Accounting Officer since January 2024 and will continue in that role following his appointment as Chief Financial Officer. Prior to his appointment as Chief Accounting Officer, Mr. Flint served as Director of Accounting from November 2021 to December 2023 and previously served as Chief Audit Executive of the Company from March 2020 to November 2021. Mr. Flint was an independent management consultant from January 2017 to March 2020, serving a variety of clients and industries, including Icahn Automotive Group, LLC, a subsidiary of IEP, from September 2018 to March 2020. Mr. Flint received his B.S. in Accounting and Finance from the University of Dayton School of Business Administration in 2001. Mr. Flint has extensive experience in corporate finance and accounting, investor relations, risk management, as well as service on the boards of other public and private companies. Mr. Flint has served as director and chairman of CVR Energy, Inc. since March, 2025; as director and chairman of CVR Partners since October, 2025; as director and chairman of Viskase Companies, Inc. since March 2025; as director of Vivus LLC since July 2024; as director of WestPoint Home since July 2024; as director of Icahn Automotive Group LLC and director of The Pep Boys-Manny, Moe &amp; Jack since July 2024.</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or incorporated by reference herein, there are no arrangements or understandings between Mr. Flint and any other persons pursuant to which he was selected as Chief Financial Officer, and he has no direct or indirect material interest in any transaction required to be disclosed pursuant to Item 404(a) of Regulation S-K.</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Letter with Mr. Flint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May 4, 2026, in connection with his appointment as Chief Financial Officer, the Company entered into an employment letter agreement with Mr. Flint (the “Flint Employment Letter”). The Flint Employment Letter supersedes and replaces in its entirety the Company’s prior employment letter with Mr. Flint. Pursuant to the Flint Employment Letter, Mr. Flint will serve as Chief Financial Officer of the Company and certain of its subsidiaries, for a term through October 31, 2028, unless earlier terminated in accordance with the terms of the Flint Employment Letter (the “Flint Term”). If Mr. Flint’s employment with the Company continues past the Flint Term, his compensation will be determined by the Board.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Flint Term, Mr. Flint will receive a base salary in the annualized amount of $1,500,000.</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will pay Mr. Flint an amount equal to $86,301.37, representing a prorated portion of Mr. Flint’s annual discretionary bonus as in effect immediately prior to the date of the Flint Employment Letter. With respect to the “Deferred Units” previously granted to Mr. Flint pursuant to that certain Deferred Unit Agreement, dated December 2, 2024 (the “Deferred Unit Agreement”) under the Plan, a prorated number of such Deferred Units (together with any dividend equivalents credited with respect to such vested Deferred Units) vested based on the number of days elapsed from December 2, 2024 through and including the date of the Flint Employment Letter and will be settled in cash in accordance with the Deferred Unit Agreement, less applicable tax and payroll withholdings. Any unvested Deferred Units (together with any dividend equivalents credited with respect to such unvested Deferred Units) that did not vest in accordance with the foregoing were forfeited for no consideration as of the date of the Flint Employment Letter.</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Flint Term, Mr. Flint will also be eligible to receive a series of up to eleven (11) separate Quarterly Awards in the form of Deferred Depositary Units pursuant to the Plan, with the number of Deferred Depositary Units subject to each grant determined by dividing (x) $50,000, by (y) the VWAP of one (1) depositary unit of the Company for the five (5) trading day-period commencing on the trading day immediately following the date of the Company’s applicable quarterly earnings call to which the applicable Quarterly Award relates and ending on the fifth (5th) trading day thereafter, with such VWAP calculated in accordance with the Company’s then-applicable VWAP calculation methodology (and with each such grant of a Quarterly Award subject to Mr. Flint’s active employment in good standing with the Company on the date of grant). The Deferred Depositary Units are eligible to accrue dividend equivalents and are generally scheduled to cliff-vest on October 31, 2028, subject to Mr. Flint’s continued employment with the Company in good standing through such date, except as otherwise described below.</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Although during the Flint Term Mr. Flint will generally be entitled to participate in all benefit programs and plans generally made available to other executives of the Company, he will not be entitled to participate in any short-term or long-term incentive compensation program (other than the Quarterly Awards), unless the Board (or a committee of the Board) determines otherwise in its sole discretion.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If Mr. Flint’s employment is terminated by the Company without “Cause” (including due to Mr. Flint’s death or disability) or by Mr. Flint with “Good Reason” (each as defined in the Flint Employment Letter), Mr. Flint will be eligible to receive (subject to Mr. Flint’s timely execution and non-revocation of a release of claims) the following severance payments and benefits: (i) a lump sum amount of $1,500,000; (ii) accelerated vesting and cash settlement of any previously granted and unvested Quarterly Awards (including any accrued dividend equivalents); and (iii) an additional cash amount of $50,000 for each additional Quarterly Award that Mr. Flint would have been eligible to receive had Mr. Flint’s employment with the Company continued through October 31, 2028.</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to his compensation from the Company, Mr. Flint will be entitled to retain any remuneration in respect of any board of directors (or similar governing body) on which Mr. Flint sits at the Company’s (or its affiliate’s) request, unless the Company (or its affiliates) owns voting securities that constitute at least 40% of the vote for directors of such company.</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Flint Employment Letter also contains customary confidentiality, intellectual property, and non-disparagement covenants, as well as non-solicitation and non-competition provisions.</w:t>
      </w:r>
    </w:p>
    <w:p>
      <w:pPr>
        <w:spacing w:after="0" w:line="16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Flint Employment Letter does not purport to be complete and is qualified in its entirety by reference to the Flint Employment Letter, which is filed as Exhibit 10.3 hereto,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28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460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Third Amended and Restated Agreement of Limited Partnership of Icahn Enterprises L.P., dated February</w:t>
              </w:r>
            </w:hyperlink>
          </w:p>
        </w:tc>
        <w:tc>
          <w:tcPr>
            <w:tcW w:w="20" w:type="dxa"/>
            <w:vAlign w:val="bottom"/>
            <w:tcBorders>
              <w:top w:val="single" w:sz="8" w:color="auto"/>
            </w:tcBorders>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gridSpan w:val="1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24, 2025 (incorporated by reference to Exhibit 3.3 to the Company’s Annual Report on Form 10-K filed</w:t>
              </w:r>
            </w:hyperlink>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on February 26, 2025).</w:t>
              </w:r>
            </w:hyperlink>
          </w:p>
        </w:tc>
        <w:tc>
          <w:tcPr>
            <w:tcW w:w="9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Second Amended and Restated Agreement of Limited Partnership of Icahn Enterprises Holdings, dated as</w:t>
              </w:r>
            </w:hyperlink>
          </w:p>
        </w:tc>
        <w:tc>
          <w:tcPr>
            <w:tcW w:w="20" w:type="dxa"/>
            <w:vAlign w:val="bottom"/>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gridSpan w:val="16"/>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of February 24, 2025 (incorporated by reference to Exhibit 3.4 to the Company’s Annual Report on Form</w:t>
              </w:r>
            </w:hyperlink>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10-K filed on February 26, 2025).</w:t>
              </w:r>
            </w:hyperlink>
          </w:p>
        </w:tc>
        <w:tc>
          <w:tcPr>
            <w:tcW w:w="600" w:type="dxa"/>
            <w:vAlign w:val="bottom"/>
            <w:tcBorders>
              <w:top w:val="single" w:sz="8" w:color="0000EE"/>
            </w:tcBorders>
            <w:gridSpan w:val="3"/>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Andrew Teno Separation Agreement.</w:t>
            </w: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Ted Papapostolou Employment Letter.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Robert Flint Employment Letter.</w:t>
            </w:r>
          </w:p>
        </w:tc>
        <w:tc>
          <w:tcPr>
            <w:tcW w:w="680" w:type="dxa"/>
            <w:vAlign w:val="bottom"/>
            <w:gridSpan w:val="4"/>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Form of Deferred Unit Award Agreement.</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302(a) of the Sarbanes-Oxley Act of 2002</w:t>
            </w:r>
          </w:p>
        </w:tc>
        <w:tc>
          <w:tcPr>
            <w:tcW w:w="260" w:type="dxa"/>
            <w:vAlign w:val="bottom"/>
            <w:gridSpan w:val="4"/>
          </w:tcPr>
          <w:p>
            <w:pPr>
              <w:spacing w:after="0"/>
              <w:rPr>
                <w:sz w:val="19"/>
                <w:szCs w:val="19"/>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Rule 13a 14(a) of the Securities Exchange Act of 1934.</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302(a) of the Sarbanes-Oxley Act of 2002 and</w:t>
            </w: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Rule 13a-14(a) of the Securities Exchange Act of 1934.</w:t>
            </w:r>
          </w:p>
        </w:tc>
        <w:tc>
          <w:tcPr>
            <w:tcW w:w="36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Section 906 of the</w:t>
            </w: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70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(18 U.S.C. 1350) and Rule 13a-14(b) of the Securities Exchange Act of</w:t>
            </w:r>
          </w:p>
        </w:tc>
        <w:tc>
          <w:tcPr>
            <w:tcW w:w="40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4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r>
      <w:tr>
        <w:trPr>
          <w:trHeight w:val="26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 Exhibit 101).</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Icahn Enterprises G.P. Inc., its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Andrew Teno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23" w:lineRule="exact"/>
        <w:rPr>
          <w:sz w:val="20"/>
          <w:szCs w:val="20"/>
          <w:color w:val="auto"/>
        </w:rPr>
      </w:pPr>
    </w:p>
    <w:p>
      <w:pPr>
        <w:ind w:left="5280"/>
        <w:spacing w:after="0"/>
        <w:tabs>
          <w:tab w:leader="none" w:pos="8120" w:val="left"/>
        </w:tabs>
        <w:rPr>
          <w:sz w:val="20"/>
          <w:szCs w:val="20"/>
          <w:color w:val="auto"/>
        </w:rPr>
      </w:pPr>
      <w:r>
        <w:rPr>
          <w:rFonts w:ascii="Times New Roman" w:cs="Times New Roman" w:eastAsia="Times New Roman" w:hAnsi="Times New Roman"/>
          <w:sz w:val="18"/>
          <w:szCs w:val="18"/>
          <w:color w:val="auto"/>
        </w:rPr>
        <w:t>Chief Financial Officer and Director</w:t>
      </w:r>
      <w:r>
        <w:rPr>
          <w:sz w:val="20"/>
          <w:szCs w:val="20"/>
          <w:color w:val="auto"/>
        </w:rPr>
        <w:tab/>
      </w:r>
      <w:r>
        <w:rPr>
          <w:rFonts w:ascii="Times New Roman" w:cs="Times New Roman" w:eastAsia="Times New Roman" w:hAnsi="Times New Roman"/>
          <w:sz w:val="17"/>
          <w:szCs w:val="17"/>
          <w:color w:val="auto"/>
        </w:rPr>
        <w:t>(Principal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84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Robert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17145</wp:posOffset>
            </wp:positionV>
            <wp:extent cx="2357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Flint</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May 6, 2026</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Andrew Teno</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 Icahn Enterprises L.P</w:t>
      </w:r>
    </w:p>
    <w:p>
      <w:pPr>
        <w:ind w:left="200"/>
        <w:spacing w:after="0"/>
        <w:rPr>
          <w:sz w:val="20"/>
          <w:szCs w:val="20"/>
          <w:color w:val="auto"/>
        </w:rPr>
      </w:pPr>
      <w:r>
        <w:rPr>
          <w:rFonts w:ascii="Times New Roman" w:cs="Times New Roman" w:eastAsia="Times New Roman" w:hAnsi="Times New Roman"/>
          <w:sz w:val="20"/>
          <w:szCs w:val="20"/>
          <w:color w:val="auto"/>
        </w:rPr>
        <w:t>16690 Collins Avenue - Penthouse Suite</w:t>
      </w:r>
    </w:p>
    <w:p>
      <w:pPr>
        <w:ind w:left="200"/>
        <w:spacing w:after="0"/>
        <w:rPr>
          <w:sz w:val="20"/>
          <w:szCs w:val="20"/>
          <w:color w:val="auto"/>
        </w:rPr>
      </w:pPr>
      <w:r>
        <w:rPr>
          <w:rFonts w:ascii="Times New Roman" w:cs="Times New Roman" w:eastAsia="Times New Roman" w:hAnsi="Times New Roman"/>
          <w:sz w:val="20"/>
          <w:szCs w:val="20"/>
          <w:color w:val="auto"/>
        </w:rPr>
        <w:t>Sunny Isles Beach, FL 33160</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Dear Andrew:</w:t>
      </w:r>
    </w:p>
    <w:p>
      <w:pPr>
        <w:spacing w:after="0" w:line="22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Reference is made to that certain Employment Agreement, dated February 21, 2024 (as amended or supplemented, the “Employment Agreement”), between you and Icahn Enterprises L.P. (the “Company” and, together with its subsidiaries, the “Company Group”). Capitalized terms used but not defined herein shall have the meanings ascribed to such terms in the Employment Agreement.</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This agreement sets forth the terms and conditions regarding your termination of employment with the Company Group (as defined below) due to your resignation without Good Reason, on the terms that have been mutually agreed below.</w:t>
      </w:r>
    </w:p>
    <w:p>
      <w:pPr>
        <w:spacing w:after="0" w:line="18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The terms and conditions set forth in paragraphs 1, 2, and 5 below will apply regardless of whether you decide to sign this letter agreement. However, you will not be eligible to receive the benefits set forth in paragraph 3 below unless you timely sign and do not revoke this letter agreement. (See paragraph 14 below for the time period to review and sign this letter agreement and to revoke this letter agreement.)</w:t>
      </w:r>
    </w:p>
    <w:p>
      <w:pPr>
        <w:spacing w:after="0" w:line="193" w:lineRule="exact"/>
        <w:rPr>
          <w:sz w:val="20"/>
          <w:szCs w:val="20"/>
          <w:color w:val="auto"/>
        </w:rPr>
      </w:pPr>
    </w:p>
    <w:p>
      <w:pPr>
        <w:jc w:val="both"/>
        <w:ind w:left="860" w:right="219" w:hanging="327"/>
        <w:spacing w:after="0" w:line="241" w:lineRule="auto"/>
        <w:tabs>
          <w:tab w:leader="none" w:pos="8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Your last day of employment is May 6, 2026 (the “Separation Date”). Effective as of the Separation Date, you are hereby removed from any and all officer positions, directorships, and any and all other offices, committees, and positions, including as an authorized signatory, you may hold with the Company and each of its subsidiaries and affiliates (including, without limitation, with each entity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all subsidiaries and affiliates of each such entity), and as a fiduciary of any employee benefit plan of any such entity. You hereby agree to execute any and all documentation the Company or its board of directors (or similar governing body, the “Board”) may deem necessary or appropriate, if any, regarding the foregoing, promptly upon request by the Company or the Board. Notwithstanding the foregoing, you shall be treated for all purposes as having been so removed upon the Separation Date, regardless of when or whether you execute any such additional documentation. After the Separation Date, you shall not represent yourself as being an officer, director, or employee of the Company or any of its affiliates. You expressly acknowledge and agree that, other than as expressly set forth in the following sentence with respect to accrued, unused paid time off and with respect to your COBRA rights described in paragraph 2, you have received all, and you are not owed any, compensation or benefits of any kind from any member of the Company Group). You will receive a payment in the amount of $81,150, less applicable tax and payroll withholdings, for 64.92 hours of accrued, unused Paid Time Off according to the Company’s records as of the Separation Date.</w:t>
      </w:r>
    </w:p>
    <w:p>
      <w:pPr>
        <w:spacing w:after="0" w:line="203" w:lineRule="exact"/>
        <w:rPr>
          <w:rFonts w:ascii="Times New Roman" w:cs="Times New Roman" w:eastAsia="Times New Roman" w:hAnsi="Times New Roman"/>
          <w:sz w:val="20"/>
          <w:szCs w:val="20"/>
          <w:color w:val="auto"/>
        </w:rPr>
      </w:pPr>
    </w:p>
    <w:p>
      <w:pPr>
        <w:jc w:val="both"/>
        <w:ind w:left="860" w:right="219" w:hanging="327"/>
        <w:spacing w:after="0" w:line="258" w:lineRule="auto"/>
        <w:tabs>
          <w:tab w:leader="none" w:pos="86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Because of your separation of employment, your eligibility for and coverage under the Company’s group health insurance benefits plans will end on the last day of the month in which the Separation Date occurs (i.e., May 31, 2026). You are, however, eligible to maintain such benefits through COBRA continuation coverage at your sole cost and expense. In order to receive benefits under COBRA, you must actively enroll in COBRA benefits directly through the Company’s COBRA administrator. You will receive additional instructions for how to enroll in benefits through COBRA from the Company’s COBRA administrator in the mail following the Separation Date at your home address. COBRA coverage will be available for the period prescribed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2" w:name="page63"/>
    <w:bookmarkEnd w:id="62"/>
    <w:p>
      <w:pPr>
        <w:ind w:left="860" w:right="219"/>
        <w:spacing w:after="0" w:line="268" w:lineRule="auto"/>
        <w:rPr>
          <w:sz w:val="20"/>
          <w:szCs w:val="20"/>
          <w:color w:val="auto"/>
        </w:rPr>
      </w:pPr>
      <w:r>
        <w:rPr>
          <w:rFonts w:ascii="Times New Roman" w:cs="Times New Roman" w:eastAsia="Times New Roman" w:hAnsi="Times New Roman"/>
          <w:sz w:val="20"/>
          <w:szCs w:val="20"/>
          <w:color w:val="auto"/>
        </w:rPr>
        <w:t>Your participation in other benefit plans (e.g., the Company’s 401(k) plan and other retirement plans or programs) will end immediately on the Separation Date.</w:t>
      </w:r>
    </w:p>
    <w:p>
      <w:pPr>
        <w:spacing w:after="0" w:line="174" w:lineRule="exact"/>
        <w:rPr>
          <w:sz w:val="20"/>
          <w:szCs w:val="20"/>
          <w:color w:val="auto"/>
        </w:rPr>
      </w:pPr>
    </w:p>
    <w:p>
      <w:pPr>
        <w:jc w:val="both"/>
        <w:ind w:left="860" w:right="219" w:hanging="327"/>
        <w:spacing w:after="0"/>
        <w:tabs>
          <w:tab w:leader="none" w:pos="8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Except as provided in this paragraph 3, you acknowledge and agree that you are bound, and will continue to remain bound, by all post-employment obligations and restrictions set forth in any agreement between you and the Company Group, including, without limitation, Section 9 (Confidential Information) and Section 11 (Competitive Services and Employees) of the Employment Agreement (collectively, the “Continuing Obligations”). Following the Separation Date, the Continuing Obligations will remain in full force and effect in accordance with their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exchange for your timely execution and non-revocation of this agreement (and continued compliance with its terms), the Company agrees that you are permanently released from any non-competition obligations under Section 11 of the Employment Agreement following the Separation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during the period beginning on the Separation Date and continuing for the duration of the Non-Interference Period (as defined below), you do not, directly or indirectly, anywhere in the world (x) engage in or participate in (including, without limitation, as a director, manager, member, analyst, or adviser), or acquire, own, or seek to acquire or own any equity or debt securities or instruments (or any derivatives referencing any such equity or debt securities or instruments) or control of, or interfere in any way with, any entity, investment, or business (A) that is owned or controlled by the Company or its affiliates as of the Separation Date (each, an “IEP Business”), or (B) any equity or debt securities or instruments (or any derivatives referencing any such equity or debt securities or instruments) held, directly or indirectly, in whole or in part, as of the Separation Date by Icahn Partners LP, Icahn Partners Master Fund LP, or any of their affiliates (each, a “Fund Business”), or (y) provide any services or advice to any other person, entity, or business in any way related to the analysis, evaluation, monitoring, acquisition or disposition of securities, or otherwise, with respect to any IEP Business or Fund Business, in each case other than any investment or business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The “Non-Interference Period” means the period of time beginning on the Separation Date and continuing for the maximum extent permitted under applicable Florida law (which the parties expressly acknowledge and agree shall be no shorter than the period that is presumptively reasonable under § 542.335(1)(e), Fla. Stat. (2025), or, if inapplicable, the maximum period set forth under § 542.43(1), Fla. Stat. (2025) that qualifies for the provisions of § 542.45 Fla. Stat. (2025)). You expressly acknowledge and agree that you shall give any future employer written notice of your obligations described in this paragraph. For the avoidance of doubt: (i) the Company and its affiliates retain all available remedies for any damages arising from your actions while employed by the Company Group; and (ii) except for the release set forth above with respect to non-competition obligations, nothing in this agreement modifies, alters, or expands your obligations with respect to the Continuing Obligations (including, without limitation, your non-solicitation obligations under Section 11 of the Employment Agreement).</w:t>
      </w:r>
    </w:p>
    <w:p>
      <w:pPr>
        <w:spacing w:after="0" w:line="212" w:lineRule="exact"/>
        <w:rPr>
          <w:rFonts w:ascii="Times New Roman" w:cs="Times New Roman" w:eastAsia="Times New Roman" w:hAnsi="Times New Roman"/>
          <w:sz w:val="20"/>
          <w:szCs w:val="20"/>
          <w:color w:val="auto"/>
        </w:rPr>
      </w:pPr>
    </w:p>
    <w:p>
      <w:pPr>
        <w:jc w:val="both"/>
        <w:ind w:left="860" w:right="219" w:hanging="3"/>
        <w:spacing w:after="0" w:line="244" w:lineRule="auto"/>
        <w:tabs>
          <w:tab w:leader="none" w:pos="1177"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as a condition to the Company’s agreement to provide you with the benefits in this paragraph 3, you shall be required to (x) timely execute within the time period set forth in paragraph 14, return to the Company, and not revoke within the Revocation Period (as defined in paragraph 14), this letter agreement agreeing to its terms, including the general release of claims contained in paragraph 7(a), and (y) remain in continued compliance with all of the terms and conditions set forth in this letter agreement (including, without limitation, paragraphs 3, 4, 5, 6, 7, and 9 hereof).</w:t>
      </w:r>
    </w:p>
    <w:p>
      <w:pPr>
        <w:spacing w:after="0" w:line="199" w:lineRule="exact"/>
        <w:rPr>
          <w:sz w:val="20"/>
          <w:szCs w:val="20"/>
          <w:color w:val="auto"/>
        </w:rPr>
      </w:pPr>
    </w:p>
    <w:p>
      <w:pPr>
        <w:jc w:val="both"/>
        <w:ind w:left="860" w:right="219" w:hanging="3"/>
        <w:spacing w:after="0" w:line="266" w:lineRule="auto"/>
        <w:tabs>
          <w:tab w:leader="none" w:pos="113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expressly acknowledge and agree that the benefits set forth in this paragraph 3 are the sole separation or severance pay or benefit that you are eligible to receive under the Employment Agreement and any agreements, plans, or arrangements with, or sponsored by, the Company Group or its affiliates (including, without limitation, the Icahn Enterprises Holdings L.P. Severance Pay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jc w:val="both"/>
        <w:ind w:left="860" w:right="219"/>
        <w:spacing w:after="0" w:line="245" w:lineRule="auto"/>
        <w:rPr>
          <w:sz w:val="20"/>
          <w:szCs w:val="20"/>
          <w:color w:val="auto"/>
        </w:rPr>
      </w:pPr>
      <w:r>
        <w:rPr>
          <w:rFonts w:ascii="Times New Roman" w:cs="Times New Roman" w:eastAsia="Times New Roman" w:hAnsi="Times New Roman"/>
          <w:sz w:val="20"/>
          <w:szCs w:val="20"/>
          <w:color w:val="auto"/>
        </w:rPr>
        <w:t>Plan, effective as of January 1, 2016, as amended), other than as otherwise expressly provided in paragraph 1 above, and except for any continuation coverage for which you may be eligible (at your sole cost and expense) under the health benefit plans of the Company or any of its affiliates pursuant to the federal law known as “COBRA” (and any similar applicable state law) and any accrued and vested benefits under any tax-qualified retirement plan of the Company or any of its affiliates in accordance with its terms and conditions.</w:t>
      </w:r>
    </w:p>
    <w:p>
      <w:pPr>
        <w:spacing w:after="0" w:line="197" w:lineRule="exact"/>
        <w:rPr>
          <w:sz w:val="20"/>
          <w:szCs w:val="20"/>
          <w:color w:val="auto"/>
        </w:rPr>
      </w:pPr>
    </w:p>
    <w:p>
      <w:pPr>
        <w:jc w:val="both"/>
        <w:ind w:left="860" w:right="219" w:hanging="3"/>
        <w:spacing w:after="0" w:line="244" w:lineRule="auto"/>
        <w:tabs>
          <w:tab w:leader="none" w:pos="1135"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expressly acknowledge and agree that (i) the Company hereby expressly advises you of your right to seek legal counsel prior to entering into this letter (including with respect to the non-interference provisions contained in paragraph 3), (ii) you have had a period of at least seven (7) days to consider the offer of the terms and conditions of this letter prior to its expiration (and if you choose to execute this letter sooner, you have done so voluntarily and without any duress), and (iii) you have received and used both confidential information and customer relationships over the course of your employment with the Company.</w:t>
      </w:r>
    </w:p>
    <w:p>
      <w:pPr>
        <w:spacing w:after="0" w:line="199" w:lineRule="exact"/>
        <w:rPr>
          <w:rFonts w:ascii="Times New Roman" w:cs="Times New Roman" w:eastAsia="Times New Roman" w:hAnsi="Times New Roman"/>
          <w:sz w:val="20"/>
          <w:szCs w:val="20"/>
          <w:color w:val="auto"/>
        </w:rPr>
      </w:pPr>
    </w:p>
    <w:p>
      <w:pPr>
        <w:jc w:val="both"/>
        <w:ind w:left="860" w:right="219" w:hanging="327"/>
        <w:spacing w:after="0" w:line="241" w:lineRule="auto"/>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You agree to keep confidential and not to, directly or indirectly, publish, post on your own, or disclose to any third party, including, but not limited to, newspapers, authors, publicists, journalists, bloggers, gossip columnists, producers, directors, media personalities, and the like, all confidential information relating to Carl Icahn and his family, the Company Group and its affiliates, related, parent, and subsidiary companies, and each of their officers, directors, employees, and clients, learned in the course of your employment with the Company Group. Confidential information includes all secret or confidential information, knowledge, or data, including, without limitation, trade secrets, sources of supplies and materials, customer lists and their identity, customer information, designs, production and design techniques and methods, identity of investments, identity of contemplated investments, business opportunities, valuation models and methodologies, processes, technologies, and any intellectual property relating to the business of the Company Group or its affiliates, related, parent, or subsidiary companies and their respective businesses, and any personal information related to Carl Icahn and his family. Without limitation of the foregoing, you further agree not to write a book or article about any Released Party (as defined below), Carl Icahn, his family members, or any of the respective affiliates of any of the foregoing, in any media, and not to publish or cause to be published in any media any confidential information of any of the foregoing. In addition, the confidentiality policy you previously executed while employed by the Company Group remains in full force and effect.</w:t>
      </w:r>
    </w:p>
    <w:p>
      <w:pPr>
        <w:spacing w:after="0" w:line="203" w:lineRule="exact"/>
        <w:rPr>
          <w:rFonts w:ascii="Times New Roman" w:cs="Times New Roman" w:eastAsia="Times New Roman" w:hAnsi="Times New Roman"/>
          <w:sz w:val="20"/>
          <w:szCs w:val="20"/>
          <w:color w:val="auto"/>
        </w:rPr>
      </w:pPr>
    </w:p>
    <w:p>
      <w:pPr>
        <w:jc w:val="both"/>
        <w:ind w:left="860" w:right="219" w:hanging="3"/>
        <w:spacing w:after="0" w:line="241" w:lineRule="auto"/>
        <w:tabs>
          <w:tab w:leader="none" w:pos="114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prohibits you from reporting any possible violations of federal law or regulation to any government agency or entity, including but not limited to the Department of Justice and the Securities and Exchange Commission, from making any other disclosures that are protected under the whistleblower provisions of federal law or regulation, or from exercising any protected rights you may have under Section 7 of the National Labor Relations Act. You are not required to notify the Company that you will make or have made such reports or disclosures. Non-compliance with the non-disclosure provisions of this letter agreement shall not subject you to criminal or civil liability under any Federal or State trade secret law for the disclosure of a Company trade secret if the disclosure is made: (i) in confidence to a Federal, State or local government official, either directly or indirectly, or to an attorney in confidence solely for the purpose of reporting or investigating a suspected violation of law; (ii) in a complaint or other document filed in a lawsuit or other proceeding, provided that any complaint or document containing the trade secret is filed under seal; or (iii) to an attorney representing you in a lawsuit for retaliation by the Company for reporting a suspected violation of law or to use the trade secret information in that court proceeding, provided that any document containing the trade secret is filed under seal and you do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jc w:val="both"/>
        <w:ind w:left="860" w:right="219" w:hanging="3"/>
        <w:spacing w:after="0" w:line="241" w:lineRule="auto"/>
        <w:tabs>
          <w:tab w:leader="none" w:pos="113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Furthermore, you agree not to disparage, or encourage or induce others to disparage, Carl Icahn and his family, the Company Group and its affiliates, related, parent, and subsidiary companies, and each of their officers, directors, employees, and clients, with any third party, including, but not limited to, newspapers, authors, publicists, journalists, bloggers, gossip columnists, producers, directors, media personalities, and the like. For purposes of this letter agreement, the term “disparage” includes, without limitation, comments or statements on the internet, to the press and/or media, to any Released Party or to any individual or entity with whom any of the Released Parties have a business relationship which would adversely affect in any manner (i) the conduct of the business of any of the Released Parties (including, without limitation, any business plans or prospects) or (ii) the business reputation of any the Released Parties. In furtherance of the foregoing, you agree that upon and following the Separation Date, the sole and only statement you will make to any person or entity (other than to Carl Icahn and his family) about or concerning any or all of Carl Icahn, his family members, and the Released Parties, or any of their respective affiliates, is to acknowledge that you were employed by the Company Group, the dates of such employment, and the titles that you held.</w:t>
      </w:r>
    </w:p>
    <w:p>
      <w:pPr>
        <w:spacing w:after="0" w:line="207" w:lineRule="exact"/>
        <w:rPr>
          <w:rFonts w:ascii="Times New Roman" w:cs="Times New Roman" w:eastAsia="Times New Roman" w:hAnsi="Times New Roman"/>
          <w:sz w:val="20"/>
          <w:szCs w:val="20"/>
          <w:color w:val="auto"/>
        </w:rPr>
      </w:pPr>
    </w:p>
    <w:p>
      <w:pPr>
        <w:jc w:val="both"/>
        <w:ind w:left="860" w:right="239" w:hanging="327"/>
        <w:spacing w:after="0" w:line="245" w:lineRule="auto"/>
        <w:tabs>
          <w:tab w:leader="none" w:pos="8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This letter agreement is not intended to modify but rather is intended to supplement the following agreements entered into between you and the Company Group which remain in full force and effect: (i) the Icahn Enterprises L.P. Compliance Manual (including all policies contained and referenced therein); (ii) the Icahn Enterprises L.P. Confidentiality Policy; and (iii) the Icahn Enterprises L.P. Policy and Procedures on Confidentiality, Non-Public Information and Personal Investing.</w:t>
      </w:r>
    </w:p>
    <w:p>
      <w:pPr>
        <w:spacing w:after="0" w:line="184" w:lineRule="exact"/>
        <w:rPr>
          <w:rFonts w:ascii="Times New Roman" w:cs="Times New Roman" w:eastAsia="Times New Roman" w:hAnsi="Times New Roman"/>
          <w:sz w:val="20"/>
          <w:szCs w:val="20"/>
          <w:color w:val="auto"/>
        </w:rPr>
      </w:pPr>
    </w:p>
    <w:p>
      <w:pPr>
        <w:jc w:val="both"/>
        <w:ind w:left="860" w:right="219" w:hanging="3"/>
        <w:spacing w:after="0" w:line="241" w:lineRule="auto"/>
        <w:tabs>
          <w:tab w:leader="none" w:pos="11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and acknowledge that the restrictive covenants set forth in paragraph 4 and the Continuing Obligations (including, without limitation, the confidentiality, non-solicitation and non-competition provisions, as modified herein) are reasonable as to duration, terms, and geographical area and that they protect the legitimate interests of the Company and its affiliates and subsidiaries, impose no undue hardship on you, are not injurious to the public, and that any violation of these provisions shall be specifically enforceable in any court with jurisdiction upon short notice. You agree and acknowledge that any breach of these provisions shall cause irreparable injury to the Company and its affiliates and subsidiaries and upon breach of any such provision, the Company and/or its affiliates and subsidiaries shall be entitled to obtain injunctive relief, specific performance, or other equitable relief or pursue any remedies or relief available to them in law or equity (including, without limitation, monetary damages). If any of the provisions of paragraphs 4 or 5 above or the Continuing Obligations are adjudged by a court to be invalid or unenforceable, the same shall in no way affect any other circumstance or the validity or enforceability of any other provision set forth herein. If the scope of any provision (or any part thereof) is too broad to permit enforcement to its fullest extent, you agree that the court making such determination shall have the power to reduce the duration, area, and/or other aspects of the provision to the extent necessary to permit enforcement, and, in its reduced form, such provision shall then be enforceable and shall be enforced.</w:t>
      </w:r>
    </w:p>
    <w:p>
      <w:pPr>
        <w:spacing w:after="0" w:line="190" w:lineRule="exact"/>
        <w:rPr>
          <w:rFonts w:ascii="Times New Roman" w:cs="Times New Roman" w:eastAsia="Times New Roman" w:hAnsi="Times New Roman"/>
          <w:sz w:val="20"/>
          <w:szCs w:val="20"/>
          <w:color w:val="auto"/>
        </w:rPr>
      </w:pPr>
    </w:p>
    <w:p>
      <w:pPr>
        <w:jc w:val="both"/>
        <w:ind w:left="860" w:right="219" w:hanging="327"/>
        <w:spacing w:after="0" w:line="243" w:lineRule="auto"/>
        <w:tabs>
          <w:tab w:leader="none" w:pos="8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you have returned to the Company any and all property, tangible or intangible, relating to its business or the business of its parent companies, subsidiaries, affiliates, and related entities, which you possessed or had control over at any time, including but not limited to Company-provided cell phones, keys, smartphones, personal computers, credit cards, building access cards, computer equipment, files, documents, and software. You agree that all processes, technologies, and inventions, including new contributions, improvements, ideas, discoveries, agreements, contracts, trademarks, or trade names conceived, developed, invented, made, or found by you alone or with other employees during the period of your employment by the Company shall remain property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jc w:val="both"/>
        <w:ind w:left="860" w:right="219" w:hanging="327"/>
        <w:spacing w:after="0" w:line="253" w:lineRule="auto"/>
        <w:tabs>
          <w:tab w:leader="none" w:pos="8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By signing this letter agreement, except as to the claims and rights referred to in paragraphs 7(b) and 7(c) below, in consideration of the benefits provided for in paragraph 3, and other terms of this letter, you voluntarily and knowingly release and forever discharge the Company, and each of its subsidiaries, parent, affiliates, and related entities, and each of their employee benefit plans, and each of their shareholders, partners, directors, members, officers, employees, trustees, administrators, fiduciaries, and agents, and each of their successors and assigns (each a “Released Party” and collectively, the “Released Parties”), from any and all claims, demands, causes of action, obligations, damages, and liabilities of whatever kind, in law or equity, by statute or otherwise (all collectively referred to as “Claims”), that can be waived, whether known or unknown, asserted or unasserted, arising out of or relating directly or indirectly in any way to your employment or termination of employment or the terms and conditions of your employment with the Company or any parent, subsidiary, affiliated, or related entity, including but not limited to (i) Claims of discrimination, harassment, retaliation, or failure to accommodate under any federal, state, or local law, without limitation, the Age Discrimination in Employment Act, Title VII of the Civil Rights Act of 1964, Sections 1981 through 1988 of Title 42 of the United States Code, the Americans with Disabilities Act, the Equal Pay Act, the Older Workers Benefits Protection Act, and the Genetic Information Non-Discrimination Act (as any such law was enacted or amended); (ii) Claims under the Immigration Reform and Control Act; (iii) Claims under the Uniformed Services Employment and Reemployment Rights Act; (iv) Claims under the Employee Retirement Income Security Act of 1974 (excluding claims for vested benefits as set forth in paragraph 7(b) below); (v) Claims regarding leaves of absence, including, but not limited to, Claims under the Family and Medical Leave Act; (vi) Claims under the National Labor Relations Act; (vii) Claims under the Sarbanes-Oxley Act or the Dodd-Frank Act; (viii) Claims under New York State Human Rights Law, New York Executive Law, New York Civil Rights Law, New York City Human Rights Law, New York City Local Civil Rights Restoration Act of 2005, New York City Administrative Code, New York Minimum Wage Act, New York City Earned Safe and Sick Time Act, New York Worker Adjustment Retraining and Notification Act, New York Labor Law, New York Wage Theft Protection Act, the New York Paid Family Leave Law, the New York laws for jury duty, voting, bone marrow and blood donation, and military family leave, the New York Fair Credit Reporting Act, and the retaliation provisions of the New York Workers’ Compensation law; all as amended; Florida Civil Rights Act of 1992, f/k/a Human Rights Act of 1977, Fla. Stat. § 760.01 et seq.; Florida Equal Pay Law, Fla. Stat. § 448.07, Fla. Stat. § 725.07; Florida AIDS Act, Fla. Stat. § 760.50; Florida Sickle-Cell Trait Discrimination Law, Fla. Stat. §§ 448.075, 448.076; Florida Private Whistleblower Protection Law, Fla. Stat. § 448.101 et seq.; Florida Public Whistle-Blower’s Act, Fla. Stat. § 112.3187 et seq.; Florida Worker’s Compensation Retaliation Law, Fla. Stat. § 440.205; Florida Unpaid Wages Law, Fla. Stat. § 448.08; Florida Minimum Wage Act, Fla. Stat. §§</w:t>
      </w:r>
    </w:p>
    <w:p>
      <w:pPr>
        <w:spacing w:after="0" w:line="223" w:lineRule="exact"/>
        <w:rPr>
          <w:rFonts w:ascii="Times New Roman" w:cs="Times New Roman" w:eastAsia="Times New Roman" w:hAnsi="Times New Roman"/>
          <w:sz w:val="19"/>
          <w:szCs w:val="19"/>
          <w:color w:val="auto"/>
        </w:rPr>
      </w:pPr>
    </w:p>
    <w:p>
      <w:pPr>
        <w:jc w:val="both"/>
        <w:ind w:left="860" w:right="219"/>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448.109, 448.110; Florida Leave to Victims of Domestic Violence Act, Fla. Stat. § 741.313; the Florida Fair Housing Act, Fla. Stat. § 760.20 et seq.; waivable rights under the Florida Constitution; Pennsylvania Human Relations Act; Pennsylvania Wiretapping and Electronic Surveillance Control Act; Confidentiality of HIV-Related Information Act; Mental Health Procedures Act; Jury Duty Leave Law; Witness Duty and Crime Victim Leave Laws; Emergency Response Leave Law; Failure to Report During State of Emergency Law; Military Leave of Absence Law; Retaliation under Medical Marijuana Act; Illinois Human Rights Act; Illinois Equal Pay Act; Illinois One Day Rest in Seven Act; Illinois Religious Freedom Restoration Act; Anti-retaliation Provisions of the Illinois Workers’ Compensation Act; Employee Sick Leave Law; Family Bereavement Leave Act; Jury Duty Leave Law; Voting Leave Law; Illinois Whistleblower Act; Illinois Credit Privacy Act; Illinois Family Military Leave Act; Illinois Nursing Mothers in the Workplace Act; Pregnancy, Childbirth, and Childrearing Leave Law; Volunteer Emergency Worker Job Protection Act; Illinois Labor Dispute Act; Illinois Victims’ Economic Security and Safety Act; Compassionate Use of Medical Cannabis Program Act; Illinois Right to Privacy in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6" w:name="page67"/>
    <w:bookmarkEnd w:id="66"/>
    <w:p>
      <w:pPr>
        <w:jc w:val="both"/>
        <w:ind w:left="860" w:right="219"/>
        <w:spacing w:after="0" w:line="241" w:lineRule="auto"/>
        <w:rPr>
          <w:sz w:val="20"/>
          <w:szCs w:val="20"/>
          <w:color w:val="auto"/>
        </w:rPr>
      </w:pPr>
      <w:r>
        <w:rPr>
          <w:rFonts w:ascii="Times New Roman" w:cs="Times New Roman" w:eastAsia="Times New Roman" w:hAnsi="Times New Roman"/>
          <w:sz w:val="20"/>
          <w:szCs w:val="20"/>
          <w:color w:val="auto"/>
        </w:rPr>
        <w:t>Workplace Act; Illinois Workplace Transparency Act; Illinois Service Member Employment and Reemployment Rights Act; Biometric Information Privacy Act; Child Extended Bereavement Leave Act; AIDS Confidentiality Act; Eight Hour Work Day Act; Personnel Records Review Act; Gender Violence Act; Smoke Free Illinois Act; and Blood Donation Leave Law; all as amended; and similar local, state and federal laws; (ix) Claims for breach of contract (express or implied), retaliation, wrongful discharge, detrimental reliance, invasion of privacy, defamation, emotional distress or compensatory and/or punitive damages; (x) Claims for attorneys’ fees, costs, disbursements and/or the like; and (xi) Claims under any severance plan, policy, or program of the Company, including any claims for severance pay, termination pay, or similar type of payment. By signing below, you also acknowledge that you cannot benefit monetarily or obtain other personal relief from any Claims released in this paragraph 7(a) and that you have waived any right to equitable relief that may have been available to you (including, without limitation, reinstatement) with respect to any Claim waived in this paragraph 7(a). Your signature below acknowledges the fact that you are receiving benefits to which you would otherwise not be entitled, that it is sufficient consideration for the waiver of Claims herein, and that after the Separation Date you will not be entitled to receive any other payments or benefits from the Company apart from the payments and benefits described in this letter agreement.</w:t>
      </w:r>
    </w:p>
    <w:p>
      <w:pPr>
        <w:spacing w:after="0" w:line="204" w:lineRule="exact"/>
        <w:rPr>
          <w:sz w:val="20"/>
          <w:szCs w:val="20"/>
          <w:color w:val="auto"/>
        </w:rPr>
      </w:pPr>
    </w:p>
    <w:p>
      <w:pPr>
        <w:jc w:val="both"/>
        <w:ind w:left="860" w:right="219" w:hanging="3"/>
        <w:spacing w:after="0" w:line="242" w:lineRule="auto"/>
        <w:tabs>
          <w:tab w:leader="none" w:pos="114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letter agreement, you are not releasing claims that arise after you sign this letter agreement; claims to enforce this letter agreement; claims relating to the enforceability, meaning, or effect of this letter agreement; claims or rights you may have to workers’ compensation or unemployment benefits; claims for continuation coverage for which you may be eligible (at your sole cost and expense) under the health benefit plans of the Company or any of its affiliates pursuant to the federal law known as “COBRA” (and any similar applicable state law); claims for any accrued and vested benefits under any tax-qualified retirement plan of the Company or any of its affiliates in accordance with its terms and conditions; claims for rights to indemnification that you are eligible to receive pursuant to any directors’ and officers’ indemnification insurance policy and/or the governing documents of the Company and its subsidiaries, in each case in accordance with their respective terms; and/or claims or rights which cannot be waived by private agreement.</w:t>
      </w:r>
    </w:p>
    <w:p>
      <w:pPr>
        <w:spacing w:after="0" w:line="203" w:lineRule="exact"/>
        <w:rPr>
          <w:rFonts w:ascii="Times New Roman" w:cs="Times New Roman" w:eastAsia="Times New Roman" w:hAnsi="Times New Roman"/>
          <w:sz w:val="20"/>
          <w:szCs w:val="20"/>
          <w:color w:val="auto"/>
        </w:rPr>
      </w:pPr>
    </w:p>
    <w:p>
      <w:pPr>
        <w:jc w:val="both"/>
        <w:ind w:left="860" w:right="219" w:hanging="3"/>
        <w:spacing w:after="0" w:line="242" w:lineRule="auto"/>
        <w:tabs>
          <w:tab w:leader="none" w:pos="1151"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by signing this letter agreement, you are not waiving your right to file a charge with, or participate in an investigation conducted by, any governmental agency, including, without limitation, the United States Equal Employment Opportunity Commission (EEOC). Nevertheless, as set forth in paragraph 7(a) above, you acknowledge that you cannot benefit monetarily or obtain damages or equitable relief of any kind from or through any such charge or any action commenced by a government agency or third party with respect to claims waived in paragraph 7(a), except that this paragraph shall not be construed as preventing you from receiving a monetary award from a government agency (that is not paid or payable by the Company or its subsidiaries or affiliates) in connection with information provided to, or participating in an investigation by, such government agency.</w:t>
      </w:r>
    </w:p>
    <w:p>
      <w:pPr>
        <w:spacing w:after="0" w:line="205" w:lineRule="exact"/>
        <w:rPr>
          <w:rFonts w:ascii="Times New Roman" w:cs="Times New Roman" w:eastAsia="Times New Roman" w:hAnsi="Times New Roman"/>
          <w:sz w:val="20"/>
          <w:szCs w:val="20"/>
          <w:color w:val="auto"/>
        </w:rPr>
      </w:pPr>
    </w:p>
    <w:p>
      <w:pPr>
        <w:jc w:val="both"/>
        <w:ind w:left="860" w:right="219" w:hanging="327"/>
        <w:spacing w:after="0" w:line="260" w:lineRule="auto"/>
        <w:tabs>
          <w:tab w:leader="none" w:pos="8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you have been paid and/or received all leave (paid or unpaid), compensation, wages, bonuses, severance or termination pay, commissions, notice period, and/or benefits to which you may have been entitled and that no other remuneration or benefits are due to you, except as set forth in this letter agreement. You affirm that you have had no known workplace injuries or occupational diseases. You also represent that you have disclosed to the Company any information you have concerning any fraudulent or unlawful conduct involving the Released Parties.</w:t>
      </w:r>
    </w:p>
    <w:p>
      <w:pPr>
        <w:spacing w:after="0" w:line="186" w:lineRule="exact"/>
        <w:rPr>
          <w:rFonts w:ascii="Times New Roman" w:cs="Times New Roman" w:eastAsia="Times New Roman" w:hAnsi="Times New Roman"/>
          <w:sz w:val="19"/>
          <w:szCs w:val="19"/>
          <w:color w:val="auto"/>
        </w:rPr>
      </w:pPr>
    </w:p>
    <w:p>
      <w:pPr>
        <w:jc w:val="both"/>
        <w:ind w:left="860" w:right="239" w:hanging="327"/>
        <w:spacing w:after="0" w:line="254" w:lineRule="auto"/>
        <w:tabs>
          <w:tab w:leader="none" w:pos="8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to cooperate with and make yourself readily available to the Company and its affiliates, and the General Counsel (or equivalent position) and/or external legal counsel to each such entity, as the Company may reasonably request, to assist each such entity in any matter regarding such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jc w:val="both"/>
        <w:ind w:left="860" w:right="219"/>
        <w:spacing w:after="0" w:line="243" w:lineRule="auto"/>
        <w:rPr>
          <w:sz w:val="20"/>
          <w:szCs w:val="20"/>
          <w:color w:val="auto"/>
        </w:rPr>
      </w:pPr>
      <w:r>
        <w:rPr>
          <w:rFonts w:ascii="Times New Roman" w:cs="Times New Roman" w:eastAsia="Times New Roman" w:hAnsi="Times New Roman"/>
          <w:sz w:val="20"/>
          <w:szCs w:val="20"/>
          <w:color w:val="auto"/>
        </w:rPr>
        <w:t>entity, including giving truthful testimony in any litigation, potential litigation or any internal investigation or administrative, regulatory, judicial or quasi-judicial proceedings involving such entity over which you have knowledge, experience or information. You acknowledge that this could involve, but is not limited to, responding to or defending any regulatory or legal process, providing information in relation to any such process, preparing witness statements and giving evidence in person on behalf of such entities. The Company or such other entity, as applicable, shall reimburse any reasonable, out of pocket expenses incurred by you as a consequence of complying with your obligations under this clause, subject to your providing applicable invoices or other receipts or documentation evidencing such expenses that is satisfactory to the Company.</w:t>
      </w:r>
    </w:p>
    <w:p>
      <w:pPr>
        <w:spacing w:after="0" w:line="198" w:lineRule="exact"/>
        <w:rPr>
          <w:sz w:val="20"/>
          <w:szCs w:val="20"/>
          <w:color w:val="auto"/>
        </w:rPr>
      </w:pPr>
    </w:p>
    <w:p>
      <w:pPr>
        <w:jc w:val="both"/>
        <w:ind w:left="860" w:right="219" w:hanging="327"/>
        <w:spacing w:after="0" w:line="245"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agreement contains the entire understanding between you and the Company with respect to the subject matter hereof, and supersedes any and all prior agreements and understandings, whether written or oral, between or among you, the Company Group or any of its parent companies, subsidiaries, affiliates and related entities (other than the agreements, if any, referred to in the first sentence of paragraph 5 above, which shall remain in full force and effect following your Separation Date according to their terms).</w:t>
      </w:r>
    </w:p>
    <w:p>
      <w:pPr>
        <w:spacing w:after="0" w:line="197" w:lineRule="exact"/>
        <w:rPr>
          <w:rFonts w:ascii="Times New Roman" w:cs="Times New Roman" w:eastAsia="Times New Roman" w:hAnsi="Times New Roman"/>
          <w:sz w:val="20"/>
          <w:szCs w:val="20"/>
          <w:color w:val="auto"/>
        </w:rPr>
      </w:pPr>
    </w:p>
    <w:p>
      <w:pPr>
        <w:jc w:val="both"/>
        <w:ind w:left="860" w:right="219" w:hanging="327"/>
        <w:spacing w:after="0" w:line="249"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this letter agreement is not intended, and shall not be construed, as an admission that the Company or any of the Released Parties has violated any federal, state, or local law (statutory or decisional), ordinance, or regulation, breached any contract, or committed any wrongdoing whatsoever against you or otherwise.</w:t>
      </w:r>
    </w:p>
    <w:p>
      <w:pPr>
        <w:spacing w:after="0" w:line="193" w:lineRule="exact"/>
        <w:rPr>
          <w:rFonts w:ascii="Times New Roman" w:cs="Times New Roman" w:eastAsia="Times New Roman" w:hAnsi="Times New Roman"/>
          <w:sz w:val="20"/>
          <w:szCs w:val="20"/>
          <w:color w:val="auto"/>
        </w:rPr>
      </w:pPr>
    </w:p>
    <w:p>
      <w:pPr>
        <w:jc w:val="both"/>
        <w:ind w:left="860" w:right="219" w:hanging="327"/>
        <w:spacing w:after="0" w:line="246"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letter agreement (a) is governed by the laws of the State of Florida applicable to agreements made and to be performed wholly within such state, and as such will be construed under and in accordance with the laws of the State of Florida without regard to conflicts of law, and (b) may not be modified unless evidenced by a writing signed by yourself and an authorized representative of the Company.</w:t>
      </w:r>
    </w:p>
    <w:p>
      <w:pPr>
        <w:spacing w:after="0" w:line="198" w:lineRule="exact"/>
        <w:rPr>
          <w:rFonts w:ascii="Times New Roman" w:cs="Times New Roman" w:eastAsia="Times New Roman" w:hAnsi="Times New Roman"/>
          <w:sz w:val="20"/>
          <w:szCs w:val="20"/>
          <w:color w:val="auto"/>
        </w:rPr>
      </w:pPr>
    </w:p>
    <w:p>
      <w:pPr>
        <w:jc w:val="both"/>
        <w:ind w:left="860" w:right="219" w:hanging="327"/>
        <w:spacing w:after="0" w:line="243"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unresolved dispute arising out of this letter agreement and the general release contained in paragraph 7 shall be submitted to the state and federal courts of Florida located in Miami-Dade County, and each party irrevocably consents to such personal jurisdiction and waives all objections thereto but does so only for the purposes of this letter agreement; provided that the Company may elect to pursue, without having to post any bond in connection therewith, a court action to seek injunctive relief in any court of competent jurisdiction to enforce any of its rights hereunder, including, without limitation, to terminate the violation of any of its proprietary rights, including but not limited to trade secrets, copyrights, or trademarks as well as the Continuing Obligations. Each party shall pay its own costs and fees in connection with any litigation hereunder.</w:t>
      </w:r>
    </w:p>
    <w:p>
      <w:pPr>
        <w:spacing w:after="0" w:line="185" w:lineRule="exact"/>
        <w:rPr>
          <w:rFonts w:ascii="Times New Roman" w:cs="Times New Roman" w:eastAsia="Times New Roman" w:hAnsi="Times New Roman"/>
          <w:sz w:val="20"/>
          <w:szCs w:val="20"/>
          <w:color w:val="auto"/>
        </w:rPr>
      </w:pPr>
    </w:p>
    <w:p>
      <w:pPr>
        <w:jc w:val="both"/>
        <w:ind w:left="860" w:right="219" w:hanging="327"/>
        <w:spacing w:after="0" w:line="246" w:lineRule="auto"/>
        <w:tabs>
          <w:tab w:leader="none" w:pos="8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accept this letter agreement by signing it and inserting the date of signature in the space provided on or before the twenty-first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9"/>
          <w:szCs w:val="19"/>
          <w:color w:val="auto"/>
        </w:rPr>
        <w:t>) day after your receipt of this letter agreement (but no earlier than your Separation Date) and delivering this signed letter agreement to Jesse A. Lynn, General Counsel, Icahn Enterprises L.P., 16690 Collins Avenue, PH-1, Sunny Isles Beach, FL 33160, jlynn@sfire.com. After signing this letter agreement and delivering it as set forth above, you will have seven days to revoke your decision (the “Revocation Period”). You may exercise your right to revoke your decision by sending written notice of revocation to Mr. Lynn as set forth above. Such notice must be postmarked (if by letter) or received (if by email) by the close of business on the seventh day after you sign this letter agreement. Provided you do not timely revoke your decision to sign this letter agreement, this letter agreement will become effective on the eighth day after you sign it (the “Effective Date”). In the event you do not timely accept and execute this letter agreement, or you revoke this letter agreement as set forth above, this letter agreement, including, without limitation, the obligation of the Company to provide the benefits set forth in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ind w:left="860" w:right="219"/>
        <w:spacing w:after="0" w:line="268" w:lineRule="auto"/>
        <w:rPr>
          <w:sz w:val="20"/>
          <w:szCs w:val="20"/>
          <w:color w:val="auto"/>
        </w:rPr>
      </w:pPr>
      <w:r>
        <w:rPr>
          <w:rFonts w:ascii="Times New Roman" w:cs="Times New Roman" w:eastAsia="Times New Roman" w:hAnsi="Times New Roman"/>
          <w:sz w:val="20"/>
          <w:szCs w:val="20"/>
          <w:color w:val="auto"/>
        </w:rPr>
        <w:t>paragraph 3, shall be deemed automatically null and void. You are advised to speak with an attorney before signing this letter agreement.</w:t>
      </w:r>
    </w:p>
    <w:p>
      <w:pPr>
        <w:spacing w:after="0" w:line="174" w:lineRule="exact"/>
        <w:rPr>
          <w:sz w:val="20"/>
          <w:szCs w:val="20"/>
          <w:color w:val="auto"/>
        </w:rPr>
      </w:pPr>
    </w:p>
    <w:p>
      <w:pPr>
        <w:jc w:val="both"/>
        <w:ind w:left="860" w:right="219" w:hanging="327"/>
        <w:spacing w:after="0" w:line="242" w:lineRule="auto"/>
        <w:tabs>
          <w:tab w:leader="none" w:pos="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paragraph or part or subpart of any paragraph in this letter agreement or the application thereof is construed to be overbroad and/or unenforceable, then the court making such determination shall have the authority to narrow the paragraph or part or subpart of the paragraph as necessary to make it enforceable and the paragraph or part or subpart of the paragraph shall then be enforceable in its/their narrowed form. Moreover, each paragraph or part or subpart of each paragraph in this letter agreement is independent of and severable (separate) from each other. In the event that any paragraph or part or subpart of any paragraph in this letter agreement is determined to be legally invalid or unenforceable by a court and is not modified by a court to be enforceable, the affected paragraph or part or subpart of such paragraph shall be stricken from the letter agreement, and the remaining paragraphs or parts or subparts of such paragraphs of this letter agreement shall remain in full force and effect.</w:t>
      </w:r>
    </w:p>
    <w:p>
      <w:pPr>
        <w:spacing w:after="0" w:line="189" w:lineRule="exact"/>
        <w:rPr>
          <w:rFonts w:ascii="Times New Roman" w:cs="Times New Roman" w:eastAsia="Times New Roman" w:hAnsi="Times New Roman"/>
          <w:sz w:val="20"/>
          <w:szCs w:val="20"/>
          <w:color w:val="auto"/>
        </w:rPr>
      </w:pPr>
    </w:p>
    <w:p>
      <w:pPr>
        <w:jc w:val="both"/>
        <w:ind w:left="860" w:right="239" w:hanging="327"/>
        <w:spacing w:after="0" w:line="254" w:lineRule="auto"/>
        <w:tabs>
          <w:tab w:leader="none" w:pos="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letter agreement is intended to or shall be construed to preclude you from providing truthful information about your employment or this letter agreement to any government agency or in any sworn testimony.</w:t>
      </w:r>
    </w:p>
    <w:p>
      <w:pPr>
        <w:spacing w:after="0" w:line="174" w:lineRule="exact"/>
        <w:rPr>
          <w:rFonts w:ascii="Times New Roman" w:cs="Times New Roman" w:eastAsia="Times New Roman" w:hAnsi="Times New Roman"/>
          <w:sz w:val="20"/>
          <w:szCs w:val="20"/>
          <w:color w:val="auto"/>
        </w:rPr>
      </w:pPr>
    </w:p>
    <w:p>
      <w:pPr>
        <w:jc w:val="both"/>
        <w:ind w:left="860" w:right="239" w:hanging="327"/>
        <w:spacing w:after="0" w:line="250" w:lineRule="auto"/>
        <w:tabs>
          <w:tab w:leader="none" w:pos="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letter agreement, you agree that you: (i) have carefully read this letter agreement in its entirety; (ii) are signing it voluntarily of your own free will; (iii) have had at least twenty-one</w:t>
      </w:r>
    </w:p>
    <w:p>
      <w:pPr>
        <w:spacing w:after="0" w:line="1" w:lineRule="exact"/>
        <w:rPr>
          <w:rFonts w:ascii="Times New Roman" w:cs="Times New Roman" w:eastAsia="Times New Roman" w:hAnsi="Times New Roman"/>
          <w:sz w:val="20"/>
          <w:szCs w:val="20"/>
          <w:color w:val="auto"/>
        </w:rPr>
      </w:pPr>
    </w:p>
    <w:p>
      <w:pPr>
        <w:ind w:left="1260" w:hanging="403"/>
        <w:spacing w:after="0"/>
        <w:tabs>
          <w:tab w:leader="none" w:pos="126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within which to consider its terms; (iv) are hereby advised by the Company to consult</w:t>
      </w:r>
    </w:p>
    <w:p>
      <w:pPr>
        <w:spacing w:after="0" w:line="6" w:lineRule="exact"/>
        <w:rPr>
          <w:sz w:val="20"/>
          <w:szCs w:val="20"/>
          <w:color w:val="auto"/>
        </w:rPr>
      </w:pPr>
    </w:p>
    <w:p>
      <w:pPr>
        <w:jc w:val="both"/>
        <w:ind w:left="860" w:right="219"/>
        <w:spacing w:after="0" w:line="242" w:lineRule="auto"/>
        <w:rPr>
          <w:sz w:val="20"/>
          <w:szCs w:val="20"/>
          <w:color w:val="auto"/>
        </w:rPr>
      </w:pPr>
      <w:r>
        <w:rPr>
          <w:rFonts w:ascii="Times New Roman" w:cs="Times New Roman" w:eastAsia="Times New Roman" w:hAnsi="Times New Roman"/>
          <w:sz w:val="20"/>
          <w:szCs w:val="20"/>
          <w:color w:val="auto"/>
        </w:rPr>
        <w:t>with an attorney of your choosing in connection with your decision whether to accept this letter agreement; (v) fully understand the significance of all of the terms and conditions of this letter agreement and have discussed them with an attorney of your choice, or have had a reasonable opportunity to do so; and (vi) you agree to abide by all of the terms and conditions contained herein.</w:t>
      </w:r>
    </w:p>
    <w:p>
      <w:pPr>
        <w:spacing w:after="0" w:line="202" w:lineRule="exact"/>
        <w:rPr>
          <w:sz w:val="20"/>
          <w:szCs w:val="20"/>
          <w:color w:val="auto"/>
        </w:rPr>
      </w:pPr>
    </w:p>
    <w:p>
      <w:pPr>
        <w:jc w:val="both"/>
        <w:ind w:left="860" w:right="219" w:hanging="327"/>
        <w:spacing w:after="0"/>
        <w:tabs>
          <w:tab w:leader="none" w:pos="8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and benefits pursuant to this letter agreement are subject to all withholding and other applicable deductions as required or authorized by applicable law. It is intended that payments and benefits pursuant to this letter agreement shall be exempt from, or compliant with, the requirements of Section 409A of the Internal Revenue Code of 1986, as amended, and all applicable regulations and guidance promulgated thereunder (“Section 409A”), and this letter shall be interpreted and construed in accordance with the foregoing. For purposes of Section 409A, each payment (including any payment or installment in a series of payments or installments) shall be treated as a “separate payment.” Any payment or benefit to be paid or provided upon your termination of employment (or term of similar meaning) shall only be made upon a “separation from service” within the meaning of Section 409A to the extent necessary to avoid the imposition of additional taxes, penalties, or interest pursuant to Section 409A. Reimbursement of any expenses that are taxable to you shall be paid as promptly as practicable following your providing appropriate itemization and substantiation of expenses incurred, and in all events on or before the last day of your taxable year following the taxable year in which the related expense was incurred. Reimbursements under this letter agreement are not subject to liquidation or exchange for another benefit and the amount of such benefits and reimbursements that you receive in one taxable year shall not affect the amount of such benefits or reimbursements that you receive in any other taxable year. Notwithstanding anything to the contrary in this letter agreement, in no event shall the Company or any of its affiliates (or any other Released Party) be liable for any additional taxes, interest, or penalties imposed on you pursuant to Section 409A, all of which shall be your sole and exclusive responsibility.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ICAHN ENTERPRISES L.P.</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Icahn Enterprises G.P. Inc., its general partner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Ted Papapostolou</w:t>
      </w:r>
      <w:r>
        <w:rPr>
          <w:rFonts w:ascii="Times New Roman" w:cs="Times New Roman" w:eastAsia="Times New Roman" w:hAnsi="Times New Roman"/>
          <w:sz w:val="22"/>
          <w:szCs w:val="22"/>
          <w:color w:val="auto"/>
        </w:rPr>
        <w:t>_______________</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Ted Papapostolou</w:t>
      </w:r>
    </w:p>
    <w:p>
      <w:pPr>
        <w:ind w:left="200"/>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u w:val="single" w:color="auto"/>
          <w:color w:val="auto"/>
        </w:rPr>
        <w:t>Understood and Agreed to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/s/ Andrew Teno</w:t>
      </w:r>
      <w:r>
        <w:rPr>
          <w:rFonts w:ascii="Times New Roman" w:cs="Times New Roman" w:eastAsia="Times New Roman" w:hAnsi="Times New Roman"/>
          <w:sz w:val="20"/>
          <w:szCs w:val="20"/>
          <w:color w:val="auto"/>
        </w:rPr>
        <w:t>____________________________</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Andrew Teno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 executed: May 6, 2026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 to be executed prior to Separation Date</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Separation Letter Agreement – Andrew Teno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70" w:name="page71"/>
    <w:bookmarkEnd w:id="7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168275</wp:posOffset>
            </wp:positionV>
            <wp:extent cx="805815" cy="814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8058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Via E-mail</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Ted:</w:t>
      </w:r>
    </w:p>
    <w:p>
      <w:pPr>
        <w:spacing w:after="0" w:line="233"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As we have discussed, in connection with your promotion to President and Chief Executive Officer of Icahn Enterprises L.P. (the “Company”) and certain of its subsidiaries, we are pleased to offer you the compensation terms set forth in this letter, which will be effective as of May 6, 2026 (the “Effective Date”), with a term expiring on October 31, 2028 (the “End Date”), unless earlier terminated in accordance with this letter. Your principal place of employment shall continue to be at the Company’s offices in Sunny Isles, Florida. If your employment with the Company continues following the End Date, then, unless otherwise set forth in a written agreement between you and the Company, your compensation for any service with the Company and any subsidiaries following the End Date will be set forth by the Board (as defined below) in its sole discretion. Effective as of the Effective Date, this letter will supersede in its entirety your offer letter agreement with the Company, dated as of September 26, 2024 (as amended or supplemented, the “Prior Agreement”), including, without limitation,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thereto, which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hereby expressly terminated in full and shall be of no further force or effect whatsoever, and you expressly acknowledge and agree that you do not have any rights to any further payment or compensation under the Prior Agreement (including such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except as expressly provided in the following paragraph.</w:t>
      </w:r>
    </w:p>
    <w:p>
      <w:pPr>
        <w:spacing w:after="0" w:line="218"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 xml:space="preserve">You and the Company acknowledge and agree that the only payment to which you are entitled under the Prior Agreement as of the Effective Date is any accrued but unpaid (and prorated) portion of the Interim Payment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the Prior Agreement) installment due as of the Effective Date for the Company’s payroll period in which the Effective Date occurs, which shall be paid on the Company’s next regular payroll date on the Company’s normal payroll schedule.</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Effective as of the Effective Date, your bi-weekly base salary (“Base Salary”) will be $134,615.38 (annualized at $3,500,000), paid on the Company’s normal payroll schedule. You will continue to report to the Board of Directors of Icahn Enterprises G.P. Inc. (“IEGP”), the general partner of the Company (the “Board”), Carl C. Icahn, the Chairman of the Board of Directors, and any successors to the Chairman of the Board of Directors as may be designated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2</w:t>
      </w:r>
    </w:p>
    <w:p>
      <w:pPr>
        <w:spacing w:after="0" w:line="20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In your position, you will be responsible for, among other things: (i) oversight of portfolio companies, (ii) performing duties regarding potential acquisitions and dispositions of businesses and assets and with respect to financing activities undertaken from time to time, (iii) providing your expertise in connection with the current and future business activities of the Company and other Designated Entities (as defined below), (iv) being the liaison with all of the Designated Entities, and (v) generally representing the Company and the other Designated Entities with respect to the executives and other personnel of the Designated Entities.</w:t>
      </w:r>
    </w:p>
    <w:p>
      <w:pPr>
        <w:spacing w:after="0" w:line="210"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Additionally, you will serve on boards of directors of companies designated from time to time by the Company, will not resign during the then-current term as a director of any such company, and will resign from any such board upon the Company’s request that you do so. Any remuneration obtained by you as a result of acting as a board member of a public company will remain your property; provided that you will not be entitled to any such remuneration for serving on the board of any company of which the Company or its affiliates beneficially own, in the aggregate, voting securities that constitute at least 40% of the vote for directors of such company. You will travel, as reasonably requested by the Company, in connection with your duties, as well as in connection with service on such boards of directors.</w:t>
      </w:r>
    </w:p>
    <w:p>
      <w:pPr>
        <w:spacing w:after="0" w:line="21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Moreover, you are expected to diligently and conscientiously devote your entire time, attention, and energies to the Company’s business and will not pursue or be actively engaged in any other business activity, except that you will be permitted to serve on civic or charitable boards and to invest passively, in each case (x) solely to the extent that you provide advance written notice to the Company of such activities, and the Company determines that such activities will not create an actual or potential conflict of interest with the Company or any of its affiliates or otherwise interfere or detract from the performance of your duties, and (y) subject to the terms and conditions of the Company’s insider trading, ethics, and other policies.</w:t>
      </w:r>
    </w:p>
    <w:p>
      <w:pPr>
        <w:spacing w:after="0" w:line="205"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 xml:space="preserve">Additionally, you will receive up to eleven (11) separate grants of deferred depositary units of the Company (each such grant, a “Quarterly Award”), pursuant to and subject to the terms and conditions of the Icahn Enterprises L.P. 2017 Long-Term Incentive Plan (as amended, or any successor thereto, the “Plan”), and the applicable deferred unit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“Deferred Unit Agreement”), in accordance with the following:</w:t>
      </w:r>
    </w:p>
    <w:p>
      <w:pPr>
        <w:spacing w:after="0" w:line="1" w:lineRule="exact"/>
        <w:rPr>
          <w:sz w:val="20"/>
          <w:szCs w:val="20"/>
          <w:color w:val="auto"/>
        </w:rPr>
      </w:pPr>
    </w:p>
    <w:p>
      <w:pPr>
        <w:ind w:left="860" w:right="239" w:hanging="327"/>
        <w:spacing w:after="0" w:line="230"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remain in active employment in good standing with the Company on the date of an applicable Quarterly Award to be eligible to receive it;</w:t>
      </w:r>
    </w:p>
    <w:p>
      <w:pPr>
        <w:spacing w:after="0" w:line="1"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Quarterly Award shall be granted effective as of the VWAP Calculation Date (as defined below) with respect to the Company’s quarterly earnings call for the first (1st) quarter of 2026 (scheduled for May 6, 2026), and each of the remaining ten (10) grants shall be granted effective as of the VWAP Calculation Date that corresponds to the applicable of the following ten (10) quarterly earnings calls (each quarterly earnings call, an “Earnings Call”) to which such VWAP Calculation Date relates (and the Company shall issue the applicable award to you on or promptly following the applicable VWAP Calculation Date);</w:t>
      </w:r>
    </w:p>
    <w:p>
      <w:pPr>
        <w:spacing w:after="0" w:line="4" w:lineRule="exact"/>
        <w:rPr>
          <w:rFonts w:ascii="Times New Roman" w:cs="Times New Roman" w:eastAsia="Times New Roman" w:hAnsi="Times New Roman"/>
          <w:sz w:val="22"/>
          <w:szCs w:val="22"/>
          <w:color w:val="auto"/>
        </w:rPr>
      </w:pPr>
    </w:p>
    <w:p>
      <w:pPr>
        <w:jc w:val="both"/>
        <w:ind w:left="860" w:right="239" w:hanging="327"/>
        <w:spacing w:after="0" w:line="249" w:lineRule="auto"/>
        <w:tabs>
          <w:tab w:leader="none" w:pos="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deferred depositary units of the Company granted with respect to each Quarterly Award shall be determined by dividing (x) $250,000, </w:t>
      </w:r>
      <w:r>
        <w:rPr>
          <w:rFonts w:ascii="Times New Roman" w:cs="Times New Roman" w:eastAsia="Times New Roman" w:hAnsi="Times New Roman"/>
          <w:sz w:val="21"/>
          <w:szCs w:val="21"/>
          <w:i w:val="1"/>
          <w:iCs w:val="1"/>
          <w:u w:val="single" w:color="auto"/>
          <w:color w:val="auto"/>
        </w:rPr>
        <w:t>by</w:t>
      </w:r>
      <w:r>
        <w:rPr>
          <w:rFonts w:ascii="Times New Roman" w:cs="Times New Roman" w:eastAsia="Times New Roman" w:hAnsi="Times New Roman"/>
          <w:sz w:val="21"/>
          <w:szCs w:val="21"/>
          <w:color w:val="auto"/>
        </w:rPr>
        <w:t xml:space="preserve"> (y) the volume weighted average price (“VWAP”) of one (1) depositary unit of the Company for the five (5)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330835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3</w:t>
      </w:r>
    </w:p>
    <w:p>
      <w:pPr>
        <w:spacing w:after="0" w:line="209" w:lineRule="exact"/>
        <w:rPr>
          <w:sz w:val="20"/>
          <w:szCs w:val="20"/>
          <w:color w:val="auto"/>
        </w:rPr>
      </w:pPr>
    </w:p>
    <w:p>
      <w:pPr>
        <w:jc w:val="both"/>
        <w:ind w:left="860" w:right="219"/>
        <w:spacing w:after="0" w:line="236" w:lineRule="auto"/>
        <w:rPr>
          <w:sz w:val="20"/>
          <w:szCs w:val="20"/>
          <w:color w:val="auto"/>
        </w:rPr>
      </w:pPr>
      <w:r>
        <w:rPr>
          <w:rFonts w:ascii="Times New Roman" w:cs="Times New Roman" w:eastAsia="Times New Roman" w:hAnsi="Times New Roman"/>
          <w:sz w:val="22"/>
          <w:szCs w:val="22"/>
          <w:color w:val="auto"/>
        </w:rPr>
        <w:t>day-period commencing on the trading day immediately following the date of the applicable Earnings Call to which such Quarterly Award relates and ending on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trading day thereafter (the “VWAP Calculation Date”), with such VWAP calculated in accordance with the Company’s then-applicable VWAP calculation methodology;</w:t>
      </w:r>
    </w:p>
    <w:p>
      <w:pPr>
        <w:spacing w:after="0" w:line="1" w:lineRule="exact"/>
        <w:rPr>
          <w:sz w:val="20"/>
          <w:szCs w:val="20"/>
          <w:color w:val="auto"/>
        </w:rPr>
      </w:pPr>
    </w:p>
    <w:p>
      <w:pPr>
        <w:ind w:left="860" w:right="219" w:hanging="327"/>
        <w:spacing w:after="0" w:line="230" w:lineRule="auto"/>
        <w:tabs>
          <w:tab w:leader="none" w:pos="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Quarterly Award shall accrue dividend equivalents, as provided pursuant to the Deferred Unit Agreement;</w:t>
      </w:r>
    </w:p>
    <w:p>
      <w:pPr>
        <w:spacing w:after="0" w:line="1" w:lineRule="exact"/>
        <w:rPr>
          <w:rFonts w:ascii="Times New Roman" w:cs="Times New Roman" w:eastAsia="Times New Roman" w:hAnsi="Times New Roman"/>
          <w:sz w:val="22"/>
          <w:szCs w:val="22"/>
          <w:color w:val="auto"/>
        </w:rPr>
      </w:pPr>
    </w:p>
    <w:p>
      <w:pPr>
        <w:jc w:val="both"/>
        <w:ind w:left="860" w:right="239" w:hanging="327"/>
        <w:spacing w:after="0" w:line="230" w:lineRule="auto"/>
        <w:tabs>
          <w:tab w:leader="none" w:pos="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deferred depositary units subject to each Quarterly Award (and any corresponding dividend equivalents) will cliff vest and cease to be deferred units on the End Date, provided that you remain employed in good standing with the Company through the End Date; and</w:t>
      </w:r>
    </w:p>
    <w:p>
      <w:pPr>
        <w:spacing w:after="0" w:line="2"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Quarterly Award that vests in accordance with the foregoing (including any applicable dividend equivalents attributable to such vested Quarterly Award) will be settled in cash within sixty (60) days following the End Date, in accordance with the following procedure (the “Settlement Procedure”):</w:t>
      </w:r>
    </w:p>
    <w:p>
      <w:pPr>
        <w:spacing w:after="0" w:line="2" w:lineRule="exact"/>
        <w:rPr>
          <w:rFonts w:ascii="Times New Roman" w:cs="Times New Roman" w:eastAsia="Times New Roman" w:hAnsi="Times New Roman"/>
          <w:sz w:val="22"/>
          <w:szCs w:val="22"/>
          <w:color w:val="auto"/>
        </w:rPr>
      </w:pPr>
    </w:p>
    <w:p>
      <w:pPr>
        <w:ind w:left="1500" w:right="219" w:hanging="324"/>
        <w:spacing w:after="0" w:line="229"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each vested deferred unit pursuant to each such Quarterly Award will be converted</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into a cash payment based on the VWAP of one (1) depositary unit of the Company for the one hundred eighty (180) day-period ending on the End Date, with such VWAP calculated in accordance with the Company’s then-applicable VWAP calculation methodology (for the avoidance of doubt, dividend equivalents will continue to accrue on such Quarterly Awards during the period from the End Date through the date that such Quarterly Awards are settled in cash (such period, the “Stub Period”), and you shall additionally be entitled to receive an additional cash dividend equivalent payment (without duplication of any dividend equivalent amounts that you have previously been credited or paid) on any dividends declared or paid within the Stub Period, with such additional cash dividend equivalents paid to you on the date of settlement of the Quarterly Awards (or, if such payment is not practicable, on the Company’s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regular payroll date following the date that the Quarterly Awards are so settled)).</w:t>
      </w:r>
    </w:p>
    <w:p>
      <w:pPr>
        <w:spacing w:after="0" w:line="206"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For the avoidance of doubt, except for your Quarterly Award opportunity, from and after the Effective Date through the End Date (or, if earlier, the end of your employment with the Company), you shall not be entitled to participate in any other short-term or long-term incentive compensation program with respect to your employment under this letter (whether in the form of cash, equity, or equity-based awards), unless otherwise determined by the Board (or duly authorized committee thereof) in its sole discretion.</w:t>
      </w:r>
    </w:p>
    <w:p>
      <w:pPr>
        <w:spacing w:after="0" w:line="208"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All of your compensation (including, without limitation, any payments in respect of the Quarterly Awards) is subject to withholding and other applicable deductions as required or authorized by law.</w:t>
      </w:r>
    </w:p>
    <w:p>
      <w:pPr>
        <w:spacing w:after="0" w:line="162"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You will continue to be eligible to participate in the Company’s Paid Time Off (PTO) program, subject to the policies of the Company including any cap on accruals, which policies may change from time to time. Notwithstanding the terms of the PTO policy or any amendments thereto made following the date hereof, you will continue to be entitled to an aggregate of 27 PTO days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3" w:name="page74"/>
    <w:bookmarkEnd w:id="73"/>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4</w:t>
      </w:r>
    </w:p>
    <w:p>
      <w:pPr>
        <w:spacing w:after="0" w:line="20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and will receive a cash payment at the end of each year for any accrued but unused PTO days as calculated in accordance with the PTO policy in effect as of the date hereof.</w:t>
      </w:r>
    </w:p>
    <w:p>
      <w:pPr>
        <w:spacing w:after="0" w:line="185"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You will remain eligible to participate in the Company’s benefits plans and programs (including group medical, dental, vision, and life insurance; disability benefits; and the Company’s 401(k) program) as may be made available by the Company from time to time and in accordance with the terms and conditions (including eligibility conditions) of the applicable plan or program. The Company reserves the right to add, change, or terminate benefits at any time including, but not limited to, those set forth above.</w:t>
      </w:r>
    </w:p>
    <w:p>
      <w:pPr>
        <w:spacing w:after="0" w:line="208"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As a condition of your continued employment with the Company, you agree that during and after your employment you shall not disclose to any third party any confidential or proprietary information of the Company, any of its affiliates or subsidiaries, including, without limitation, Icahn Enterprises Holdings L.P., the Company’s 99%-owned subsidiary, and IEGP (collectively, the “Designated Entities”), or any of their respective owners, members, directors, managers, and employees (“Confidential Information”). You further agree that during and after your employment you will not disparage, verbally or in writing, any of the Designated Entities, including any of their respective owners, members, directors, managers, or employees, and their family members. In addition, the confidentiality policy that you signed remains in full force and effect. Nothing in this letter prohibits you from reporting any possible violations of federal law or regulation to, or filing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nor does it limit your ability to communicate with any Government Agencies, participate in any investigation or proceeding that may be conducted by any Government Agency, make any other disclosures that are protected under the whistleblower provisions of federal law or regulation, or exercise any protected rights that you may have under Section 7 of the National Labor Relations Act. You are not required to notify the Company that you will make or have made such reports or disclosures. Non-compliance with the disclosure provisions of this letter shall not subject you to criminal or civil liability under any Federal or State trade secret law for the disclosure of a Company trade secret if the disclosure is made: (i) in confidence to a Federal, State or local government official, either directly or indirectly, or to an attorney in confidence solely for the purpose of reporting or investigating a suspected violation of law; (ii) in a complaint or other document filed in a lawsuit or other proceeding, provided that any complaint or document containing the trade secret is filed under seal; or (iii) to an attorney representing you in a lawsuit for retaliation by the Company for reporting a suspected violation of law or to use the trade secret information in that court proceeding, provided that any document containing the trade secret is filed under seal and you do not disclose the trade secret, except pursuant to court order.</w:t>
      </w:r>
    </w:p>
    <w:p>
      <w:pPr>
        <w:spacing w:after="0" w:line="22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All processes, technologies, investments, contemplated investments, business opportunities, valuation models and methodologies, and inventions (collectively, “Inventions”), including, without limitation, new contributions, improvements, ideas, business plans, discoveries, trademarks, and trade names, conceived, developed, invented, made, or found by you, alone or with others, during your employment with the Company and its subsidiaries or affiliates,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5</w:t>
      </w:r>
    </w:p>
    <w:p>
      <w:pPr>
        <w:spacing w:after="0" w:line="20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or not patentable and whether or not on the time of the Designated Entities or with the use of their facilities or materials, shall be the property of the applicable Designated Entity and shall be promptly and fully disclosed by you to such Designated Entity upon request. You shall, at such Designated Entities’ sole cost and expense, perform all necessary acts (including, without limitation, executing and delivering any confirmatory assignments, documents, or instruments requested by the Designated Entities) to vest title to any such Invention in any such person and to enable such person and the Designated Entities to secure and maintain domestic and/or foreign patents or any other rights for such Inventions.</w:t>
      </w:r>
    </w:p>
    <w:p>
      <w:pPr>
        <w:spacing w:after="0" w:line="205"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Without limiting anything contained above, you agree and acknowledge that all personal and not otherwise public information about the Designated Entities, including, without limitation, their respective investments, investors, transactions, historical performance, or otherwise regarding or concerning Carl Icahn, Mr. Icahn’s family, and employees of the Designated Entities, shall constitute Confidential Information for purposes of this letter. In no event shall you, during or after your employment hereunder, disparage Mr. Icahn, Mr. Icahn’s family, or the Designated Entities, or any of their respective officers or directors.</w:t>
      </w:r>
    </w:p>
    <w:p>
      <w:pPr>
        <w:spacing w:after="0" w:line="21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You further agree not to write a book or article about the Designated Entities, Mr. Icahn, his family members, or any of the respective affiliates of any of the foregoing, in any media and not to publish or cause to be published in any media, any Confidential Information, and further agree to keep confidential and not to disclose to any third party, including, but not limited to, newspapers, authors, publicists, journalists, bloggers, gossip columnists, producers, directors, script writers, media personalities, and the like, in any and all media or communication methods, any Confidential Information.</w:t>
      </w:r>
    </w:p>
    <w:p>
      <w:pPr>
        <w:spacing w:after="0" w:line="21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In furtherance of the foregoing, you agree that following the cessation of your employment hereunder, the sole and only statements you will make about or concerning any or all of: Mr. Icahn, his family members, and the Designated Entities, or any of the respective affiliates of any of the foregoing, is to acknowledge that you are or were employed by the Company, and were its President and Chief Executive Officer starting on the Effective Date (and, prior to the Effective Date, its Chief Financial Officer).</w:t>
      </w:r>
    </w:p>
    <w:p>
      <w:pPr>
        <w:spacing w:after="0" w:line="208"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In addition, you will continue to be subject to the extent permitted by state and local law to the non-solicitation and non-competition obligations enumerated below during your employment with the Company and for a period of one year following your termination of employment.</w:t>
      </w:r>
    </w:p>
    <w:p>
      <w:pPr>
        <w:spacing w:after="0" w:line="200" w:lineRule="exact"/>
        <w:rPr>
          <w:sz w:val="20"/>
          <w:szCs w:val="20"/>
          <w:color w:val="auto"/>
        </w:rPr>
      </w:pPr>
    </w:p>
    <w:p>
      <w:pPr>
        <w:jc w:val="both"/>
        <w:ind w:left="860" w:right="219" w:hanging="327"/>
        <w:spacing w:after="0" w:line="246" w:lineRule="auto"/>
        <w:tabs>
          <w:tab w:leader="none" w:pos="8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Non-solicitation. You will not, in any capacity, either directly or indirectly, induce, encourage, or assist any other individual or entity directly or indirectly, to: (A) hire or engage any employee of any Designated Entity (or any individual who was an employee of a Designated Entity within the 12 months preceding the date such hiring or engagement occurs) or solicit or seek to persuade any employee of any Designated Entity to discontinue such employment with such Designated Entity, (B) solicit or encourage any customer of a Designated Entity or independent contractor providing services to a Designated Entity to terminate or diminish its relationship with such Designated Entity, (C) seek to persuade any customer (or any individual who was a customer of a Designated Entity within the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6</w:t>
      </w:r>
    </w:p>
    <w:p>
      <w:pPr>
        <w:spacing w:after="0" w:line="209" w:lineRule="exact"/>
        <w:rPr>
          <w:sz w:val="20"/>
          <w:szCs w:val="20"/>
          <w:color w:val="auto"/>
        </w:rPr>
      </w:pPr>
    </w:p>
    <w:p>
      <w:pPr>
        <w:jc w:val="both"/>
        <w:ind w:left="860" w:right="219"/>
        <w:spacing w:after="0" w:line="248" w:lineRule="auto"/>
        <w:rPr>
          <w:sz w:val="20"/>
          <w:szCs w:val="20"/>
          <w:color w:val="auto"/>
        </w:rPr>
      </w:pPr>
      <w:r>
        <w:rPr>
          <w:rFonts w:ascii="Times New Roman" w:cs="Times New Roman" w:eastAsia="Times New Roman" w:hAnsi="Times New Roman"/>
          <w:sz w:val="21"/>
          <w:szCs w:val="21"/>
          <w:color w:val="auto"/>
        </w:rPr>
        <w:t>months prior to the date such solicitation or encouragement commences or occurs, as the case may be) or prospective customer of a Designated Entity to conduct with anyone else any business or activity that such customer or prospective customer conducts or could conduct with such Designated Entity, or (D) attempt to divert, divert, or otherwise usurp any actual or potential business opportunity or transaction that you learned about during your employment with the Company. For purposes of this paragraph, “in any capacity” includes, but is not limited to, as an employee, independent contractor, volunteer, or owner.</w:t>
      </w:r>
    </w:p>
    <w:p>
      <w:pPr>
        <w:spacing w:after="0" w:line="197" w:lineRule="exact"/>
        <w:rPr>
          <w:sz w:val="20"/>
          <w:szCs w:val="20"/>
          <w:color w:val="auto"/>
        </w:rPr>
      </w:pPr>
    </w:p>
    <w:p>
      <w:pPr>
        <w:jc w:val="both"/>
        <w:ind w:left="860" w:right="219" w:hanging="327"/>
        <w:spacing w:after="0" w:line="234" w:lineRule="auto"/>
        <w:tabs>
          <w:tab w:leader="none" w:pos="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You will not, as principal, agent, owner, employee, director, partner, investor shareholder (other than solely as a passive holder of not more than 1% of the issued and outstanding shares of any public corporation), consultant, advisor, or otherwise howsoever participate in, act for, or on behalf of, or for the benefit of, own, operate, carry on or engage in the operation of or have any financial interest in or provide in any manner, directly or indirectly, financial assistance to or lend money to or guarantee the debts or obligations of any person carrying on or engaged in any business that is similar to or competitive with the business conducted by the Designated Entities during or on the date of termination of your employment.</w:t>
      </w:r>
    </w:p>
    <w:p>
      <w:pPr>
        <w:spacing w:after="0" w:line="210" w:lineRule="exact"/>
        <w:rPr>
          <w:rFonts w:ascii="Times New Roman" w:cs="Times New Roman" w:eastAsia="Times New Roman" w:hAnsi="Times New Roman"/>
          <w:sz w:val="22"/>
          <w:szCs w:val="22"/>
          <w:color w:val="auto"/>
        </w:rPr>
      </w:pPr>
    </w:p>
    <w:p>
      <w:pPr>
        <w:jc w:val="both"/>
        <w:ind w:left="860" w:right="219" w:hanging="327"/>
        <w:spacing w:after="0" w:line="232" w:lineRule="auto"/>
        <w:tabs>
          <w:tab w:leader="none" w:pos="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Acknowledgement. You agree and acknowledge that the restrictive covenants set forth above (including, without limitation, the confidentiality, intellectual property, non-disparagement, non-solicitation, and non-competition provisions) are reasonable as to duration, terms, and geographical area and that they protect the legitimate interests of the Designated Entities, impose no undue hardship on you, are not injurious to the public, and that any violation of these provisions shall be specifically enforceable in any court with jurisdiction upon short notice. You agree and acknowledge that any breach of these provisions shall cause irreparable injury to the Designated Entities and upon breach of any such provision, the Designated Entities shall be entitled to obtain injunctive relief, specific performance, or other equitable relief, or pursue any remedies or relief available to them in law or equity (including, without limitation, monetary damages). If any of these provisions are adjudged by a court to be invalid or unenforceable, the same shall in no way affect any other circumstance or the validity or enforceability of any other provision set forth herein. If the scope of any provision (or any part thereof) is too broad to permit enforcement to its fullest extent, you agree that the court making such determination shall have the power to reduce the duration, area, and/or other aspects of the provision to the extent necessary to permit enforcement, and, in its reduced form, such provision shall then be enforceable and shall be enforced.</w:t>
      </w:r>
    </w:p>
    <w:p>
      <w:pPr>
        <w:spacing w:after="0" w:line="215" w:lineRule="exact"/>
        <w:rPr>
          <w:rFonts w:ascii="Times New Roman" w:cs="Times New Roman" w:eastAsia="Times New Roman" w:hAnsi="Times New Roman"/>
          <w:sz w:val="22"/>
          <w:szCs w:val="22"/>
          <w:color w:val="auto"/>
        </w:rPr>
      </w:pPr>
    </w:p>
    <w:p>
      <w:pPr>
        <w:jc w:val="both"/>
        <w:ind w:left="860" w:right="219" w:hanging="327"/>
        <w:spacing w:after="0" w:line="235" w:lineRule="auto"/>
        <w:tabs>
          <w:tab w:leader="none" w:pos="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Florida CHOICE Act. You expressly acknowledge and agree that, in compliance with the Florida Contracts Honoring Opportunity, Investment, Confidentiality, and Economic Growth Act (the “CHOICE Act”), (i) the Company hereby expressly advises you of your right to seek legal counsel prior to entering into this letter (including with respect to the non-competition provisions contained herein), (ii) you have had a period of at least seven</w:t>
      </w:r>
    </w:p>
    <w:p>
      <w:pPr>
        <w:jc w:val="both"/>
        <w:ind w:left="860" w:right="239" w:hanging="3"/>
        <w:spacing w:after="0" w:line="249" w:lineRule="auto"/>
        <w:tabs>
          <w:tab w:leader="none" w:pos="123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to consider the offer of the new terms and conditions of your continued employment pursuant to this letter prior to its expiration (and if you choose to execute this letter sooner, you have done so at your own free will and without any duress), and (iii)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330835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6" w:name="page77"/>
    <w:bookmarkEnd w:id="76"/>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7</w:t>
      </w:r>
    </w:p>
    <w:p>
      <w:pPr>
        <w:spacing w:after="0" w:line="209" w:lineRule="exact"/>
        <w:rPr>
          <w:sz w:val="20"/>
          <w:szCs w:val="20"/>
          <w:color w:val="auto"/>
        </w:rPr>
      </w:pPr>
    </w:p>
    <w:p>
      <w:pPr>
        <w:ind w:left="860" w:right="219"/>
        <w:spacing w:after="0" w:line="258" w:lineRule="auto"/>
        <w:rPr>
          <w:sz w:val="20"/>
          <w:szCs w:val="20"/>
          <w:color w:val="auto"/>
        </w:rPr>
      </w:pPr>
      <w:r>
        <w:rPr>
          <w:rFonts w:ascii="Times New Roman" w:cs="Times New Roman" w:eastAsia="Times New Roman" w:hAnsi="Times New Roman"/>
          <w:sz w:val="22"/>
          <w:szCs w:val="22"/>
          <w:color w:val="auto"/>
        </w:rPr>
        <w:t>will receive and use both Confidential Information and customer relationships over the course of your employment with the Company.</w:t>
      </w:r>
    </w:p>
    <w:p>
      <w:pPr>
        <w:spacing w:after="0" w:line="18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This letter does not constitute an employment agreement or contract. You understand that your employment is “at will” and can be terminated, with or without Cause (as defined below) and with or without notice, at any time (and you may resign, with or without Good Reason (as defined below)). Nothing contained in this letter shall limit or otherwise alter the foregoing.</w:t>
      </w:r>
    </w:p>
    <w:p>
      <w:pPr>
        <w:spacing w:after="0" w:line="207"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“Cause” means, as determined by the Company in its sole discretion: (A) your willful failure to perform substantially your duties (other than any such failure resulting from incapacity due to documented disability); (B) commission of, or indictment for, a felony or any crime involving fraud or embezzlement or dishonesty or conviction of, or plea of nolo contendere to a crime or misdemeanor (other than a traffic violation) punishable by imprisonment under federal, state, or local law; (C) engagement in an act of fraud or other act of willful dishonesty or misconduct toward the Company or any of its related companies or affiliates, detrimental to the Company or any of its related companies or affiliates, or in the performance of your duties; (D) negligence in the performance of employment duties that has a detrimental effect on the Company or any of its related companies or affiliates; (E) violation of a federal or state securities law or regulation; (F) the use of a controlled substance without a prescription or the use of alcohol which, in each case, significantly impairs your ability to carry out your duties and responsibilities; (G) material violation of the policies and procedures of the Company or any of its related companies or affiliates; (H) embezzlement and/or misappropriation of property of the Company or any of its related companies or affiliates; or (I) conduct involving any immoral acts which is reasonably likely to impair the reputation of the Company or any of its related companies or affiliates.</w:t>
      </w:r>
    </w:p>
    <w:p>
      <w:pPr>
        <w:spacing w:after="0" w:line="21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 resignation for “Good Reason” shall mean a resignation by you that occurs promptly following the existence of an Uncured Employer Breach. An “Uncured Employer Breach” shall mean (i) a material breach of the terms of this letter by the Company, including the Company’s requiring your principal place of employment to be at an office location that is not in the city of Sunny Isles Beach, Florida, and/or (ii) a material change in the duties assigned to you which are so different in responsibility and scope so as to be materially adverse to you to the extent that you, acting reasonably, would be demeaned by such change, in each case if such breach or change continues following the fifth (5th) business day after prompt written notice by you detailing the circumstances of such breach or change has been delivered by (x) email and (y) personally by hand (or by certified mail return receipt requested) to Carl C. Icahn (or his successor).</w:t>
      </w:r>
    </w:p>
    <w:p>
      <w:pPr>
        <w:spacing w:after="0" w:line="206"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If your employment ends for any reason, then, except as otherwise expressly provided below, you will solely be entitled to receive any Base Salary earned and accrued for periods prior to the cessation of your employment and not yet paid through the date of cessation of employment, as well as any accrued paid time off and other accrued health or welfare benefits, or vested Company 401(k) plan benefits, in each case in accordance with the terms and conditions of the applicable benefit plan or program.</w:t>
      </w:r>
    </w:p>
    <w:p>
      <w:pPr>
        <w:spacing w:after="0" w:line="208"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If, prior to the End Date, the Company terminates your employment without Cause (including by reason of death or Disability, as defined in the Plan) or you resign for Good Reason, then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308610</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7" w:name="page78"/>
    <w:bookmarkEnd w:id="77"/>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8</w:t>
      </w:r>
    </w:p>
    <w:p>
      <w:pPr>
        <w:spacing w:after="0" w:line="20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case, subject to your or your estate’s timely execution of, and continued compliance with, the Company’s standard form of general release of all claims and agreement containing non-disparagement and other restrictive covenant provisions (a “Release”), which Release has become fully effective and irrevocable within sixty (60) days following the date of such termination (the “Release Period”)):</w:t>
      </w:r>
    </w:p>
    <w:p>
      <w:pPr>
        <w:spacing w:after="0" w:line="204" w:lineRule="exact"/>
        <w:rPr>
          <w:sz w:val="20"/>
          <w:szCs w:val="20"/>
          <w:color w:val="auto"/>
        </w:rPr>
      </w:pPr>
    </w:p>
    <w:p>
      <w:pPr>
        <w:jc w:val="both"/>
        <w:ind w:left="860" w:right="219" w:hanging="327"/>
        <w:spacing w:after="0" w:line="235"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you a lump sum amount equal to $3,500,000, on the Company’s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xml:space="preserve">) regular payroll date that follows the date that the Release has become fully effective and irrevocable in accordance with its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Release Period spans two (2) calendar years, such payment shall not be made until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calendar year (the “Severance Payment”);</w:t>
      </w:r>
    </w:p>
    <w:p>
      <w:pPr>
        <w:jc w:val="both"/>
        <w:ind w:left="860" w:right="219" w:hanging="327"/>
        <w:spacing w:after="0" w:line="230"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and then-unvested Quarterly Awards (together with any accrued dividend equivalents applicable thereto) shall vest in full as of the date of such termination and will be settled in cash within sixty (60) days following the date of such termination, with such settlement processed in accordance with the Settlement Procedure (including, for the avoidance of doubt, the provisions regarding accrual of dividend equivalents during the Stub Period), except that for purposes of the Settlement Procedure as applied to such termination, all references to the End Date shall instead be deemed to refer to the date of such termination (including for purposes of defining the Stub Period); and</w:t>
      </w:r>
    </w:p>
    <w:p>
      <w:pPr>
        <w:spacing w:after="0" w:line="4" w:lineRule="exact"/>
        <w:rPr>
          <w:rFonts w:ascii="Times New Roman" w:cs="Times New Roman" w:eastAsia="Times New Roman" w:hAnsi="Times New Roman"/>
          <w:sz w:val="22"/>
          <w:szCs w:val="22"/>
          <w:color w:val="auto"/>
        </w:rPr>
      </w:pPr>
    </w:p>
    <w:p>
      <w:pPr>
        <w:jc w:val="both"/>
        <w:ind w:left="860" w:right="219" w:hanging="327"/>
        <w:spacing w:after="0" w:line="232" w:lineRule="auto"/>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Quarterly Award that had not been granted prior to the date of such termination but that you would have been eligible to receive had your employment continued through the End Date, you shall, in lieu of each such Quarterly Award, receive a lump sum cash payment at the same time as the Severance Payment is made equal to $250,000. By way of example and for illustrative purposes only, if, at the time of such termination, you had only been granted six (6) Quarterly Awards, the aggregate amount payable in lieu of such Quarterly Awards would be $1,250,000 (that is, $250,000 for each of the five (5) Quarterly Awards that you would have been eligible to receive had your employment continued through the End Date).</w:t>
      </w:r>
    </w:p>
    <w:p>
      <w:pPr>
        <w:spacing w:after="0" w:line="20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You will not be eligible to receive any other severance or similar payments or benefits other than as expressly described above and will not be entitled to participate in the Company’s severance pay plan or any other severance plan or program maintained by the Company or its affiliates, including, without limitation, the Icahn Enterprises Holdings L.P. Severance Pay Plan.</w:t>
      </w:r>
    </w:p>
    <w:p>
      <w:pPr>
        <w:spacing w:after="0" w:line="207"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1"/>
          <w:szCs w:val="21"/>
          <w:color w:val="auto"/>
        </w:rPr>
        <w:t>You hereby represent and warrant that since the commencement of your employment with the Company, you have not taken any actions, or failed to take any actions, that would constitute “Cause” as defined in this letter. You hereby represent and warrant that you are under no contractual or legal commitments that would prevent you from fulfilling your duties and responsibilities for the Company, including, without limitation, any employment, consulting, confidentiality, non-competition, trade secret, or similar agreement to which you are a party, nor any judgment, order, decision, or decree to which you are subject. You warrant that you are free to enter into this employment arrangement and to perform the services contemplated herein. You are not currently (and will not, to your best knowledge and ability, at any time during employment with the Company be) subject to any conflicting agreement, understanding, obligation, claim, litigation, or condition from any third party. You further agree and covenant that you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9</w:t>
      </w:r>
    </w:p>
    <w:p>
      <w:pPr>
        <w:spacing w:after="0" w:line="20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improperly use or disclose in connection with your employment with the Company any confidential, proprietary, or trade secret information of any former employer or third party and will not bring onto Company premises or copy onto Company equipment or systems any unpublished documents, data, or information of any former employer or third party. You further represent and warrant to the Company that you are not currently and have never been the subject of any allegation or complaint of harassment or discrimination in connection with prior employment or otherwise, and you have not been a party to any settlement agreement or nondisclosure agreement relating to such matters.</w:t>
      </w:r>
    </w:p>
    <w:p>
      <w:pPr>
        <w:spacing w:after="0" w:line="205"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Your employment will be subject to other policies, terms, and conditions that may be established or modified by the Company from time to time. By signing below, you acknowledge that no representations, oral or written, express or implied, have been made by the Company (x) as to any minimum or specified term or length of employment, or (y) that you may be terminated only for Cause or only after the Company engages in corrective action or counseling.</w:t>
      </w:r>
    </w:p>
    <w:p>
      <w:pPr>
        <w:spacing w:after="0" w:line="204"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It is intended that payments and benefits pursuant to this letter shall be exempt from, or compliant with, the requirements of Section 409A of the Internal Revenue Code of 1986, as amended (the “Code”), and all applicable regulations and guidance promulgated thereunder (“Section 409A”), and this letter shall be interpreted and construed in accordance with the foregoing. For purposes of Section 409A, each payment (including any payment or installment in a series of payments or installments) shall be treated as a “separate payment.” To the extent necessary to avoid the imposition of additional taxes, penalties, or interest pursuant to Section 409A, (x) any payment or benefit to be paid or provided upon your termination of employment (or term of similar meaning) shall only be made upon a “separation from service” within the meaning of Section 409A, and (y) if, at the time of your “separation from service” the Company determines that you are a “specified employee” within the meaning of Section 409A(a)(2)(B)(i) of the Code, then to the extent any payment or benefit that you become entitled to on account of your “separation from service” constitutes “nonqualified deferred compensation” subject to Section 409A, such payment shall not be payable and such benefit shall not be provided until the date that is the earlier of (A) six (6) months and one (1) day following your “separation from service” and (B) your death. Reimbursement of any expenses that are taxable to you shall be paid as promptly as practicable following your providing appropriate itemization and substantiation of expenses incurred, and in all events on or before the last day of your taxable year following the taxable year in which the related expense was incurred. Reimbursements under this letter are not subject to liquidation or exchange for another benefit and the amount of such benefits and reimbursements that you receive in one taxable year shall not affect the amount of such benefits or reimbursements that you receive in any other taxable year. Notwithstanding anything to the contrary in this letter, in no event shall the Company or any of its affiliates be liable for any additional taxes, interest, or penalties imposed on you pursuant to Section 409A, all of which shall be your sole and exclusive responsibility.</w:t>
      </w:r>
    </w:p>
    <w:p>
      <w:pPr>
        <w:spacing w:after="0" w:line="207"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No provision of this letter may be modified, altered, or amended, except by a written agreement signed by both you and the Company and no course of conduct or failure or delay in enforcing the provisions of this letter shall affect its validity, binding effect, or enforceability. This document sets forth the entire agreement of the parties hereto in respect of the subject matter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79" w:name="page80"/>
    <w:bookmarkEnd w:id="79"/>
    <w:p>
      <w:pPr>
        <w:ind w:left="200"/>
        <w:spacing w:after="0"/>
        <w:rPr>
          <w:sz w:val="20"/>
          <w:szCs w:val="20"/>
          <w:color w:val="auto"/>
        </w:rPr>
      </w:pPr>
      <w:r>
        <w:rPr>
          <w:rFonts w:ascii="Times New Roman" w:cs="Times New Roman" w:eastAsia="Times New Roman" w:hAnsi="Times New Roman"/>
          <w:sz w:val="22"/>
          <w:szCs w:val="22"/>
          <w:color w:val="auto"/>
        </w:rPr>
        <w:t>Mr. Ted Papapostolou</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10</w:t>
      </w:r>
    </w:p>
    <w:p>
      <w:pPr>
        <w:spacing w:after="0" w:line="209" w:lineRule="exact"/>
        <w:rPr>
          <w:sz w:val="20"/>
          <w:szCs w:val="20"/>
          <w:color w:val="auto"/>
        </w:rPr>
      </w:pPr>
    </w:p>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and supersedes any and all prior agreements or understandings between you and the Company with respect to the subject matter hereof (including, without limitation, the Prior Agreement).</w:t>
      </w:r>
    </w:p>
    <w:p>
      <w:pPr>
        <w:spacing w:after="0" w:line="185"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The validity, interpretation, and performance of this letter shall, in all respects, be governed by the relevant laws of the State of Florida, without regard to any applicable state’s choice of law provisions. All disputes arising out of or related to this arrangement shall be submitted to the state and federal courts of Florida located in Miami-Dade County, and each party irrevocably consents to such personal jurisdiction and waives all objections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may elect to pursue, without having to post any bond in connection therewith, a court action to seek injunctive relief in any court of competent jurisdiction to enforce any of its rights hereunder, including, without limitation, to terminate the violation of any of its proprietary rights, including but not limited to trade secrets, copyrights, or trademarks as well as your restrictive covenants described herein.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We look forward to your continued success with our team! Please execute this letter within seven</w:t>
      </w:r>
    </w:p>
    <w:p>
      <w:pPr>
        <w:spacing w:after="0" w:line="14" w:lineRule="exact"/>
        <w:rPr>
          <w:sz w:val="20"/>
          <w:szCs w:val="20"/>
          <w:color w:val="auto"/>
        </w:rPr>
      </w:pPr>
    </w:p>
    <w:p>
      <w:pPr>
        <w:ind w:left="520" w:hanging="311"/>
        <w:spacing w:after="0"/>
        <w:tabs>
          <w:tab w:leader="none" w:pos="5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Effective Date to accept its terms and conditions.</w:t>
      </w:r>
    </w:p>
    <w:p>
      <w:pPr>
        <w:spacing w:after="0" w:line="209" w:lineRule="exact"/>
        <w:rPr>
          <w:rFonts w:ascii="Times New Roman" w:cs="Times New Roman" w:eastAsia="Times New Roman" w:hAnsi="Times New Roman"/>
          <w:sz w:val="22"/>
          <w:szCs w:val="22"/>
          <w:color w:val="auto"/>
        </w:rPr>
      </w:pPr>
    </w:p>
    <w:p>
      <w:pPr>
        <w:ind w:left="3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ICAHN ENTERPRISES L.P.</w:t>
      </w:r>
    </w:p>
    <w:p>
      <w:pPr>
        <w:spacing w:after="0" w:line="23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Andrew Teno</w:t>
      </w:r>
      <w:r>
        <w:rPr>
          <w:rFonts w:ascii="Times New Roman" w:cs="Times New Roman" w:eastAsia="Times New Roman" w:hAnsi="Times New Roman"/>
          <w:sz w:val="22"/>
          <w:szCs w:val="22"/>
          <w:color w:val="auto"/>
        </w:rPr>
        <w:t>________________________</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Name: Andrew Teno</w:t>
      </w: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Chief Executive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cc: Jesse Lynn</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AGREED AND ACKNOWLEDGED:</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Ted Papapostolou</w:t>
      </w: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Ted Papapostolou</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Letter Agreement – T.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Deferred Unit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2" w:name="page83"/>
    <w:bookmarkEnd w:id="82"/>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13335</wp:posOffset>
            </wp:positionV>
            <wp:extent cx="805815" cy="814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8058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Via E-mail</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Robert:</w:t>
      </w:r>
    </w:p>
    <w:p>
      <w:pPr>
        <w:spacing w:after="0" w:line="23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As we have discussed, in connection with your promotion to Chief Financial Officer of Icahn Enterprises L.P. (the “Company”) and certain of its subsidiaries, we are pleased to offer you the compensation terms set forth in this letter, which will be effective as of May 6, 2026 (the “Effective Date”), with a term expiring on October 31, 2028 (the “End Date”), unless earlier terminated in accordance with this letter. Your principal place of employment shall continue to be at the Company’s offices in Sunny Isles, Florida. If your employment with the Company continues following the End Date, then, unless otherwise set forth in a written agreement between you and the Company, your compensation for any service with the Company and any subsidiaries following the End Date will be set forth by the Board (as defined below) in its sole discretion. Effective as of the Effective Date, this letter will supersede in its entirety your offer letter agreement with the Company, dated as of December 2, 2024 (as amended or supplemented, the “Prior Agreement”), and any other compensation arrangements that you had in effect with the Company and its subsidiaries as of immediately prior to the Effective Date.</w:t>
      </w:r>
    </w:p>
    <w:p>
      <w:pPr>
        <w:spacing w:after="0" w:line="209"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Effective as of the Effective Date, your bi-weekly base salary (“Base Salary”) will be increased to $57,692.31 (annualized at $1,500,000), paid on the Company’s normal payroll schedule. You will report to the Board of Directors of Icahn Enterprises G.P. Inc. (“IEGP”), the general partner of the Company (the “Board”), Carl C. Icahn, the Chairman of the Board of Directors, and any successors to the Chairman of the Board of Directors as may be designated by the Board, as well as the Chief Executive Officer of the Company as directed by the Board.</w:t>
      </w:r>
    </w:p>
    <w:p>
      <w:pPr>
        <w:spacing w:after="0" w:line="20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In your position, you will be responsible for, among other things (i) oversight of the financial actions of portfolio companies, (ii) performing duties regarding potential acquisitions and dispositions of businesses and assets and with respect to financing activities undertaken from time to time, and (iii) providing your expertise in connection with the current and future business activities of the Company and its affiliates as they relate to the financial actions of the Company.</w:t>
      </w:r>
    </w:p>
    <w:p>
      <w:pPr>
        <w:spacing w:after="0" w:line="204"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Additionally, you will serve on boards of directors of companies designated from time to time by the Company, will not resign during the then-current term as a director of any such company, and will resign from any such board upon the Company’s request that you do so. Any remuneration obtained by you as a result of acting as a board member of a public company will remain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492125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2</w:t>
      </w:r>
    </w:p>
    <w:p>
      <w:pPr>
        <w:spacing w:after="0" w:line="20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property; provided that you will not be entitled to any such remuneration for serving on the board of any company of which the Company or its affiliates beneficially own, in the aggregate, voting securities that constitute at least 40% of the vote for directors of such company. You will travel, as reasonably requested by the Company, in connection with your duties, as well as in connection with service on such boards of directors.</w:t>
      </w:r>
    </w:p>
    <w:p>
      <w:pPr>
        <w:spacing w:after="0" w:line="204"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Moreover, you are expected to diligently and conscientiously devote your entire time, attention, and energies to the Company’s business and will not pursue or be actively engaged in any other business activity, except that you will be permitted to serve on civic or charitable boards and to invest passively, in each case (x) solely to the extent that you provide advance written notice to the Company of such activities, and the Company determines that such activities will not create an actual or potential conflict of interest with the Company or any of its affiliates or otherwise interfere or detract from the performance of your duties, and (y) subject to the terms and conditions of the Company’s insider trading, ethics, and other policies.</w:t>
      </w:r>
    </w:p>
    <w:p>
      <w:pPr>
        <w:spacing w:after="0" w:line="20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On the Company’s first regular payroll date following the Effective Date, you will be paid an amount equal to $86,301.37, which represents a prorated portion of your Annual Bonus (as defined in the Prior Agreement, and which had a maximum amount for the full 2025 calendar year of $250,000), as in effect immediately prior to the Effective Date.</w:t>
      </w:r>
    </w:p>
    <w:p>
      <w:pPr>
        <w:spacing w:after="0" w:line="207"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With respect to your “Deferred Units” granted pursuant to your deferred unit agreement pursuant to the Icahn Enterprises L.P. 2017 Long-Term Incentive Plan, dated as of December 2, 2024 (as amended or supplemented from time to time, the “2024 Award Agreement”), you and the Company hereby acknowledge and agree that, upon the Effective Date, (i) a prorated number of such Deferred Units shall vest, with such proration determined by multiplying the aggregate number of Deferred Units granted pursuant to the 2024 Award Agreement by a fraction, (x) the numerator of which is the total number of days elapsed from December 2, 2024, through and including the Effective Date, and (y) the denominator of which is 1,096, and (ii) any Deferred Units that do not vest pursuant to the foregoing (together with any “Dividend Equivalents,” as defined in the 2024 Award Agreement, credited with respect thereto) shall be forfeited for no consideration. Such vested Deferred Units shall be settled in cash, at the time and in accordance with the procedures set forth in Sections 1, 3, and 5 of the 2024 Award Agreement (including the procedures set forth in Section 3 of the 2024 Award Agreement with respect to the conversion of the Deferred Units into a cash equivalent). Any “Dividend Equivalents” credited with respect to such vested Deferred Units shall be paid in cash, without interest, at the time the Deferred Units are settled as described in Section 2(b) of the 2024 Award Agreement. All amounts payable or distributable pursuant to the 2024 Award Agreement will be subject to and reduced by all applicable tax and payroll withholdings. Upon the payment of such amounts, you shall have no further entitlements under the 2024 Award Agreement.</w:t>
      </w:r>
    </w:p>
    <w:p>
      <w:pPr>
        <w:spacing w:after="0" w:line="214"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 xml:space="preserve">Additionally, you will receive up to eleven (11) separate grants of deferred depositary units of the Company (each such grant, a “Quarterly Award”), pursuant to and subject to the terms and conditions of the Icahn Enterprises L.P. 2017 Long-Term Incentive Plan (as amended, or any successor thereto, the “Plan”), and the applicable deferred unit agreement, substantially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“Deferred Unit Agreement”), in accordance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4" w:name="page85"/>
    <w:bookmarkEnd w:id="84"/>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3</w:t>
      </w:r>
    </w:p>
    <w:p>
      <w:pPr>
        <w:spacing w:after="0" w:line="209" w:lineRule="exact"/>
        <w:rPr>
          <w:sz w:val="20"/>
          <w:szCs w:val="20"/>
          <w:color w:val="auto"/>
        </w:rPr>
      </w:pPr>
    </w:p>
    <w:p>
      <w:pPr>
        <w:ind w:left="860" w:right="239" w:hanging="327"/>
        <w:spacing w:after="0" w:line="241"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remain in active employment in good standing with the Company on the date of an applicable Quarterly Award to be eligible to receive it;</w:t>
      </w:r>
    </w:p>
    <w:p>
      <w:pPr>
        <w:spacing w:after="0" w:line="1"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Quarterly Award shall be granted effective as of the VWAP Calculation Date (as defined below) with respect to the Company’s quarterly earnings call for the first (1st) quarter of 2026 (scheduled for May 6, 2026), and each of the remaining ten (10) grants shall be granted effective as of the VWAP Calculation Date that corresponds to the applicable of the following ten (10) quarterly earnings calls (each quarterly earnings call, an “Earnings Call”) to which such VWAP Calculation Date relates (and the Company shall issue the applicable award to you on or promptly following the applicable VWAP Calculation Date);</w:t>
      </w:r>
    </w:p>
    <w:p>
      <w:pPr>
        <w:spacing w:after="0" w:line="4" w:lineRule="exact"/>
        <w:rPr>
          <w:rFonts w:ascii="Times New Roman" w:cs="Times New Roman" w:eastAsia="Times New Roman" w:hAnsi="Times New Roman"/>
          <w:sz w:val="22"/>
          <w:szCs w:val="22"/>
          <w:color w:val="auto"/>
        </w:rPr>
      </w:pPr>
    </w:p>
    <w:p>
      <w:pPr>
        <w:jc w:val="both"/>
        <w:ind w:left="860" w:right="219" w:hanging="327"/>
        <w:spacing w:after="0" w:line="241" w:lineRule="auto"/>
        <w:tabs>
          <w:tab w:leader="none" w:pos="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number of deferred depositary units of the Company granted with respect to each Quarterly Award shall be determined by dividing (x) $50,000, </w:t>
      </w:r>
      <w:r>
        <w:rPr>
          <w:rFonts w:ascii="Times New Roman" w:cs="Times New Roman" w:eastAsia="Times New Roman" w:hAnsi="Times New Roman"/>
          <w:sz w:val="21"/>
          <w:szCs w:val="21"/>
          <w:i w:val="1"/>
          <w:iCs w:val="1"/>
          <w:u w:val="single" w:color="auto"/>
          <w:color w:val="auto"/>
        </w:rPr>
        <w:t>by</w:t>
      </w:r>
      <w:r>
        <w:rPr>
          <w:rFonts w:ascii="Times New Roman" w:cs="Times New Roman" w:eastAsia="Times New Roman" w:hAnsi="Times New Roman"/>
          <w:sz w:val="21"/>
          <w:szCs w:val="21"/>
          <w:color w:val="auto"/>
        </w:rPr>
        <w:t xml:space="preserve"> (y) the volume weighted average price (“VWAP”) of one (1) depositary unit of the Company for the five (5) trading day-period commencing on the trading day immediately following the date of the applicable Earnings Call to which such Quarterly Award relates and ending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trading day thereafter (the “VWAP Calculation Date”), with such VWAP calculated in accordance with the Company’s then-applicable VWAP calculation methodology;</w:t>
      </w:r>
    </w:p>
    <w:p>
      <w:pPr>
        <w:spacing w:after="0" w:line="3" w:lineRule="exact"/>
        <w:rPr>
          <w:rFonts w:ascii="Times New Roman" w:cs="Times New Roman" w:eastAsia="Times New Roman" w:hAnsi="Times New Roman"/>
          <w:sz w:val="21"/>
          <w:szCs w:val="21"/>
          <w:color w:val="auto"/>
        </w:rPr>
      </w:pPr>
    </w:p>
    <w:p>
      <w:pPr>
        <w:ind w:left="860" w:right="219" w:hanging="327"/>
        <w:spacing w:after="0" w:line="230"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Quarterly Award shall accrue dividend equivalents, as provided pursuant to the Deferred Unit Agreement;</w:t>
      </w:r>
    </w:p>
    <w:p>
      <w:pPr>
        <w:spacing w:after="0" w:line="1" w:lineRule="exact"/>
        <w:rPr>
          <w:rFonts w:ascii="Times New Roman" w:cs="Times New Roman" w:eastAsia="Times New Roman" w:hAnsi="Times New Roman"/>
          <w:sz w:val="22"/>
          <w:szCs w:val="22"/>
          <w:color w:val="auto"/>
        </w:rPr>
      </w:pPr>
    </w:p>
    <w:p>
      <w:pPr>
        <w:jc w:val="both"/>
        <w:ind w:left="860" w:right="239" w:hanging="327"/>
        <w:spacing w:after="0" w:line="230"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deferred depositary units subject to each Quarterly Award (and any corresponding dividend equivalents) will cliff vest and cease to be deferred units on the End Date, provided that you remain employed in good standing with the Company through the End Date; and</w:t>
      </w:r>
    </w:p>
    <w:p>
      <w:pPr>
        <w:spacing w:after="0" w:line="2"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Quarterly Award that vests in accordance with the foregoing (including any applicable dividend equivalents attributable to such vested Quarterly Award) will be settled in cash within sixty (60) days following the End Date, in accordance with the following procedure (the “Settlement Procedure”):</w:t>
      </w:r>
    </w:p>
    <w:p>
      <w:pPr>
        <w:spacing w:after="0" w:line="2" w:lineRule="exact"/>
        <w:rPr>
          <w:rFonts w:ascii="Times New Roman" w:cs="Times New Roman" w:eastAsia="Times New Roman" w:hAnsi="Times New Roman"/>
          <w:sz w:val="22"/>
          <w:szCs w:val="22"/>
          <w:color w:val="auto"/>
        </w:rPr>
      </w:pPr>
    </w:p>
    <w:p>
      <w:pPr>
        <w:ind w:left="1500" w:right="219" w:hanging="324"/>
        <w:spacing w:after="0" w:line="229" w:lineRule="auto"/>
        <w:rPr>
          <w:rFonts w:ascii="Times New Roman" w:cs="Times New Roman" w:eastAsia="Times New Roman" w:hAnsi="Times New Roman"/>
          <w:sz w:val="22"/>
          <w:szCs w:val="22"/>
          <w:color w:val="auto"/>
        </w:rPr>
      </w:pPr>
      <w:r>
        <w:rPr>
          <w:rFonts w:ascii="Courier New" w:cs="Courier New" w:eastAsia="Courier New" w:hAnsi="Courier New"/>
          <w:sz w:val="22"/>
          <w:szCs w:val="22"/>
          <w:color w:val="auto"/>
        </w:rPr>
        <w:t xml:space="preserve">o </w:t>
      </w:r>
      <w:r>
        <w:rPr>
          <w:rFonts w:ascii="Times New Roman" w:cs="Times New Roman" w:eastAsia="Times New Roman" w:hAnsi="Times New Roman"/>
          <w:sz w:val="22"/>
          <w:szCs w:val="22"/>
          <w:color w:val="auto"/>
        </w:rPr>
        <w:t>each vested deferred unit pursuant to each such Quarterly Award will be converted</w:t>
      </w:r>
      <w:r>
        <w:rPr>
          <w:rFonts w:ascii="Courier New" w:cs="Courier New" w:eastAsia="Courier New" w:hAnsi="Courier New"/>
          <w:sz w:val="22"/>
          <w:szCs w:val="22"/>
          <w:color w:val="auto"/>
        </w:rPr>
        <w:t xml:space="preserve"> </w:t>
      </w:r>
      <w:r>
        <w:rPr>
          <w:rFonts w:ascii="Times New Roman" w:cs="Times New Roman" w:eastAsia="Times New Roman" w:hAnsi="Times New Roman"/>
          <w:sz w:val="22"/>
          <w:szCs w:val="22"/>
          <w:color w:val="auto"/>
        </w:rPr>
        <w:t>into a cash payment based on the VWAP of one (1) depositary unit of the Company for the one hundred eighty (180) day-period ending on the End Date, with such VWAP calculated in accordance with the Company’s then-applicable VWAP calculation methodology (for the avoidance of doubt, dividend equivalents will continue to accrue on such Quarterly Awards during the period from the End Date through the date that such Quarterly Awards are settled in cash (such period, the “Stub Period”), and you shall additionally be entitled to receive an additional cash dividend equivalent payment (without duplication of any dividend equivalent amounts that you have previously been credited or paid) on any dividends declared or paid within the Stub Period, with such additional cash dividend equivalents paid to you on the date of settlement of the Quarterly Awards (or, if such payment is not practicable, on the Company’s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regular payroll date following the date that the Quarterly Awards are so settled)).</w:t>
      </w:r>
    </w:p>
    <w:p>
      <w:pPr>
        <w:spacing w:after="0" w:line="20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For the avoidance of doubt, except for your Quarterly Award opportunity, from and after the Effective Date through the End Date (or, if earlier, the end of your employment with the Company), you shall not be entitled to participate in any other short-term (including any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4</w:t>
      </w:r>
    </w:p>
    <w:p>
      <w:pPr>
        <w:spacing w:after="0" w:line="209" w:lineRule="exact"/>
        <w:rPr>
          <w:sz w:val="20"/>
          <w:szCs w:val="20"/>
          <w:color w:val="auto"/>
        </w:rPr>
      </w:pPr>
    </w:p>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Bonus) or long-term incentive compensation program with respect to your employment under this letter (whether in the form of cash, equity, or equity-based awards), unless otherwise determined by the Board (or duly authorized committee thereof) in its sole discretion.</w:t>
      </w:r>
    </w:p>
    <w:p>
      <w:pPr>
        <w:spacing w:after="0" w:line="200"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All of your compensation (including, without limitation, any payments in respect of the Quarterly Awards) is subject to withholding and other applicable deductions as required or authorized by law.</w:t>
      </w:r>
    </w:p>
    <w:p>
      <w:pPr>
        <w:spacing w:after="0" w:line="162"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You will continue to be eligible to participate in the Company’s Paid Time Off (PTO) program, subject to the policies of the Company including any cap on accruals, which policies may change from time to time. Notwithstanding the terms of the PTO policy or any amendments thereto made following the date hereof, effective as of the Effective Date, you will be entitled to an aggregate of 27 PTO days annually (prorated for 2026) and will receive a cash payment at the end of each year for any accrued but unused PTO days as calculated in accordance with the PTO policy in effect as of the date hereof.</w:t>
      </w:r>
    </w:p>
    <w:p>
      <w:pPr>
        <w:spacing w:after="0" w:line="21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You will remain eligible to participate in the Company’s benefits plans and programs (including group medical, dental, vision, and life insurance; disability benefits; and the Company’s 401(k) program) as may be made available by the Company from time to time and in accordance with the terms and conditions (including eligibility conditions) of the applicable plan or program. The Company reserves the right to add, change, or terminate benefits at any time including, but not limited to, those set forth above.</w:t>
      </w:r>
    </w:p>
    <w:p>
      <w:pPr>
        <w:spacing w:after="0" w:line="208"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As a condition of your continued employment with the Company, you agree that during and after your employment you shall not disclose to any third party any confidential or proprietary information of the Company, any of its affiliates or subsidiaries, including, without limitation, Icahn Enterprises Holdings L.P., the Company’s 99%-owned subsidiary, and IEGP (collectively, the “Designated Entities”), or any of their respective owners, members, directors, managers, and employees (“Confidential Information”). You further agree that during and after your employment you will not disparage, verbally or in writing, any of the Designated Entities, including any of their respective owners, members, directors, managers, or employees, and their family members. In addition, the confidentiality policy that you signed remains in full force and effect. Nothing in this letter prohibits you from reporting any possible violations of federal law or regulation to, or filing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nor does it limit your ability to communicate with any Government Agencies, participate in any investigation or proceeding that may be conducted by any Government Agency, make any other disclosures that are protected under the whistleblower provisions of federal law or regulation, or exercise any protected rights that you may have under Section 7 of the National Labor Relations Act. You are not required to notify the Company that you will make or have made such reports or disclosures. Non-compliance with the disclosure provisions of this letter shall not subject you to criminal or civil liability under any Federal or State trade secret law for the disclosure of a Company trade secret if the disclosure is made: (i) in confidence to a Federal, State or local government official, either directly or indirectly, or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5</w:t>
      </w:r>
    </w:p>
    <w:p>
      <w:pPr>
        <w:spacing w:after="0" w:line="20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attorney in confidence solely for the purpose of reporting or investigating a suspected violation of law; (ii) in a complaint or other document filed in a lawsuit or other proceeding, provided that any complaint or document containing the trade secret is filed under seal; or (iii) to an attorney representing you in a lawsuit for retaliation by the Company for reporting a suspected violation of law or to use the trade secret information in that court proceeding, provided that any document containing the trade secret is filed under seal and you do not disclose the trade secret, except pursuant to court order.</w:t>
      </w:r>
    </w:p>
    <w:p>
      <w:pPr>
        <w:spacing w:after="0" w:line="210"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All processes, technologies, investments, contemplated investments, business opportunities, valuation models and methodologies, and inventions (collectively, “Inventions”), including, without limitation, new contributions, improvements, ideas, business plans, discoveries, trademarks, and trade names, conceived, developed, invented, made, or found by you, alone or with others, during your employment with the Company and its subsidiaries or affiliates, whether or not patentable and whether or not on the time of the Designated Entities or with the use of their facilities or materials, shall be the property of the applicable Designated Entity and shall be promptly and fully disclosed by you to such Designated Entity upon request. You shall, at such Designated Entities’ sole cost and expense, perform all necessary acts (including, without limitation, executing and delivering any confirmatory assignments, documents, or instruments requested by the Designated Entities) to vest title to any such Invention in any such person and to enable such person and the Designated Entities to secure and maintain domestic and/or foreign patents or any other rights for such Inventions.</w:t>
      </w:r>
    </w:p>
    <w:p>
      <w:pPr>
        <w:spacing w:after="0" w:line="209"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Without limiting anything contained above, you agree and acknowledge that all personal and not otherwise public information about the Designated Entities, including, without limitation, their respective investments, investors, transactions, historical performance, or otherwise regarding or concerning Carl Icahn, Mr. Icahn’s family, and employees of the Designated Entities, shall constitute Confidential Information for purposes of this letter. In no event shall you, during or after your employment hereunder, disparage Mr. Icahn, Mr. Icahn’s family, or the Designated Entities, or any of their respective officers or directors.</w:t>
      </w:r>
    </w:p>
    <w:p>
      <w:pPr>
        <w:spacing w:after="0" w:line="210"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You further agree not to write a book or article about the Designated Entities, Mr. Icahn, his family members, or any of the respective affiliates of any of the foregoing, in any media and not to publish or cause to be published in any media, any Confidential Information, and further agree to keep confidential and not to disclose to any third party, including, but not limited to, newspapers, authors, publicists, journalists, bloggers, gossip columnists, producers, directors, script writers, media personalities, and the like, in any and all media or communication methods, any Confidential Information.</w:t>
      </w:r>
    </w:p>
    <w:p>
      <w:pPr>
        <w:spacing w:after="0" w:line="21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In furtherance of the foregoing, you agree that following the cessation of your employment hereunder, the sole and only statements you will make about or concerning any or all of: Mr. Icahn, his family members, and the Designated Entities, or any of the respective affiliates of any of the foregoing, is to acknowledge that you are or were employed by the Company, and were its Chief Financial Officer starting on the Effective Date (and, prior to the Effective Date, its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6</w:t>
      </w:r>
    </w:p>
    <w:p>
      <w:pPr>
        <w:spacing w:after="0" w:line="209"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In addition, you will continue to be subject to the extent permitted by state and local law to the non-solicitation and non-competition obligations enumerated below during your employment with the Company and for a period of one year following your termination of employment.</w:t>
      </w:r>
    </w:p>
    <w:p>
      <w:pPr>
        <w:spacing w:after="0" w:line="200" w:lineRule="exact"/>
        <w:rPr>
          <w:sz w:val="20"/>
          <w:szCs w:val="20"/>
          <w:color w:val="auto"/>
        </w:rPr>
      </w:pPr>
    </w:p>
    <w:p>
      <w:pPr>
        <w:jc w:val="both"/>
        <w:ind w:left="860" w:right="219" w:hanging="327"/>
        <w:spacing w:after="0" w:line="244" w:lineRule="auto"/>
        <w:tabs>
          <w:tab w:leader="none" w:pos="8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Non-solicitation. You will not, in any capacity, either directly or indirectly, induce, encourage, or assist any other individual or entity directly or indirectly, to: (A) hire or engage any employee of any Designated Entity (or any individual who was an employee of a Designated Entity within the 12 months preceding the date such hiring or engagement occurs) or solicit or seek to persuade any employee of any Designated Entity to discontinue such employment with such Designated Entity, (B) solicit or encourage any customer of a Designated Entity or independent contractor providing services to a Designated Entity to terminate or diminish its relationship with such Designated Entity, (C) seek to persuade any customer (or any individual who was a customer of a Designated Entity within the 12 months prior to the date such solicitation or encouragement commences or occurs, as the case may be) or prospective customer of a Designated Entity to conduct with anyone else any business or activity that such customer or prospective customer conducts or could conduct with such Designated Entity, or (D) attempt to divert, divert, or otherwise usurp any actual or potential business opportunity or transaction that you learned about during your employment with the Company. For purposes of this paragraph, “in any capacity” includes, but is not limited to, as an employee, independent contractor, volunteer, or owner.</w:t>
      </w:r>
    </w:p>
    <w:p>
      <w:pPr>
        <w:spacing w:after="0" w:line="202" w:lineRule="exact"/>
        <w:rPr>
          <w:rFonts w:ascii="Times New Roman" w:cs="Times New Roman" w:eastAsia="Times New Roman" w:hAnsi="Times New Roman"/>
          <w:sz w:val="21"/>
          <w:szCs w:val="21"/>
          <w:color w:val="auto"/>
        </w:rPr>
      </w:pPr>
    </w:p>
    <w:p>
      <w:pPr>
        <w:jc w:val="both"/>
        <w:ind w:left="860" w:right="219" w:hanging="327"/>
        <w:spacing w:after="0" w:line="234" w:lineRule="auto"/>
        <w:tabs>
          <w:tab w:leader="none" w:pos="8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You will not, as principal, agent, owner, employee, director, partner, investor shareholder (other than solely as a passive holder of not more than 1% of the issued and outstanding shares of any public corporation), consultant, advisor, or otherwise howsoever participate in, act for, or on behalf of, or for the benefit of, own, operate, carry on or engage in the operation of or have any financial interest in or provide in any manner, directly or indirectly, financial assistance to or lend money to or guarantee the debts or obligations of any person carrying on or engaged in any business that is similar to or competitive with the business conducted by the Designated Entities during or on the date of termination of your employment.</w:t>
      </w:r>
    </w:p>
    <w:p>
      <w:pPr>
        <w:spacing w:after="0" w:line="210" w:lineRule="exact"/>
        <w:rPr>
          <w:rFonts w:ascii="Times New Roman" w:cs="Times New Roman" w:eastAsia="Times New Roman" w:hAnsi="Times New Roman"/>
          <w:sz w:val="22"/>
          <w:szCs w:val="22"/>
          <w:color w:val="auto"/>
        </w:rPr>
      </w:pPr>
    </w:p>
    <w:p>
      <w:pPr>
        <w:jc w:val="both"/>
        <w:ind w:left="860" w:right="219" w:hanging="327"/>
        <w:spacing w:after="0" w:line="244" w:lineRule="auto"/>
        <w:tabs>
          <w:tab w:leader="none" w:pos="8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Acknowledgement. You agree and acknowledge that the restrictive covenants set forth above (including, without limitation, the confidentiality, intellectual property, non-disparagement, non-solicitation, and non-competition provisions) are reasonable as to duration, terms, and geographical area and that they protect the legitimate interests of the Designated Entities, impose no undue hardship on you, are not injurious to the public, and that any violation of these provisions shall be specifically enforceable in any court with jurisdiction upon short notice. You agree and acknowledge that any breach of these provisions shall cause irreparable injury to the Designated Entities and upon breach of any such provision, the Designated Entities shall be entitled to obtain injunctive relief, specific performance, or other equitable relief, or pursue any remedies or relief available to them in law or equity (including, without limitation, monetary damages). If any of these provisions are adjudged by a court to be invalid or unenforceable, the same shall in no way affect any other circumstance or the validity or enforceability of any other provision set forth herein. If the scope of any provision (or any part thereof) is too broad to permit enforcement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492125</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7</w:t>
      </w:r>
    </w:p>
    <w:p>
      <w:pPr>
        <w:spacing w:after="0" w:line="209" w:lineRule="exact"/>
        <w:rPr>
          <w:sz w:val="20"/>
          <w:szCs w:val="20"/>
          <w:color w:val="auto"/>
        </w:rPr>
      </w:pPr>
    </w:p>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fullest extent, you agree that the court making such determination shall have the power to reduce the duration, area, and/or other aspects of the provision to the extent necessary to permit enforcement, and, in its reduced form, such provision shall then be enforceable and shall be enforced.</w:t>
      </w:r>
    </w:p>
    <w:p>
      <w:pPr>
        <w:spacing w:after="0" w:line="207" w:lineRule="exact"/>
        <w:rPr>
          <w:sz w:val="20"/>
          <w:szCs w:val="20"/>
          <w:color w:val="auto"/>
        </w:rPr>
      </w:pPr>
    </w:p>
    <w:p>
      <w:pPr>
        <w:jc w:val="both"/>
        <w:ind w:left="860" w:right="219" w:hanging="327"/>
        <w:spacing w:after="0" w:line="235" w:lineRule="auto"/>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Florida CHOICE Act. You expressly acknowledge and agree that, in compliance with the Florida Contracts Honoring Opportunity, Investment, Confidentiality, and Economic Growth Act (the “CHOICE Act”), (i) the Company hereby expressly advises you of your right to seek legal counsel prior to entering into this letter (including with respect to the non-competition provisions contained herein), (ii) you have had a period of at least seven</w:t>
      </w:r>
    </w:p>
    <w:p>
      <w:pPr>
        <w:jc w:val="both"/>
        <w:ind w:left="860" w:right="219" w:hanging="3"/>
        <w:spacing w:after="0" w:line="233" w:lineRule="auto"/>
        <w:tabs>
          <w:tab w:leader="none" w:pos="12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consider the offer of the new terms and conditions of your continued employment pursuant to this letter prior to its expiration (and if you choose to execute this letter sooner, you have done so at your own free will and without any duress), and (iii) you will receive and use both Confidential Information and customer relationships over the course of your employment with the Company.</w:t>
      </w:r>
    </w:p>
    <w:p>
      <w:pPr>
        <w:spacing w:after="0" w:line="206"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This letter does not constitute an employment agreement or contract. You understand that your employment is “at will” and can be terminated, with or without Cause (as defined below) and with or without notice, at any time (and you may resign, with or without Good Reason (as defined below)). Nothing contained in this letter shall limit or otherwise alter the foregoing.</w:t>
      </w:r>
    </w:p>
    <w:p>
      <w:pPr>
        <w:spacing w:after="0" w:line="207"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“Cause” means, as determined by the Company in its sole discretion: (A) your willful failure to perform substantially your duties (other than any such failure resulting from incapacity due to documented disability); (B) commission of, or indictment for, a felony or any crime involving fraud or embezzlement or dishonesty or conviction of, or plea of nolo contendere to a crime or misdemeanor (other than a traffic violation) punishable by imprisonment under federal, state, or local law; (C) engagement in an act of fraud or other act of willful dishonesty or misconduct toward the Company or any of its related companies or affiliates, detrimental to the Company or any of its related companies or affiliates, or in the performance of your duties; (D) negligence in the performance of employment duties that has a detrimental effect on the Company or any of its related companies or affiliates; (E) violation of a federal or state securities law or regulation; (F) the use of a controlled substance without a prescription or the use of alcohol which, in each case, significantly impairs your ability to carry out your duties and responsibilities; (G) material violation of the policies and procedures of the Company or any of its related companies or affiliates; (H) embezzlement and/or misappropriation of property of the Company or any of its related companies or affiliates; or (I) conduct involving any immoral acts which is reasonably likely to impair the reputation of the Company or any of its related companies or affiliates.</w:t>
      </w:r>
    </w:p>
    <w:p>
      <w:pPr>
        <w:spacing w:after="0" w:line="21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A resignation for “Good Reason” shall mean a resignation by you that occurs promptly following the existence of an Uncured Employer Breach. An “Uncured Employer Breach” shall mean (i) a material breach of the terms of this letter by the Company, including the Company’s requiring your principal place of employment to be at an office location that is not in the city of Sunny Isles Beach, Florida, and/or (ii) a material change in the duties assigned to you which are so different in responsibility and scope so as to be materially adverse to you to the extent that you, acting reasonably, would be demeaned by such change, in each case if such breach or change continues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89" w:name="page90"/>
    <w:bookmarkEnd w:id="89"/>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8</w:t>
      </w:r>
    </w:p>
    <w:p>
      <w:pPr>
        <w:spacing w:after="0" w:line="209"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following the fifth (5th) business day after prompt written notice by you detailing the circumstances of such breach or change has been delivered by (x) email and (y) personally by hand (or by certified mail return receipt requested) to Carl C. Icahn (or his successor).</w:t>
      </w:r>
    </w:p>
    <w:p>
      <w:pPr>
        <w:spacing w:after="0" w:line="200"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If your employment ends for any reason, then, except as otherwise expressly provided below, you will solely be entitled to receive any Base Salary earned and accrued for periods prior to the cessation of your employment and not yet paid through the date of cessation of employment, as well as any accrued paid time off and other accrued health or welfare benefits, or vested Company 401(k) plan benefits, in each case in accordance with the terms and conditions of the applicable benefit plan or program.</w:t>
      </w:r>
    </w:p>
    <w:p>
      <w:pPr>
        <w:spacing w:after="0" w:line="20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If, prior to the End Date, the Company terminates your employment without Cause (including by reason of death or Disability, as defined in the Plan) or you resign for Good Reason, then (in each case, subject to your or your estate’s timely execution of, and continued compliance with, the Company’s standard form of general release of all claims and agreement containing non-disparagement and other restrictive covenant provisions (a “Release”), which Release has become fully effective and irrevocable within sixty (60) days following the date of such termination (the “Release Period”)):</w:t>
      </w:r>
    </w:p>
    <w:p>
      <w:pPr>
        <w:spacing w:after="0" w:line="210" w:lineRule="exact"/>
        <w:rPr>
          <w:sz w:val="20"/>
          <w:szCs w:val="20"/>
          <w:color w:val="auto"/>
        </w:rPr>
      </w:pPr>
    </w:p>
    <w:p>
      <w:pPr>
        <w:jc w:val="both"/>
        <w:ind w:left="860" w:right="219" w:hanging="327"/>
        <w:spacing w:after="0" w:line="235" w:lineRule="auto"/>
        <w:tabs>
          <w:tab w:leader="none" w:pos="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you a lump sum amount equal to $1,500,000, on the Company’s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xml:space="preserve">) regular payroll date that follows the date that the Release has become fully effective and irrevocable in accordance with its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Release Period spans two (2) calendar years, such payment shall not be made until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calendar year (the “Severance Payment”);</w:t>
      </w:r>
    </w:p>
    <w:p>
      <w:pPr>
        <w:jc w:val="both"/>
        <w:ind w:left="860" w:right="219" w:hanging="327"/>
        <w:spacing w:after="0" w:line="230" w:lineRule="auto"/>
        <w:tabs>
          <w:tab w:leader="none" w:pos="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and then-unvested Quarterly Awards (together with any accrued dividend equivalents applicable thereto) shall vest in full as of the date of such termination and will be settled in cash within sixty (60) days following the date of such termination, with such settlement processed in accordance with the Settlement Procedure (including, for the avoidance of doubt, the provisions regarding accrual of dividend equivalents during the Stub Period), except that for purposes of the Settlement Procedure as applied to such termination, all references to the End Date shall instead be deemed to refer to the date of such termination (including for purposes of defining the Stub Period); and</w:t>
      </w:r>
    </w:p>
    <w:p>
      <w:pPr>
        <w:spacing w:after="0" w:line="4" w:lineRule="exact"/>
        <w:rPr>
          <w:rFonts w:ascii="Times New Roman" w:cs="Times New Roman" w:eastAsia="Times New Roman" w:hAnsi="Times New Roman"/>
          <w:sz w:val="22"/>
          <w:szCs w:val="22"/>
          <w:color w:val="auto"/>
        </w:rPr>
      </w:pPr>
    </w:p>
    <w:p>
      <w:pPr>
        <w:jc w:val="both"/>
        <w:ind w:left="860" w:right="219" w:hanging="327"/>
        <w:spacing w:after="0" w:line="232" w:lineRule="auto"/>
        <w:tabs>
          <w:tab w:leader="none" w:pos="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Quarterly Award that had not been granted prior to the date of such termination but that you would have been eligible to receive had your employment continued through the End Date, you shall, in lieu of each such Quarterly Award, receive a lump sum cash payment at the same time as the Severance Payment is made equal to $50,000. By way of example and for illustrative purposes only, if, at the time of such termination, you had only been granted six (6) Quarterly Awards, the aggregate amount payable in lieu of such Quarterly Awards would be $300,000 (that is, $50,000 for each of the five (5) Quarterly Awards that you would have been eligible to receive had your employment continued through the End Date).</w:t>
      </w:r>
    </w:p>
    <w:p>
      <w:pPr>
        <w:spacing w:after="0" w:line="205"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You will not be eligible to receive any other severance or similar payments or benefits other than as expressly described above and will not be entitled to participate in the Company’s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0" w:name="page91"/>
    <w:bookmarkEnd w:id="90"/>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9</w:t>
      </w:r>
    </w:p>
    <w:p>
      <w:pPr>
        <w:spacing w:after="0" w:line="20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pay plan or any other severance plan or program maintained by the Company or its affiliates, including, without limitation, the Icahn Enterprises Holdings L.P. Severance Pay Plan.</w:t>
      </w:r>
    </w:p>
    <w:p>
      <w:pPr>
        <w:spacing w:after="0" w:line="185"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You hereby represent and warrant that since the commencement of your employment with the Company, you have not taken any actions, or failed to take any actions, that would constitute “Cause” as defined in this letter. You hereby represent and warrant that you are under no contractual or legal commitments that would prevent you from fulfilling your duties and responsibilities for the Company, including, without limitation, any employment, consulting, confidentiality, non-competition, trade secret, or similar agreement to which you are a party, nor any judgment, order, decision, or decree to which you are subject. You warrant that you are free to enter into this employment arrangement and to perform the services contemplated herein. You are not currently (and will not, to your best knowledge and ability, at any time during employment with the Company be) subject to any conflicting agreement, understanding, obligation, claim, litigation, or condition from any third party. You further agree and covenant that you will not improperly use or disclose in connection with your employment with the Company any confidential, proprietary, or trade secret information of any former employer or third party and will not bring onto Company premises or copy onto Company equipment or systems any unpublished documents, data, or information of any former employer or third party. You further represent and warrant to the Company that you are not currently and have never been the subject of any allegation or complaint of harassment or discrimination in connection with prior employment or otherwise, and you have not been a party to any settlement agreement or nondisclosure agreement relating to such matters.</w:t>
      </w:r>
    </w:p>
    <w:p>
      <w:pPr>
        <w:spacing w:after="0" w:line="21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Your employment will be subject to other policies, terms, and conditions that may be established or modified by the Company from time to time. By signing below, you acknowledge that no representations, oral or written, express or implied, have been made by the Company (x) as to any minimum or specified term or length of employment, or (y) that you may be terminated only for Cause or only after the Company engages in corrective action or counseling.</w:t>
      </w:r>
    </w:p>
    <w:p>
      <w:pPr>
        <w:spacing w:after="0" w:line="204"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It is intended that payments and benefits pursuant to this letter shall be exempt from, or compliant with, the requirements of Section 409A of the Internal Revenue Code of 1986, as amended (the “Code”), and all applicable regulations and guidance promulgated thereunder (“Section 409A”), and this letter shall be interpreted and construed in accordance with the foregoing. For purposes of Section 409A, each payment (including any payment or installment in a series of payments or installments) shall be treated as a “separate payment.” To the extent necessary to avoid the imposition of additional taxes, penalties, or interest pursuant to Section 409A, (x) any payment or benefit to be paid or provided upon your termination of employment (or term of similar meaning) shall only be made upon a “separation from service” within the meaning of Section 409A, and (y) if, at the time of your “separation from service” the Company determines that you are a “specified employee” within the meaning of Section 409A(a)(2)(B)(i) of the Code, then to the extent any payment or benefit that you become entitled to on account of your “separation from service” constitutes “nonqualified deferred compensation” subject to Section 409A, such payment shall not be payable and such benefit shall not be provided until the date that is the earlier of (A) six (6) months and one (1) day following your “separation from service” and (B) your death. Reimbursement of any expenses that are taxable to you shall be paid as promptly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1" w:name="page92"/>
    <w:bookmarkEnd w:id="91"/>
    <w:p>
      <w:pPr>
        <w:ind w:left="200"/>
        <w:spacing w:after="0"/>
        <w:rPr>
          <w:sz w:val="20"/>
          <w:szCs w:val="20"/>
          <w:color w:val="auto"/>
        </w:rPr>
      </w:pPr>
      <w:r>
        <w:rPr>
          <w:rFonts w:ascii="Times New Roman" w:cs="Times New Roman" w:eastAsia="Times New Roman" w:hAnsi="Times New Roman"/>
          <w:sz w:val="22"/>
          <w:szCs w:val="22"/>
          <w:color w:val="auto"/>
        </w:rPr>
        <w:t>Mr. Robert Flint</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May 4, 2026</w:t>
      </w:r>
    </w:p>
    <w:p>
      <w:pPr>
        <w:ind w:left="200"/>
        <w:spacing w:after="0"/>
        <w:rPr>
          <w:sz w:val="20"/>
          <w:szCs w:val="20"/>
          <w:color w:val="auto"/>
        </w:rPr>
      </w:pPr>
      <w:r>
        <w:rPr>
          <w:rFonts w:ascii="Times New Roman" w:cs="Times New Roman" w:eastAsia="Times New Roman" w:hAnsi="Times New Roman"/>
          <w:sz w:val="22"/>
          <w:szCs w:val="22"/>
          <w:color w:val="auto"/>
        </w:rPr>
        <w:t>Page 10</w:t>
      </w:r>
    </w:p>
    <w:p>
      <w:pPr>
        <w:spacing w:after="0" w:line="209"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following your providing appropriate itemization and substantiation of expenses incurred, and in all events on or before the last day of your taxable year following the taxable year in which the related expense was incurred. Reimbursements under this letter are not subject to liquidation or exchange for another benefit and the amount of such benefits and reimbursements that you receive in one taxable year shall not affect the amount of such benefits or reimbursements that you receive in any other taxable year. Notwithstanding anything to the contrary in this letter, in no event shall the Company or any of its affiliates be liable for any additional taxes, interest, or penalties imposed on you pursuant to Section 409A, all of which shall be your sole and exclusive responsibility.</w:t>
      </w:r>
    </w:p>
    <w:p>
      <w:pPr>
        <w:spacing w:after="0" w:line="19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No provision of this letter may be modified, altered, or amended, except by a written agreement signed by both you and the Company and no course of conduct or failure or delay in enforcing the provisions of this letter shall affect its validity, binding effect, or enforceability. This document sets forth the entire agreement of the parties hereto in respect of the subject matter contained herein and supersedes any and all prior agreements or understandings between you and the Company with respect to the subject matter hereof (including, without limitation, the Prior Agreement).</w:t>
      </w:r>
    </w:p>
    <w:p>
      <w:pPr>
        <w:spacing w:after="0" w:line="19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The validity, interpretation, and performance of this letter shall, in all respects, be governed by the relevant laws of the State of Florida, without regard to any applicable state’s choice of law provisions. All disputes arising out of or related to this arrangement shall be submitted to the state and federal courts of Florida located in Miami-Dade County, and each party irrevocably consents to such personal jurisdiction and waives all objections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may elect to pursue, without having to post any bond in connection therewith, a court action to seek injunctive relief in any court of competent jurisdiction to enforce any of its rights hereunder, including, without limitation, to terminate the violation of any of its proprietary rights, including but not limited to trade secrets, copyrights, or trademarks as well as your restrictive covenants described herein.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We look forward to your continued success with our team! Please execute this letter within seven</w:t>
      </w:r>
    </w:p>
    <w:p>
      <w:pPr>
        <w:spacing w:after="0" w:line="14" w:lineRule="exact"/>
        <w:rPr>
          <w:sz w:val="20"/>
          <w:szCs w:val="20"/>
          <w:color w:val="auto"/>
        </w:rPr>
      </w:pPr>
    </w:p>
    <w:p>
      <w:pPr>
        <w:ind w:left="520" w:hanging="311"/>
        <w:spacing w:after="0"/>
        <w:tabs>
          <w:tab w:leader="none" w:pos="5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Effective Date to accept its terms and conditions.</w:t>
      </w:r>
    </w:p>
    <w:p>
      <w:pPr>
        <w:spacing w:after="0" w:line="209" w:lineRule="exact"/>
        <w:rPr>
          <w:rFonts w:ascii="Times New Roman" w:cs="Times New Roman" w:eastAsia="Times New Roman" w:hAnsi="Times New Roman"/>
          <w:sz w:val="22"/>
          <w:szCs w:val="22"/>
          <w:color w:val="auto"/>
        </w:rPr>
      </w:pPr>
    </w:p>
    <w:p>
      <w:pPr>
        <w:ind w:left="3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510540</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92" w:name="page93"/>
    <w:bookmarkEnd w:id="92"/>
    <w:p>
      <w:pPr>
        <w:ind w:left="2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ICAHN ENTERPRISES L.P.</w:t>
      </w:r>
    </w:p>
    <w:p>
      <w:pPr>
        <w:spacing w:after="0" w:line="23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Andrew Teno</w:t>
      </w:r>
      <w:r>
        <w:rPr>
          <w:rFonts w:ascii="Times New Roman" w:cs="Times New Roman" w:eastAsia="Times New Roman" w:hAnsi="Times New Roman"/>
          <w:sz w:val="22"/>
          <w:szCs w:val="22"/>
          <w:color w:val="auto"/>
        </w:rPr>
        <w:t>_______________________</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Name: Andrew Teno</w:t>
      </w: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Chief Executive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cc: Jesse Lynn</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AGREED AND ACKNOWLEDGED:</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Robert Flint</w:t>
      </w: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Robert Flint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Letter Agreement – R. Flint]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Deferred Unit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94" w:name="page95"/>
    <w:bookmarkEnd w:id="94"/>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UNIT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2017 LONG-TERM INCENTIVE PLAN</w:t>
      </w:r>
    </w:p>
    <w:p>
      <w:pPr>
        <w:spacing w:after="0" w:line="2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This DEFERRED UNIT AGREEMENT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effective as of [_______], 2026, by and</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between Icahn Enterprises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[____]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9" w:lineRule="exact"/>
        <w:rPr>
          <w:sz w:val="20"/>
          <w:szCs w:val="20"/>
          <w:color w:val="auto"/>
        </w:rPr>
      </w:pPr>
    </w:p>
    <w:p>
      <w:pPr>
        <w:jc w:val="both"/>
        <w:ind w:left="480" w:right="479" w:firstLine="648"/>
        <w:spacing w:after="0" w:line="255" w:lineRule="auto"/>
        <w:rPr>
          <w:sz w:val="20"/>
          <w:szCs w:val="20"/>
          <w:color w:val="auto"/>
        </w:rPr>
      </w:pPr>
      <w:r>
        <w:rPr>
          <w:rFonts w:ascii="Times New Roman" w:cs="Times New Roman" w:eastAsia="Times New Roman" w:hAnsi="Times New Roman"/>
          <w:sz w:val="18"/>
          <w:szCs w:val="18"/>
          <w:color w:val="auto"/>
        </w:rPr>
        <w:t>The Committee hereby grants to the Participant as a Service Provider of the Partnership or any of its Affiliates (collectively, the Partnership and its Affiliates shall be referred to herein as the “</w:t>
      </w:r>
      <w:r>
        <w:rPr>
          <w:rFonts w:ascii="Times New Roman" w:cs="Times New Roman" w:eastAsia="Times New Roman" w:hAnsi="Times New Roman"/>
          <w:sz w:val="18"/>
          <w:szCs w:val="18"/>
          <w:b w:val="1"/>
          <w:bCs w:val="1"/>
          <w:u w:val="single" w:color="auto"/>
          <w:color w:val="auto"/>
        </w:rPr>
        <w:t>Employer</w:t>
      </w:r>
      <w:r>
        <w:rPr>
          <w:rFonts w:ascii="Times New Roman" w:cs="Times New Roman" w:eastAsia="Times New Roman" w:hAnsi="Times New Roman"/>
          <w:sz w:val="18"/>
          <w:szCs w:val="18"/>
          <w:color w:val="auto"/>
        </w:rPr>
        <w:t>”), as of the dates (each, a “</w:t>
      </w:r>
      <w:r>
        <w:rPr>
          <w:rFonts w:ascii="Times New Roman" w:cs="Times New Roman" w:eastAsia="Times New Roman" w:hAnsi="Times New Roman"/>
          <w:sz w:val="18"/>
          <w:szCs w:val="18"/>
          <w:b w:val="1"/>
          <w:bCs w:val="1"/>
          <w:u w:val="single" w:color="auto"/>
          <w:color w:val="auto"/>
        </w:rPr>
        <w:t>Grant Date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u w:val="single" w:color="auto"/>
          <w:color w:val="auto"/>
        </w:rPr>
        <w:t>Deferred Unit Schedule</w:t>
      </w:r>
      <w:r>
        <w:rPr>
          <w:rFonts w:ascii="Times New Roman" w:cs="Times New Roman" w:eastAsia="Times New Roman" w:hAnsi="Times New Roman"/>
          <w:sz w:val="18"/>
          <w:szCs w:val="18"/>
          <w:color w:val="auto"/>
        </w:rPr>
        <w:t>”), as it may be updated from time to time by the Partnership to reflect additional grants of Quarterly Awards, as defined in the Employment Letter (as defined below), pursuant to the Icahn Enterprises L.P. 2017 Long-Term Incentive Plan, as it may be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the number of deferred Units of the Partnership (“</w:t>
      </w:r>
      <w:r>
        <w:rPr>
          <w:rFonts w:ascii="Times New Roman" w:cs="Times New Roman" w:eastAsia="Times New Roman" w:hAnsi="Times New Roman"/>
          <w:sz w:val="18"/>
          <w:szCs w:val="18"/>
          <w:b w:val="1"/>
          <w:bCs w:val="1"/>
          <w:u w:val="single" w:color="auto"/>
          <w:color w:val="auto"/>
        </w:rPr>
        <w:t>Deferred Units</w:t>
      </w:r>
      <w:r>
        <w:rPr>
          <w:rFonts w:ascii="Times New Roman" w:cs="Times New Roman" w:eastAsia="Times New Roman" w:hAnsi="Times New Roman"/>
          <w:sz w:val="18"/>
          <w:szCs w:val="18"/>
          <w:color w:val="auto"/>
        </w:rPr>
        <w:t>”) set forth on the Deferred Unit Schedule.</w:t>
      </w:r>
    </w:p>
    <w:p>
      <w:pPr>
        <w:spacing w:after="0" w:line="189" w:lineRule="exact"/>
        <w:rPr>
          <w:sz w:val="20"/>
          <w:szCs w:val="20"/>
          <w:color w:val="auto"/>
        </w:rPr>
      </w:pPr>
    </w:p>
    <w:p>
      <w:pPr>
        <w:jc w:val="both"/>
        <w:ind w:left="480" w:right="479"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indicated, any capitalized term used but not defined herein shall have the meaning ascribed to such term in the Plan. A copy of the Plan has been delivered to the Participant. By signing and returning this Agreement, the Participant acknowledges having received and read a copy of the Plan and agrees to comply with the Plan, this Agreement and all applicable laws and regulations.</w:t>
      </w:r>
    </w:p>
    <w:p>
      <w:pPr>
        <w:spacing w:after="0" w:line="18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21" w:lineRule="exact"/>
        <w:rPr>
          <w:sz w:val="20"/>
          <w:szCs w:val="20"/>
          <w:color w:val="auto"/>
        </w:rPr>
      </w:pPr>
    </w:p>
    <w:p>
      <w:pPr>
        <w:jc w:val="both"/>
        <w:ind w:left="480" w:right="479" w:firstLine="642"/>
        <w:spacing w:after="0" w:line="254" w:lineRule="auto"/>
        <w:tabs>
          <w:tab w:leader="none" w:pos="17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Deferred Units</w:t>
      </w:r>
      <w:r>
        <w:rPr>
          <w:rFonts w:ascii="Times New Roman" w:cs="Times New Roman" w:eastAsia="Times New Roman" w:hAnsi="Times New Roman"/>
          <w:sz w:val="18"/>
          <w:szCs w:val="18"/>
          <w:color w:val="auto"/>
        </w:rPr>
        <w:t>. Subject in all respects to the Plan, that certain Employment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between the Partnership and the Participant dated as of May 4, 2026 (as amended or supplemented from time to time, the “</w:t>
      </w:r>
      <w:r>
        <w:rPr>
          <w:rFonts w:ascii="Times New Roman" w:cs="Times New Roman" w:eastAsia="Times New Roman" w:hAnsi="Times New Roman"/>
          <w:sz w:val="18"/>
          <w:szCs w:val="18"/>
          <w:b w:val="1"/>
          <w:bCs w:val="1"/>
          <w:u w:val="single" w:color="auto"/>
          <w:color w:val="auto"/>
        </w:rPr>
        <w:t>Employment Letter</w:t>
      </w:r>
      <w:r>
        <w:rPr>
          <w:rFonts w:ascii="Times New Roman" w:cs="Times New Roman" w:eastAsia="Times New Roman" w:hAnsi="Times New Roman"/>
          <w:sz w:val="18"/>
          <w:szCs w:val="18"/>
          <w:color w:val="auto"/>
        </w:rPr>
        <w:t xml:space="preserve">”) and the terms and conditions set forth herein and therein, the Partnership awards to the Participant effective as of each Grant Date set forth on the Deferred Unit Schedule a number of Deferred Units as set forth opposite the applicable Grant Date on the Deferred Unit Schedule. Each Deferred Unit represents the Participant’s right to receive, and the Partnership’s obligation to deliver, an amount in cash equal to the Value (as defined below) of one Unit, subject to the vesting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and the other terms and conditions of this Agreement and the Plan. The Deferred Units shall be credited to a book entry account maintained by the Partnership (or its designee) on behalf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614045</wp:posOffset>
            </wp:positionV>
            <wp:extent cx="51263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12635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ind w:left="1760" w:hanging="638"/>
        <w:spacing w:after="0"/>
        <w:tabs>
          <w:tab w:leader="none" w:pos="1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of Deferred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80" w:right="499" w:firstLine="1290"/>
        <w:spacing w:after="0" w:line="286" w:lineRule="auto"/>
        <w:tabs>
          <w:tab w:leader="none" w:pos="2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a Unitholder</w:t>
      </w:r>
      <w:r>
        <w:rPr>
          <w:rFonts w:ascii="Times New Roman" w:cs="Times New Roman" w:eastAsia="Times New Roman" w:hAnsi="Times New Roman"/>
          <w:sz w:val="18"/>
          <w:szCs w:val="18"/>
          <w:color w:val="auto"/>
        </w:rPr>
        <w:t>. The Participant shall not have any rights of a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with respect to the Deferred Units, and in no event shall the Deferred Units be settled in Units.</w:t>
      </w:r>
    </w:p>
    <w:p>
      <w:pPr>
        <w:spacing w:after="0" w:line="154" w:lineRule="exact"/>
        <w:rPr>
          <w:rFonts w:ascii="Times New Roman" w:cs="Times New Roman" w:eastAsia="Times New Roman" w:hAnsi="Times New Roman"/>
          <w:sz w:val="18"/>
          <w:szCs w:val="18"/>
          <w:color w:val="auto"/>
        </w:rPr>
      </w:pPr>
    </w:p>
    <w:p>
      <w:pPr>
        <w:jc w:val="both"/>
        <w:ind w:left="480" w:right="479" w:firstLine="1290"/>
        <w:spacing w:after="0" w:line="253" w:lineRule="auto"/>
        <w:tabs>
          <w:tab w:leader="none" w:pos="2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Participant holds Deferred Units on the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dividend is paid on Units (whether in the form of cash or units), the Participant will be entitled to receive a dividend equivalent (a “</w:t>
      </w:r>
      <w:r>
        <w:rPr>
          <w:rFonts w:ascii="Times New Roman" w:cs="Times New Roman" w:eastAsia="Times New Roman" w:hAnsi="Times New Roman"/>
          <w:sz w:val="18"/>
          <w:szCs w:val="18"/>
          <w:b w:val="1"/>
          <w:bCs w:val="1"/>
          <w:u w:val="single" w:color="auto"/>
          <w:color w:val="auto"/>
        </w:rPr>
        <w:t>Dividend Equivalent</w:t>
      </w:r>
      <w:r>
        <w:rPr>
          <w:rFonts w:ascii="Times New Roman" w:cs="Times New Roman" w:eastAsia="Times New Roman" w:hAnsi="Times New Roman"/>
          <w:sz w:val="18"/>
          <w:szCs w:val="18"/>
          <w:color w:val="auto"/>
        </w:rPr>
        <w:t xml:space="preserve">”). A Dividend Equivalent is an amount, for each one Deferred Unit held, equal to the amount of the dividend declared and paid in respect of one Unit. Dividend Equivalents will be credited in cash, provided that if the dividend is payable in the form of Units, the cash amount of the Dividend Equivalent will be equal to the Fair Market Value of the Units as of the date the dividend is paid. The Partnership shall update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time to time to reflect any such credited Dividend Equivalents. Dividend Equivalents will be subject to the same vesting and other conditions as the Deferred Units to which they relate. For the avoidance of doubt, Dividend Equivalents shall be credited with respect to a grant of Deferred Units pursuant to this Agreement during the period that commences on the Grant Date applicable to such grant on the Deferred Unit Schedule through and including the date that such Deferred Units are settled in cash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If and to the extent that the underlying Deferred Units are forfeited, all related Dividend Equivalents shall also be forfeited. Dividend Equivalents will be paid in cash, without interest, at the same time the underlying Deferred Units are settled.</w:t>
      </w:r>
    </w:p>
    <w:p>
      <w:pPr>
        <w:spacing w:after="0" w:line="185" w:lineRule="exact"/>
        <w:rPr>
          <w:rFonts w:ascii="Times New Roman" w:cs="Times New Roman" w:eastAsia="Times New Roman" w:hAnsi="Times New Roman"/>
          <w:sz w:val="18"/>
          <w:szCs w:val="18"/>
          <w:color w:val="auto"/>
        </w:rPr>
      </w:pPr>
    </w:p>
    <w:p>
      <w:pPr>
        <w:ind w:left="2420" w:hanging="650"/>
        <w:spacing w:after="0"/>
        <w:tabs>
          <w:tab w:leader="none" w:pos="2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Deferred Units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80" w:right="479" w:firstLine="1938"/>
        <w:spacing w:after="0" w:line="261" w:lineRule="auto"/>
        <w:tabs>
          <w:tab w:leader="none" w:pos="307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Units (together with any Dividend Equivalents thereon) shall vest in full on October 31, 2028 (the “</w:t>
      </w:r>
      <w:r>
        <w:rPr>
          <w:rFonts w:ascii="Times New Roman" w:cs="Times New Roman" w:eastAsia="Times New Roman" w:hAnsi="Times New Roman"/>
          <w:sz w:val="18"/>
          <w:szCs w:val="18"/>
          <w:b w:val="1"/>
          <w:bCs w:val="1"/>
          <w:u w:val="single" w:color="auto"/>
          <w:color w:val="auto"/>
        </w:rPr>
        <w:t>Vesting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Participant has not experienced a Termination prior to the Vesting Date and remains employed in good standing from the Grant Date up to and including the Vesting Date.</w:t>
      </w:r>
    </w:p>
    <w:p>
      <w:pPr>
        <w:spacing w:after="0" w:line="179" w:lineRule="exact"/>
        <w:rPr>
          <w:rFonts w:ascii="Times New Roman" w:cs="Times New Roman" w:eastAsia="Times New Roman" w:hAnsi="Times New Roman"/>
          <w:sz w:val="18"/>
          <w:szCs w:val="18"/>
          <w:color w:val="auto"/>
        </w:rPr>
      </w:pPr>
    </w:p>
    <w:p>
      <w:pPr>
        <w:jc w:val="both"/>
        <w:ind w:left="480" w:right="479" w:firstLine="1938"/>
        <w:spacing w:after="0" w:line="253" w:lineRule="auto"/>
        <w:tabs>
          <w:tab w:leader="none" w:pos="307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2(c)(i)</w:t>
      </w:r>
      <w:r>
        <w:rPr>
          <w:rFonts w:ascii="Times New Roman" w:cs="Times New Roman" w:eastAsia="Times New Roman" w:hAnsi="Times New Roman"/>
          <w:sz w:val="18"/>
          <w:szCs w:val="18"/>
          <w:color w:val="auto"/>
        </w:rPr>
        <w:t xml:space="preserve">, in the event the Participant’s employment is terminated by the Employer without “Cause” (as defined in the Employment Letter), by the Participant for “Good Reason” (as defined in the Employment Letter), or due to the Participant’s death or Disability, in each case prior to the Vesting Date, all unvested Deferred Units shall immediately vest upon such termination of employment and shall become payable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vesting of the Deferred Units on the date of such Termination and the settlement of the vested Deferred Units thereafter shall be subject to the Participant’s (or the Participant’s estate’s) execution (and non-revocation) of a general release of claims against the Employer, its officers, directors, managers, employees, agents and affiliates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and such Release becoming effective in accordance with its terms, within sixty (60) days following the date of such Termination.</w:t>
      </w:r>
    </w:p>
    <w:p>
      <w:pPr>
        <w:spacing w:after="0" w:line="190" w:lineRule="exact"/>
        <w:rPr>
          <w:rFonts w:ascii="Times New Roman" w:cs="Times New Roman" w:eastAsia="Times New Roman" w:hAnsi="Times New Roman"/>
          <w:sz w:val="18"/>
          <w:szCs w:val="18"/>
          <w:color w:val="auto"/>
        </w:rPr>
      </w:pPr>
    </w:p>
    <w:p>
      <w:pPr>
        <w:jc w:val="both"/>
        <w:ind w:left="480" w:right="499" w:firstLine="1290"/>
        <w:spacing w:after="0" w:line="262" w:lineRule="auto"/>
        <w:tabs>
          <w:tab w:leader="none" w:pos="2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Forfeiture</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the Participant shall forfeit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Partnership, without compensation, any and all unvested Deferred Units (together with all Dividend Equivalents in respect of such unvested Deferred Units) immediately upon the Participant’s Termination. In addition, if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360045</wp:posOffset>
            </wp:positionV>
            <wp:extent cx="51263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12635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jc w:val="both"/>
        <w:ind w:left="480" w:right="479"/>
        <w:spacing w:after="0" w:line="258" w:lineRule="auto"/>
        <w:rPr>
          <w:sz w:val="20"/>
          <w:szCs w:val="20"/>
          <w:color w:val="auto"/>
        </w:rPr>
      </w:pPr>
      <w:r>
        <w:rPr>
          <w:rFonts w:ascii="Times New Roman" w:cs="Times New Roman" w:eastAsia="Times New Roman" w:hAnsi="Times New Roman"/>
          <w:sz w:val="18"/>
          <w:szCs w:val="18"/>
          <w:color w:val="auto"/>
        </w:rPr>
        <w:t>employment is terminated by the Employer without Cause, by the Participant for Good Reason, or due to the Participant’s death or Disability, in each case prior to the Vesting Date, and the Participant (or the Participant’s estate) does not timely execute the Release, or the Release has not become irrevocable by its terms on or before the sixtieth (60th) day following the date of the Participant’s Termination, all Deferred Units and all Dividend Equivalents related thereto shall immediately be forfeited without compensation.</w:t>
      </w:r>
    </w:p>
    <w:p>
      <w:pPr>
        <w:spacing w:after="0" w:line="179" w:lineRule="exact"/>
        <w:rPr>
          <w:sz w:val="20"/>
          <w:szCs w:val="20"/>
          <w:color w:val="auto"/>
        </w:rPr>
      </w:pPr>
    </w:p>
    <w:p>
      <w:pPr>
        <w:jc w:val="both"/>
        <w:ind w:left="480" w:right="479" w:firstLine="642"/>
        <w:spacing w:after="0" w:line="269" w:lineRule="auto"/>
        <w:tabs>
          <w:tab w:leader="none" w:pos="1776"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Settlement</w:t>
      </w:r>
      <w:r>
        <w:rPr>
          <w:rFonts w:ascii="Times New Roman" w:cs="Times New Roman" w:eastAsia="Times New Roman" w:hAnsi="Times New Roman"/>
          <w:sz w:val="17"/>
          <w:szCs w:val="17"/>
          <w:color w:val="auto"/>
        </w:rPr>
        <w:t>. Within sixty (60) days following the Vesting Date (or, if applicable, the date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Participant’s Termination by the Employer without Cause, by the Participant for Good Reason, or due to the Participant’s death or Disability), the Employer shall settle all Deferred Units that have vested in accordance with </w:t>
      </w:r>
      <w:r>
        <w:rPr>
          <w:rFonts w:ascii="Times New Roman" w:cs="Times New Roman" w:eastAsia="Times New Roman" w:hAnsi="Times New Roman"/>
          <w:sz w:val="17"/>
          <w:szCs w:val="17"/>
          <w:u w:val="single" w:color="auto"/>
          <w:color w:val="auto"/>
        </w:rPr>
        <w:t>Section 2(c)</w:t>
      </w:r>
      <w:r>
        <w:rPr>
          <w:rFonts w:ascii="Times New Roman" w:cs="Times New Roman" w:eastAsia="Times New Roman" w:hAnsi="Times New Roman"/>
          <w:sz w:val="17"/>
          <w:szCs w:val="17"/>
          <w:color w:val="auto"/>
        </w:rPr>
        <w:t xml:space="preserve"> in cash by paying the Participant (or the Participant’s estate) an amount in cash equal to the product of (A) the “Value” (as defined below) of one Unit on the date of settlement, and (B) the number of any such vested Deferred Units. Notwithstanding anything to the contrary, if such sixty (60)-day period following such applicable Termination begins in one calendar year and ends in a second calendar year, the vested Deferred Units will be settled in the second calendar year. For all purposes of this Agreement, “</w:t>
      </w:r>
      <w:r>
        <w:rPr>
          <w:rFonts w:ascii="Times New Roman" w:cs="Times New Roman" w:eastAsia="Times New Roman" w:hAnsi="Times New Roman"/>
          <w:sz w:val="17"/>
          <w:szCs w:val="17"/>
          <w:b w:val="1"/>
          <w:bCs w:val="1"/>
          <w:u w:val="single" w:color="auto"/>
          <w:color w:val="auto"/>
        </w:rPr>
        <w:t>Value</w:t>
      </w:r>
      <w:r>
        <w:rPr>
          <w:rFonts w:ascii="Times New Roman" w:cs="Times New Roman" w:eastAsia="Times New Roman" w:hAnsi="Times New Roman"/>
          <w:sz w:val="17"/>
          <w:szCs w:val="17"/>
          <w:color w:val="auto"/>
        </w:rPr>
        <w:t>” shall mean the volume weighted average price (the “</w:t>
      </w:r>
      <w:r>
        <w:rPr>
          <w:rFonts w:ascii="Times New Roman" w:cs="Times New Roman" w:eastAsia="Times New Roman" w:hAnsi="Times New Roman"/>
          <w:sz w:val="17"/>
          <w:szCs w:val="17"/>
          <w:b w:val="1"/>
          <w:bCs w:val="1"/>
          <w:u w:val="single" w:color="auto"/>
          <w:color w:val="auto"/>
        </w:rPr>
        <w:t>VWAP</w:t>
      </w:r>
      <w:r>
        <w:rPr>
          <w:rFonts w:ascii="Times New Roman" w:cs="Times New Roman" w:eastAsia="Times New Roman" w:hAnsi="Times New Roman"/>
          <w:sz w:val="17"/>
          <w:szCs w:val="17"/>
          <w:color w:val="auto"/>
        </w:rPr>
        <w:t>”) of one Unit for the one hundred and eighty (180)-day period ending on the Vesting Date (or, if applicable, the date of the Participant’s Termination by the Employer without Cause, by the Participant for Good Reason, or due to the Participant’s death or Disability), with such VWAP calculated in accordance with the Employer’s then-applicable VWAP calculation methodology.</w:t>
      </w:r>
    </w:p>
    <w:p>
      <w:pPr>
        <w:spacing w:after="0" w:line="178" w:lineRule="exact"/>
        <w:rPr>
          <w:rFonts w:ascii="Times New Roman" w:cs="Times New Roman" w:eastAsia="Times New Roman" w:hAnsi="Times New Roman"/>
          <w:sz w:val="17"/>
          <w:szCs w:val="17"/>
          <w:color w:val="auto"/>
        </w:rPr>
      </w:pPr>
    </w:p>
    <w:p>
      <w:pPr>
        <w:jc w:val="both"/>
        <w:ind w:left="480" w:right="479" w:firstLine="642"/>
        <w:spacing w:after="0" w:line="259" w:lineRule="auto"/>
        <w:tabs>
          <w:tab w:leader="none" w:pos="17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Legal Restrictions</w:t>
      </w:r>
      <w:r>
        <w:rPr>
          <w:rFonts w:ascii="Times New Roman" w:cs="Times New Roman" w:eastAsia="Times New Roman" w:hAnsi="Times New Roman"/>
          <w:sz w:val="18"/>
          <w:szCs w:val="18"/>
          <w:color w:val="auto"/>
        </w:rPr>
        <w:t>. The Plan, this Agreement, the granting and vesting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Units, and any obligations of the Partnership under the Plan and this Agreement, shall be subject to all applicable federal, state and local laws, rules and regulations, and to such approvals by any regulatory or governmental agency as may be required, and to any rules or regulations of any exchange on which the Units are listed.</w:t>
      </w:r>
    </w:p>
    <w:p>
      <w:pPr>
        <w:spacing w:after="0" w:line="179" w:lineRule="exact"/>
        <w:rPr>
          <w:rFonts w:ascii="Times New Roman" w:cs="Times New Roman" w:eastAsia="Times New Roman" w:hAnsi="Times New Roman"/>
          <w:sz w:val="18"/>
          <w:szCs w:val="18"/>
          <w:color w:val="auto"/>
        </w:rPr>
      </w:pPr>
    </w:p>
    <w:p>
      <w:pPr>
        <w:jc w:val="both"/>
        <w:ind w:left="480" w:right="479" w:firstLine="642"/>
        <w:spacing w:after="0" w:line="253" w:lineRule="auto"/>
        <w:tabs>
          <w:tab w:leader="none" w:pos="17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of Taxes</w:t>
      </w:r>
      <w:r>
        <w:rPr>
          <w:rFonts w:ascii="Times New Roman" w:cs="Times New Roman" w:eastAsia="Times New Roman" w:hAnsi="Times New Roman"/>
          <w:sz w:val="18"/>
          <w:szCs w:val="18"/>
          <w:color w:val="auto"/>
        </w:rPr>
        <w:t>. The Partnership or any Affiliate shall have the right to withhold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compensation or other amount owing to the Participant due to settlement of the Deferred Units applicable withholding taxes as provided in Section 3.9 of the Plan. The Participant acknowledges that, regardless of any action the Employer takes with respect to any or all income tax, employment tax, payroll tax, foreign tax, local tax or any other taxes related to the Participant’s participation in the Plan and the granting, vesting, settlement and/or payment of the Deferred Units (collectively, the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the ultimate liability for all Taxes is and remains his responsibility and may exceed the amount to be withheld by the Employer. The Participant further acknowledges that the Partnership and the Employer (1) make no representations or undertakings regarding the treatment of any Taxes in connection with any aspect of the Deferred Units, including, but not limited to, the granting, vesting, settlement or payment of the Deferred Units, and the receipt of Dividend Equivalents; and</w:t>
      </w:r>
    </w:p>
    <w:p>
      <w:pPr>
        <w:ind w:left="480" w:right="499" w:hanging="6"/>
        <w:spacing w:after="0" w:line="26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commit to structure the terms of the grant or any aspect of the Deferred Units to reduce or eliminate the Participant’s liability for Taxes or achieve any particular tax result.</w:t>
      </w:r>
    </w:p>
    <w:p>
      <w:pPr>
        <w:spacing w:after="0" w:line="177" w:lineRule="exact"/>
        <w:rPr>
          <w:rFonts w:ascii="Times New Roman" w:cs="Times New Roman" w:eastAsia="Times New Roman" w:hAnsi="Times New Roman"/>
          <w:sz w:val="18"/>
          <w:szCs w:val="18"/>
          <w:color w:val="auto"/>
        </w:rPr>
      </w:pPr>
    </w:p>
    <w:p>
      <w:pPr>
        <w:jc w:val="both"/>
        <w:ind w:left="480" w:right="499" w:firstLine="642"/>
        <w:spacing w:after="0" w:line="268" w:lineRule="auto"/>
        <w:tabs>
          <w:tab w:leader="none" w:pos="17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 The grant of Deferred Units herein is made in consideration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be rendered by the Participant to the Employer, and the non-disparagement, non-compete and non-solicitation covenants of the Employment Letter.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360045</wp:posOffset>
            </wp:positionV>
            <wp:extent cx="51263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126355"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97" w:name="page98"/>
    <w:bookmarkEnd w:id="97"/>
    <w:p>
      <w:pPr>
        <w:jc w:val="both"/>
        <w:ind w:left="480" w:right="479" w:firstLine="642"/>
        <w:spacing w:after="0" w:line="255" w:lineRule="auto"/>
        <w:tabs>
          <w:tab w:leader="none" w:pos="17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Provisions of Plan Control</w:t>
      </w:r>
      <w:r>
        <w:rPr>
          <w:rFonts w:ascii="Times New Roman" w:cs="Times New Roman" w:eastAsia="Times New Roman" w:hAnsi="Times New Roman"/>
          <w:sz w:val="18"/>
          <w:szCs w:val="18"/>
          <w:color w:val="auto"/>
        </w:rPr>
        <w:t>. This Agreement is subject to all the terms, conditions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including, without limitation, the amendment provisions thereof, and to such rules, regulations and interpretations relating to the Plan as may be adopted by the Committee and as may be in effect from time to time. The Plan is incorporated herein by reference. If and to the extent that any provision of this Agreement conflicts or is inconsistent with the non-discretionary terms set forth in the Plan, the Plan shall control, and this Agreement shall be deemed to be modified accordingly. Notwithstanding the foregoing, no amendment or modification to the Plan adopted after the date hereof shall adversely affect the Participant’s rights under this Agreement without his prior written consent.</w:t>
      </w:r>
    </w:p>
    <w:p>
      <w:pPr>
        <w:spacing w:after="0" w:line="184" w:lineRule="exact"/>
        <w:rPr>
          <w:rFonts w:ascii="Times New Roman" w:cs="Times New Roman" w:eastAsia="Times New Roman" w:hAnsi="Times New Roman"/>
          <w:sz w:val="18"/>
          <w:szCs w:val="18"/>
          <w:color w:val="auto"/>
        </w:rPr>
      </w:pPr>
    </w:p>
    <w:p>
      <w:pPr>
        <w:jc w:val="both"/>
        <w:ind w:left="480" w:right="479" w:firstLine="642"/>
        <w:spacing w:after="0" w:line="268" w:lineRule="auto"/>
        <w:tabs>
          <w:tab w:leader="none" w:pos="17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any prior agreements between the Employer and the Participant with respect to the subject matter hereof.</w:t>
      </w:r>
    </w:p>
    <w:p>
      <w:pPr>
        <w:spacing w:after="0" w:line="170" w:lineRule="exact"/>
        <w:rPr>
          <w:rFonts w:ascii="Times New Roman" w:cs="Times New Roman" w:eastAsia="Times New Roman" w:hAnsi="Times New Roman"/>
          <w:sz w:val="18"/>
          <w:szCs w:val="18"/>
          <w:color w:val="auto"/>
        </w:rPr>
      </w:pPr>
    </w:p>
    <w:p>
      <w:pPr>
        <w:jc w:val="both"/>
        <w:ind w:left="480" w:right="479" w:firstLine="642"/>
        <w:spacing w:after="0" w:line="254" w:lineRule="auto"/>
        <w:tabs>
          <w:tab w:leader="none" w:pos="17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to be given under the terms of this Agreement to the Partnership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addressed to the Partnership in care of the General Counsel of the Partnership (or any other person or entity as designated by the Committee) at the Partnership’s principal office, and any notice to be given to the Participant shall be addressed to the Participant at the Participant’s last address reflected on the Employer’s records. By a notice given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either party may hereafter designate a different address for notices to be given to that party. Any notice or communication given hereunder shall be in writing or by electronic means as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below and, if in writing, shall be deemed to have been duly given: (i) when delivered in person; (ii) two (2) days after being sent by United States mail; or (iii) on the first business day following the date of deposit if delivered by a nationally recognized overnight delivery service.</w:t>
      </w:r>
    </w:p>
    <w:p>
      <w:pPr>
        <w:spacing w:after="0" w:line="188" w:lineRule="exact"/>
        <w:rPr>
          <w:rFonts w:ascii="Times New Roman" w:cs="Times New Roman" w:eastAsia="Times New Roman" w:hAnsi="Times New Roman"/>
          <w:sz w:val="18"/>
          <w:szCs w:val="18"/>
          <w:color w:val="auto"/>
        </w:rPr>
      </w:pPr>
    </w:p>
    <w:p>
      <w:pPr>
        <w:jc w:val="both"/>
        <w:ind w:left="480" w:right="479" w:firstLine="642"/>
        <w:spacing w:after="0" w:line="254" w:lineRule="auto"/>
        <w:tabs>
          <w:tab w:leader="none" w:pos="17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Guaranteed Employment or Other Service Relationship</w:t>
      </w:r>
      <w:r>
        <w:rPr>
          <w:rFonts w:ascii="Times New Roman" w:cs="Times New Roman" w:eastAsia="Times New Roman" w:hAnsi="Times New Roman"/>
          <w:sz w:val="18"/>
          <w:szCs w:val="18"/>
          <w:color w:val="auto"/>
        </w:rPr>
        <w:t>. Nothing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affect the right of the Partnership or any of its Affiliates to terminate the Participant’s employment or other service relationship at any time, with or without Cause, or shall be deemed to create any rights to employment or continued employment or other service relationship. The rights and obligations arising under this Agreement are not intended to and do not affect the Participant’s employment or other service relationship that otherwise exists between the Participant and the Partnership or any of its Affiliates, whether such employment or other service relationship is at will or defined by an employment or other service contract. Moreover, this Agreement is not intended to and does not amend any existing employment or other service contract between the Participant and the Partnership or any of its Affiliates; to the extent there is a conflict between this Agreement and such an employment or other service contract, the employment or other service contract shall govern and take priority.</w:t>
      </w:r>
    </w:p>
    <w:p>
      <w:pPr>
        <w:spacing w:after="0" w:line="182" w:lineRule="exact"/>
        <w:rPr>
          <w:rFonts w:ascii="Times New Roman" w:cs="Times New Roman" w:eastAsia="Times New Roman" w:hAnsi="Times New Roman"/>
          <w:sz w:val="18"/>
          <w:szCs w:val="18"/>
          <w:color w:val="auto"/>
        </w:rPr>
      </w:pPr>
    </w:p>
    <w:p>
      <w:pPr>
        <w:jc w:val="both"/>
        <w:ind w:left="480" w:right="479" w:firstLine="642"/>
        <w:spacing w:after="0" w:line="255" w:lineRule="auto"/>
        <w:tabs>
          <w:tab w:leader="none" w:pos="177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PARTY TO THIS AGREEMENT, FOR ITSELF AND ITS AFFILIATES, HEREBY IRREVOCABLY AND UNCONDITIONALLY WAIVES TO THE FULLEST EXTENT PERMITTED BY APPLICABLE LAW ALL RIGHT TO TRIAL BY JURY IN ANY ACTION, PROCEEDING OR COUNTERCLAIM (WHETHER BASED ON CONTRACT, TORT OR OTHERWISE) ARISING OUT OF OR RELATING TO THE ACTIONS OF THE PARTIES HERETO OR THEIR RESPECTIVE AFFILIATES PURSUANT TO THIS AGREEMENT OR IN THE NEGOTIATION, ADMINISTRATION, PERFORMANCE OR ENFORCEMENT OF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360045</wp:posOffset>
            </wp:positionV>
            <wp:extent cx="51263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126355" cy="2540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98" w:name="page99"/>
    <w:bookmarkEnd w:id="98"/>
    <w:p>
      <w:pPr>
        <w:jc w:val="both"/>
        <w:ind w:left="480" w:right="499" w:firstLine="642"/>
        <w:spacing w:after="0" w:line="268"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All section titles and captions in this Agreement are for convenience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part of this Agreement, and in no way shall define, limit, extend or describe the scope or intent of any provisions of this Agreement.</w:t>
      </w:r>
    </w:p>
    <w:p>
      <w:pPr>
        <w:spacing w:after="0" w:line="170" w:lineRule="exact"/>
        <w:rPr>
          <w:rFonts w:ascii="Times New Roman" w:cs="Times New Roman" w:eastAsia="Times New Roman" w:hAnsi="Times New Roman"/>
          <w:sz w:val="18"/>
          <w:szCs w:val="18"/>
          <w:color w:val="auto"/>
        </w:rPr>
      </w:pPr>
    </w:p>
    <w:p>
      <w:pPr>
        <w:jc w:val="both"/>
        <w:ind w:left="480" w:right="479" w:firstLine="642"/>
        <w:spacing w:after="0" w:line="256"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Mode of Communications</w:t>
      </w:r>
      <w:r>
        <w:rPr>
          <w:rFonts w:ascii="Times New Roman" w:cs="Times New Roman" w:eastAsia="Times New Roman" w:hAnsi="Times New Roman"/>
          <w:sz w:val="18"/>
          <w:szCs w:val="18"/>
          <w:color w:val="auto"/>
        </w:rPr>
        <w:t>. The Participant agrees, to the fullest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 lieu of receiving documents in paper format, to accept electronic delivery of any documents that the Partnership or any of its Affiliates may deliver in connection with this grant of Deferred Units and any other grants offered by the Partnership, including, without limitation, prospectuses, grant notifications, account statements, annual or quarterly reports, and other communications. The Participant further agrees that electronic delivery of a document may be made via the Employer’s e-mail system or by reference to a location on the Employer’s intranet or website or the online brokerage account system.</w:t>
      </w:r>
    </w:p>
    <w:p>
      <w:pPr>
        <w:spacing w:after="0" w:line="182" w:lineRule="exact"/>
        <w:rPr>
          <w:rFonts w:ascii="Times New Roman" w:cs="Times New Roman" w:eastAsia="Times New Roman" w:hAnsi="Times New Roman"/>
          <w:sz w:val="18"/>
          <w:szCs w:val="18"/>
          <w:color w:val="auto"/>
        </w:rPr>
      </w:pPr>
    </w:p>
    <w:p>
      <w:pPr>
        <w:jc w:val="both"/>
        <w:ind w:left="480" w:right="479" w:firstLine="642"/>
        <w:spacing w:after="0" w:line="268"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 failure by any party to insist upon the strict performance of any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agreement or condition of this Agreement or to exercise any right or remedy consequent upon a breach thereof shall constitute waiver of any such breach or any other covenant, duty, agreement or condition.</w:t>
      </w:r>
    </w:p>
    <w:p>
      <w:pPr>
        <w:spacing w:after="0" w:line="170" w:lineRule="exact"/>
        <w:rPr>
          <w:rFonts w:ascii="Times New Roman" w:cs="Times New Roman" w:eastAsia="Times New Roman" w:hAnsi="Times New Roman"/>
          <w:sz w:val="18"/>
          <w:szCs w:val="18"/>
          <w:color w:val="auto"/>
        </w:rPr>
      </w:pPr>
    </w:p>
    <w:p>
      <w:pPr>
        <w:jc w:val="both"/>
        <w:ind w:left="480" w:right="479" w:firstLine="642"/>
        <w:spacing w:after="0" w:line="257"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is declared or found to be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or void, in whole or in part, then the parties hereto shall be relieved of all obligations arising under such provision, but only to the extent that it is illegal, unenforceable or void, it being the intent and agreement of the parties hereto that this Agreement shall be deemed amended by modifying such provision to the extent necessary to make it legal and enforceable while preserving its intent or, if that is not possible, by substituting therefor another provision that is legal and enforceable and achieves the same objectives.</w:t>
      </w:r>
    </w:p>
    <w:p>
      <w:pPr>
        <w:spacing w:after="0" w:line="182" w:lineRule="exact"/>
        <w:rPr>
          <w:rFonts w:ascii="Times New Roman" w:cs="Times New Roman" w:eastAsia="Times New Roman" w:hAnsi="Times New Roman"/>
          <w:sz w:val="18"/>
          <w:szCs w:val="18"/>
          <w:color w:val="auto"/>
        </w:rPr>
      </w:pPr>
    </w:p>
    <w:p>
      <w:pPr>
        <w:jc w:val="both"/>
        <w:ind w:left="480" w:right="479" w:firstLine="642"/>
        <w:spacing w:after="0" w:line="268"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agreement binding on all the parties hereto, notwithstanding that all such parties are not signatories to the original or the same counterpart.</w:t>
      </w:r>
    </w:p>
    <w:p>
      <w:pPr>
        <w:spacing w:after="0" w:line="170" w:lineRule="exact"/>
        <w:rPr>
          <w:rFonts w:ascii="Times New Roman" w:cs="Times New Roman" w:eastAsia="Times New Roman" w:hAnsi="Times New Roman"/>
          <w:sz w:val="18"/>
          <w:szCs w:val="18"/>
          <w:color w:val="auto"/>
        </w:rPr>
      </w:pPr>
    </w:p>
    <w:p>
      <w:pPr>
        <w:ind w:left="480" w:right="499" w:firstLine="642"/>
        <w:spacing w:after="0" w:line="286"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New York, without giving effect to its principles of conflict of laws.</w:t>
      </w:r>
    </w:p>
    <w:p>
      <w:pPr>
        <w:spacing w:after="0" w:line="154" w:lineRule="exact"/>
        <w:rPr>
          <w:rFonts w:ascii="Times New Roman" w:cs="Times New Roman" w:eastAsia="Times New Roman" w:hAnsi="Times New Roman"/>
          <w:sz w:val="18"/>
          <w:szCs w:val="18"/>
          <w:color w:val="auto"/>
        </w:rPr>
      </w:pPr>
    </w:p>
    <w:p>
      <w:pPr>
        <w:jc w:val="both"/>
        <w:ind w:left="480" w:right="479" w:firstLine="642"/>
        <w:spacing w:after="0" w:line="257" w:lineRule="auto"/>
        <w:tabs>
          <w:tab w:leader="none" w:pos="17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Although the Employer does not guarantee to the Participant any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treatment relating to the Award under this Agreement, it is intended that all payments pursuant to this Award shall be exempt from Section 409A, and this Agreement shall be interpreted and administered in accordance with such intentions. In no event shall the Partnership or any of its Affiliates be liable for any additional tax, interest or penalties that may be imposed on the Participant by reason of Section 409A or any damages for failing to qualify for an exemption from, or comply with, Section 409A.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360045</wp:posOffset>
            </wp:positionV>
            <wp:extent cx="512635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12635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9" w:name="page100"/>
    <w:bookmarkEnd w:id="99"/>
    <w:p>
      <w:pPr>
        <w:ind w:left="112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date and year first above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written.</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229" w:lineRule="exact"/>
        <w:rPr>
          <w:sz w:val="20"/>
          <w:szCs w:val="20"/>
          <w:color w:val="auto"/>
        </w:rPr>
      </w:pPr>
    </w:p>
    <w:p>
      <w:pPr>
        <w:ind w:left="4360"/>
        <w:spacing w:after="0"/>
        <w:tabs>
          <w:tab w:leader="none" w:pos="5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Icahn Enterprises G.P. Inc., its general partner</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-7620</wp:posOffset>
            </wp:positionV>
            <wp:extent cx="23418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Unit Agreement Signature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361315</wp:posOffset>
            </wp:positionV>
            <wp:extent cx="512635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126355" cy="25400"/>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Teno, certify that:</w:t>
      </w:r>
    </w:p>
    <w:p>
      <w:pPr>
        <w:spacing w:after="0" w:line="225" w:lineRule="exact"/>
        <w:rPr>
          <w:sz w:val="20"/>
          <w:szCs w:val="20"/>
          <w:color w:val="auto"/>
        </w:rPr>
      </w:pPr>
    </w:p>
    <w:p>
      <w:pPr>
        <w:ind w:left="500" w:hanging="179"/>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2026;</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20" w:firstLine="321"/>
        <w:spacing w:after="0" w:line="266" w:lineRule="auto"/>
        <w:tabs>
          <w:tab w:leader="none" w:pos="5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17145</wp:posOffset>
            </wp:positionV>
            <wp:extent cx="331787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317875" cy="25400"/>
                    </a:xfrm>
                    <a:prstGeom prst="rect">
                      <a:avLst/>
                    </a:prstGeom>
                    <a:noFill/>
                  </pic:spPr>
                </pic:pic>
              </a:graphicData>
            </a:graphic>
          </wp:anchor>
        </w:drawing>
      </w:r>
    </w:p>
    <w:p>
      <w:pPr>
        <w:spacing w:after="0" w:line="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240" w:right="24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302(a) of the Sarbanes Oxley Act of 2002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Icahn Enterprises L.P. for the period ended March 31, 2026.</w:t>
      </w:r>
    </w:p>
    <w:p>
      <w:pPr>
        <w:spacing w:after="0" w:line="22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321"/>
        <w:spacing w:after="0" w:line="266" w:lineRule="auto"/>
        <w:tabs>
          <w:tab w:leader="none" w:pos="5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21"/>
        <w:spacing w:after="0" w:line="266" w:lineRule="auto"/>
        <w:tabs>
          <w:tab w:leader="none" w:pos="5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75" w:lineRule="exact"/>
        <w:rPr>
          <w:rFonts w:ascii="Times New Roman" w:cs="Times New Roman" w:eastAsia="Times New Roman" w:hAnsi="Times New Roman"/>
          <w:sz w:val="18"/>
          <w:szCs w:val="18"/>
          <w:color w:val="auto"/>
        </w:rPr>
      </w:pPr>
    </w:p>
    <w:p>
      <w:pPr>
        <w:ind w:left="320" w:right="120" w:firstLine="325"/>
        <w:spacing w:after="0" w:line="266" w:lineRule="auto"/>
        <w:tabs>
          <w:tab w:leader="none" w:pos="8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20" w:right="240" w:firstLine="325"/>
        <w:spacing w:after="0" w:line="266" w:lineRule="auto"/>
        <w:tabs>
          <w:tab w:leader="none" w:pos="83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20" w:right="20" w:firstLine="325"/>
        <w:spacing w:after="0" w:line="266" w:lineRule="auto"/>
        <w:tabs>
          <w:tab w:leader="none" w:pos="8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20" w:right="140" w:firstLine="325"/>
        <w:spacing w:after="0" w:line="266" w:lineRule="auto"/>
        <w:tabs>
          <w:tab w:leader="none" w:pos="83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0" w:firstLine="321"/>
        <w:spacing w:after="0" w:line="266" w:lineRule="auto"/>
        <w:tabs>
          <w:tab w:leader="none" w:pos="5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320" w:right="440" w:firstLine="325"/>
        <w:spacing w:after="0" w:line="266" w:lineRule="auto"/>
        <w:tabs>
          <w:tab w:leader="none" w:pos="8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20" w:right="280" w:firstLine="325"/>
        <w:spacing w:after="0" w:line="282" w:lineRule="auto"/>
        <w:tabs>
          <w:tab w:leader="none" w:pos="83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50"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17" w:right="1239" w:bottom="1440" w:gutter="0" w:footer="0" w:header="0"/>
        </w:sectPr>
      </w:pPr>
    </w:p>
    <w:bookmarkStart w:id="102" w:name="page103"/>
    <w:bookmarkEnd w:id="102"/>
    <w:p>
      <w:pPr>
        <w:ind w:left="8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 Oxley Act of 2002 (18 U.S.C. 1350)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13a-14(b) of the Securities Exchange Act of 1934</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Icahn Enterprises L.P., for the period ended March 31, 2026, the undersigned certify that, to the best of his knowledge, based upon a review of the Icahn Enterprises L.P. quarterly report on Form 10-Q for the period ended March 31, 2026:</w:t>
      </w:r>
    </w:p>
    <w:p>
      <w:pPr>
        <w:spacing w:after="0" w:line="176" w:lineRule="exact"/>
        <w:rPr>
          <w:sz w:val="20"/>
          <w:szCs w:val="20"/>
          <w:color w:val="auto"/>
        </w:rPr>
      </w:pPr>
    </w:p>
    <w:p>
      <w:pPr>
        <w:ind w:right="460" w:firstLine="321"/>
        <w:spacing w:after="0" w:line="282" w:lineRule="auto"/>
        <w:tabs>
          <w:tab w:leader="none" w:pos="5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500" w:firstLine="321"/>
        <w:spacing w:after="0" w:line="282" w:lineRule="auto"/>
        <w:tabs>
          <w:tab w:leader="none" w:pos="5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17145</wp:posOffset>
            </wp:positionV>
            <wp:extent cx="341185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411855" cy="25400"/>
                    </a:xfrm>
                    <a:prstGeom prst="rect">
                      <a:avLst/>
                    </a:prstGeom>
                    <a:noFill/>
                  </pic:spPr>
                </pic:pic>
              </a:graphicData>
            </a:graphic>
          </wp:anchor>
        </w:drawing>
      </w:r>
    </w:p>
    <w:p>
      <w:pPr>
        <w:spacing w:after="0" w:line="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Andrew Teno</w:t>
      </w:r>
    </w:p>
    <w:p>
      <w:pPr>
        <w:spacing w:after="0" w:line="63" w:lineRule="exact"/>
        <w:rPr>
          <w:sz w:val="20"/>
          <w:szCs w:val="20"/>
          <w:color w:val="auto"/>
        </w:rPr>
      </w:pPr>
    </w:p>
    <w:p>
      <w:pPr>
        <w:ind w:left="4080" w:right="120"/>
        <w:spacing w:after="0" w:line="237" w:lineRule="auto"/>
        <w:rPr>
          <w:sz w:val="20"/>
          <w:szCs w:val="20"/>
          <w:color w:val="auto"/>
        </w:rPr>
      </w:pPr>
      <w:r>
        <w:rPr>
          <w:rFonts w:ascii="Times New Roman" w:cs="Times New Roman" w:eastAsia="Times New Roman" w:hAnsi="Times New Roman"/>
          <w:sz w:val="18"/>
          <w:szCs w:val="18"/>
          <w:color w:val="auto"/>
        </w:rPr>
        <w:t>President and Chief Executive Officer of Icahn Enterprises G.P. Inc., the general partner of Icahn Enterprises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17145</wp:posOffset>
            </wp:positionV>
            <wp:extent cx="338645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386455" cy="25400"/>
                    </a:xfrm>
                    <a:prstGeom prst="rect">
                      <a:avLst/>
                    </a:prstGeom>
                    <a:noFill/>
                  </pic:spPr>
                </pic:pic>
              </a:graphicData>
            </a:graphic>
          </wp:anchor>
        </w:drawing>
      </w:r>
    </w:p>
    <w:p>
      <w:pPr>
        <w:spacing w:after="0" w:line="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Ted Papapostolou</w:t>
      </w:r>
    </w:p>
    <w:p>
      <w:pPr>
        <w:spacing w:after="0" w:line="63" w:lineRule="exact"/>
        <w:rPr>
          <w:sz w:val="20"/>
          <w:szCs w:val="20"/>
          <w:color w:val="auto"/>
        </w:rPr>
      </w:pPr>
    </w:p>
    <w:p>
      <w:pPr>
        <w:ind w:left="4120" w:right="580"/>
        <w:spacing w:after="0" w:line="237" w:lineRule="auto"/>
        <w:rPr>
          <w:sz w:val="20"/>
          <w:szCs w:val="20"/>
          <w:color w:val="auto"/>
        </w:rPr>
      </w:pPr>
      <w:r>
        <w:rPr>
          <w:rFonts w:ascii="Times New Roman" w:cs="Times New Roman" w:eastAsia="Times New Roman" w:hAnsi="Times New Roman"/>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598360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9"/>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5"/>
    </w:lvl>
  </w:abstractNum>
  <w:abstractNum w:abstractNumId="8">
    <w:nsid w:val="71F32454"/>
    <w:multiLevelType w:val="hybridMultilevel"/>
    <w:lvl w:ilvl="0">
      <w:lvlJc w:val="left"/>
      <w:lvlText w:val="%1."/>
      <w:numFmt w:val="decimal"/>
      <w:start w:val="16"/>
    </w:lvl>
  </w:abstractNum>
  <w:abstractNum w:abstractNumId="9">
    <w:nsid w:val="2CA88611"/>
    <w:multiLevelType w:val="hybridMultilevel"/>
    <w:lvl w:ilvl="0">
      <w:lvlJc w:val="left"/>
      <w:lvlText w:val="%1."/>
      <w:numFmt w:val="decimal"/>
      <w:start w:val="18"/>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3"/>
    </w:lvl>
    <w:lvl w:ilvl="1">
      <w:lvlJc w:val="left"/>
      <w:lvlText w:val="(%2)"/>
      <w:numFmt w:val="lowerLetter"/>
      <w:start w:val="2"/>
    </w:lvl>
  </w:abstractNum>
  <w:abstractNum w:abstractNumId="15">
    <w:nsid w:val="7C3DBD3D"/>
    <w:multiLevelType w:val="hybridMultilevel"/>
    <w:lvl w:ilvl="0">
      <w:lvlJc w:val="left"/>
      <w:lvlText w:val="(%1)"/>
      <w:numFmt w:val="lowerLetter"/>
      <w:start w:val="5"/>
    </w:lvl>
  </w:abstractNum>
  <w:abstractNum w:abstractNumId="16">
    <w:nsid w:val="737B8DDC"/>
    <w:multiLevelType w:val="hybridMultilevel"/>
    <w:lvl w:ilvl="0">
      <w:lvlJc w:val="left"/>
      <w:lvlText w:val="%1"/>
      <w:numFmt w:val="decimal"/>
      <w:start w:val="1"/>
    </w:lvl>
    <w:lvl w:ilvl="1">
      <w:lvlJc w:val="left"/>
      <w:lvlText w:val="(%2)"/>
      <w:numFmt w:val="lowerLetter"/>
      <w:start w:val="6"/>
    </w:lvl>
  </w:abstractNum>
  <w:abstractNum w:abstractNumId="17">
    <w:nsid w:val="6CEAF087"/>
    <w:multiLevelType w:val="hybridMultilevel"/>
    <w:lvl w:ilvl="0">
      <w:lvlJc w:val="left"/>
      <w:lvlText w:val="%1."/>
      <w:numFmt w:val="decimal"/>
      <w:start w:val="4"/>
    </w:lvl>
    <w:lvl w:ilvl="1">
      <w:lvlJc w:val="left"/>
      <w:lvlText w:val="(%2)"/>
      <w:numFmt w:val="lowerLetter"/>
      <w:start w:val="2"/>
    </w:lvl>
  </w:abstractNum>
  <w:abstractNum w:abstractNumId="18">
    <w:nsid w:val="22221A70"/>
    <w:multiLevelType w:val="hybridMultilevel"/>
    <w:lvl w:ilvl="0">
      <w:lvlJc w:val="left"/>
      <w:lvlText w:val="%1"/>
      <w:numFmt w:val="decimal"/>
      <w:start w:val="1"/>
    </w:lvl>
    <w:lvl w:ilvl="1">
      <w:lvlJc w:val="left"/>
      <w:lvlText w:val="(%2)"/>
      <w:numFmt w:val="lowerLetter"/>
      <w:start w:val="3"/>
    </w:lvl>
  </w:abstractNum>
  <w:abstractNum w:abstractNumId="19">
    <w:nsid w:val="4516DDE9"/>
    <w:multiLevelType w:val="hybridMultilevel"/>
    <w:lvl w:ilvl="0">
      <w:lvlJc w:val="left"/>
      <w:lvlText w:val="%1."/>
      <w:numFmt w:val="decimal"/>
      <w:start w:val="5"/>
    </w:lvl>
    <w:lvl w:ilvl="1">
      <w:lvlJc w:val="left"/>
      <w:lvlText w:val="(%2)"/>
      <w:numFmt w:val="lowerLetter"/>
      <w:start w:val="2"/>
    </w:lvl>
  </w:abstractNum>
  <w:abstractNum w:abstractNumId="20">
    <w:nsid w:val="3006C83E"/>
    <w:multiLevelType w:val="hybridMultilevel"/>
    <w:lvl w:ilvl="0">
      <w:lvlJc w:val="left"/>
      <w:lvlText w:val="%1."/>
      <w:numFmt w:val="decimal"/>
      <w:start w:val="7"/>
    </w:lvl>
  </w:abstractNum>
  <w:abstractNum w:abstractNumId="21">
    <w:nsid w:val="614FD4A1"/>
    <w:multiLevelType w:val="hybridMultilevel"/>
    <w:lvl w:ilvl="0">
      <w:lvlJc w:val="left"/>
      <w:lvlText w:val="%1"/>
      <w:numFmt w:val="decimal"/>
      <w:start w:val="1"/>
    </w:lvl>
    <w:lvl w:ilvl="1">
      <w:lvlJc w:val="left"/>
      <w:lvlText w:val="(%2)"/>
      <w:numFmt w:val="lowerLetter"/>
      <w:start w:val="2"/>
    </w:lvl>
  </w:abstractNum>
  <w:abstractNum w:abstractNumId="22">
    <w:nsid w:val="419AC241"/>
    <w:multiLevelType w:val="hybridMultilevel"/>
    <w:lvl w:ilvl="0">
      <w:lvlJc w:val="left"/>
      <w:lvlText w:val="%1."/>
      <w:numFmt w:val="decimal"/>
      <w:start w:val="8"/>
    </w:lvl>
    <w:lvl w:ilvl="1">
      <w:lvlJc w:val="left"/>
      <w:lvlText w:val="%2"/>
      <w:numFmt w:val="lowerLetter"/>
      <w:start w:val="1"/>
    </w:lvl>
  </w:abstractNum>
  <w:abstractNum w:abstractNumId="23">
    <w:nsid w:val="5577F8E1"/>
    <w:multiLevelType w:val="hybridMultilevel"/>
    <w:lvl w:ilvl="0">
      <w:lvlJc w:val="left"/>
      <w:lvlText w:val="%1."/>
      <w:numFmt w:val="decimal"/>
      <w:start w:val="10"/>
    </w:lvl>
  </w:abstractNum>
  <w:abstractNum w:abstractNumId="24">
    <w:nsid w:val="440BADFC"/>
    <w:multiLevelType w:val="hybridMultilevel"/>
    <w:lvl w:ilvl="0">
      <w:lvlJc w:val="left"/>
      <w:lvlText w:val="%1."/>
      <w:numFmt w:val="decimal"/>
      <w:start w:val="15"/>
    </w:lvl>
    <w:lvl w:ilvl="1">
      <w:lvlJc w:val="left"/>
      <w:lvlText w:val="(%2)"/>
      <w:numFmt w:val="decimal"/>
      <w:start w:val="21"/>
    </w:lvl>
  </w:abstractNum>
  <w:abstractNum w:abstractNumId="25">
    <w:nsid w:val="5072367"/>
    <w:multiLevelType w:val="hybridMultilevel"/>
    <w:lvl w:ilvl="0">
      <w:lvlJc w:val="left"/>
      <w:lvlText w:val="%1."/>
      <w:numFmt w:val="decimal"/>
      <w:start w:val="18"/>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lvl w:ilvl="1">
      <w:lvlJc w:val="left"/>
      <w:lvlText w:val="(%2)"/>
      <w:numFmt w:val="decimal"/>
      <w:start w:val="7"/>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7"/>
    </w:lvl>
    <w:lvl w:ilvl="1">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lvl w:ilvl="1">
      <w:lvlJc w:val="left"/>
      <w:lvlText w:val="(%2)"/>
      <w:numFmt w:val="decimal"/>
      <w:start w:val="7"/>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7"/>
    </w:lvl>
    <w:lvl w:ilvl="1">
      <w:lvlJc w:val="left"/>
      <w:lvlText w:val="*"/>
      <w:numFmt w:val="bullet"/>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2A487CB0"/>
    <w:multiLevelType w:val="hybridMultilevel"/>
    <w:lvl w:ilvl="0">
      <w:lvlJc w:val="left"/>
      <w:lvlText w:val="%1"/>
      <w:numFmt w:val="decimal"/>
      <w:start w:val="1"/>
    </w:lvl>
    <w:lvl w:ilvl="1">
      <w:lvlJc w:val="left"/>
      <w:lvlText w:val="%2."/>
      <w:numFmt w:val="decimal"/>
      <w:start w:val="3"/>
    </w:lvl>
  </w:abstractNum>
  <w:abstractNum w:abstractNumId="40">
    <w:nsid w:val="1D4ED43B"/>
    <w:multiLevelType w:val="hybridMultilevel"/>
    <w:lvl w:ilvl="0">
      <w:lvlJc w:val="left"/>
      <w:lvlText w:val="(%1)"/>
      <w:numFmt w:val="decimal"/>
      <w:start w:val="2"/>
    </w:lvl>
    <w:lvl w:ilvl="1">
      <w:lvlJc w:val="left"/>
      <w:lvlText w:val="%2."/>
      <w:numFmt w:val="decimal"/>
      <w:start w:val="6"/>
    </w:lvl>
  </w:abstractNum>
  <w:abstractNum w:abstractNumId="41">
    <w:nsid w:val="725A06FB"/>
    <w:multiLevelType w:val="hybridMultilevel"/>
    <w:lvl w:ilvl="0">
      <w:lvlJc w:val="left"/>
      <w:lvlText w:val="%1."/>
      <w:numFmt w:val="decimal"/>
      <w:start w:val="7"/>
    </w:lvl>
  </w:abstractNum>
  <w:abstractNum w:abstractNumId="42">
    <w:nsid w:val="2CD89A32"/>
    <w:multiLevelType w:val="hybridMultilevel"/>
    <w:lvl w:ilvl="0">
      <w:lvlJc w:val="left"/>
      <w:lvlText w:val="%1."/>
      <w:numFmt w:val="decimal"/>
      <w:start w:val="12"/>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76" Type="http://schemas.openxmlformats.org/officeDocument/2006/relationships/hyperlink" Target="https://www.sec.gov/Archives/edgar/data/813762/000155837025001612/tmb-20241231xex3d3.htm" TargetMode="External"/><Relationship Id="rId77" Type="http://schemas.openxmlformats.org/officeDocument/2006/relationships/hyperlink" Target="https://www.sec.gov/Archives/edgar/data/813762/000155837025001612/tmb-20241231xex3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2026-05-06T16:28:18Z</dcterms:created>
  <dcterms:modified xsi:type="dcterms:W3CDTF">2026-05-06T16:28:18Z</dcterms:modified>
</cp:coreProperties>
</file>