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60630x10q.htm"/>
        <w:bookmarkStart w:id="1" w:name="kstmb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6"/>
        </w:rPr>
      </w:pPr>
      <w:bookmarkStart w:id="2" w:name="_10f2cb74_04dc_47c2_9b28_549cabd0973d"/>
      <w:bookmarkEnd w:id="2"/>
      <w:r>
        <w:rPr>
          <w:rFonts w:ascii="Times New Roman;Times;serif" w:hAnsi="Times New Roman;Times;serif"/>
          <w:b/>
          <w:sz w:val="16"/>
        </w:rPr>
        <w:t>UNITED STATES SECURITIES AND EXCHANGE COMMISSION</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FORM 10-Q</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 one)</w:t>
      </w:r>
    </w:p>
    <w:p>
      <w:pPr>
        <w:pStyle w:val="TextBody"/>
        <w:bidi w:val="0"/>
        <w:spacing w:before="0" w:after="120"/>
        <w:ind w:left="0" w:right="0" w:hanging="0"/>
        <w:jc w:val="left"/>
        <w:rPr/>
      </w:pPr>
      <w:r>
        <w:rPr/>
        <w:t xml:space="preserve">☒ </w:t>
      </w:r>
      <w:r>
        <w:rPr>
          <w:rFonts w:ascii="Times New Roman;Times;serif" w:hAnsi="Times New Roman;Times;serif"/>
          <w:b/>
          <w:sz w:val="16"/>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pBdr/>
        <w:bidi w:val="0"/>
        <w:spacing w:before="0" w:after="120"/>
        <w:ind w:left="0" w:right="0" w:hanging="360"/>
        <w:jc w:val="left"/>
        <w:rPr/>
      </w:pPr>
      <w:r>
        <w:rPr/>
        <w:t xml:space="preserve">☐ </w:t>
      </w:r>
      <w:r>
        <w:rPr>
          <w:rFonts w:ascii="Times New Roman;Times;serif" w:hAnsi="Times New Roman;Times;serif"/>
          <w:b/>
          <w:sz w:val="16"/>
        </w:rPr>
        <w:t>TRANSITION REPORT PURSUANT TO SECTION 13 OR 15(d) OF THE SECURITIES EXCHANGE ACT OF 1934</w:t>
      </w:r>
    </w:p>
    <w:p>
      <w:pPr>
        <w:pStyle w:val="TextBody"/>
        <w:bidi w:val="0"/>
        <w:spacing w:before="0" w:after="24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Normal"/>
        <w:bidi w:val="0"/>
        <w:spacing w:before="0" w:after="0"/>
        <w:jc w:val="left"/>
        <w:rPr>
          <w:sz w:val="4"/>
          <w:szCs w:val="4"/>
        </w:rPr>
      </w:pPr>
      <w:r>
        <w:rPr>
          <w:sz w:val="4"/>
          <w:szCs w:val="4"/>
        </w:rPr>
      </w:r>
      <w:bookmarkStart w:id="3" w:name="Tc_CYwxRt5TnkmkPz93HOwkkg_1_3"/>
      <w:bookmarkStart w:id="4" w:name="Tc_5ncHrG5s-UGaImXmdTsceA_1_2"/>
      <w:bookmarkStart w:id="5" w:name="Tc_M4wy_PJxW0iKMhvR8InP4w_1_1"/>
      <w:bookmarkStart w:id="6" w:name="Tc_oRURwzyow0mTR2sEwUramw_1_0"/>
      <w:bookmarkStart w:id="7" w:name="_922c7f1d_6706_4aae_983f_8e184db9bf6f"/>
      <w:bookmarkStart w:id="8" w:name="Tc_CYwxRt5TnkmkPz93HOwkkg_1_3"/>
      <w:bookmarkStart w:id="9" w:name="Tc_5ncHrG5s-UGaImXmdTsceA_1_2"/>
      <w:bookmarkStart w:id="10" w:name="Tc_M4wy_PJxW0iKMhvR8InP4w_1_1"/>
      <w:bookmarkStart w:id="11" w:name="Tc_oRURwzyow0mTR2sEwUramw_1_0"/>
      <w:bookmarkStart w:id="12" w:name="_922c7f1d_6706_4aae_983f_8e184db9bf6f"/>
      <w:bookmarkEnd w:id="8"/>
      <w:bookmarkEnd w:id="9"/>
      <w:bookmarkEnd w:id="10"/>
      <w:bookmarkEnd w:id="11"/>
      <w:bookmarkEnd w:id="12"/>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2103120"/>
                      <wp:effectExtent l="0" t="0" r="0" b="0"/>
                      <wp:wrapNone/>
                      <wp:docPr id="1" name="Frame1"/>
                      <a:graphic xmlns:a="http://schemas.openxmlformats.org/drawingml/2006/main">
                        <a:graphicData uri="http://schemas.microsoft.com/office/word/2010/wordprocessingShape">
                          <wps:wsp>
                            <wps:cNvSpPr txBox="1"/>
                            <wps:spPr>
                              <a:xfrm>
                                <a:off x="0" y="0"/>
                                <a:ext cx="78740" cy="21031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6998970"/>
                      <wp:effectExtent l="0" t="0" r="0" b="0"/>
                      <wp:wrapNone/>
                      <wp:docPr id="2" name="Frame2"/>
                      <a:graphic xmlns:a="http://schemas.openxmlformats.org/drawingml/2006/main">
                        <a:graphicData uri="http://schemas.microsoft.com/office/word/2010/wordprocessingShape">
                          <wps:wsp>
                            <wps:cNvSpPr txBox="1"/>
                            <wps:spPr>
                              <a:xfrm>
                                <a:off x="0" y="0"/>
                                <a:ext cx="69215" cy="699897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5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5958840"/>
                      <wp:effectExtent l="0" t="0" r="0" b="0"/>
                      <wp:wrapNone/>
                      <wp:docPr id="3" name="Frame3"/>
                      <a:graphic xmlns:a="http://schemas.openxmlformats.org/drawingml/2006/main">
                        <a:graphicData uri="http://schemas.microsoft.com/office/word/2010/wordprocessingShape">
                          <wps:wsp>
                            <wps:cNvSpPr txBox="1"/>
                            <wps:spPr>
                              <a:xfrm>
                                <a:off x="0" y="0"/>
                                <a:ext cx="69215" cy="5958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7790" cy="2219960"/>
                      <wp:effectExtent l="0" t="0" r="0" b="0"/>
                      <wp:wrapNone/>
                      <wp:docPr id="4" name="Frame4"/>
                      <a:graphic xmlns:a="http://schemas.openxmlformats.org/drawingml/2006/main">
                        <a:graphicData uri="http://schemas.microsoft.com/office/word/2010/wordprocessingShape">
                          <wps:wsp>
                            <wps:cNvSpPr txBox="1"/>
                            <wps:spPr>
                              <a:xfrm>
                                <a:off x="0" y="0"/>
                                <a:ext cx="97790" cy="2219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701040"/>
                      <wp:effectExtent l="0" t="0" r="0" b="0"/>
                      <wp:wrapNone/>
                      <wp:docPr id="5" name="Frame5"/>
                      <a:graphic xmlns:a="http://schemas.openxmlformats.org/drawingml/2006/main">
                        <a:graphicData uri="http://schemas.microsoft.com/office/word/2010/wordprocessingShape">
                          <wps:wsp>
                            <wps:cNvSpPr txBox="1"/>
                            <wps:spPr>
                              <a:xfrm>
                                <a:off x="0" y="0"/>
                                <a:ext cx="78740" cy="7010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1-9516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1-9516</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2453640"/>
                      <wp:effectExtent l="0" t="0" r="0" b="0"/>
                      <wp:wrapNone/>
                      <wp:docPr id="6" name="Frame6"/>
                      <a:graphic xmlns:a="http://schemas.openxmlformats.org/drawingml/2006/main">
                        <a:graphicData uri="http://schemas.microsoft.com/office/word/2010/wordprocessingShape">
                          <wps:wsp>
                            <wps:cNvSpPr txBox="1"/>
                            <wps:spPr>
                              <a:xfrm>
                                <a:off x="0" y="0"/>
                                <a:ext cx="69215" cy="24536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93.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ICAHN ENTERPRISES L.P.</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934720"/>
                      <wp:effectExtent l="0" t="0" r="0" b="0"/>
                      <wp:wrapNone/>
                      <wp:docPr id="7" name="Frame7"/>
                      <a:graphic xmlns:a="http://schemas.openxmlformats.org/drawingml/2006/main">
                        <a:graphicData uri="http://schemas.microsoft.com/office/word/2010/wordprocessingShape">
                          <wps:wsp>
                            <wps:cNvSpPr txBox="1"/>
                            <wps:spPr>
                              <a:xfrm>
                                <a:off x="0" y="0"/>
                                <a:ext cx="69215" cy="9347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73.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Delaware</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1051560"/>
                      <wp:effectExtent l="0" t="0" r="0" b="0"/>
                      <wp:wrapNone/>
                      <wp:docPr id="8" name="Frame8"/>
                      <a:graphic xmlns:a="http://schemas.openxmlformats.org/drawingml/2006/main">
                        <a:graphicData uri="http://schemas.microsoft.com/office/word/2010/wordprocessingShape">
                          <wps:wsp>
                            <wps:cNvSpPr txBox="1"/>
                            <wps:spPr>
                              <a:xfrm>
                                <a:off x="0" y="0"/>
                                <a:ext cx="9779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13-3398766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13-3398766</w:t>
                            </w:r>
                          </w:p>
                        </w:txbxContent>
                      </v:textbox>
                      <w10:wrap type="none"/>
                    </v:rect>
                  </w:pict>
                </mc:Fallback>
              </mc:AlternateContent>
            </w:r>
          </w:p>
        </w:tc>
      </w:tr>
    </w:tbl>
    <w:p>
      <w:pPr>
        <w:pStyle w:val="TextBody"/>
        <w:bidi w:val="0"/>
        <w:spacing w:before="120" w:after="0"/>
        <w:ind w:left="0" w:right="0" w:hanging="0"/>
        <w:jc w:val="center"/>
        <w:rPr>
          <w:rFonts w:ascii="Times New Roman;Times;serif" w:hAnsi="Times New Roman;Times;serif"/>
          <w:b/>
          <w:sz w:val="16"/>
        </w:rPr>
      </w:pPr>
      <w:r>
        <w:rPr>
          <w:rFonts w:ascii="Times New Roman;Times;serif" w:hAnsi="Times New Roman;Times;serif"/>
          <w:b/>
          <w:sz w:val="16"/>
        </w:rPr>
        <w:t>16690 Collins Avenue, PH-1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Sunny Isles Beach,</w:t>
      </w:r>
      <w:r>
        <w:rPr>
          <w:rFonts w:ascii="Times New Roman;Times;serif" w:hAnsi="Times New Roman;Times;serif"/>
          <w:sz w:val="20"/>
        </w:rPr>
        <w:t xml:space="preserve"> </w:t>
      </w:r>
      <w:r>
        <w:rPr>
          <w:rFonts w:ascii="Times New Roman;Times;serif" w:hAnsi="Times New Roman;Times;serif"/>
          <w:b/>
          <w:sz w:val="16"/>
        </w:rPr>
        <w:t>FL</w:t>
      </w:r>
      <w:r>
        <w:rPr>
          <w:rFonts w:ascii="Times New Roman;Times;serif" w:hAnsi="Times New Roman;Times;serif"/>
          <w:sz w:val="20"/>
        </w:rPr>
        <w:t xml:space="preserve"> </w:t>
      </w:r>
      <w:r>
        <w:rPr>
          <w:rFonts w:ascii="Times New Roman;Times;serif" w:hAnsi="Times New Roman;Times;serif"/>
          <w:b/>
          <w:sz w:val="16"/>
        </w:rPr>
        <w:t>33160</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(305) 422-4100</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3" w:name="Tc_Sv-HSnRjp0aYHRUtoyCH4Q_3_4"/>
      <w:bookmarkStart w:id="14" w:name="Tc_bOVbNnHlQ0-QNXF611N9Uw_2_4"/>
      <w:bookmarkStart w:id="15" w:name="Tc_NUmUMPvl6Uq8MlrDVnGMvA_2_2"/>
      <w:bookmarkStart w:id="16" w:name="Tc_pQxDvBDGwEG4z7tshBRC9Q_2_0"/>
      <w:bookmarkStart w:id="17" w:name="_eedfc14a_7c61_4850_90a5_17ccc4306e98"/>
      <w:bookmarkStart w:id="18" w:name="Tc_Sv-HSnRjp0aYHRUtoyCH4Q_3_4"/>
      <w:bookmarkStart w:id="19" w:name="Tc_bOVbNnHlQ0-QNXF611N9Uw_2_4"/>
      <w:bookmarkStart w:id="20" w:name="Tc_NUmUMPvl6Uq8MlrDVnGMvA_2_2"/>
      <w:bookmarkStart w:id="21" w:name="Tc_pQxDvBDGwEG4z7tshBRC9Q_2_0"/>
      <w:bookmarkStart w:id="22" w:name="_eedfc14a_7c61_4850_90a5_17ccc4306e98"/>
      <w:bookmarkEnd w:id="18"/>
      <w:bookmarkEnd w:id="19"/>
      <w:bookmarkEnd w:id="20"/>
      <w:bookmarkEnd w:id="21"/>
      <w:bookmarkEnd w:id="22"/>
    </w:p>
    <w:tbl>
      <w:tblPr>
        <w:tblW w:w="7084" w:type="dxa"/>
        <w:jc w:val="left"/>
        <w:tblInd w:w="0" w:type="dxa"/>
        <w:tblLayout w:type="fixed"/>
        <w:tblCellMar>
          <w:top w:w="0" w:type="dxa"/>
          <w:left w:w="0" w:type="dxa"/>
          <w:bottom w:w="0" w:type="dxa"/>
          <w:right w:w="0" w:type="dxa"/>
        </w:tblCellMar>
      </w:tblPr>
      <w:tblGrid>
        <w:gridCol w:w="1471"/>
        <w:gridCol w:w="346"/>
        <w:gridCol w:w="1456"/>
        <w:gridCol w:w="346"/>
        <w:gridCol w:w="1434"/>
        <w:gridCol w:w="203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34085" cy="175260"/>
                      <wp:effectExtent l="0" t="0" r="0" b="0"/>
                      <wp:wrapNone/>
                      <wp:docPr id="9" name="Frame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0"/>
              <w:ind w:left="0" w:right="0" w:hanging="0"/>
              <w:jc w:val="left"/>
              <w:rPr/>
            </w:pPr>
            <w:r>
              <w:rPr/>
              <w:t>​</w:t>
            </w:r>
          </w:p>
        </w:tc>
        <w:tc>
          <w:tcPr>
            <w:tcW w:w="20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34" w:type="dxa"/>
            <w:tcBorders/>
            <w:vAlign w:val="center"/>
          </w:tcPr>
          <w:p>
            <w:pPr>
              <w:pStyle w:val="TableContents"/>
              <w:bidi w:val="0"/>
              <w:spacing w:before="0" w:after="0"/>
              <w:ind w:left="0" w:right="0" w:hanging="0"/>
              <w:jc w:val="left"/>
              <w:rPr/>
            </w:pPr>
            <w:r>
              <w:rPr/>
              <w:t>​</w:t>
            </w:r>
          </w:p>
        </w:tc>
        <w:tc>
          <w:tcPr>
            <w:tcW w:w="20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vAlign w:val="center"/>
          </w:tcPr>
          <w:p>
            <w:pPr>
              <w:pStyle w:val="TableContents"/>
              <w:bidi w:val="0"/>
              <w:spacing w:before="0" w:after="40"/>
              <w:ind w:left="0" w:right="0" w:hanging="0"/>
              <w:jc w:val="center"/>
              <w:rPr/>
            </w:pPr>
            <w:r>
              <w:rPr/>
              <w:t>  ​ ​ ​</w:t>
            </w:r>
          </w:p>
        </w:tc>
        <w:tc>
          <w:tcPr>
            <w:tcW w:w="3465" w:type="dxa"/>
            <w:gridSpan w:val="2"/>
            <w:tcBorders/>
            <w:vAlign w:val="center"/>
          </w:tcPr>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471"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34085" cy="467360"/>
                      <wp:effectExtent l="0" t="0" r="0" b="0"/>
                      <wp:wrapNone/>
                      <wp:docPr id="12" name="Frame12"/>
                      <a:graphic xmlns:a="http://schemas.openxmlformats.org/drawingml/2006/main">
                        <a:graphicData uri="http://schemas.microsoft.com/office/word/2010/wordprocessingShape">
                          <wps:wsp>
                            <wps:cNvSpPr txBox="1"/>
                            <wps:spPr>
                              <a:xfrm>
                                <a:off x="0" y="0"/>
                                <a:ext cx="934085"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 xml:space="preserve">Depositary Units of Icahn Enterprises L.P. </w:t>
                                    <w:br/>
                                    <w:t>Representing Limited Partner Interests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 xml:space="preserve">Depositary Units of Icahn Enterprises L.P. </w:t>
                              <w:br/>
                              <w:t>Representing Limited Partner Interests</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IEP</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3465" w:type="dxa"/>
            <w:gridSpan w:val="2"/>
            <w:tcBorders>
              <w:top w:val="single" w:sz="8" w:space="0" w:color="000000"/>
            </w:tcBorders>
            <w:tcMar>
              <w:top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Select Market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48"/>
        <w:gridCol w:w="5657"/>
      </w:tblGrid>
      <w:tr>
        <w:trPr/>
        <w:tc>
          <w:tcPr>
            <w:tcW w:w="4548" w:type="dxa"/>
            <w:tcBorders/>
            <w:vAlign w:val="center"/>
          </w:tcPr>
          <w:p>
            <w:pPr>
              <w:pStyle w:val="TableContents"/>
              <w:bidi w:val="0"/>
              <w:spacing w:before="0" w:after="0"/>
              <w:ind w:left="0" w:right="0" w:hanging="0"/>
              <w:jc w:val="left"/>
              <w:rPr/>
            </w:pPr>
            <w:r>
              <w:rPr/>
              <w:t>​</w:t>
            </w:r>
          </w:p>
        </w:tc>
        <w:tc>
          <w:tcPr>
            <w:tcW w:w="5657" w:type="dxa"/>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tc>
      </w:tr>
      <w:tr>
        <w:trPr/>
        <w:tc>
          <w:tcPr>
            <w:tcW w:w="4548" w:type="dxa"/>
            <w:tcBorders/>
            <w:vAlign w:val="center"/>
          </w:tcPr>
          <w:p>
            <w:pPr>
              <w:pStyle w:val="TableContents"/>
              <w:bidi w:val="0"/>
              <w:spacing w:before="0" w:after="240"/>
              <w:ind w:left="0" w:right="0" w:hanging="0"/>
              <w:jc w:val="left"/>
              <w:rPr/>
            </w:pPr>
            <w:r>
              <w:rPr/>
              <w:t>​</w:t>
            </w:r>
          </w:p>
        </w:tc>
        <w:tc>
          <w:tcPr>
            <w:tcW w:w="5657" w:type="dxa"/>
            <w:tcBorders/>
            <w:vAlign w:val="center"/>
          </w:tcPr>
          <w:p>
            <w:pPr>
              <w:pStyle w:val="TableContents"/>
              <w:bidi w:val="0"/>
              <w:spacing w:before="0" w:after="240"/>
              <w:ind w:left="0" w:right="0" w:hanging="0"/>
              <w:jc w:val="left"/>
              <w:rPr/>
            </w:pPr>
            <w:r>
              <w:rPr/>
              <w:t>​</w:t>
            </w:r>
          </w:p>
        </w:tc>
      </w:tr>
      <w:tr>
        <w:trPr/>
        <w:tc>
          <w:tcPr>
            <w:tcW w:w="4548" w:type="dxa"/>
            <w:tcBorders/>
            <w:vAlign w:val="center"/>
          </w:tcPr>
          <w:p>
            <w:pPr>
              <w:pStyle w:val="TableContents"/>
              <w:bidi w:val="0"/>
              <w:spacing w:before="0" w:after="240"/>
              <w:ind w:left="0" w:right="0" w:hanging="0"/>
              <w:jc w:val="left"/>
              <w:rPr/>
            </w:pPr>
            <w:r>
              <w:rPr/>
              <w:t>​</w:t>
            </w:r>
          </w:p>
        </w:tc>
        <w:tc>
          <w:tcPr>
            <w:tcW w:w="56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Normal"/>
        <w:bidi w:val="0"/>
        <w:spacing w:before="0" w:after="0"/>
        <w:jc w:val="left"/>
        <w:rPr>
          <w:sz w:val="4"/>
          <w:szCs w:val="4"/>
        </w:rPr>
      </w:pPr>
      <w:r>
        <w:rPr>
          <w:sz w:val="4"/>
          <w:szCs w:val="4"/>
        </w:rPr>
      </w:r>
      <w:bookmarkStart w:id="23" w:name="Tc_CP_V-l_nr02cXZkciJzRoA_2_3"/>
      <w:bookmarkStart w:id="24" w:name="Tc_z2e7a3SgHEu1q_M2CDKYNg_2_1"/>
      <w:bookmarkStart w:id="25" w:name="Tc_y7iGPdWaNE69_yMLwXz84w_2_0"/>
      <w:bookmarkStart w:id="26" w:name="Tc_gR8hTNoiWEyEMbkrXpWo0Q_1_6"/>
      <w:bookmarkStart w:id="27" w:name="Tc_85MRI92F_EGJ_lOeDl2a_A_1_4"/>
      <w:bookmarkStart w:id="28" w:name="Tc_VY_fDey79U-N4Ygt1dm8Ew_1_3"/>
      <w:bookmarkStart w:id="29" w:name="Tc_yonHMrAY40KsBgtt65tspw_1_1"/>
      <w:bookmarkStart w:id="30" w:name="_97d883bf_e378_41a2_a9f4_b544bd24efa6"/>
      <w:bookmarkStart w:id="31" w:name="Tc_CP_V-l_nr02cXZkciJzRoA_2_3"/>
      <w:bookmarkStart w:id="32" w:name="Tc_z2e7a3SgHEu1q_M2CDKYNg_2_1"/>
      <w:bookmarkStart w:id="33" w:name="Tc_y7iGPdWaNE69_yMLwXz84w_2_0"/>
      <w:bookmarkStart w:id="34" w:name="Tc_gR8hTNoiWEyEMbkrXpWo0Q_1_6"/>
      <w:bookmarkStart w:id="35" w:name="Tc_85MRI92F_EGJ_lOeDl2a_A_1_4"/>
      <w:bookmarkStart w:id="36" w:name="Tc_VY_fDey79U-N4Ygt1dm8Ew_1_3"/>
      <w:bookmarkStart w:id="37" w:name="Tc_yonHMrAY40KsBgtt65tspw_1_1"/>
      <w:bookmarkStart w:id="38" w:name="_97d883bf_e378_41a2_a9f4_b544bd24efa6"/>
      <w:bookmarkEnd w:id="31"/>
      <w:bookmarkEnd w:id="32"/>
      <w:bookmarkEnd w:id="33"/>
      <w:bookmarkEnd w:id="34"/>
      <w:bookmarkEnd w:id="35"/>
      <w:bookmarkEnd w:id="36"/>
      <w:bookmarkEnd w:id="37"/>
      <w:bookmarkEnd w:id="38"/>
    </w:p>
    <w:tbl>
      <w:tblPr>
        <w:tblW w:w="8039" w:type="dxa"/>
        <w:jc w:val="left"/>
        <w:tblInd w:w="0" w:type="dxa"/>
        <w:tblLayout w:type="fixed"/>
        <w:tblCellMar>
          <w:top w:w="0" w:type="dxa"/>
          <w:left w:w="0" w:type="dxa"/>
          <w:bottom w:w="0" w:type="dxa"/>
          <w:right w:w="0" w:type="dxa"/>
        </w:tblCellMar>
      </w:tblPr>
      <w:tblGrid>
        <w:gridCol w:w="2011"/>
        <w:gridCol w:w="316"/>
        <w:gridCol w:w="109"/>
        <w:gridCol w:w="2431"/>
        <w:gridCol w:w="316"/>
        <w:gridCol w:w="109"/>
        <w:gridCol w:w="2386"/>
        <w:gridCol w:w="361"/>
      </w:tblGrid>
      <w:tr>
        <w:trPr/>
        <w:tc>
          <w:tcPr>
            <w:tcW w:w="20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120"/>
              <w:ind w:left="0" w:right="0" w:hanging="0"/>
              <w:jc w:val="left"/>
              <w:rPr/>
            </w:pPr>
            <w:r>
              <w:rPr/>
              <w:t>☐</w:t>
            </w:r>
          </w:p>
        </w:tc>
      </w:tr>
      <w:tr>
        <w:trPr/>
        <w:tc>
          <w:tcPr>
            <w:tcW w:w="201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43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38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 shell company (as defined in Rule 12b-2 of the Exchange Act). Yes ☐ No ⌧ </w:t>
      </w:r>
    </w:p>
    <w:p>
      <w:pPr>
        <w:pStyle w:val="TextBody"/>
        <w:bidi w:val="0"/>
        <w:spacing w:before="0" w:after="24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August 4, 2026, there were 710,915,093 of Icahn Enterprises’ depositary units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9" w:name="_460a51a8_9682_4d3f_89a9_faf73f1148df"/>
      <w:bookmarkEnd w:id="39"/>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bookmarkStart w:id="40" w:name="TOC"/>
      <w:bookmarkEnd w:id="40"/>
      <w:r>
        <w:rPr>
          <w:rFonts w:ascii="Times New Roman;Times;serif" w:hAnsi="Times New Roman;Times;serif"/>
          <w:b/>
          <w:sz w:val="20"/>
        </w:rPr>
        <w:t>TABLE OF CONTENTS</w:t>
      </w:r>
    </w:p>
    <w:tbl>
      <w:tblPr>
        <w:tblW w:w="8988" w:type="dxa"/>
        <w:jc w:val="left"/>
        <w:tblInd w:w="0" w:type="dxa"/>
        <w:tblLayout w:type="fixed"/>
        <w:tblCellMar>
          <w:top w:w="0" w:type="dxa"/>
          <w:left w:w="0" w:type="dxa"/>
          <w:bottom w:w="0" w:type="dxa"/>
          <w:right w:w="0" w:type="dxa"/>
        </w:tblCellMar>
      </w:tblPr>
      <w:tblGrid>
        <w:gridCol w:w="811"/>
        <w:gridCol w:w="7366"/>
        <w:gridCol w:w="811"/>
      </w:tblGrid>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Page No</w:t>
            </w:r>
            <w:r>
              <w:rPr>
                <w:rFonts w:ascii="Times New Roman;Times;serif" w:hAnsi="Times New Roman;Times;serif"/>
                <w:sz w:val="16"/>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ForwardLookingStatements">
              <w:r>
                <w:rPr>
                  <w:rStyle w:val="InternetLink"/>
                  <w:rFonts w:ascii="Times New Roman;Times;serif" w:hAnsi="Times New Roman;Times;serif"/>
                  <w:b w:val="false"/>
                  <w:i w:val="false"/>
                  <w:caps w:val="false"/>
                  <w:smallCaps w:val="false"/>
                  <w:sz w:val="20"/>
                </w:rPr>
                <w:t>Forward-Looking Statements</w:t>
              </w:r>
            </w:hyperlink>
          </w:p>
        </w:tc>
        <w:tc>
          <w:tcPr>
            <w:tcW w:w="81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797771">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797771">
              <w:r>
                <w:rPr>
                  <w:rStyle w:val="InternetLink"/>
                  <w:rFonts w:ascii="Times New Roman;Times;serif" w:hAnsi="Times New Roman;Times;serif"/>
                  <w:b w:val="false"/>
                  <w:i w:val="false"/>
                  <w:caps w:val="false"/>
                  <w:smallCaps w:val="false"/>
                  <w:sz w:val="20"/>
                </w:rPr>
                <w:t>Financial Statements (Unaudited)</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811" w:type="dxa"/>
            <w:tcBorders/>
            <w:vAlign w:val="center"/>
          </w:tcPr>
          <w:p>
            <w:pPr>
              <w:pStyle w:val="TableContents"/>
              <w:bidi w:val="0"/>
              <w:spacing w:before="0" w:after="0"/>
              <w:ind w:left="0" w:right="0" w:hanging="0"/>
              <w:jc w:val="left"/>
              <w:rPr/>
            </w:pPr>
            <w:hyperlink w:anchor="Item4ControlsandProcedures_867240">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w:t>
            </w:r>
          </w:p>
        </w:tc>
        <w:tc>
          <w:tcPr>
            <w:tcW w:w="7366" w:type="dxa"/>
            <w:tcBorders/>
            <w:vAlign w:val="center"/>
          </w:tcPr>
          <w:p>
            <w:pPr>
              <w:pStyle w:val="TableContents"/>
              <w:bidi w:val="0"/>
              <w:spacing w:before="0" w:after="0"/>
              <w:ind w:left="0" w:right="0" w:hanging="0"/>
              <w:jc w:val="left"/>
              <w:rPr/>
            </w:pPr>
            <w:hyperlink w:anchor="Item4ControlsandProcedures_867240">
              <w:r>
                <w:rPr>
                  <w:rStyle w:val="InternetLink"/>
                  <w:rFonts w:ascii="Times New Roman;Times;serif" w:hAnsi="Times New Roman;Times;serif"/>
                  <w:b w:val="false"/>
                  <w:i w:val="false"/>
                  <w:caps w:val="false"/>
                  <w:smallCaps w:val="false"/>
                  <w:sz w:val="20"/>
                </w:rPr>
                <w:t>Controls and Procedures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OTHER INFORMATION</w:t>
            </w:r>
          </w:p>
        </w:tc>
        <w:tc>
          <w:tcPr>
            <w:tcW w:w="8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984640">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984640">
              <w:r>
                <w:rPr>
                  <w:rStyle w:val="InternetLink"/>
                  <w:rFonts w:ascii="Times New Roman;Times;serif" w:hAnsi="Times New Roman;Times;serif"/>
                  <w:b w:val="false"/>
                  <w:i w:val="false"/>
                  <w:caps w:val="false"/>
                  <w:smallCaps w:val="false"/>
                  <w:sz w:val="20"/>
                </w:rPr>
                <w:t>Legal Proceedings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1ARiskFactors_993647">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993647">
              <w:r>
                <w:rPr>
                  <w:rStyle w:val="InternetLink"/>
                  <w:rFonts w:ascii="Times New Roman;Times;serif" w:hAnsi="Times New Roman;Times;serif"/>
                  <w:b w:val="false"/>
                  <w:i w:val="false"/>
                  <w:caps w:val="false"/>
                  <w:smallCaps w:val="false"/>
                  <w:sz w:val="20"/>
                </w:rPr>
                <w:t>Risk Factors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811" w:type="dxa"/>
            <w:tcBorders/>
            <w:vAlign w:val="center"/>
          </w:tcPr>
          <w:p>
            <w:pPr>
              <w:pStyle w:val="TableContents"/>
              <w:bidi w:val="0"/>
              <w:spacing w:before="0" w:after="0"/>
              <w:ind w:left="0" w:right="0" w:hanging="0"/>
              <w:jc w:val="left"/>
              <w:rPr/>
            </w:pPr>
            <w:hyperlink w:anchor="Item2UnregisteredSales_55431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_554313">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tc>
      </w:tr>
      <w:tr>
        <w:trPr/>
        <w:tc>
          <w:tcPr>
            <w:tcW w:w="81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tc>
      </w:tr>
      <w:tr>
        <w:trPr/>
        <w:tc>
          <w:tcPr>
            <w:tcW w:w="811" w:type="dxa"/>
            <w:tcBorders/>
            <w:vAlign w:val="center"/>
          </w:tcPr>
          <w:p>
            <w:pPr>
              <w:pStyle w:val="TableContents"/>
              <w:bidi w:val="0"/>
              <w:spacing w:before="0" w:after="0"/>
              <w:ind w:left="0" w:right="0" w:hanging="0"/>
              <w:jc w:val="left"/>
              <w:rPr/>
            </w:pPr>
            <w:hyperlink w:anchor="Item6Exhibits_832790">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832790">
              <w:r>
                <w:rPr>
                  <w:rStyle w:val="InternetLink"/>
                  <w:rFonts w:ascii="Times New Roman;Times;serif" w:hAnsi="Times New Roman;Times;serif"/>
                  <w:b w:val="false"/>
                  <w:i w:val="false"/>
                  <w:caps w:val="false"/>
                  <w:smallCaps w:val="false"/>
                  <w:sz w:val="20"/>
                </w:rPr>
                <w:t>Exhibits</w:t>
              </w:r>
            </w:hyperlink>
          </w:p>
        </w:tc>
        <w:tc>
          <w:tcPr>
            <w:tcW w:w="8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ForwardLookingStatements"/>
      <w:bookmarkStart w:id="42" w:name="_e0d04e32_29ae_4d9a_ad91_17bc7798066f"/>
      <w:bookmarkEnd w:id="41"/>
      <w:bookmarkEnd w:id="42"/>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certain statements that are, or may be deemed to be, “forward-looking statements” within the meaning of Section 27A of the Securities Act of 1933, as amended, Section 21E of the Securities Exchange Act of 1934, as amended (the “Exchange Act”), and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our investment activities, including the nature of the investments made by the private funds in which we invest and the impact of the use of leverage through options, short sales, swaps, forwards and other derivative instruments, including the risk of counterparty termination and early settlement of such positions; risks related to our ability to comply with the covenants in our senior notes and the risk of foreclosure on the assets securing our notes; risks related to our ability to refinance our debt; our ability to continue to meet our liquidity needs;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to be taxed as a corporation; risks related to short sellers and associated litigation and regulatory inquiries;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w:t>
      </w:r>
      <w:r>
        <w:rPr>
          <w:rFonts w:ascii="Times New Roman;Times;serif" w:hAnsi="Times New Roman;Times;serif"/>
          <w:sz w:val="20"/>
          <w:shd w:fill="FFFFFF" w:val="clear"/>
        </w:rPr>
        <w:t>olatile commodity pricing and higher industry utilization and oversupply</w:t>
      </w:r>
      <w:r>
        <w:rPr>
          <w:rFonts w:ascii="Times New Roman;Times;serif" w:hAnsi="Times New Roman;Times;serif"/>
          <w:sz w:val="20"/>
        </w:rPr>
        <w:t xml:space="preserve"> risks related to potential strategic transactions involving our Energy segment, and the impact of tariffs; risks related to our automotive activities and exposure to adverse conditions in the automotive industry;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 impacts from the Russia/Ukraine conflict and conflict in the Middle East, including the U.S.-Israel and Iran war, and any related economic volatility, disruptions to global commodity markets, export controls and other economic sanctions; and political and regulatory uncertainty, including changing economic policy and the imposition of tariffs. These risks and uncertainties also include the risks and uncertainties described in our Annual Report on Form 10-K for the year ended December 31, 2025 and this Quarterly Report on Form 10-Q. Additionally, there may be other factors not presently known to us or which we currently consider to be immaterial that may cause our actual results to differ materially from the forward-looking statements. Except as required by law, we undertake no obligation to publicly update or review any forward-looking statements, whether as a result of new information, future developments or otherwise, after the date of this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dda9e39f_e8b3_4b77_b095_444e023f2984"/>
      <w:bookmarkEnd w:id="43"/>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4" w:name="Item1FinancialStatements_797771"/>
      <w:bookmarkEnd w:id="44"/>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Normal"/>
        <w:bidi w:val="0"/>
        <w:spacing w:before="0" w:after="0"/>
        <w:jc w:val="left"/>
        <w:rPr>
          <w:sz w:val="4"/>
          <w:szCs w:val="4"/>
        </w:rPr>
      </w:pPr>
      <w:r>
        <w:rPr>
          <w:sz w:val="4"/>
          <w:szCs w:val="4"/>
        </w:rPr>
      </w:r>
      <w:bookmarkStart w:id="45" w:name="Tc_vkS4ZLv6FUiV0HyuceXw8A_37_5"/>
      <w:bookmarkStart w:id="46" w:name="Tc_xUT7XuiDWUiIYflCjGjzIA_37_2"/>
      <w:bookmarkStart w:id="47" w:name="Tc_vtAgFRoLh0SKPDGzpLv1WQ_37_0"/>
      <w:bookmarkStart w:id="48" w:name="Tc_gwBmwBnUJEGLE2ZSbuYWFw_36_0"/>
      <w:bookmarkStart w:id="49" w:name="Tc_zsUSWqC9b0ugHrmM8-7J5g_35_0"/>
      <w:bookmarkStart w:id="50" w:name="Tc_6gWb1QxphUCutOZsEZn8rw_34_0"/>
      <w:bookmarkStart w:id="51" w:name="Tc_qrBLOENj_EqxK-nFBBnHCw_33_0"/>
      <w:bookmarkStart w:id="52" w:name="Tc__E4GrxG8rk-D-W-FwkS2Aw_32_0"/>
      <w:bookmarkStart w:id="53" w:name="Tc_dNs-Hhg3t06VFrh5PeLSqg_31_0"/>
      <w:bookmarkStart w:id="54" w:name="Tc_W_CD2Fl83E2ziEZYd2ek_A_29_0"/>
      <w:bookmarkStart w:id="55" w:name="Tc_lfsu2o-qYEq0ceiDcPyT1A_27_0"/>
      <w:bookmarkStart w:id="56" w:name="Tc_NvUipOFKqU2bxNEMSJBY1Q_26_0"/>
      <w:bookmarkStart w:id="57" w:name="Tc_ngYBokchHUC7EcPAGSunPA_25_0"/>
      <w:bookmarkStart w:id="58" w:name="Tc_2rzMCAYAfE-4c72wLBYaDQ_24_0"/>
      <w:bookmarkStart w:id="59" w:name="Tc_tIdzRu4MLk2D_yuNYqOaQA_23_0"/>
      <w:bookmarkStart w:id="60" w:name="Tc_EBzReK_5LkSYGN-v9PA7vg_22_0"/>
      <w:bookmarkStart w:id="61" w:name="Tc_OInMajOTykmpciSM3frRIw_21_5"/>
      <w:bookmarkStart w:id="62" w:name="Tc_BMSgH5pSkUaJrtSxXOn6jw_21_2"/>
      <w:bookmarkStart w:id="63" w:name="Tc_D01ytkxNaUKLgltD71Tijw_21_0"/>
      <w:bookmarkStart w:id="64" w:name="Tc_uyD5l3h7BUGwskJkwFFTMA_20_0"/>
      <w:bookmarkStart w:id="65" w:name="Tc_JyBQfDWxhEixXfpzOcOXpQ_19_5"/>
      <w:bookmarkStart w:id="66" w:name="Tc_b2A3mYlGIkGjUh17KNgJrw_19_2"/>
      <w:bookmarkStart w:id="67" w:name="Tc_JWx3wrtA7UOT4lGmonywXg_19_0"/>
      <w:bookmarkStart w:id="68" w:name="Tc_97wz61APNkKsacubahqq2g_18_0"/>
      <w:bookmarkStart w:id="69" w:name="Tc_bQM3wJoP2Umvwzf86iY-LQ_17_6"/>
      <w:bookmarkStart w:id="70" w:name="Tc_DvtgyijIs0y0CnUoZh9quQ_17_0"/>
      <w:bookmarkStart w:id="71" w:name="Tc_qLNNsPq9dUaNOwIYNv4vjA_16_0"/>
      <w:bookmarkStart w:id="72" w:name="Tc_BxRgv-mzREObglkoTIGBTg_15_0"/>
      <w:bookmarkStart w:id="73" w:name="Tc_g348PoK3u0KqrRqb8bVwLQ_14_3"/>
      <w:bookmarkStart w:id="74" w:name="Tc_bnAsfonpu0eF-Svosg-37Q_14_0"/>
      <w:bookmarkStart w:id="75" w:name="Tc_djwJs2MDh0yy1p_UUMXdVw_13_0"/>
      <w:bookmarkStart w:id="76" w:name="Tc_ga4BvW-rz0OVAaFzvBwQog_12_0"/>
      <w:bookmarkStart w:id="77" w:name="Tc_2WS19U83AUSwLfjeGrhyFA_11_0"/>
      <w:bookmarkStart w:id="78" w:name="Tc_msHY6N3V6kOBNmHz1cqH8A_10_0"/>
      <w:bookmarkStart w:id="79" w:name="Tc_EjrCW1h0wEmkoAbNuCjGAg_9_0"/>
      <w:bookmarkStart w:id="80" w:name="Tc_DkjS7KIG60ygt0x-0G0j0A_8_0"/>
      <w:bookmarkStart w:id="81" w:name="Tc_jWQTss_QUUmuYqiVnOiprw_7_0"/>
      <w:bookmarkStart w:id="82" w:name="Tc_8_3p-nWYVUuyAcbzDfJSfg_6_0"/>
      <w:bookmarkStart w:id="83" w:name="Tc_u8yfL8GHXE-v7xtmAwH65Q_5_5"/>
      <w:bookmarkStart w:id="84" w:name="Tc_jRs98o0ZeUa0osb-_QHkWw_5_2"/>
      <w:bookmarkStart w:id="85" w:name="Tc_-2hxVm3ux0WhPhkTP7c07A_5_0"/>
      <w:bookmarkStart w:id="86" w:name="Tc_gZ2fI6P-LUqD1O5LUxeGNA_4_0"/>
      <w:bookmarkStart w:id="87" w:name="Tc_gUrLM1WCr0mE6FgI8-PnHw_3_2"/>
      <w:bookmarkStart w:id="88" w:name="Tc_UAdTRZmlO0afkMGUy_VGIA_2_5"/>
      <w:bookmarkStart w:id="89" w:name="Tc_m9WldyAXq0-A7HS2D9Wx2Q_2_2"/>
      <w:bookmarkStart w:id="90" w:name="Tc_hGpNB9yeNUGFQN7c4V288g_1_5"/>
      <w:bookmarkStart w:id="91" w:name="Tc_mF0E23vAOUa1g8jiqhDKAw_1_2"/>
      <w:bookmarkStart w:id="92" w:name="_5304f00a_f237_4e51_8202_dbd8aad3f3d1"/>
      <w:bookmarkStart w:id="93" w:name="Tc_vkS4ZLv6FUiV0HyuceXw8A_37_5"/>
      <w:bookmarkStart w:id="94" w:name="Tc_xUT7XuiDWUiIYflCjGjzIA_37_2"/>
      <w:bookmarkStart w:id="95" w:name="Tc_vtAgFRoLh0SKPDGzpLv1WQ_37_0"/>
      <w:bookmarkStart w:id="96" w:name="Tc_gwBmwBnUJEGLE2ZSbuYWFw_36_0"/>
      <w:bookmarkStart w:id="97" w:name="Tc_zsUSWqC9b0ugHrmM8-7J5g_35_0"/>
      <w:bookmarkStart w:id="98" w:name="Tc_6gWb1QxphUCutOZsEZn8rw_34_0"/>
      <w:bookmarkStart w:id="99" w:name="Tc_qrBLOENj_EqxK-nFBBnHCw_33_0"/>
      <w:bookmarkStart w:id="100" w:name="Tc__E4GrxG8rk-D-W-FwkS2Aw_32_0"/>
      <w:bookmarkStart w:id="101" w:name="Tc_dNs-Hhg3t06VFrh5PeLSqg_31_0"/>
      <w:bookmarkStart w:id="102" w:name="Tc_W_CD2Fl83E2ziEZYd2ek_A_29_0"/>
      <w:bookmarkStart w:id="103" w:name="Tc_lfsu2o-qYEq0ceiDcPyT1A_27_0"/>
      <w:bookmarkStart w:id="104" w:name="Tc_NvUipOFKqU2bxNEMSJBY1Q_26_0"/>
      <w:bookmarkStart w:id="105" w:name="Tc_ngYBokchHUC7EcPAGSunPA_25_0"/>
      <w:bookmarkStart w:id="106" w:name="Tc_2rzMCAYAfE-4c72wLBYaDQ_24_0"/>
      <w:bookmarkStart w:id="107" w:name="Tc_tIdzRu4MLk2D_yuNYqOaQA_23_0"/>
      <w:bookmarkStart w:id="108" w:name="Tc_EBzReK_5LkSYGN-v9PA7vg_22_0"/>
      <w:bookmarkStart w:id="109" w:name="Tc_OInMajOTykmpciSM3frRIw_21_5"/>
      <w:bookmarkStart w:id="110" w:name="Tc_BMSgH5pSkUaJrtSxXOn6jw_21_2"/>
      <w:bookmarkStart w:id="111" w:name="Tc_D01ytkxNaUKLgltD71Tijw_21_0"/>
      <w:bookmarkStart w:id="112" w:name="Tc_uyD5l3h7BUGwskJkwFFTMA_20_0"/>
      <w:bookmarkStart w:id="113" w:name="Tc_JyBQfDWxhEixXfpzOcOXpQ_19_5"/>
      <w:bookmarkStart w:id="114" w:name="Tc_b2A3mYlGIkGjUh17KNgJrw_19_2"/>
      <w:bookmarkStart w:id="115" w:name="Tc_JWx3wrtA7UOT4lGmonywXg_19_0"/>
      <w:bookmarkStart w:id="116" w:name="Tc_97wz61APNkKsacubahqq2g_18_0"/>
      <w:bookmarkStart w:id="117" w:name="Tc_bQM3wJoP2Umvwzf86iY-LQ_17_6"/>
      <w:bookmarkStart w:id="118" w:name="Tc_DvtgyijIs0y0CnUoZh9quQ_17_0"/>
      <w:bookmarkStart w:id="119" w:name="Tc_qLNNsPq9dUaNOwIYNv4vjA_16_0"/>
      <w:bookmarkStart w:id="120" w:name="Tc_BxRgv-mzREObglkoTIGBTg_15_0"/>
      <w:bookmarkStart w:id="121" w:name="Tc_g348PoK3u0KqrRqb8bVwLQ_14_3"/>
      <w:bookmarkStart w:id="122" w:name="Tc_bnAsfonpu0eF-Svosg-37Q_14_0"/>
      <w:bookmarkStart w:id="123" w:name="Tc_djwJs2MDh0yy1p_UUMXdVw_13_0"/>
      <w:bookmarkStart w:id="124" w:name="Tc_ga4BvW-rz0OVAaFzvBwQog_12_0"/>
      <w:bookmarkStart w:id="125" w:name="Tc_2WS19U83AUSwLfjeGrhyFA_11_0"/>
      <w:bookmarkStart w:id="126" w:name="Tc_msHY6N3V6kOBNmHz1cqH8A_10_0"/>
      <w:bookmarkStart w:id="127" w:name="Tc_EjrCW1h0wEmkoAbNuCjGAg_9_0"/>
      <w:bookmarkStart w:id="128" w:name="Tc_DkjS7KIG60ygt0x-0G0j0A_8_0"/>
      <w:bookmarkStart w:id="129" w:name="Tc_jWQTss_QUUmuYqiVnOiprw_7_0"/>
      <w:bookmarkStart w:id="130" w:name="Tc_8_3p-nWYVUuyAcbzDfJSfg_6_0"/>
      <w:bookmarkStart w:id="131" w:name="Tc_u8yfL8GHXE-v7xtmAwH65Q_5_5"/>
      <w:bookmarkStart w:id="132" w:name="Tc_jRs98o0ZeUa0osb-_QHkWw_5_2"/>
      <w:bookmarkStart w:id="133" w:name="Tc_-2hxVm3ux0WhPhkTP7c07A_5_0"/>
      <w:bookmarkStart w:id="134" w:name="Tc_gZ2fI6P-LUqD1O5LUxeGNA_4_0"/>
      <w:bookmarkStart w:id="135" w:name="Tc_gUrLM1WCr0mE6FgI8-PnHw_3_2"/>
      <w:bookmarkStart w:id="136" w:name="Tc_UAdTRZmlO0afkMGUy_VGIA_2_5"/>
      <w:bookmarkStart w:id="137" w:name="Tc_m9WldyAXq0-A7HS2D9Wx2Q_2_2"/>
      <w:bookmarkStart w:id="138" w:name="Tc_hGpNB9yeNUGFQN7c4V288g_1_5"/>
      <w:bookmarkStart w:id="139" w:name="Tc_mF0E23vAOUa1g8jiqhDKAw_1_2"/>
      <w:bookmarkStart w:id="140" w:name="_5304f00a_f237_4e51_8202_dbd8aad3f3d1"/>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7322"/>
        <w:gridCol w:w="346"/>
        <w:gridCol w:w="211"/>
        <w:gridCol w:w="676"/>
        <w:gridCol w:w="346"/>
        <w:gridCol w:w="277"/>
        <w:gridCol w:w="1027"/>
      </w:tblGrid>
      <w:tr>
        <w:trPr/>
        <w:tc>
          <w:tcPr>
            <w:tcW w:w="7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649470" cy="175260"/>
                      <wp:effectExtent l="0" t="0" r="0" b="0"/>
                      <wp:wrapNone/>
                      <wp:docPr id="15" name="Frame15"/>
                      <a:graphic xmlns:a="http://schemas.openxmlformats.org/drawingml/2006/main">
                        <a:graphicData uri="http://schemas.microsoft.com/office/word/2010/wordprocessingShape">
                          <wps:wsp>
                            <wps:cNvSpPr txBox="1"/>
                            <wps:spPr>
                              <a:xfrm>
                                <a:off x="0" y="0"/>
                                <a:ext cx="4649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9260" cy="175260"/>
                      <wp:effectExtent l="0" t="0" r="0" b="0"/>
                      <wp:wrapNone/>
                      <wp:docPr id="18"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75895" cy="175260"/>
                      <wp:effectExtent l="0" t="0" r="0" b="0"/>
                      <wp:wrapNone/>
                      <wp:docPr id="20" name="Frame2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2145" cy="175260"/>
                      <wp:effectExtent l="0" t="0" r="0" b="0"/>
                      <wp:wrapNone/>
                      <wp:docPr id="21" name="Frame21"/>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304"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3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3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32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37"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 except unit amounts)</w:t>
            </w:r>
          </w:p>
        </w:tc>
      </w:tr>
      <w:tr>
        <w:trPr/>
        <w:tc>
          <w:tcPr>
            <w:tcW w:w="7322"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center"/>
              <w:rPr/>
            </w:pPr>
            <w:r>
              <w:rPr/>
              <w:t>​</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held at consolidated affiliated partnerships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1,971</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1,969</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brokers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3,616</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3,670</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7" w:type="dxa"/>
            <w:tcBorders/>
            <w:vAlign w:val="center"/>
          </w:tcPr>
          <w:p>
            <w:pPr>
              <w:pStyle w:val="TableContents"/>
              <w:bidi w:val="0"/>
              <w:spacing w:before="0" w:after="1"/>
              <w:ind w:left="0" w:right="0" w:hanging="0"/>
              <w:jc w:val="right"/>
              <w:rPr/>
            </w:pPr>
            <w:r>
              <w:rPr/>
              <w:t>—</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12,890</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14,215</w:t>
            </w:r>
          </w:p>
        </w:tc>
      </w:tr>
      <w:tr>
        <w:trPr/>
        <w:tc>
          <w:tcPr>
            <w:tcW w:w="7322"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pPr>
            <w:r>
              <w:rPr/>
              <w:t>  ​</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6,389</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6,616</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10,744</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10,789</w:t>
            </w:r>
          </w:p>
        </w:tc>
      </w:tr>
      <w:tr>
        <w:trPr/>
        <w:tc>
          <w:tcPr>
            <w:tcW w:w="73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left"/>
              <w:rPr/>
            </w:pPr>
            <w:r>
              <w:rPr/>
              <w:t>​</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pPr>
            <w:r>
              <w:rPr/>
              <w:t>  ​</w:t>
            </w:r>
          </w:p>
        </w:tc>
      </w:tr>
      <w:tr>
        <w:trPr/>
        <w:tc>
          <w:tcPr>
            <w:tcW w:w="73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7" w:type="dxa"/>
            <w:tcBorders/>
            <w:shd w:fill="CCEEFF" w:val="clear"/>
            <w:vAlign w:val="center"/>
          </w:tcPr>
          <w:p>
            <w:pPr>
              <w:pStyle w:val="TableContents"/>
              <w:bidi w:val="0"/>
              <w:spacing w:before="0" w:after="1"/>
              <w:ind w:left="0" w:right="0" w:hanging="0"/>
              <w:jc w:val="left"/>
              <w:rPr/>
            </w:pPr>
            <w:r>
              <w:rPr/>
              <w:t>​</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pPr>
            <w:r>
              <w:rPr/>
              <w:t>  ​</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Limited partners: Depositary units: 710,915,093 units issued and outstanding at June 30, 2026 and 637,209,452 units issued and outstanding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2,728</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Icahn Enterprises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attributable to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w:t>
            </w:r>
          </w:p>
        </w:tc>
      </w:tr>
      <w:tr>
        <w:trPr/>
        <w:tc>
          <w:tcPr>
            <w:tcW w:w="73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w:t>
            </w:r>
          </w:p>
        </w:tc>
      </w:tr>
      <w:tr>
        <w:trPr/>
        <w:tc>
          <w:tcPr>
            <w:tcW w:w="732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12,890</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14,215</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141" w:name="_0141cb70_7291_4189_9458_b9c09aa51b8e"/>
      <w:bookmarkEnd w:id="141"/>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Normal"/>
        <w:bidi w:val="0"/>
        <w:spacing w:before="0" w:after="0"/>
        <w:jc w:val="left"/>
        <w:rPr>
          <w:sz w:val="4"/>
          <w:szCs w:val="4"/>
        </w:rPr>
      </w:pPr>
      <w:r>
        <w:rPr>
          <w:sz w:val="4"/>
          <w:szCs w:val="4"/>
        </w:rPr>
      </w:r>
      <w:bookmarkStart w:id="142" w:name="Tc_NKXUDs6SYkKRw6I7u8D2BA_34_10"/>
      <w:bookmarkStart w:id="143" w:name="Tc_t5EY8v4pRUa2GRBusH_BOQ_34_7"/>
      <w:bookmarkStart w:id="144" w:name="Tc_SzbpApYc_UKWUIO3iexwPw_34_4"/>
      <w:bookmarkStart w:id="145" w:name="Tc_nm0NEX9uVU67casJnYh0qA_34_1"/>
      <w:bookmarkStart w:id="146" w:name="Tc_XdRH-3E9RUuS_Q60eMOZqQ_34_0"/>
      <w:bookmarkStart w:id="147" w:name="Tc_C_U2ZrwZ2kq5U_lDqqBpMA_33_0"/>
      <w:bookmarkStart w:id="148" w:name="Tc_ful7wZQR-Uaf2JJf7x-wgQ_32_10"/>
      <w:bookmarkStart w:id="149" w:name="Tc_dS-bCY403EOUX2o_qmnWsA_32_7"/>
      <w:bookmarkStart w:id="150" w:name="Tc_7jsWt6eXWUqLmAYuW7wBKw_32_4"/>
      <w:bookmarkStart w:id="151" w:name="Tc_OUWti0q7x02odlOd-f4qJA_32_1"/>
      <w:bookmarkStart w:id="152" w:name="Tc_mAOc_VvNJkuH0yWumRMxhA_32_0"/>
      <w:bookmarkStart w:id="153" w:name="Tc_qqc8kdkFj0-5LUcst4ddBA_30_10"/>
      <w:bookmarkStart w:id="154" w:name="Tc_lzrY0Z2Rtk2nblZ2b0IFeg_30_7"/>
      <w:bookmarkStart w:id="155" w:name="Tc_HJrF433otke5fHiyxzhz7g_30_4"/>
      <w:bookmarkStart w:id="156" w:name="Tc_frcgcLXuwE2E3a3shH2j-Q_30_1"/>
      <w:bookmarkStart w:id="157" w:name="Tc_VW4-XxwXtkKq0oL0EeA6WA_29_0"/>
      <w:bookmarkStart w:id="158" w:name="Tc_l79HO1k2REe5QmVFU6mhWw_28_10"/>
      <w:bookmarkStart w:id="159" w:name="Tc_47mwLzusnEyAPYQ8jmKFtg_28_7"/>
      <w:bookmarkStart w:id="160" w:name="Tc_ZxQ8AGe0WEGCcWAm8HXGhg_28_4"/>
      <w:bookmarkStart w:id="161" w:name="Tc_dEA4S1kGJkm7mp3owykSEg_28_1"/>
      <w:bookmarkStart w:id="162" w:name="Tc_RV2A2PfCwEiX2lmmKjUQbQ_28_0"/>
      <w:bookmarkStart w:id="163" w:name="Tc_Mn8zm1snwke-X9Q2StHKXQ_27_0"/>
      <w:bookmarkStart w:id="164" w:name="Tc_ZYWE6qVwkEGcumrabAY3BQ_25_10"/>
      <w:bookmarkStart w:id="165" w:name="Tc_4Wp_qfiSmUGydYRIg_Srtg_25_7"/>
      <w:bookmarkStart w:id="166" w:name="Tc_OUVcxHLDFEmdIqk9-dytkw_25_4"/>
      <w:bookmarkStart w:id="167" w:name="Tc_kmpkkL9urEegbtoQXU6oAg_25_1"/>
      <w:bookmarkStart w:id="168" w:name="Tc_Qj03nDG3okm8IfwhvEubCA_25_0"/>
      <w:bookmarkStart w:id="169" w:name="Tc_GO2H2EPOMESISrDJX9INcw_24_0"/>
      <w:bookmarkStart w:id="170" w:name="Tc_MWqHyU2q0UGkqYscruQrow_23_0"/>
      <w:bookmarkStart w:id="171" w:name="Tc_ZPXBUrH5jkeijZjsxSTBSA_22_0"/>
      <w:bookmarkStart w:id="172" w:name="Tc_-5y5NkLvR0eGXe1eyynOcg_21_0"/>
      <w:bookmarkStart w:id="173" w:name="Tc_B1Jg63QpR0aVYWelCJwuGw_19_0"/>
      <w:bookmarkStart w:id="174" w:name="Tc_tzVkgGhgekKcU-PEcCiHfw_18_0"/>
      <w:bookmarkStart w:id="175" w:name="Tc_j9TbvLVPZk2iJJHFDPD5uA_17_8"/>
      <w:bookmarkStart w:id="176" w:name="Tc_R6L4UogjOUukd7sbGMOWFQ_17_2"/>
      <w:bookmarkStart w:id="177" w:name="Tc_DniEK0stzUuhpVhM4TltzQ_17_0"/>
      <w:bookmarkStart w:id="178" w:name="Tc_Gil9w4TmrE2R6v83EoYbVg_16_0"/>
      <w:bookmarkStart w:id="179" w:name="Tc_NKXBe7spm0eK3eeSPJpibA_15_0"/>
      <w:bookmarkStart w:id="180" w:name="Tc_xwjUfjOj_EGhM-C8pB8QIQ_14_0"/>
      <w:bookmarkStart w:id="181" w:name="Tc_DN4drHiaoE-3jrbJTvhvKQ_13_0"/>
      <w:bookmarkStart w:id="182" w:name="Tc_2BrMiHeuKEycok9aEmlGOA_12_0"/>
      <w:bookmarkStart w:id="183" w:name="Tc_lpyIbBtewUCo3UZSZpue0g_10_0"/>
      <w:bookmarkStart w:id="184" w:name="Tc_g783P2kkiEicl_AeORt5MA_9_0"/>
      <w:bookmarkStart w:id="185" w:name="Tc_TvOu78npAkeWEsHgOX1ayg_8_0"/>
      <w:bookmarkStart w:id="186" w:name="Tc_3-50EcO2XESR3PRKgBP7UA_7_0"/>
      <w:bookmarkStart w:id="187" w:name="Tc_D-cJVvt3b0mWfk2lXiHd6g_6_0"/>
      <w:bookmarkStart w:id="188" w:name="Tc_XcK-UQKZfki7FlB_C9HQ1w_5_10"/>
      <w:bookmarkStart w:id="189" w:name="Tc_-cJQtavRBUuN0jQavSwSSQ_5_7"/>
      <w:bookmarkStart w:id="190" w:name="Tc_wCAL9YTZLESIzw7ZE9_zlQ_5_4"/>
      <w:bookmarkStart w:id="191" w:name="Tc__3EWXWZew0SxSuQ8jKU35w_5_1"/>
      <w:bookmarkStart w:id="192" w:name="Tc_DzKhod_6P0miN0Rbro0_BA_5_0"/>
      <w:bookmarkStart w:id="193" w:name="Tc_BTgdVj9Ju0yt-_brn9w4yg_4_0"/>
      <w:bookmarkStart w:id="194" w:name="Tc_xGTRXSqLm0CC0bwJxzuSEQ_3_1"/>
      <w:bookmarkStart w:id="195" w:name="Tc_zfHiHQLQNU2tl5pUYl9juA_2_10"/>
      <w:bookmarkStart w:id="196" w:name="Tc_BYBEdSLXK0qCZtkk_9ubzg_2_7"/>
      <w:bookmarkStart w:id="197" w:name="Tc_y6sYGGnZtUabOYH-IMOlDw_2_4"/>
      <w:bookmarkStart w:id="198" w:name="Tc_DUG3nINen0-wO5xuzH8_Zg_2_1"/>
      <w:bookmarkStart w:id="199" w:name="Tc_FnvMahfpt0ijSDe4a3xaEw_1_7"/>
      <w:bookmarkStart w:id="200" w:name="Tc_bqYnYKMJ3kGJM8NpuhDvJg_1_1"/>
      <w:bookmarkStart w:id="201" w:name="_8cb9a04f_bb4a_4c58_baa0_5ebbcdfe7792"/>
      <w:bookmarkStart w:id="202" w:name="_0a94f6b2_fdb8_40c1_84c9_30649cc2b4f6"/>
      <w:bookmarkStart w:id="203" w:name="Tc_NKXUDs6SYkKRw6I7u8D2BA_34_10"/>
      <w:bookmarkStart w:id="204" w:name="Tc_t5EY8v4pRUa2GRBusH_BOQ_34_7"/>
      <w:bookmarkStart w:id="205" w:name="Tc_SzbpApYc_UKWUIO3iexwPw_34_4"/>
      <w:bookmarkStart w:id="206" w:name="Tc_nm0NEX9uVU67casJnYh0qA_34_1"/>
      <w:bookmarkStart w:id="207" w:name="Tc_XdRH-3E9RUuS_Q60eMOZqQ_34_0"/>
      <w:bookmarkStart w:id="208" w:name="Tc_C_U2ZrwZ2kq5U_lDqqBpMA_33_0"/>
      <w:bookmarkStart w:id="209" w:name="Tc_ful7wZQR-Uaf2JJf7x-wgQ_32_10"/>
      <w:bookmarkStart w:id="210" w:name="Tc_dS-bCY403EOUX2o_qmnWsA_32_7"/>
      <w:bookmarkStart w:id="211" w:name="Tc_7jsWt6eXWUqLmAYuW7wBKw_32_4"/>
      <w:bookmarkStart w:id="212" w:name="Tc_OUWti0q7x02odlOd-f4qJA_32_1"/>
      <w:bookmarkStart w:id="213" w:name="Tc_mAOc_VvNJkuH0yWumRMxhA_32_0"/>
      <w:bookmarkStart w:id="214" w:name="Tc_qqc8kdkFj0-5LUcst4ddBA_30_10"/>
      <w:bookmarkStart w:id="215" w:name="Tc_lzrY0Z2Rtk2nblZ2b0IFeg_30_7"/>
      <w:bookmarkStart w:id="216" w:name="Tc_HJrF433otke5fHiyxzhz7g_30_4"/>
      <w:bookmarkStart w:id="217" w:name="Tc_frcgcLXuwE2E3a3shH2j-Q_30_1"/>
      <w:bookmarkStart w:id="218" w:name="Tc_VW4-XxwXtkKq0oL0EeA6WA_29_0"/>
      <w:bookmarkStart w:id="219" w:name="Tc_l79HO1k2REe5QmVFU6mhWw_28_10"/>
      <w:bookmarkStart w:id="220" w:name="Tc_47mwLzusnEyAPYQ8jmKFtg_28_7"/>
      <w:bookmarkStart w:id="221" w:name="Tc_ZxQ8AGe0WEGCcWAm8HXGhg_28_4"/>
      <w:bookmarkStart w:id="222" w:name="Tc_dEA4S1kGJkm7mp3owykSEg_28_1"/>
      <w:bookmarkStart w:id="223" w:name="Tc_RV2A2PfCwEiX2lmmKjUQbQ_28_0"/>
      <w:bookmarkStart w:id="224" w:name="Tc_Mn8zm1snwke-X9Q2StHKXQ_27_0"/>
      <w:bookmarkStart w:id="225" w:name="Tc_ZYWE6qVwkEGcumrabAY3BQ_25_10"/>
      <w:bookmarkStart w:id="226" w:name="Tc_4Wp_qfiSmUGydYRIg_Srtg_25_7"/>
      <w:bookmarkStart w:id="227" w:name="Tc_OUVcxHLDFEmdIqk9-dytkw_25_4"/>
      <w:bookmarkStart w:id="228" w:name="Tc_kmpkkL9urEegbtoQXU6oAg_25_1"/>
      <w:bookmarkStart w:id="229" w:name="Tc_Qj03nDG3okm8IfwhvEubCA_25_0"/>
      <w:bookmarkStart w:id="230" w:name="Tc_GO2H2EPOMESISrDJX9INcw_24_0"/>
      <w:bookmarkStart w:id="231" w:name="Tc_MWqHyU2q0UGkqYscruQrow_23_0"/>
      <w:bookmarkStart w:id="232" w:name="Tc_ZPXBUrH5jkeijZjsxSTBSA_22_0"/>
      <w:bookmarkStart w:id="233" w:name="Tc_-5y5NkLvR0eGXe1eyynOcg_21_0"/>
      <w:bookmarkStart w:id="234" w:name="Tc_B1Jg63QpR0aVYWelCJwuGw_19_0"/>
      <w:bookmarkStart w:id="235" w:name="Tc_tzVkgGhgekKcU-PEcCiHfw_18_0"/>
      <w:bookmarkStart w:id="236" w:name="Tc_j9TbvLVPZk2iJJHFDPD5uA_17_8"/>
      <w:bookmarkStart w:id="237" w:name="Tc_R6L4UogjOUukd7sbGMOWFQ_17_2"/>
      <w:bookmarkStart w:id="238" w:name="Tc_DniEK0stzUuhpVhM4TltzQ_17_0"/>
      <w:bookmarkStart w:id="239" w:name="Tc_Gil9w4TmrE2R6v83EoYbVg_16_0"/>
      <w:bookmarkStart w:id="240" w:name="Tc_NKXBe7spm0eK3eeSPJpibA_15_0"/>
      <w:bookmarkStart w:id="241" w:name="Tc_xwjUfjOj_EGhM-C8pB8QIQ_14_0"/>
      <w:bookmarkStart w:id="242" w:name="Tc_DN4drHiaoE-3jrbJTvhvKQ_13_0"/>
      <w:bookmarkStart w:id="243" w:name="Tc_2BrMiHeuKEycok9aEmlGOA_12_0"/>
      <w:bookmarkStart w:id="244" w:name="Tc_lpyIbBtewUCo3UZSZpue0g_10_0"/>
      <w:bookmarkStart w:id="245" w:name="Tc_g783P2kkiEicl_AeORt5MA_9_0"/>
      <w:bookmarkStart w:id="246" w:name="Tc_TvOu78npAkeWEsHgOX1ayg_8_0"/>
      <w:bookmarkStart w:id="247" w:name="Tc_3-50EcO2XESR3PRKgBP7UA_7_0"/>
      <w:bookmarkStart w:id="248" w:name="Tc_D-cJVvt3b0mWfk2lXiHd6g_6_0"/>
      <w:bookmarkStart w:id="249" w:name="Tc_XcK-UQKZfki7FlB_C9HQ1w_5_10"/>
      <w:bookmarkStart w:id="250" w:name="Tc_-cJQtavRBUuN0jQavSwSSQ_5_7"/>
      <w:bookmarkStart w:id="251" w:name="Tc_wCAL9YTZLESIzw7ZE9_zlQ_5_4"/>
      <w:bookmarkStart w:id="252" w:name="Tc__3EWXWZew0SxSuQ8jKU35w_5_1"/>
      <w:bookmarkStart w:id="253" w:name="Tc_DzKhod_6P0miN0Rbro0_BA_5_0"/>
      <w:bookmarkStart w:id="254" w:name="Tc_BTgdVj9Ju0yt-_brn9w4yg_4_0"/>
      <w:bookmarkStart w:id="255" w:name="Tc_xGTRXSqLm0CC0bwJxzuSEQ_3_1"/>
      <w:bookmarkStart w:id="256" w:name="Tc_zfHiHQLQNU2tl5pUYl9juA_2_10"/>
      <w:bookmarkStart w:id="257" w:name="Tc_BYBEdSLXK0qCZtkk_9ubzg_2_7"/>
      <w:bookmarkStart w:id="258" w:name="Tc_y6sYGGnZtUabOYH-IMOlDw_2_4"/>
      <w:bookmarkStart w:id="259" w:name="Tc_DUG3nINen0-wO5xuzH8_Zg_2_1"/>
      <w:bookmarkStart w:id="260" w:name="Tc_FnvMahfpt0ijSDe4a3xaEw_1_7"/>
      <w:bookmarkStart w:id="261" w:name="Tc_bqYnYKMJ3kGJM8NpuhDvJg_1_1"/>
      <w:bookmarkStart w:id="262" w:name="_8cb9a04f_bb4a_4c58_baa0_5ebbcdfe7792"/>
      <w:bookmarkStart w:id="263" w:name="_0a94f6b2_fdb8_40c1_84c9_30649cc2b4f6"/>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W w:w="10205" w:type="dxa"/>
        <w:jc w:val="left"/>
        <w:tblInd w:w="0" w:type="dxa"/>
        <w:tblLayout w:type="fixed"/>
        <w:tblCellMar>
          <w:top w:w="0" w:type="dxa"/>
          <w:left w:w="0" w:type="dxa"/>
          <w:bottom w:w="0" w:type="dxa"/>
          <w:right w:w="0" w:type="dxa"/>
        </w:tblCellMar>
      </w:tblPr>
      <w:tblGrid>
        <w:gridCol w:w="4735"/>
        <w:gridCol w:w="288"/>
        <w:gridCol w:w="802"/>
        <w:gridCol w:w="474"/>
        <w:gridCol w:w="288"/>
        <w:gridCol w:w="802"/>
        <w:gridCol w:w="346"/>
        <w:gridCol w:w="262"/>
        <w:gridCol w:w="727"/>
        <w:gridCol w:w="429"/>
        <w:gridCol w:w="262"/>
        <w:gridCol w:w="790"/>
      </w:tblGrid>
      <w:tr>
        <w:trPr/>
        <w:tc>
          <w:tcPr>
            <w:tcW w:w="4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006725" cy="175260"/>
                      <wp:effectExtent l="0" t="0" r="0" b="0"/>
                      <wp:wrapNone/>
                      <wp:docPr id="22" name="Frame22"/>
                      <a:graphic xmlns:a="http://schemas.openxmlformats.org/drawingml/2006/main">
                        <a:graphicData uri="http://schemas.microsoft.com/office/word/2010/wordprocessingShape">
                          <wps:wsp>
                            <wps:cNvSpPr txBox="1"/>
                            <wps:spPr>
                              <a:xfrm>
                                <a:off x="0" y="0"/>
                                <a:ext cx="300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82880" cy="175260"/>
                      <wp:effectExtent l="0" t="0" r="0" b="0"/>
                      <wp:wrapNone/>
                      <wp:docPr id="23" name="Frame2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9270" cy="175260"/>
                      <wp:effectExtent l="0" t="0" r="0" b="0"/>
                      <wp:wrapNone/>
                      <wp:docPr id="24" name="Frame24"/>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00990" cy="175260"/>
                      <wp:effectExtent l="0" t="0" r="0" b="0"/>
                      <wp:wrapNone/>
                      <wp:docPr id="25" name="Frame25"/>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82880" cy="175260"/>
                      <wp:effectExtent l="0" t="0" r="0" b="0"/>
                      <wp:wrapNone/>
                      <wp:docPr id="26" name="Frame26"/>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9270" cy="175260"/>
                      <wp:effectExtent l="0" t="0" r="0" b="0"/>
                      <wp:wrapNone/>
                      <wp:docPr id="27" name="Frame27"/>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66370" cy="175260"/>
                      <wp:effectExtent l="0" t="0" r="0" b="0"/>
                      <wp:wrapNone/>
                      <wp:docPr id="29" name="Frame29"/>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61645" cy="175260"/>
                      <wp:effectExtent l="0" t="0" r="0" b="0"/>
                      <wp:wrapNone/>
                      <wp:docPr id="30" name="Frame30"/>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72415" cy="175260"/>
                      <wp:effectExtent l="0" t="0" r="0" b="0"/>
                      <wp:wrapNone/>
                      <wp:docPr id="31" name="Frame31"/>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6370" cy="175260"/>
                      <wp:effectExtent l="0" t="0" r="0" b="0"/>
                      <wp:wrapNone/>
                      <wp:docPr id="32" name="Frame3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1650" cy="175260"/>
                      <wp:effectExtent l="0" t="0" r="0" b="0"/>
                      <wp:wrapNone/>
                      <wp:docPr id="33" name="Frame3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35" w:type="dxa"/>
            <w:tcBorders/>
            <w:vAlign w:val="center"/>
          </w:tcPr>
          <w:p>
            <w:pPr>
              <w:pStyle w:val="TableContents"/>
              <w:bidi w:val="0"/>
              <w:spacing w:before="0" w:after="0"/>
              <w:ind w:left="0" w:right="0" w:hanging="0"/>
              <w:jc w:val="left"/>
              <w:rPr/>
            </w:pPr>
            <w:r>
              <w:rPr/>
              <w:t>​</w:t>
            </w:r>
          </w:p>
        </w:tc>
        <w:tc>
          <w:tcPr>
            <w:tcW w:w="26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4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735" w:type="dxa"/>
            <w:tcBorders/>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74" w:type="dxa"/>
            <w:tcBorders/>
            <w:vAlign w:val="center"/>
          </w:tcPr>
          <w:p>
            <w:pPr>
              <w:pStyle w:val="TableContents"/>
              <w:bidi w:val="0"/>
              <w:spacing w:before="0" w:after="0"/>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29"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735" w:type="dxa"/>
            <w:tcBorders/>
            <w:vAlign w:val="center"/>
          </w:tcPr>
          <w:p>
            <w:pPr>
              <w:pStyle w:val="TableContents"/>
              <w:bidi w:val="0"/>
              <w:spacing w:before="0" w:after="0"/>
              <w:ind w:left="0" w:right="0" w:hanging="0"/>
              <w:jc w:val="center"/>
              <w:rPr/>
            </w:pPr>
            <w:r>
              <w:rPr/>
              <w:t>​</w:t>
            </w:r>
          </w:p>
        </w:tc>
        <w:tc>
          <w:tcPr>
            <w:tcW w:w="5470"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288" w:type="dxa"/>
            <w:tcBorders/>
            <w:shd w:fill="CCEEFF" w:val="clear"/>
            <w:vAlign w:val="center"/>
          </w:tcPr>
          <w:p>
            <w:pPr>
              <w:pStyle w:val="TableContents"/>
              <w:bidi w:val="0"/>
              <w:spacing w:before="0" w:after="0"/>
              <w:ind w:left="0" w:right="0" w:hanging="0"/>
              <w:jc w:val="center"/>
              <w:rPr/>
            </w:pPr>
            <w:r>
              <w:rPr/>
              <w:t>​</w:t>
            </w:r>
          </w:p>
        </w:tc>
        <w:tc>
          <w:tcPr>
            <w:tcW w:w="802" w:type="dxa"/>
            <w:tcBorders/>
            <w:shd w:fill="CCEEFF" w:val="clear"/>
            <w:vAlign w:val="center"/>
          </w:tcPr>
          <w:p>
            <w:pPr>
              <w:pStyle w:val="TableContents"/>
              <w:bidi w:val="0"/>
              <w:spacing w:before="0" w:after="0"/>
              <w:ind w:left="0" w:right="0" w:hanging="0"/>
              <w:jc w:val="center"/>
              <w:rPr/>
            </w:pPr>
            <w:r>
              <w:rPr/>
              <w:t>​</w:t>
            </w:r>
          </w:p>
        </w:tc>
        <w:tc>
          <w:tcPr>
            <w:tcW w:w="474" w:type="dxa"/>
            <w:tcBorders/>
            <w:shd w:fill="CCEEFF" w:val="clear"/>
            <w:vAlign w:val="center"/>
          </w:tcPr>
          <w:p>
            <w:pPr>
              <w:pStyle w:val="TableContents"/>
              <w:bidi w:val="0"/>
              <w:spacing w:before="0" w:after="0"/>
              <w:ind w:left="0" w:right="0" w:hanging="0"/>
              <w:jc w:val="center"/>
              <w:rPr/>
            </w:pPr>
            <w:r>
              <w:rPr/>
              <w:t>​</w:t>
            </w:r>
          </w:p>
        </w:tc>
        <w:tc>
          <w:tcPr>
            <w:tcW w:w="288" w:type="dxa"/>
            <w:tcBorders/>
            <w:shd w:fill="CCEEFF" w:val="clear"/>
            <w:vAlign w:val="center"/>
          </w:tcPr>
          <w:p>
            <w:pPr>
              <w:pStyle w:val="TableContents"/>
              <w:bidi w:val="0"/>
              <w:spacing w:before="0" w:after="0"/>
              <w:ind w:left="0" w:right="0" w:hanging="0"/>
              <w:jc w:val="center"/>
              <w:rPr/>
            </w:pPr>
            <w:r>
              <w:rPr/>
              <w:t>​</w:t>
            </w:r>
          </w:p>
        </w:tc>
        <w:tc>
          <w:tcPr>
            <w:tcW w:w="80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2" w:type="dxa"/>
            <w:tcBorders/>
            <w:shd w:fill="CCEEFF" w:val="clear"/>
            <w:vAlign w:val="center"/>
          </w:tcPr>
          <w:p>
            <w:pPr>
              <w:pStyle w:val="TableContents"/>
              <w:bidi w:val="0"/>
              <w:spacing w:before="0" w:after="0"/>
              <w:ind w:left="0" w:right="0" w:hanging="0"/>
              <w:jc w:val="center"/>
              <w:rPr/>
            </w:pPr>
            <w:r>
              <w:rPr/>
              <w:t>​</w:t>
            </w:r>
          </w:p>
        </w:tc>
        <w:tc>
          <w:tcPr>
            <w:tcW w:w="727" w:type="dxa"/>
            <w:tcBorders/>
            <w:shd w:fill="CCEEFF" w:val="clear"/>
            <w:vAlign w:val="center"/>
          </w:tcPr>
          <w:p>
            <w:pPr>
              <w:pStyle w:val="TableContents"/>
              <w:bidi w:val="0"/>
              <w:spacing w:before="0" w:after="0"/>
              <w:ind w:left="0" w:right="0" w:hanging="0"/>
              <w:jc w:val="center"/>
              <w:rPr/>
            </w:pPr>
            <w:r>
              <w:rPr/>
              <w:t>​</w:t>
            </w:r>
          </w:p>
        </w:tc>
        <w:tc>
          <w:tcPr>
            <w:tcW w:w="429" w:type="dxa"/>
            <w:tcBorders/>
            <w:shd w:fill="CCEEFF" w:val="clear"/>
            <w:vAlign w:val="center"/>
          </w:tcPr>
          <w:p>
            <w:pPr>
              <w:pStyle w:val="TableContents"/>
              <w:bidi w:val="0"/>
              <w:spacing w:before="0" w:after="0"/>
              <w:ind w:left="0" w:right="0" w:hanging="0"/>
              <w:jc w:val="center"/>
              <w:rPr/>
            </w:pPr>
            <w:r>
              <w:rPr/>
              <w:t>​</w:t>
            </w:r>
          </w:p>
        </w:tc>
        <w:tc>
          <w:tcPr>
            <w:tcW w:w="262" w:type="dxa"/>
            <w:tcBorders/>
            <w:shd w:fill="CCEEFF" w:val="clear"/>
            <w:vAlign w:val="center"/>
          </w:tcPr>
          <w:p>
            <w:pPr>
              <w:pStyle w:val="TableContents"/>
              <w:bidi w:val="0"/>
              <w:spacing w:before="0" w:after="0"/>
              <w:ind w:left="0" w:right="0" w:hanging="0"/>
              <w:jc w:val="center"/>
              <w:rPr/>
            </w:pPr>
            <w:r>
              <w:rPr/>
              <w:t>​</w:t>
            </w:r>
          </w:p>
        </w:tc>
        <w:tc>
          <w:tcPr>
            <w:tcW w:w="790" w:type="dxa"/>
            <w:tcBorders/>
            <w:shd w:fill="CCEEFF" w:val="clear"/>
            <w:vAlign w:val="center"/>
          </w:tcPr>
          <w:p>
            <w:pPr>
              <w:pStyle w:val="TableContents"/>
              <w:bidi w:val="0"/>
              <w:spacing w:before="0" w:after="0"/>
              <w:ind w:left="0" w:right="0" w:hanging="0"/>
              <w:jc w:val="center"/>
              <w:rPr/>
            </w:pPr>
            <w:r>
              <w:rPr/>
              <w:t>​</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3,081</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5,392</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 from operations</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investment activities</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disposition of assets, net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(loss), net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735"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w:t>
            </w:r>
          </w:p>
        </w:tc>
        <w:tc>
          <w:tcPr>
            <w:tcW w:w="474"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w:t>
            </w:r>
          </w:p>
        </w:tc>
        <w:tc>
          <w:tcPr>
            <w:tcW w:w="42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288"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pPr>
            <w:r>
              <w:rPr/>
              <w:t>​</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5,223</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from operations</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expense</w:t>
            </w:r>
          </w:p>
        </w:tc>
        <w:tc>
          <w:tcPr>
            <w:tcW w:w="288"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288"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net</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474"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42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4735"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5,136</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474"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429"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4735"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pPr>
            <w:r>
              <w:rPr/>
              <w:t>​</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allocated to:</w:t>
            </w:r>
          </w:p>
        </w:tc>
        <w:tc>
          <w:tcPr>
            <w:tcW w:w="288"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74"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2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735"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4735"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474"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27" w:type="dxa"/>
            <w:tcBorders/>
            <w:vAlign w:val="center"/>
          </w:tcPr>
          <w:p>
            <w:pPr>
              <w:pStyle w:val="TableContents"/>
              <w:bidi w:val="0"/>
              <w:spacing w:before="0" w:after="0"/>
              <w:ind w:left="0" w:right="0" w:hanging="0"/>
              <w:jc w:val="right"/>
              <w:rPr/>
            </w:pPr>
            <w:r>
              <w:rPr/>
              <w:t>​</w:t>
            </w:r>
          </w:p>
        </w:tc>
        <w:tc>
          <w:tcPr>
            <w:tcW w:w="42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LP unit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47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LP units outstanding</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474"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429"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4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declared per LP unit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474"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29"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4" w:name="_b6267817_7aae_472a_912a_da7a54926cfc"/>
      <w:bookmarkEnd w:id="264"/>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 (UNAUDITED)</w:t>
      </w:r>
    </w:p>
    <w:p>
      <w:pPr>
        <w:pStyle w:val="Normal"/>
        <w:bidi w:val="0"/>
        <w:spacing w:before="0" w:after="0"/>
        <w:jc w:val="left"/>
        <w:rPr>
          <w:sz w:val="4"/>
          <w:szCs w:val="4"/>
        </w:rPr>
      </w:pPr>
      <w:r>
        <w:rPr>
          <w:sz w:val="4"/>
          <w:szCs w:val="4"/>
        </w:rPr>
      </w:r>
      <w:bookmarkStart w:id="265" w:name="Tc_8yeoKy6JtE6vxBxOI2ahyA_16_11"/>
      <w:bookmarkStart w:id="266" w:name="Tc_lX0mKIkCt0abNDPawdOVCw_16_8"/>
      <w:bookmarkStart w:id="267" w:name="Tc_JAeRLU-e6EGZahu9PORBfQ_16_5"/>
      <w:bookmarkStart w:id="268" w:name="Tc_O8o7gpYYWkqB-ofeFzDvnQ_16_2"/>
      <w:bookmarkStart w:id="269" w:name="Tc_OBNQ7LcHm0Sxna4_s8AZPg_15_0"/>
      <w:bookmarkStart w:id="270" w:name="Tc_MaJ5L8p1HEukICMSWRXu_A_14_11"/>
      <w:bookmarkStart w:id="271" w:name="Tc__uKt0okk7ESPbhP7Amrudg_14_8"/>
      <w:bookmarkStart w:id="272" w:name="Tc_pq2-sniDaEq_5cF2DwU6Tw_14_5"/>
      <w:bookmarkStart w:id="273" w:name="Tc_y82_3Y655kyHjSbyl0Zi4g_14_2"/>
      <w:bookmarkStart w:id="274" w:name="Tc_5JiGn5KySkq6ig-dvLO2VA_14_0"/>
      <w:bookmarkStart w:id="275" w:name="Tc_LDpHiYza8kCzV4xSK_I_Pg_13_0"/>
      <w:bookmarkStart w:id="276" w:name="Tc_iCKV20Lg8EC68drIUJA_5A_11_11"/>
      <w:bookmarkStart w:id="277" w:name="Tc_2H5oAIiZLUm0_3eOL6vq4A_11_8"/>
      <w:bookmarkStart w:id="278" w:name="Tc_Lg-oV7p3okKb277LSHAk6Q_11_5"/>
      <w:bookmarkStart w:id="279" w:name="Tc_Xk2FK7hvMkObASS49B4rAw_11_2"/>
      <w:bookmarkStart w:id="280" w:name="Tc_E7DvjAVHNEmRurZ9Cpq0tw_11_0"/>
      <w:bookmarkStart w:id="281" w:name="Tc_Y3_9IbYKNUWohjUiDPvz5w_10_0"/>
      <w:bookmarkStart w:id="282" w:name="Tc_QdIE1e9ZB0-w1R_N38OmcQ_9_0"/>
      <w:bookmarkStart w:id="283" w:name="Tc_888MwBOZ50mxBB4Bu1uW7A_8_0"/>
      <w:bookmarkStart w:id="284" w:name="Tc_WA3oIhrEGUWeoKu-L3j04Q_7_0"/>
      <w:bookmarkStart w:id="285" w:name="Tc_pgGLm6KyI0i1oWWbY2kWqA_6_9"/>
      <w:bookmarkStart w:id="286" w:name="Tc_YePl398As02f55eWpnFsrw_6_3"/>
      <w:bookmarkStart w:id="287" w:name="Tc_0jkCO9lgDEq-njWNXlwfeA_6_0"/>
      <w:bookmarkStart w:id="288" w:name="Tc_WEGJ6S-vR0yZXOC9C64apQ_5_0"/>
      <w:bookmarkStart w:id="289" w:name="Tc_cL2aaUe0xkGJZyUHgDQuCQ_4_11"/>
      <w:bookmarkStart w:id="290" w:name="Tc_16Ff4hUfxkChF8WppIlLxg_4_8"/>
      <w:bookmarkStart w:id="291" w:name="Tc_WXhr3OvnfE2oQcdvsh6bDg_4_5"/>
      <w:bookmarkStart w:id="292" w:name="Tc_woyCYrWwNUucNo-Zbe2Vxw_4_2"/>
      <w:bookmarkStart w:id="293" w:name="Tc__oNQG-PZLkeE03uyDZiHVg_4_0"/>
      <w:bookmarkStart w:id="294" w:name="Tc_mcHxHm4aKku1FLJG6pglZg_3_2"/>
      <w:bookmarkStart w:id="295" w:name="Tc_ZWTxhcMChEOad_3U02I6Mg_2_11"/>
      <w:bookmarkStart w:id="296" w:name="Tc_bPcXUqYAd0iAwjo3yHkzWA_2_8"/>
      <w:bookmarkStart w:id="297" w:name="Tc_Y4Xkk6C9MUSVZnyU5b4Uxw_2_5"/>
      <w:bookmarkStart w:id="298" w:name="Tc_n8KHdkujTk6lv57xmvPoMw_2_2"/>
      <w:bookmarkStart w:id="299" w:name="Tc_LovWERLldk6ze8QvzK-YKA_1_8"/>
      <w:bookmarkStart w:id="300" w:name="Tc_9I1W9BLzmEe6FI7qpKNoPQ_1_2"/>
      <w:bookmarkStart w:id="301" w:name="_290f304c_84d7_4043_96e6_161dd4d1b226"/>
      <w:bookmarkStart w:id="302" w:name="Tc_8yeoKy6JtE6vxBxOI2ahyA_16_11"/>
      <w:bookmarkStart w:id="303" w:name="Tc_lX0mKIkCt0abNDPawdOVCw_16_8"/>
      <w:bookmarkStart w:id="304" w:name="Tc_JAeRLU-e6EGZahu9PORBfQ_16_5"/>
      <w:bookmarkStart w:id="305" w:name="Tc_O8o7gpYYWkqB-ofeFzDvnQ_16_2"/>
      <w:bookmarkStart w:id="306" w:name="Tc_OBNQ7LcHm0Sxna4_s8AZPg_15_0"/>
      <w:bookmarkStart w:id="307" w:name="Tc_MaJ5L8p1HEukICMSWRXu_A_14_11"/>
      <w:bookmarkStart w:id="308" w:name="Tc__uKt0okk7ESPbhP7Amrudg_14_8"/>
      <w:bookmarkStart w:id="309" w:name="Tc_pq2-sniDaEq_5cF2DwU6Tw_14_5"/>
      <w:bookmarkStart w:id="310" w:name="Tc_y82_3Y655kyHjSbyl0Zi4g_14_2"/>
      <w:bookmarkStart w:id="311" w:name="Tc_5JiGn5KySkq6ig-dvLO2VA_14_0"/>
      <w:bookmarkStart w:id="312" w:name="Tc_LDpHiYza8kCzV4xSK_I_Pg_13_0"/>
      <w:bookmarkStart w:id="313" w:name="Tc_iCKV20Lg8EC68drIUJA_5A_11_11"/>
      <w:bookmarkStart w:id="314" w:name="Tc_2H5oAIiZLUm0_3eOL6vq4A_11_8"/>
      <w:bookmarkStart w:id="315" w:name="Tc_Lg-oV7p3okKb277LSHAk6Q_11_5"/>
      <w:bookmarkStart w:id="316" w:name="Tc_Xk2FK7hvMkObASS49B4rAw_11_2"/>
      <w:bookmarkStart w:id="317" w:name="Tc_E7DvjAVHNEmRurZ9Cpq0tw_11_0"/>
      <w:bookmarkStart w:id="318" w:name="Tc_Y3_9IbYKNUWohjUiDPvz5w_10_0"/>
      <w:bookmarkStart w:id="319" w:name="Tc_QdIE1e9ZB0-w1R_N38OmcQ_9_0"/>
      <w:bookmarkStart w:id="320" w:name="Tc_888MwBOZ50mxBB4Bu1uW7A_8_0"/>
      <w:bookmarkStart w:id="321" w:name="Tc_WA3oIhrEGUWeoKu-L3j04Q_7_0"/>
      <w:bookmarkStart w:id="322" w:name="Tc_pgGLm6KyI0i1oWWbY2kWqA_6_9"/>
      <w:bookmarkStart w:id="323" w:name="Tc_YePl398As02f55eWpnFsrw_6_3"/>
      <w:bookmarkStart w:id="324" w:name="Tc_0jkCO9lgDEq-njWNXlwfeA_6_0"/>
      <w:bookmarkStart w:id="325" w:name="Tc_WEGJ6S-vR0yZXOC9C64apQ_5_0"/>
      <w:bookmarkStart w:id="326" w:name="Tc_cL2aaUe0xkGJZyUHgDQuCQ_4_11"/>
      <w:bookmarkStart w:id="327" w:name="Tc_16Ff4hUfxkChF8WppIlLxg_4_8"/>
      <w:bookmarkStart w:id="328" w:name="Tc_WXhr3OvnfE2oQcdvsh6bDg_4_5"/>
      <w:bookmarkStart w:id="329" w:name="Tc_woyCYrWwNUucNo-Zbe2Vxw_4_2"/>
      <w:bookmarkStart w:id="330" w:name="Tc__oNQG-PZLkeE03uyDZiHVg_4_0"/>
      <w:bookmarkStart w:id="331" w:name="Tc_mcHxHm4aKku1FLJG6pglZg_3_2"/>
      <w:bookmarkStart w:id="332" w:name="Tc_ZWTxhcMChEOad_3U02I6Mg_2_11"/>
      <w:bookmarkStart w:id="333" w:name="Tc_bPcXUqYAd0iAwjo3yHkzWA_2_8"/>
      <w:bookmarkStart w:id="334" w:name="Tc_Y4Xkk6C9MUSVZnyU5b4Uxw_2_5"/>
      <w:bookmarkStart w:id="335" w:name="Tc_n8KHdkujTk6lv57xmvPoMw_2_2"/>
      <w:bookmarkStart w:id="336" w:name="Tc_LovWERLldk6ze8QvzK-YKA_1_8"/>
      <w:bookmarkStart w:id="337" w:name="Tc_9I1W9BLzmEe6FI7qpKNoPQ_1_2"/>
      <w:bookmarkStart w:id="338" w:name="_290f304c_84d7_4043_96e6_161dd4d1b226"/>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tbl>
      <w:tblPr>
        <w:tblW w:w="10205" w:type="dxa"/>
        <w:jc w:val="left"/>
        <w:tblInd w:w="0" w:type="dxa"/>
        <w:tblLayout w:type="fixed"/>
        <w:tblCellMar>
          <w:top w:w="0" w:type="dxa"/>
          <w:left w:w="0" w:type="dxa"/>
          <w:bottom w:w="0" w:type="dxa"/>
          <w:right w:w="0" w:type="dxa"/>
        </w:tblCellMar>
      </w:tblPr>
      <w:tblGrid>
        <w:gridCol w:w="4688"/>
        <w:gridCol w:w="346"/>
        <w:gridCol w:w="285"/>
        <w:gridCol w:w="722"/>
        <w:gridCol w:w="469"/>
        <w:gridCol w:w="285"/>
        <w:gridCol w:w="722"/>
        <w:gridCol w:w="346"/>
        <w:gridCol w:w="262"/>
        <w:gridCol w:w="662"/>
        <w:gridCol w:w="431"/>
        <w:gridCol w:w="262"/>
        <w:gridCol w:w="725"/>
      </w:tblGrid>
      <w:tr>
        <w:trPr/>
        <w:tc>
          <w:tcPr>
            <w:tcW w:w="4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976880" cy="175260"/>
                      <wp:effectExtent l="0" t="0" r="0" b="0"/>
                      <wp:wrapNone/>
                      <wp:docPr id="34" name="Frame34"/>
                      <a:graphic xmlns:a="http://schemas.openxmlformats.org/drawingml/2006/main">
                        <a:graphicData uri="http://schemas.microsoft.com/office/word/2010/wordprocessingShape">
                          <wps:wsp>
                            <wps:cNvSpPr txBox="1"/>
                            <wps:spPr>
                              <a:xfrm>
                                <a:off x="0" y="0"/>
                                <a:ext cx="297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0975" cy="175260"/>
                      <wp:effectExtent l="0" t="0" r="0" b="0"/>
                      <wp:wrapNone/>
                      <wp:docPr id="36" name="Frame3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8470" cy="175260"/>
                      <wp:effectExtent l="0" t="0" r="0" b="0"/>
                      <wp:wrapNone/>
                      <wp:docPr id="37" name="Frame3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97815" cy="175260"/>
                      <wp:effectExtent l="0" t="0" r="0" b="0"/>
                      <wp:wrapNone/>
                      <wp:docPr id="38" name="Frame38"/>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80975" cy="175260"/>
                      <wp:effectExtent l="0" t="0" r="0" b="0"/>
                      <wp:wrapNone/>
                      <wp:docPr id="39" name="Frame3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58470" cy="175260"/>
                      <wp:effectExtent l="0" t="0" r="0" b="0"/>
                      <wp:wrapNone/>
                      <wp:docPr id="40" name="Frame40"/>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6370" cy="175260"/>
                      <wp:effectExtent l="0" t="0" r="0" b="0"/>
                      <wp:wrapNone/>
                      <wp:docPr id="42" name="Frame4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20370" cy="175260"/>
                      <wp:effectExtent l="0" t="0" r="0" b="0"/>
                      <wp:wrapNone/>
                      <wp:docPr id="43" name="Frame43"/>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73685" cy="175260"/>
                      <wp:effectExtent l="0" t="0" r="0" b="0"/>
                      <wp:wrapNone/>
                      <wp:docPr id="44" name="Frame44"/>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66370" cy="175260"/>
                      <wp:effectExtent l="0" t="0" r="0" b="0"/>
                      <wp:wrapNone/>
                      <wp:docPr id="45" name="Frame45"/>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60375" cy="175260"/>
                      <wp:effectExtent l="0" t="0" r="0" b="0"/>
                      <wp:wrapNone/>
                      <wp:docPr id="46" name="Frame46"/>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3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69"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31" w:type="dxa"/>
            <w:tcBorders/>
            <w:vAlign w:val="center"/>
          </w:tcPr>
          <w:p>
            <w:pPr>
              <w:pStyle w:val="TableContents"/>
              <w:bidi w:val="0"/>
              <w:spacing w:before="0" w:after="0"/>
              <w:ind w:left="0" w:right="0" w:hanging="0"/>
              <w:jc w:val="left"/>
              <w:rPr/>
            </w:pPr>
            <w:r>
              <w:rPr/>
              <w:t>  ​ ​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71"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431"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r>
      <w:tr>
        <w:trPr/>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Post-retirement benefits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662"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69"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31"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31"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431"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4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431"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469"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431"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46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r>
      <w:tr>
        <w:trPr/>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 allocated to:</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  ​</w:t>
            </w:r>
          </w:p>
        </w:tc>
        <w:tc>
          <w:tcPr>
            <w:tcW w:w="46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r>
      <w:tr>
        <w:trPr/>
        <w:tc>
          <w:tcPr>
            <w:tcW w:w="4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w:t>
            </w:r>
          </w:p>
        </w:tc>
        <w:tc>
          <w:tcPr>
            <w:tcW w:w="431"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rPr/>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69"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31"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6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469"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431"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9" w:name="_aeebdab0_2cdb_42f0_99d2_26d7363cca2c"/>
      <w:bookmarkEnd w:id="339"/>
      <w:r>
        <w:rPr>
          <w:rFonts w:ascii="Times New Roman;Times;serif" w:hAnsi="Times New Roman;Times;serif"/>
          <w:b/>
          <w:sz w:val="20"/>
        </w:rPr>
        <w:t>ICAHN ENTERPRISES L.P.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0" w:name="Tc_N63-IrXB2EmF-U_08Yvq8g_21_14"/>
      <w:bookmarkStart w:id="341" w:name="Tc_LSH0_TCMwEOaquxGZ28UpQ_21_11"/>
      <w:bookmarkStart w:id="342" w:name="Tc_uoPeAhowGkSrursg47GLvg_21_8"/>
      <w:bookmarkStart w:id="343" w:name="Tc_BJEQP53l006iWXnmgH16sw_21_5"/>
      <w:bookmarkStart w:id="344" w:name="Tc_W4b5pI667k2VrK3X9HERpQ_21_2"/>
      <w:bookmarkStart w:id="345" w:name="Tc_ejRScsVa602tyajKITjudw_21_0"/>
      <w:bookmarkStart w:id="346" w:name="Tc__OIwpKPt-UqDLbPPaBGebQ_20_3"/>
      <w:bookmarkStart w:id="347" w:name="Tc_3eSnWhGTkECeX3cHUv2Yvw_20_0"/>
      <w:bookmarkStart w:id="348" w:name="Tc_e9Oy4uuPRkubUiF8qLucsA_19_9"/>
      <w:bookmarkStart w:id="349" w:name="Tc_aNzy_b5puEOicq0DE0Ma1A_19_6"/>
      <w:bookmarkStart w:id="350" w:name="Tc_aEekNfOpK0CLsnSFVWhWIA_19_3"/>
      <w:bookmarkStart w:id="351" w:name="Tc_NEaKWZfByE2XPricDkXELw_19_0"/>
      <w:bookmarkStart w:id="352" w:name="Tc_7oIDl0TMkUOMCw55g1eTkQ_18_12"/>
      <w:bookmarkStart w:id="353" w:name="Tc_WnxGIOgj3U6wR2QuWoTTJw_18_0"/>
      <w:bookmarkStart w:id="354" w:name="Tc_7BF-NlYhdUaVoUico5Wcng_17_12"/>
      <w:bookmarkStart w:id="355" w:name="Tc_yeyCIpFaZkWxno-5vabcjw_17_0"/>
      <w:bookmarkStart w:id="356" w:name="Tc_vymqxoHZwk-0jgZNE1C0mQ_16_12"/>
      <w:bookmarkStart w:id="357" w:name="Tc_4m9CKAIHZEGKfo0U_8aUPw_16_3"/>
      <w:bookmarkStart w:id="358" w:name="Tc_sLNyMMGkGkiW5LpRlsPPQA_16_0"/>
      <w:bookmarkStart w:id="359" w:name="Tc_rh9dOV9rVkqW4ECxfHBE7A_15_0"/>
      <w:bookmarkStart w:id="360" w:name="Tc_fwl_sRsFfUKWjZFsZmtsSA_14_14"/>
      <w:bookmarkStart w:id="361" w:name="Tc_20XNbFlhg0qQb5sJdTYWFQ_14_11"/>
      <w:bookmarkStart w:id="362" w:name="Tc_pqAd4RGgr0muAN8AOQJJmw_14_8"/>
      <w:bookmarkStart w:id="363" w:name="Tc_c3E_1MeF6kGUbAHqDoGG5g_14_5"/>
      <w:bookmarkStart w:id="364" w:name="Tc_JAAJQmY-9UqNl1f7K9vVQQ_14_2"/>
      <w:bookmarkStart w:id="365" w:name="Tc_s0R7N1rIJUyWXgjLrSxA4w_14_0"/>
      <w:bookmarkStart w:id="366" w:name="Tc_Z8n88WXCO0uJZTcCKfuEoQ_13_3"/>
      <w:bookmarkStart w:id="367" w:name="Tc_2K_mdiqEu0-_NNyzeAXfqQ_13_0"/>
      <w:bookmarkStart w:id="368" w:name="Tc_eKD67zFRKUqUL39HiUlpWw_12_9"/>
      <w:bookmarkStart w:id="369" w:name="Tc_mWRE_lqxAUK8eSI5H2yDkQ_12_6"/>
      <w:bookmarkStart w:id="370" w:name="Tc_3TusGnHVOUyBzb-y9ATXpw_12_3"/>
      <w:bookmarkStart w:id="371" w:name="Tc_h0SGFZa5HkmXXEKSwwI8Dw_12_0"/>
      <w:bookmarkStart w:id="372" w:name="Tc_lZk9YC_lI0-6MTPtnADjjA_11_3"/>
      <w:bookmarkStart w:id="373" w:name="Tc_TkJsE-OFT0WeqHy5XDv0Xg_11_0"/>
      <w:bookmarkStart w:id="374" w:name="Tc_5_uIay5rVk6pPeBeqRl6CA_10_9"/>
      <w:bookmarkStart w:id="375" w:name="Tc_zHlUztZGB0qAOVDssZ5OtA_10_6"/>
      <w:bookmarkStart w:id="376" w:name="Tc_J1f815iDtEmnpuOYvfMqgw_10_3"/>
      <w:bookmarkStart w:id="377" w:name="Tc_hTQ7lo2iF0-cWxQ8eFRHYQ_10_0"/>
      <w:bookmarkStart w:id="378" w:name="Tc_Z7tB_vvk_EmlK8kIvyEb0w_9_12"/>
      <w:bookmarkStart w:id="379" w:name="Tc_YKLb7R796ESOdpT2yBqPmw_9_0"/>
      <w:bookmarkStart w:id="380" w:name="Tc_mfpGmy--xk2D-1YDpbSceQ_8_12"/>
      <w:bookmarkStart w:id="381" w:name="Tc_9KkXyEFWZ0OfBGsLWxM1_w_8_3"/>
      <w:bookmarkStart w:id="382" w:name="Tc_ouvVzlvAh0-fQn4E0wrmyw_8_0"/>
      <w:bookmarkStart w:id="383" w:name="Tc_rBuRS6D5lEmDFmJP5DW-wQ_7_0"/>
      <w:bookmarkStart w:id="384" w:name="Tc_ZP7z1qZDD0a1_GI0XYrk7Q_6_14"/>
      <w:bookmarkStart w:id="385" w:name="Tc_EsiBjKHMdk2u50a5V6vvHA_6_11"/>
      <w:bookmarkStart w:id="386" w:name="Tc_HM3-t8K_dEKMB4S_N2Utug_6_8"/>
      <w:bookmarkStart w:id="387" w:name="Tc_Fv5NL6gnB0ST2EuKbRhC6w_6_5"/>
      <w:bookmarkStart w:id="388" w:name="Tc_m-9hDR2p0kOQKslLgtiniw_6_2"/>
      <w:bookmarkStart w:id="389" w:name="Tc_G5mGnAw1pUG3Fqa7hp4ClA_6_0"/>
      <w:bookmarkStart w:id="390" w:name="Tc__WJ4rPEdHU-1wyAf8bQ3Rw_5_2"/>
      <w:bookmarkStart w:id="391" w:name="Tc_PvTCvjyZ_020RcUZRoFblQ_4_14"/>
      <w:bookmarkStart w:id="392" w:name="Tc_LY0QxFSSYk-LnnlFT6dgJg_4_11"/>
      <w:bookmarkStart w:id="393" w:name="Tc_WTvQR90jfE-jybJdbmON-A_4_8"/>
      <w:bookmarkStart w:id="394" w:name="Tc_ox6O6xtyykyilMlQkW-lBQ_4_5"/>
      <w:bookmarkStart w:id="395" w:name="Tc_7p2DK-IEfEaQGoWBTaQM1g_4_2"/>
      <w:bookmarkStart w:id="396" w:name="Tc_wDfY02Re7Uen-moB57HrFA_3_11"/>
      <w:bookmarkStart w:id="397" w:name="Tc_nkh9ZlIJn0OHqMa0qTpz7g_3_8"/>
      <w:bookmarkStart w:id="398" w:name="Tc_6x_dAzoj00ucG88bKxFNNA_3_5"/>
      <w:bookmarkStart w:id="399" w:name="Tc_PKRA8D0Tn0y1qqvmflskfw_3_2"/>
      <w:bookmarkStart w:id="400" w:name="Tc_hR5taF9fgU-H1v-vTkq3Sw_2_11"/>
      <w:bookmarkStart w:id="401" w:name="Tc_oZOvuqsBC0CYyClQd2qgVw_2_5"/>
      <w:bookmarkStart w:id="402" w:name="Tc_da-AH-IBsUG8H75Ig6eT4g_2_2"/>
      <w:bookmarkStart w:id="403" w:name="Tc_aBBp0V9OBkSCJANxzNedSQ_1_2"/>
      <w:bookmarkStart w:id="404" w:name="_0d68d69b_4082_4d89_b3df_1e4dd203158d"/>
      <w:bookmarkStart w:id="405" w:name="Tc_N63-IrXB2EmF-U_08Yvq8g_21_14"/>
      <w:bookmarkStart w:id="406" w:name="Tc_LSH0_TCMwEOaquxGZ28UpQ_21_11"/>
      <w:bookmarkStart w:id="407" w:name="Tc_uoPeAhowGkSrursg47GLvg_21_8"/>
      <w:bookmarkStart w:id="408" w:name="Tc_BJEQP53l006iWXnmgH16sw_21_5"/>
      <w:bookmarkStart w:id="409" w:name="Tc_W4b5pI667k2VrK3X9HERpQ_21_2"/>
      <w:bookmarkStart w:id="410" w:name="Tc_ejRScsVa602tyajKITjudw_21_0"/>
      <w:bookmarkStart w:id="411" w:name="Tc__OIwpKPt-UqDLbPPaBGebQ_20_3"/>
      <w:bookmarkStart w:id="412" w:name="Tc_3eSnWhGTkECeX3cHUv2Yvw_20_0"/>
      <w:bookmarkStart w:id="413" w:name="Tc_e9Oy4uuPRkubUiF8qLucsA_19_9"/>
      <w:bookmarkStart w:id="414" w:name="Tc_aNzy_b5puEOicq0DE0Ma1A_19_6"/>
      <w:bookmarkStart w:id="415" w:name="Tc_aEekNfOpK0CLsnSFVWhWIA_19_3"/>
      <w:bookmarkStart w:id="416" w:name="Tc_NEaKWZfByE2XPricDkXELw_19_0"/>
      <w:bookmarkStart w:id="417" w:name="Tc_7oIDl0TMkUOMCw55g1eTkQ_18_12"/>
      <w:bookmarkStart w:id="418" w:name="Tc_WnxGIOgj3U6wR2QuWoTTJw_18_0"/>
      <w:bookmarkStart w:id="419" w:name="Tc_7BF-NlYhdUaVoUico5Wcng_17_12"/>
      <w:bookmarkStart w:id="420" w:name="Tc_yeyCIpFaZkWxno-5vabcjw_17_0"/>
      <w:bookmarkStart w:id="421" w:name="Tc_vymqxoHZwk-0jgZNE1C0mQ_16_12"/>
      <w:bookmarkStart w:id="422" w:name="Tc_4m9CKAIHZEGKfo0U_8aUPw_16_3"/>
      <w:bookmarkStart w:id="423" w:name="Tc_sLNyMMGkGkiW5LpRlsPPQA_16_0"/>
      <w:bookmarkStart w:id="424" w:name="Tc_rh9dOV9rVkqW4ECxfHBE7A_15_0"/>
      <w:bookmarkStart w:id="425" w:name="Tc_fwl_sRsFfUKWjZFsZmtsSA_14_14"/>
      <w:bookmarkStart w:id="426" w:name="Tc_20XNbFlhg0qQb5sJdTYWFQ_14_11"/>
      <w:bookmarkStart w:id="427" w:name="Tc_pqAd4RGgr0muAN8AOQJJmw_14_8"/>
      <w:bookmarkStart w:id="428" w:name="Tc_c3E_1MeF6kGUbAHqDoGG5g_14_5"/>
      <w:bookmarkStart w:id="429" w:name="Tc_JAAJQmY-9UqNl1f7K9vVQQ_14_2"/>
      <w:bookmarkStart w:id="430" w:name="Tc_s0R7N1rIJUyWXgjLrSxA4w_14_0"/>
      <w:bookmarkStart w:id="431" w:name="Tc_Z8n88WXCO0uJZTcCKfuEoQ_13_3"/>
      <w:bookmarkStart w:id="432" w:name="Tc_2K_mdiqEu0-_NNyzeAXfqQ_13_0"/>
      <w:bookmarkStart w:id="433" w:name="Tc_eKD67zFRKUqUL39HiUlpWw_12_9"/>
      <w:bookmarkStart w:id="434" w:name="Tc_mWRE_lqxAUK8eSI5H2yDkQ_12_6"/>
      <w:bookmarkStart w:id="435" w:name="Tc_3TusGnHVOUyBzb-y9ATXpw_12_3"/>
      <w:bookmarkStart w:id="436" w:name="Tc_h0SGFZa5HkmXXEKSwwI8Dw_12_0"/>
      <w:bookmarkStart w:id="437" w:name="Tc_lZk9YC_lI0-6MTPtnADjjA_11_3"/>
      <w:bookmarkStart w:id="438" w:name="Tc_TkJsE-OFT0WeqHy5XDv0Xg_11_0"/>
      <w:bookmarkStart w:id="439" w:name="Tc_5_uIay5rVk6pPeBeqRl6CA_10_9"/>
      <w:bookmarkStart w:id="440" w:name="Tc_zHlUztZGB0qAOVDssZ5OtA_10_6"/>
      <w:bookmarkStart w:id="441" w:name="Tc_J1f815iDtEmnpuOYvfMqgw_10_3"/>
      <w:bookmarkStart w:id="442" w:name="Tc_hTQ7lo2iF0-cWxQ8eFRHYQ_10_0"/>
      <w:bookmarkStart w:id="443" w:name="Tc_Z7tB_vvk_EmlK8kIvyEb0w_9_12"/>
      <w:bookmarkStart w:id="444" w:name="Tc_YKLb7R796ESOdpT2yBqPmw_9_0"/>
      <w:bookmarkStart w:id="445" w:name="Tc_mfpGmy--xk2D-1YDpbSceQ_8_12"/>
      <w:bookmarkStart w:id="446" w:name="Tc_9KkXyEFWZ0OfBGsLWxM1_w_8_3"/>
      <w:bookmarkStart w:id="447" w:name="Tc_ouvVzlvAh0-fQn4E0wrmyw_8_0"/>
      <w:bookmarkStart w:id="448" w:name="Tc_rBuRS6D5lEmDFmJP5DW-wQ_7_0"/>
      <w:bookmarkStart w:id="449" w:name="Tc_ZP7z1qZDD0a1_GI0XYrk7Q_6_14"/>
      <w:bookmarkStart w:id="450" w:name="Tc_EsiBjKHMdk2u50a5V6vvHA_6_11"/>
      <w:bookmarkStart w:id="451" w:name="Tc_HM3-t8K_dEKMB4S_N2Utug_6_8"/>
      <w:bookmarkStart w:id="452" w:name="Tc_Fv5NL6gnB0ST2EuKbRhC6w_6_5"/>
      <w:bookmarkStart w:id="453" w:name="Tc_m-9hDR2p0kOQKslLgtiniw_6_2"/>
      <w:bookmarkStart w:id="454" w:name="Tc_G5mGnAw1pUG3Fqa7hp4ClA_6_0"/>
      <w:bookmarkStart w:id="455" w:name="Tc__WJ4rPEdHU-1wyAf8bQ3Rw_5_2"/>
      <w:bookmarkStart w:id="456" w:name="Tc_PvTCvjyZ_020RcUZRoFblQ_4_14"/>
      <w:bookmarkStart w:id="457" w:name="Tc_LY0QxFSSYk-LnnlFT6dgJg_4_11"/>
      <w:bookmarkStart w:id="458" w:name="Tc_WTvQR90jfE-jybJdbmON-A_4_8"/>
      <w:bookmarkStart w:id="459" w:name="Tc_ox6O6xtyykyilMlQkW-lBQ_4_5"/>
      <w:bookmarkStart w:id="460" w:name="Tc_7p2DK-IEfEaQGoWBTaQM1g_4_2"/>
      <w:bookmarkStart w:id="461" w:name="Tc_wDfY02Re7Uen-moB57HrFA_3_11"/>
      <w:bookmarkStart w:id="462" w:name="Tc_nkh9ZlIJn0OHqMa0qTpz7g_3_8"/>
      <w:bookmarkStart w:id="463" w:name="Tc_6x_dAzoj00ucG88bKxFNNA_3_5"/>
      <w:bookmarkStart w:id="464" w:name="Tc_PKRA8D0Tn0y1qqvmflskfw_3_2"/>
      <w:bookmarkStart w:id="465" w:name="Tc_hR5taF9fgU-H1v-vTkq3Sw_2_11"/>
      <w:bookmarkStart w:id="466" w:name="Tc_oZOvuqsBC0CYyClQd2qgVw_2_5"/>
      <w:bookmarkStart w:id="467" w:name="Tc_da-AH-IBsUG8H75Ig6eT4g_2_2"/>
      <w:bookmarkStart w:id="468" w:name="Tc_aBBp0V9OBkSCJANxzNedSQ_1_2"/>
      <w:bookmarkStart w:id="469" w:name="_0d68d69b_4082_4d89_b3df_1e4dd203158d"/>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tbl>
      <w:tblPr>
        <w:tblW w:w="10205" w:type="dxa"/>
        <w:jc w:val="left"/>
        <w:tblInd w:w="0" w:type="dxa"/>
        <w:tblLayout w:type="fixed"/>
        <w:tblCellMar>
          <w:top w:w="0" w:type="dxa"/>
          <w:left w:w="0" w:type="dxa"/>
          <w:bottom w:w="0" w:type="dxa"/>
          <w:right w:w="0" w:type="dxa"/>
        </w:tblCellMar>
      </w:tblPr>
      <w:tblGrid>
        <w:gridCol w:w="2796"/>
        <w:gridCol w:w="346"/>
        <w:gridCol w:w="274"/>
        <w:gridCol w:w="627"/>
        <w:gridCol w:w="412"/>
        <w:gridCol w:w="252"/>
        <w:gridCol w:w="683"/>
        <w:gridCol w:w="412"/>
        <w:gridCol w:w="371"/>
        <w:gridCol w:w="1011"/>
        <w:gridCol w:w="346"/>
        <w:gridCol w:w="295"/>
        <w:gridCol w:w="801"/>
        <w:gridCol w:w="346"/>
        <w:gridCol w:w="292"/>
        <w:gridCol w:w="941"/>
      </w:tblGrid>
      <w:tr>
        <w:trPr/>
        <w:tc>
          <w:tcPr>
            <w:tcW w:w="2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75460" cy="175260"/>
                      <wp:effectExtent l="0" t="0" r="0" b="0"/>
                      <wp:wrapNone/>
                      <wp:docPr id="47" name="Frame47"/>
                      <a:graphic xmlns:a="http://schemas.openxmlformats.org/drawingml/2006/main">
                        <a:graphicData uri="http://schemas.microsoft.com/office/word/2010/wordprocessingShape">
                          <wps:wsp>
                            <wps:cNvSpPr txBox="1"/>
                            <wps:spPr>
                              <a:xfrm>
                                <a:off x="0" y="0"/>
                                <a:ext cx="177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3990" cy="175260"/>
                      <wp:effectExtent l="0" t="0" r="0" b="0"/>
                      <wp:wrapNone/>
                      <wp:docPr id="49" name="Frame4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98145" cy="175260"/>
                      <wp:effectExtent l="0" t="0" r="0" b="0"/>
                      <wp:wrapNone/>
                      <wp:docPr id="50" name="Frame5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61620" cy="175260"/>
                      <wp:effectExtent l="0" t="0" r="0" b="0"/>
                      <wp:wrapNone/>
                      <wp:docPr id="51" name="Frame51"/>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60020" cy="175260"/>
                      <wp:effectExtent l="0" t="0" r="0" b="0"/>
                      <wp:wrapNone/>
                      <wp:docPr id="52" name="Frame5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33705" cy="175260"/>
                      <wp:effectExtent l="0" t="0" r="0" b="0"/>
                      <wp:wrapNone/>
                      <wp:docPr id="53" name="Frame53"/>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1620" cy="175260"/>
                      <wp:effectExtent l="0" t="0" r="0" b="0"/>
                      <wp:wrapNone/>
                      <wp:docPr id="54" name="Frame54"/>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5585" cy="175260"/>
                      <wp:effectExtent l="0" t="0" r="0" b="0"/>
                      <wp:wrapNone/>
                      <wp:docPr id="55" name="Frame5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1985" cy="175260"/>
                      <wp:effectExtent l="0" t="0" r="0" b="0"/>
                      <wp:wrapNone/>
                      <wp:docPr id="56" name="Frame56"/>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87325" cy="175260"/>
                      <wp:effectExtent l="0" t="0" r="0" b="0"/>
                      <wp:wrapNone/>
                      <wp:docPr id="58" name="Frame5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8635" cy="175260"/>
                      <wp:effectExtent l="0" t="0" r="0" b="0"/>
                      <wp:wrapNone/>
                      <wp:docPr id="59" name="Frame5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85420" cy="175260"/>
                      <wp:effectExtent l="0" t="0" r="0" b="0"/>
                      <wp:wrapNone/>
                      <wp:docPr id="61" name="Frame6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97535" cy="175260"/>
                      <wp:effectExtent l="0" t="0" r="0" b="0"/>
                      <wp:wrapNone/>
                      <wp:docPr id="62" name="Frame6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412" w:type="dxa"/>
            <w:tcBorders/>
            <w:vAlign w:val="center"/>
          </w:tcPr>
          <w:p>
            <w:pPr>
              <w:pStyle w:val="TableContents"/>
              <w:bidi w:val="0"/>
              <w:spacing w:before="0" w:after="0"/>
              <w:ind w:left="0" w:right="0" w:hanging="0"/>
              <w:jc w:val="left"/>
              <w:rPr/>
            </w:pPr>
            <w:r>
              <w:rPr/>
              <w:t>​</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412"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412" w:type="dxa"/>
            <w:tcBorders/>
            <w:vAlign w:val="center"/>
          </w:tcPr>
          <w:p>
            <w:pPr>
              <w:pStyle w:val="TableContents"/>
              <w:bidi w:val="0"/>
              <w:spacing w:before="0" w:after="0"/>
              <w:ind w:left="0" w:right="0" w:hanging="0"/>
              <w:jc w:val="left"/>
              <w:rPr/>
            </w:pPr>
            <w:r>
              <w:rPr/>
              <w:t>​</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412" w:type="dxa"/>
            <w:tcBorders/>
            <w:vAlign w:val="center"/>
          </w:tcPr>
          <w:p>
            <w:pPr>
              <w:pStyle w:val="TableContents"/>
              <w:bidi w:val="0"/>
              <w:spacing w:before="0" w:after="0"/>
              <w:ind w:left="0" w:right="0" w:hanging="0"/>
              <w:jc w:val="left"/>
              <w:rPr/>
            </w:pPr>
            <w:r>
              <w:rPr/>
              <w:t>​</w:t>
            </w:r>
          </w:p>
        </w:tc>
        <w:tc>
          <w:tcPr>
            <w:tcW w:w="138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4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412" w:type="dxa"/>
            <w:tcBorders/>
            <w:vAlign w:val="center"/>
          </w:tcPr>
          <w:p>
            <w:pPr>
              <w:pStyle w:val="TableContents"/>
              <w:bidi w:val="0"/>
              <w:spacing w:before="0" w:after="0"/>
              <w:ind w:left="0" w:right="0" w:hanging="0"/>
              <w:jc w:val="left"/>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412" w:type="dxa"/>
            <w:tcBorders/>
            <w:vAlign w:val="center"/>
          </w:tcPr>
          <w:p>
            <w:pPr>
              <w:pStyle w:val="TableContents"/>
              <w:bidi w:val="0"/>
              <w:spacing w:before="0" w:after="0"/>
              <w:ind w:left="0" w:right="0" w:hanging="0"/>
              <w:jc w:val="left"/>
              <w:rPr/>
            </w:pPr>
            <w:r>
              <w:rPr/>
              <w:t>  ​ ​ ​</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46" w:type="dxa"/>
            <w:tcBorders/>
            <w:vAlign w:val="center"/>
          </w:tcPr>
          <w:p>
            <w:pPr>
              <w:pStyle w:val="TableContents"/>
              <w:bidi w:val="0"/>
              <w:spacing w:before="0" w:after="0"/>
              <w:ind w:left="0" w:right="0" w:hanging="0"/>
              <w:jc w:val="left"/>
              <w:rPr/>
            </w:pPr>
            <w:r>
              <w:rPr/>
              <w:t>  ​ ​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3" w:type="dxa"/>
            <w:gridSpan w:val="1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2025</w:t>
            </w:r>
          </w:p>
        </w:tc>
        <w:tc>
          <w:tcPr>
            <w:tcW w:w="34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412"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w:t>
            </w:r>
          </w:p>
        </w:tc>
        <w:tc>
          <w:tcPr>
            <w:tcW w:w="412"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center"/>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412"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2" w:type="dxa"/>
            <w:tcBorders/>
            <w:vAlign w:val="center"/>
          </w:tcPr>
          <w:p>
            <w:pPr>
              <w:pStyle w:val="TableContents"/>
              <w:bidi w:val="0"/>
              <w:spacing w:before="0" w:after="0"/>
              <w:ind w:left="0" w:right="0" w:hanging="0"/>
              <w:jc w:val="left"/>
              <w:rPr/>
            </w:pPr>
            <w:r>
              <w:rPr/>
              <w:t> </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 </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(801)</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1,948</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1,147</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1,200</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2,347</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 reversal</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412"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2026</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(804)</w:t>
            </w:r>
          </w:p>
        </w:tc>
        <w:tc>
          <w:tcPr>
            <w:tcW w:w="412"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1,813</w:t>
            </w:r>
          </w:p>
        </w:tc>
        <w:tc>
          <w:tcPr>
            <w:tcW w:w="412" w:type="dxa"/>
            <w:tcBorders/>
            <w:vAlign w:val="center"/>
          </w:tcPr>
          <w:p>
            <w:pPr>
              <w:pStyle w:val="TableContents"/>
              <w:bidi w:val="0"/>
              <w:spacing w:before="0" w:after="0"/>
              <w:ind w:left="0" w:right="0" w:hanging="0"/>
              <w:jc w:val="left"/>
              <w:rPr/>
            </w:pPr>
            <w:r>
              <w:rPr/>
              <w:t> </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1,009</w:t>
            </w:r>
          </w:p>
        </w:tc>
        <w:tc>
          <w:tcPr>
            <w:tcW w:w="3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1,137</w:t>
            </w:r>
          </w:p>
        </w:tc>
        <w:tc>
          <w:tcPr>
            <w:tcW w:w="34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2,146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470" w:name="Tc_a1K4BHPGdUy4MI83g9oAJQ_23_14"/>
      <w:bookmarkStart w:id="471" w:name="Tc_1ql1bcnGNECe9sLY12_QsQ_23_11"/>
      <w:bookmarkStart w:id="472" w:name="Tc_BTjpn2dffU2CYcbSBol9CA_23_8"/>
      <w:bookmarkStart w:id="473" w:name="Tc_kpGyFqgmhkCGWHFKOXXYqg_23_5"/>
      <w:bookmarkStart w:id="474" w:name="Tc_nWVgT2Ei10SJwUxZ71mG7Q_23_2"/>
      <w:bookmarkStart w:id="475" w:name="Tc_inIIYcRR5Eq-W1vnZASi6A_23_0"/>
      <w:bookmarkStart w:id="476" w:name="Tc_bwDzrL0bSUCqyk1bJ1x21g_22_0"/>
      <w:bookmarkStart w:id="477" w:name="Tc__NqbW5DXeESKjjLXk0KpYw_21_9"/>
      <w:bookmarkStart w:id="478" w:name="Tc_hJ7j42zJsU-w35zH3iQ91w_21_6"/>
      <w:bookmarkStart w:id="479" w:name="Tc_SBJM-ySC0EGL_sUKJkD40w_21_3"/>
      <w:bookmarkStart w:id="480" w:name="Tc_vrhm02zJE0-kQ6350grnIw_21_0"/>
      <w:bookmarkStart w:id="481" w:name="Tc_e-yYO6UUyUW2UVE6QARFMA_20_3"/>
      <w:bookmarkStart w:id="482" w:name="Tc_1KBKociBkUCjKgiwTqVU5w_20_0"/>
      <w:bookmarkStart w:id="483" w:name="Tc_pvf5xU4T2ke_XY2eoqKyKw_19_9"/>
      <w:bookmarkStart w:id="484" w:name="Tc_Ct_sxRTcv0iVxA8vOjBOPQ_19_6"/>
      <w:bookmarkStart w:id="485" w:name="Tc_QkAYrUrDjEOGNn9g-OFfuw_19_3"/>
      <w:bookmarkStart w:id="486" w:name="Tc_JST9mBgLCE2ylMV__6Ku0g_19_0"/>
      <w:bookmarkStart w:id="487" w:name="Tc_HHQ2ueGosU-B8C_EndTTEw_18_12"/>
      <w:bookmarkStart w:id="488" w:name="Tc_O8byVC6OtUeJG17FO2SpPg_18_3"/>
      <w:bookmarkStart w:id="489" w:name="Tc_kYE-zYEUX0-HgswnDZVJow_18_0"/>
      <w:bookmarkStart w:id="490" w:name="Tc_Jok2vmaH3Eenj_fiKdQjXA_17_12"/>
      <w:bookmarkStart w:id="491" w:name="Tc_-xCB7RcuUUupS6O_fRNAsQ_17_0"/>
      <w:bookmarkStart w:id="492" w:name="Tc_dFUxzWUlmUef2iWzX_gVxg_16_12"/>
      <w:bookmarkStart w:id="493" w:name="Tc__GuA_S2_ykO4AyYXlkWbEw_16_0"/>
      <w:bookmarkStart w:id="494" w:name="Tc_Do9BPF4SrECj-lnBd5RfcQ_15_3"/>
      <w:bookmarkStart w:id="495" w:name="Tc_oHEBeATAYUKCMlur-Tztvg_15_0"/>
      <w:bookmarkStart w:id="496" w:name="Tc_Zf0V2ch5GUSH3v_YWAb6UA_14_0"/>
      <w:bookmarkStart w:id="497" w:name="Tc_dHcN3kKBLE-MKRkLsqo-Nw_13_14"/>
      <w:bookmarkStart w:id="498" w:name="Tc_lNeT2EtqBEey8DXKXkxIEA_13_11"/>
      <w:bookmarkStart w:id="499" w:name="Tc_olb259zkgkaY1aiRzRXW8Q_13_8"/>
      <w:bookmarkStart w:id="500" w:name="Tc_uaZ6Wj2MVkK45543TwmY-g_13_5"/>
      <w:bookmarkStart w:id="501" w:name="Tc_C97Q_l--X02OwfV9zLjNMg_13_2"/>
      <w:bookmarkStart w:id="502" w:name="Tc_Q4WKrYSNZ0qWqLgEeCyUFw_13_0"/>
      <w:bookmarkStart w:id="503" w:name="Tc_-mJBflv77E6ePJo1yhl8Rg_12_12"/>
      <w:bookmarkStart w:id="504" w:name="Tc_p-vyxnZIiEOagVfm8JePuQ_12_3"/>
      <w:bookmarkStart w:id="505" w:name="Tc_z7JQniomBk-N7wzuyBsfSA_12_0"/>
      <w:bookmarkStart w:id="506" w:name="Tc_VQ1K3VenSEOIueYrQwJ2mQ_11_9"/>
      <w:bookmarkStart w:id="507" w:name="Tc_yxis5YEpOUiJGisy8S8qfA_11_6"/>
      <w:bookmarkStart w:id="508" w:name="Tc_mta1CzB_mEavSwCy-l3hnA_11_3"/>
      <w:bookmarkStart w:id="509" w:name="Tc_h9aYx9KW0kCzcvUkMG4HsA_11_0"/>
      <w:bookmarkStart w:id="510" w:name="Tc_kyQaUmA9OUiY6zOEpaabBA_10_3"/>
      <w:bookmarkStart w:id="511" w:name="Tc_LlDJYLEZdEy578Ju0zIfbg_10_0"/>
      <w:bookmarkStart w:id="512" w:name="Tc_zBRsvWjEBESHL9LKx5oxVg_9_12"/>
      <w:bookmarkStart w:id="513" w:name="Tc_KVcLFGDGXku6DXoLPXq79w_9_0"/>
      <w:bookmarkStart w:id="514" w:name="Tc_IYzhgAohr0alrd1fEaPCjg_8_12"/>
      <w:bookmarkStart w:id="515" w:name="Tc_772osWfM60KnfSu_WCQNVQ_8_3"/>
      <w:bookmarkStart w:id="516" w:name="Tc_EUaePIR4xUyjjEs_wVaXWw_8_0"/>
      <w:bookmarkStart w:id="517" w:name="Tc_11hNw3NE402Hfp1VeUSwUw_7_0"/>
      <w:bookmarkStart w:id="518" w:name="Tc_HDQBumti10eKa8OwuRcPcw_6_14"/>
      <w:bookmarkStart w:id="519" w:name="Tc_20TRnjVUm0SUzM-TnfsnCg_6_11"/>
      <w:bookmarkStart w:id="520" w:name="Tc_NHkQWYdRrUKkdNOu5NhPng_6_8"/>
      <w:bookmarkStart w:id="521" w:name="Tc_Ua1peBB-ak-WGDMxeCgXHQ_6_5"/>
      <w:bookmarkStart w:id="522" w:name="Tc_hipQUZB-_062Cyrqdd4czA_6_2"/>
      <w:bookmarkStart w:id="523" w:name="Tc_I_XeNkbMzkOdrZd0XB06Ew_6_0"/>
      <w:bookmarkStart w:id="524" w:name="Tc_gCSTRGAyZ0-p3wEm0AO_4A_5_2"/>
      <w:bookmarkStart w:id="525" w:name="Tc_G75EnZQ5uk2MMhs2FRxL-w_4_14"/>
      <w:bookmarkStart w:id="526" w:name="Tc_Cc3TsGPUgEKXMF2f2dWdwg_4_11"/>
      <w:bookmarkStart w:id="527" w:name="Tc_hgI05cKz2kG0LFpDWH2HvQ_4_8"/>
      <w:bookmarkStart w:id="528" w:name="Tc_XRfoeetymUyf_6ZErXJXfg_4_5"/>
      <w:bookmarkStart w:id="529" w:name="Tc_yM269fJjBUiTxwHc50YJ-w_4_2"/>
      <w:bookmarkStart w:id="530" w:name="Tc_qVfACVVIxU-0bQpehM-ufg_3_11"/>
      <w:bookmarkStart w:id="531" w:name="Tc_e1If18gyz0q0klWcSOziKQ_3_8"/>
      <w:bookmarkStart w:id="532" w:name="Tc_yr0vrfeBbE-1bhepYL6pTw_3_5"/>
      <w:bookmarkStart w:id="533" w:name="Tc__pytjPX5oUKu5YHtpd1JWg_3_2"/>
      <w:bookmarkStart w:id="534" w:name="Tc_9fto3DDuhU6N1N6nD-a_dA_2_11"/>
      <w:bookmarkStart w:id="535" w:name="Tc_bNkBVZLnDESSwvwJMVgvAw_2_5"/>
      <w:bookmarkStart w:id="536" w:name="Tc_mG_8zNreGkWtd4aM4Kmb2w_2_2"/>
      <w:bookmarkStart w:id="537" w:name="Tc_xMG1Rua2LUqZPd2MILNECw_1_2"/>
      <w:bookmarkStart w:id="538" w:name="_18907d99_d2bc_44f1_82a6_95f9293ff80f"/>
      <w:bookmarkStart w:id="539" w:name="Tc_a1K4BHPGdUy4MI83g9oAJQ_23_14"/>
      <w:bookmarkStart w:id="540" w:name="Tc_1ql1bcnGNECe9sLY12_QsQ_23_11"/>
      <w:bookmarkStart w:id="541" w:name="Tc_BTjpn2dffU2CYcbSBol9CA_23_8"/>
      <w:bookmarkStart w:id="542" w:name="Tc_kpGyFqgmhkCGWHFKOXXYqg_23_5"/>
      <w:bookmarkStart w:id="543" w:name="Tc_nWVgT2Ei10SJwUxZ71mG7Q_23_2"/>
      <w:bookmarkStart w:id="544" w:name="Tc_inIIYcRR5Eq-W1vnZASi6A_23_0"/>
      <w:bookmarkStart w:id="545" w:name="Tc_bwDzrL0bSUCqyk1bJ1x21g_22_0"/>
      <w:bookmarkStart w:id="546" w:name="Tc__NqbW5DXeESKjjLXk0KpYw_21_9"/>
      <w:bookmarkStart w:id="547" w:name="Tc_hJ7j42zJsU-w35zH3iQ91w_21_6"/>
      <w:bookmarkStart w:id="548" w:name="Tc_SBJM-ySC0EGL_sUKJkD40w_21_3"/>
      <w:bookmarkStart w:id="549" w:name="Tc_vrhm02zJE0-kQ6350grnIw_21_0"/>
      <w:bookmarkStart w:id="550" w:name="Tc_e-yYO6UUyUW2UVE6QARFMA_20_3"/>
      <w:bookmarkStart w:id="551" w:name="Tc_1KBKociBkUCjKgiwTqVU5w_20_0"/>
      <w:bookmarkStart w:id="552" w:name="Tc_pvf5xU4T2ke_XY2eoqKyKw_19_9"/>
      <w:bookmarkStart w:id="553" w:name="Tc_Ct_sxRTcv0iVxA8vOjBOPQ_19_6"/>
      <w:bookmarkStart w:id="554" w:name="Tc_QkAYrUrDjEOGNn9g-OFfuw_19_3"/>
      <w:bookmarkStart w:id="555" w:name="Tc_JST9mBgLCE2ylMV__6Ku0g_19_0"/>
      <w:bookmarkStart w:id="556" w:name="Tc_HHQ2ueGosU-B8C_EndTTEw_18_12"/>
      <w:bookmarkStart w:id="557" w:name="Tc_O8byVC6OtUeJG17FO2SpPg_18_3"/>
      <w:bookmarkStart w:id="558" w:name="Tc_kYE-zYEUX0-HgswnDZVJow_18_0"/>
      <w:bookmarkStart w:id="559" w:name="Tc_Jok2vmaH3Eenj_fiKdQjXA_17_12"/>
      <w:bookmarkStart w:id="560" w:name="Tc_-xCB7RcuUUupS6O_fRNAsQ_17_0"/>
      <w:bookmarkStart w:id="561" w:name="Tc_dFUxzWUlmUef2iWzX_gVxg_16_12"/>
      <w:bookmarkStart w:id="562" w:name="Tc__GuA_S2_ykO4AyYXlkWbEw_16_0"/>
      <w:bookmarkStart w:id="563" w:name="Tc_Do9BPF4SrECj-lnBd5RfcQ_15_3"/>
      <w:bookmarkStart w:id="564" w:name="Tc_oHEBeATAYUKCMlur-Tztvg_15_0"/>
      <w:bookmarkStart w:id="565" w:name="Tc_Zf0V2ch5GUSH3v_YWAb6UA_14_0"/>
      <w:bookmarkStart w:id="566" w:name="Tc_dHcN3kKBLE-MKRkLsqo-Nw_13_14"/>
      <w:bookmarkStart w:id="567" w:name="Tc_lNeT2EtqBEey8DXKXkxIEA_13_11"/>
      <w:bookmarkStart w:id="568" w:name="Tc_olb259zkgkaY1aiRzRXW8Q_13_8"/>
      <w:bookmarkStart w:id="569" w:name="Tc_uaZ6Wj2MVkK45543TwmY-g_13_5"/>
      <w:bookmarkStart w:id="570" w:name="Tc_C97Q_l--X02OwfV9zLjNMg_13_2"/>
      <w:bookmarkStart w:id="571" w:name="Tc_Q4WKrYSNZ0qWqLgEeCyUFw_13_0"/>
      <w:bookmarkStart w:id="572" w:name="Tc_-mJBflv77E6ePJo1yhl8Rg_12_12"/>
      <w:bookmarkStart w:id="573" w:name="Tc_p-vyxnZIiEOagVfm8JePuQ_12_3"/>
      <w:bookmarkStart w:id="574" w:name="Tc_z7JQniomBk-N7wzuyBsfSA_12_0"/>
      <w:bookmarkStart w:id="575" w:name="Tc_VQ1K3VenSEOIueYrQwJ2mQ_11_9"/>
      <w:bookmarkStart w:id="576" w:name="Tc_yxis5YEpOUiJGisy8S8qfA_11_6"/>
      <w:bookmarkStart w:id="577" w:name="Tc_mta1CzB_mEavSwCy-l3hnA_11_3"/>
      <w:bookmarkStart w:id="578" w:name="Tc_h9aYx9KW0kCzcvUkMG4HsA_11_0"/>
      <w:bookmarkStart w:id="579" w:name="Tc_kyQaUmA9OUiY6zOEpaabBA_10_3"/>
      <w:bookmarkStart w:id="580" w:name="Tc_LlDJYLEZdEy578Ju0zIfbg_10_0"/>
      <w:bookmarkStart w:id="581" w:name="Tc_zBRsvWjEBESHL9LKx5oxVg_9_12"/>
      <w:bookmarkStart w:id="582" w:name="Tc_KVcLFGDGXku6DXoLPXq79w_9_0"/>
      <w:bookmarkStart w:id="583" w:name="Tc_IYzhgAohr0alrd1fEaPCjg_8_12"/>
      <w:bookmarkStart w:id="584" w:name="Tc_772osWfM60KnfSu_WCQNVQ_8_3"/>
      <w:bookmarkStart w:id="585" w:name="Tc_EUaePIR4xUyjjEs_wVaXWw_8_0"/>
      <w:bookmarkStart w:id="586" w:name="Tc_11hNw3NE402Hfp1VeUSwUw_7_0"/>
      <w:bookmarkStart w:id="587" w:name="Tc_HDQBumti10eKa8OwuRcPcw_6_14"/>
      <w:bookmarkStart w:id="588" w:name="Tc_20TRnjVUm0SUzM-TnfsnCg_6_11"/>
      <w:bookmarkStart w:id="589" w:name="Tc_NHkQWYdRrUKkdNOu5NhPng_6_8"/>
      <w:bookmarkStart w:id="590" w:name="Tc_Ua1peBB-ak-WGDMxeCgXHQ_6_5"/>
      <w:bookmarkStart w:id="591" w:name="Tc_hipQUZB-_062Cyrqdd4czA_6_2"/>
      <w:bookmarkStart w:id="592" w:name="Tc_I_XeNkbMzkOdrZd0XB06Ew_6_0"/>
      <w:bookmarkStart w:id="593" w:name="Tc_gCSTRGAyZ0-p3wEm0AO_4A_5_2"/>
      <w:bookmarkStart w:id="594" w:name="Tc_G75EnZQ5uk2MMhs2FRxL-w_4_14"/>
      <w:bookmarkStart w:id="595" w:name="Tc_Cc3TsGPUgEKXMF2f2dWdwg_4_11"/>
      <w:bookmarkStart w:id="596" w:name="Tc_hgI05cKz2kG0LFpDWH2HvQ_4_8"/>
      <w:bookmarkStart w:id="597" w:name="Tc_XRfoeetymUyf_6ZErXJXfg_4_5"/>
      <w:bookmarkStart w:id="598" w:name="Tc_yM269fJjBUiTxwHc50YJ-w_4_2"/>
      <w:bookmarkStart w:id="599" w:name="Tc_qVfACVVIxU-0bQpehM-ufg_3_11"/>
      <w:bookmarkStart w:id="600" w:name="Tc_e1If18gyz0q0klWcSOziKQ_3_8"/>
      <w:bookmarkStart w:id="601" w:name="Tc_yr0vrfeBbE-1bhepYL6pTw_3_5"/>
      <w:bookmarkStart w:id="602" w:name="Tc__pytjPX5oUKu5YHtpd1JWg_3_2"/>
      <w:bookmarkStart w:id="603" w:name="Tc_9fto3DDuhU6N1N6nD-a_dA_2_11"/>
      <w:bookmarkStart w:id="604" w:name="Tc_bNkBVZLnDESSwvwJMVgvAw_2_5"/>
      <w:bookmarkStart w:id="605" w:name="Tc_mG_8zNreGkWtd4aM4Kmb2w_2_2"/>
      <w:bookmarkStart w:id="606" w:name="Tc_xMG1Rua2LUqZPd2MILNECw_1_2"/>
      <w:bookmarkStart w:id="607" w:name="_18907d99_d2bc_44f1_82a6_95f9293ff80f"/>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tbl>
      <w:tblPr>
        <w:tblW w:w="10205" w:type="dxa"/>
        <w:jc w:val="left"/>
        <w:tblInd w:w="0" w:type="dxa"/>
        <w:tblLayout w:type="fixed"/>
        <w:tblCellMar>
          <w:top w:w="0" w:type="dxa"/>
          <w:left w:w="0" w:type="dxa"/>
          <w:bottom w:w="0" w:type="dxa"/>
          <w:right w:w="0" w:type="dxa"/>
        </w:tblCellMar>
      </w:tblPr>
      <w:tblGrid>
        <w:gridCol w:w="2796"/>
        <w:gridCol w:w="346"/>
        <w:gridCol w:w="274"/>
        <w:gridCol w:w="627"/>
        <w:gridCol w:w="412"/>
        <w:gridCol w:w="252"/>
        <w:gridCol w:w="683"/>
        <w:gridCol w:w="412"/>
        <w:gridCol w:w="371"/>
        <w:gridCol w:w="1011"/>
        <w:gridCol w:w="346"/>
        <w:gridCol w:w="295"/>
        <w:gridCol w:w="801"/>
        <w:gridCol w:w="346"/>
        <w:gridCol w:w="292"/>
        <w:gridCol w:w="941"/>
      </w:tblGrid>
      <w:tr>
        <w:trPr/>
        <w:tc>
          <w:tcPr>
            <w:tcW w:w="2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775460" cy="175260"/>
                      <wp:effectExtent l="0" t="0" r="0" b="0"/>
                      <wp:wrapNone/>
                      <wp:docPr id="63" name="Frame63"/>
                      <a:graphic xmlns:a="http://schemas.openxmlformats.org/drawingml/2006/main">
                        <a:graphicData uri="http://schemas.microsoft.com/office/word/2010/wordprocessingShape">
                          <wps:wsp>
                            <wps:cNvSpPr txBox="1"/>
                            <wps:spPr>
                              <a:xfrm>
                                <a:off x="0" y="0"/>
                                <a:ext cx="177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73990" cy="175260"/>
                      <wp:effectExtent l="0" t="0" r="0" b="0"/>
                      <wp:wrapNone/>
                      <wp:docPr id="65" name="Frame6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98145" cy="175260"/>
                      <wp:effectExtent l="0" t="0" r="0" b="0"/>
                      <wp:wrapNone/>
                      <wp:docPr id="66" name="Frame66"/>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61620" cy="175260"/>
                      <wp:effectExtent l="0" t="0" r="0" b="0"/>
                      <wp:wrapNone/>
                      <wp:docPr id="67" name="Frame6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0020" cy="175260"/>
                      <wp:effectExtent l="0" t="0" r="0" b="0"/>
                      <wp:wrapNone/>
                      <wp:docPr id="68" name="Frame6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33705" cy="175260"/>
                      <wp:effectExtent l="0" t="0" r="0" b="0"/>
                      <wp:wrapNone/>
                      <wp:docPr id="69" name="Frame69"/>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61620" cy="175260"/>
                      <wp:effectExtent l="0" t="0" r="0" b="0"/>
                      <wp:wrapNone/>
                      <wp:docPr id="70" name="Frame70"/>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35585" cy="175260"/>
                      <wp:effectExtent l="0" t="0" r="0" b="0"/>
                      <wp:wrapNone/>
                      <wp:docPr id="71" name="Frame7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1985" cy="175260"/>
                      <wp:effectExtent l="0" t="0" r="0" b="0"/>
                      <wp:wrapNone/>
                      <wp:docPr id="72" name="Frame72"/>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7325" cy="175260"/>
                      <wp:effectExtent l="0" t="0" r="0" b="0"/>
                      <wp:wrapNone/>
                      <wp:docPr id="74" name="Frame7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08635" cy="175260"/>
                      <wp:effectExtent l="0" t="0" r="0" b="0"/>
                      <wp:wrapNone/>
                      <wp:docPr id="75" name="Frame7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85420" cy="175260"/>
                      <wp:effectExtent l="0" t="0" r="0" b="0"/>
                      <wp:wrapNone/>
                      <wp:docPr id="77" name="Frame7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7535" cy="175260"/>
                      <wp:effectExtent l="0" t="0" r="0" b="0"/>
                      <wp:wrapNone/>
                      <wp:docPr id="78" name="Frame78"/>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412" w:type="dxa"/>
            <w:tcBorders/>
            <w:vAlign w:val="center"/>
          </w:tcPr>
          <w:p>
            <w:pPr>
              <w:pStyle w:val="TableContents"/>
              <w:bidi w:val="0"/>
              <w:spacing w:before="0" w:after="0"/>
              <w:ind w:left="0" w:right="0" w:hanging="0"/>
              <w:jc w:val="left"/>
              <w:rPr/>
            </w:pPr>
            <w:r>
              <w:rPr/>
              <w:t>​</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412"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412" w:type="dxa"/>
            <w:tcBorders/>
            <w:vAlign w:val="center"/>
          </w:tcPr>
          <w:p>
            <w:pPr>
              <w:pStyle w:val="TableContents"/>
              <w:bidi w:val="0"/>
              <w:spacing w:before="0" w:after="0"/>
              <w:ind w:left="0" w:right="0" w:hanging="0"/>
              <w:jc w:val="left"/>
              <w:rPr/>
            </w:pPr>
            <w:r>
              <w:rPr/>
              <w:t>​</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412" w:type="dxa"/>
            <w:tcBorders/>
            <w:vAlign w:val="center"/>
          </w:tcPr>
          <w:p>
            <w:pPr>
              <w:pStyle w:val="TableContents"/>
              <w:bidi w:val="0"/>
              <w:spacing w:before="0" w:after="0"/>
              <w:ind w:left="0" w:right="0" w:hanging="0"/>
              <w:jc w:val="left"/>
              <w:rPr/>
            </w:pPr>
            <w:r>
              <w:rPr/>
              <w:t>​</w:t>
            </w:r>
          </w:p>
        </w:tc>
        <w:tc>
          <w:tcPr>
            <w:tcW w:w="138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4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412" w:type="dxa"/>
            <w:tcBorders/>
            <w:vAlign w:val="center"/>
          </w:tcPr>
          <w:p>
            <w:pPr>
              <w:pStyle w:val="TableContents"/>
              <w:bidi w:val="0"/>
              <w:spacing w:before="0" w:after="0"/>
              <w:ind w:left="0" w:right="0" w:hanging="0"/>
              <w:jc w:val="left"/>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412" w:type="dxa"/>
            <w:tcBorders/>
            <w:vAlign w:val="center"/>
          </w:tcPr>
          <w:p>
            <w:pPr>
              <w:pStyle w:val="TableContents"/>
              <w:bidi w:val="0"/>
              <w:spacing w:before="0" w:after="0"/>
              <w:ind w:left="0" w:right="0" w:hanging="0"/>
              <w:jc w:val="left"/>
              <w:rPr/>
            </w:pPr>
            <w:r>
              <w:rPr/>
              <w:t>  ​ ​ ​</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46" w:type="dxa"/>
            <w:tcBorders/>
            <w:vAlign w:val="center"/>
          </w:tcPr>
          <w:p>
            <w:pPr>
              <w:pStyle w:val="TableContents"/>
              <w:bidi w:val="0"/>
              <w:spacing w:before="0" w:after="0"/>
              <w:ind w:left="0" w:right="0" w:hanging="0"/>
              <w:jc w:val="left"/>
              <w:rPr/>
            </w:pPr>
            <w:r>
              <w:rPr/>
              <w:t>  ​ ​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3" w:type="dxa"/>
            <w:gridSpan w:val="1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2024</w:t>
            </w:r>
          </w:p>
        </w:tc>
        <w:tc>
          <w:tcPr>
            <w:tcW w:w="34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412"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c>
          <w:tcPr>
            <w:tcW w:w="412"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center"/>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412"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center"/>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31, 2025</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(789)</w:t>
            </w:r>
          </w:p>
        </w:tc>
        <w:tc>
          <w:tcPr>
            <w:tcW w:w="412"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2,563</w:t>
            </w:r>
          </w:p>
        </w:tc>
        <w:tc>
          <w:tcPr>
            <w:tcW w:w="412" w:type="dxa"/>
            <w:tcBorders/>
            <w:vAlign w:val="center"/>
          </w:tcPr>
          <w:p>
            <w:pPr>
              <w:pStyle w:val="TableContents"/>
              <w:bidi w:val="0"/>
              <w:spacing w:before="0" w:after="0"/>
              <w:ind w:left="0" w:right="0" w:hanging="0"/>
              <w:jc w:val="left"/>
              <w:rPr/>
            </w:pPr>
            <w:r>
              <w:rPr/>
              <w:t> </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1,774</w:t>
            </w:r>
          </w:p>
        </w:tc>
        <w:tc>
          <w:tcPr>
            <w:tcW w:w="3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1,968</w:t>
            </w:r>
          </w:p>
        </w:tc>
        <w:tc>
          <w:tcPr>
            <w:tcW w:w="34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3,742</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 payable reversal</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 to non-controlling interests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righ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righ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(790)</w:t>
            </w:r>
          </w:p>
        </w:tc>
        <w:tc>
          <w:tcPr>
            <w:tcW w:w="412"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2,533</w:t>
            </w:r>
          </w:p>
        </w:tc>
        <w:tc>
          <w:tcPr>
            <w:tcW w:w="412" w:type="dxa"/>
            <w:tcBorders/>
            <w:vAlign w:val="center"/>
          </w:tcPr>
          <w:p>
            <w:pPr>
              <w:pStyle w:val="TableContents"/>
              <w:bidi w:val="0"/>
              <w:spacing w:before="0" w:after="0"/>
              <w:ind w:left="0" w:right="0" w:hanging="0"/>
              <w:jc w:val="left"/>
              <w:rPr/>
            </w:pPr>
            <w:r>
              <w:rPr/>
              <w:t> </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1,743</w:t>
            </w:r>
          </w:p>
        </w:tc>
        <w:tc>
          <w:tcPr>
            <w:tcW w:w="3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1,680</w:t>
            </w:r>
          </w:p>
        </w:tc>
        <w:tc>
          <w:tcPr>
            <w:tcW w:w="346" w:type="dxa"/>
            <w:tcBorders/>
            <w:vAlign w:val="center"/>
          </w:tcPr>
          <w:p>
            <w:pPr>
              <w:pStyle w:val="TableContents"/>
              <w:bidi w:val="0"/>
              <w:spacing w:before="0" w:after="0"/>
              <w:ind w:left="0" w:right="0" w:hanging="0"/>
              <w:jc w:val="left"/>
              <w:rPr/>
            </w:pPr>
            <w:r>
              <w:rPr/>
              <w:t> </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00"/>
        <w:ind w:left="0" w:right="0" w:hanging="0"/>
        <w:jc w:val="center"/>
        <w:rPr>
          <w:rFonts w:ascii="Times New Roman;Times;serif" w:hAnsi="Times New Roman;Times;serif"/>
          <w:b/>
          <w:sz w:val="20"/>
        </w:rPr>
      </w:pPr>
      <w:bookmarkStart w:id="608" w:name="_97dcf42f_c460_45a6_a35b_a7069745b385"/>
      <w:bookmarkEnd w:id="608"/>
      <w:r>
        <w:rPr>
          <w:rFonts w:ascii="Times New Roman;Times;serif" w:hAnsi="Times New Roman;Times;serif"/>
          <w:b/>
          <w:sz w:val="20"/>
        </w:rPr>
        <w:t>ICAHN ENTERPRISES L.P. AND SUBSIDIARIES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Normal"/>
        <w:bidi w:val="0"/>
        <w:spacing w:before="0" w:after="0"/>
        <w:jc w:val="left"/>
        <w:rPr>
          <w:sz w:val="4"/>
          <w:szCs w:val="4"/>
        </w:rPr>
      </w:pPr>
      <w:r>
        <w:rPr>
          <w:sz w:val="4"/>
          <w:szCs w:val="4"/>
        </w:rPr>
      </w:r>
      <w:bookmarkStart w:id="609" w:name="Tc_RlLPsoHhykSbBSUWHM0u4Q_44_5"/>
      <w:bookmarkStart w:id="610" w:name="Tc_N1FasfaA2keQo7SlD27OYA_44_2"/>
      <w:bookmarkStart w:id="611" w:name="Tc_WgqjGLOW2EqGabF2z-4EGw_44_0"/>
      <w:bookmarkStart w:id="612" w:name="Tc_anIL7-JP80-CA3GliA5irA_43_0"/>
      <w:bookmarkStart w:id="613" w:name="Tc_j0DUJoMZgkyvlPKRHem4xg_42_0"/>
      <w:bookmarkStart w:id="614" w:name="Tc_yIzyN40LY0arKu1Ds9iM0g_41_3"/>
      <w:bookmarkStart w:id="615" w:name="Tc_mfZqvY7bbEaqTDAk68LKcw_41_0"/>
      <w:bookmarkStart w:id="616" w:name="Tc_AXU7jnoP00unytxsGbr5sw_40_0"/>
      <w:bookmarkStart w:id="617" w:name="Tc_74wk7zBq-kOWQTsr4iK0ow_39_0"/>
      <w:bookmarkStart w:id="618" w:name="Tc_crgVNzTQIECZW3XefnQvyQ_38_0"/>
      <w:bookmarkStart w:id="619" w:name="Tc_bAp_LmxVBEuiYIYOhOZ9nQ_37_0"/>
      <w:bookmarkStart w:id="620" w:name="Tc_KphV_ivnkEaVOd5JQBK37Q_36_0"/>
      <w:bookmarkStart w:id="621" w:name="Tc_WFB8DcxMHEiVV-w16k2MKg_35_6"/>
      <w:bookmarkStart w:id="622" w:name="Tc_Wd6kuQB3YkSNd7dPAI_nlA_35_0"/>
      <w:bookmarkStart w:id="623" w:name="Tc_4oYsIaVH6EWgogCAFsFPTg_34_0"/>
      <w:bookmarkStart w:id="624" w:name="Tc_YDyZHcfdSEeDVLKmJLWjdg_33_0"/>
      <w:bookmarkStart w:id="625" w:name="Tc_nN0dEY4sOkag1aSYu929Lw_32_0"/>
      <w:bookmarkStart w:id="626" w:name="Tc_1paA-BRhtkqigKbTUqtWRQ_31_3"/>
      <w:bookmarkStart w:id="627" w:name="Tc_W5q6enIKM0yj4IEjTU8rhg_31_0"/>
      <w:bookmarkStart w:id="628" w:name="Tc_uoSH5ujz4065XRmy7mtwmg_30_0"/>
      <w:bookmarkStart w:id="629" w:name="Tc_Ldzp47jt20G7_pQt8zyseg_29_0"/>
      <w:bookmarkStart w:id="630" w:name="Tc_itiR92wWU0ul-G7SowVBsQ_28_0"/>
      <w:bookmarkStart w:id="631" w:name="Tc_34MEjdR9UUqgk5izqNYOHQ_27_3"/>
      <w:bookmarkStart w:id="632" w:name="Tc_VN1UK7I3jUiVTXCVNMgd_g_27_0"/>
      <w:bookmarkStart w:id="633" w:name="Tc_UGIYm1WLEEGMxMYcp6g3Gw_26_0"/>
      <w:bookmarkStart w:id="634" w:name="Tc_9LVIyvRV_EikFIKBwC5dZQ_25_3"/>
      <w:bookmarkStart w:id="635" w:name="Tc_XnUI7cXrR0ab1oRwVve9IQ_25_0"/>
      <w:bookmarkStart w:id="636" w:name="Tc_2SpC84jbrkuxwiCQrDZdgw_24_0"/>
      <w:bookmarkStart w:id="637" w:name="Tc_FwVi6W4YfUysckfw8IcdJA_23_0"/>
      <w:bookmarkStart w:id="638" w:name="Tc_0Hc1P1yLdE-RbQk5J_-ycw_22_0"/>
      <w:bookmarkStart w:id="639" w:name="Tc_kGBfmhQFxE263-5tpgVoDw_21_0"/>
      <w:bookmarkStart w:id="640" w:name="Tc_uzn7YYlV4EeyXAKKHMkvBw_20_0"/>
      <w:bookmarkStart w:id="641" w:name="Tc_u4EsHGhUM0ycTe4_DrGTTA_19_0"/>
      <w:bookmarkStart w:id="642" w:name="Tc_5BIkilQiy0aAgq1QFvDEcQ_18_0"/>
      <w:bookmarkStart w:id="643" w:name="Tc_QX16wq6tPECLON4vasAnFA_17_0"/>
      <w:bookmarkStart w:id="644" w:name="Tc_WpjN8SAvfk66IdivJ5k1HA_16_3"/>
      <w:bookmarkStart w:id="645" w:name="Tc_zlENovNtCUqHhoW-M-CG-w_16_0"/>
      <w:bookmarkStart w:id="646" w:name="Tc_u7ospaV_iE2Uc5MnXoWybw_15_0"/>
      <w:bookmarkStart w:id="647" w:name="Tc_IFmbCicWB0WpxVgfMpuNoA_14_0"/>
      <w:bookmarkStart w:id="648" w:name="Tc_Lc-9B3Z1OkCZ53G59RZc_Q_13_0"/>
      <w:bookmarkStart w:id="649" w:name="Tc_Cum3qoz1-UifYx_AlZejAQ_12_0"/>
      <w:bookmarkStart w:id="650" w:name="Tc_StrOnaAQE0-2CicsByLb_A_11_0"/>
      <w:bookmarkStart w:id="651" w:name="Tc_bC3CtKIREE-ECJX7DGOk3A_10_0"/>
      <w:bookmarkStart w:id="652" w:name="Tc_De7tq-0gI0aheaN5DUihZg_9_0"/>
      <w:bookmarkStart w:id="653" w:name="Tc_XV2Hc8yYPk-X6qrT7q94Jg_8_0"/>
      <w:bookmarkStart w:id="654" w:name="Tc_0-Gqb7KApkiIVTlvZSP81g_7_0"/>
      <w:bookmarkStart w:id="655" w:name="Tc_NuX40Fs_lEeCmfKfeyniIg_6_0"/>
      <w:bookmarkStart w:id="656" w:name="Tc_w4PkWhl_DUiE8-fvHzo7BQ_5_5"/>
      <w:bookmarkStart w:id="657" w:name="Tc_24L_K8oz6UqBGvysNUzBTw_5_2"/>
      <w:bookmarkStart w:id="658" w:name="Tc_-vq91GqbAkepwQCxdIANaQ_5_0"/>
      <w:bookmarkStart w:id="659" w:name="Tc_2nJdbYKM7EW2wNwOnuL4Lg_4_0"/>
      <w:bookmarkStart w:id="660" w:name="Tc_cVWHxqSsoUWvQVrf2DKXkQ_3_2"/>
      <w:bookmarkStart w:id="661" w:name="Tc_6tZcRsIR_kC0C8cSe3LpRA_2_5"/>
      <w:bookmarkStart w:id="662" w:name="Tc_oHb_nlWXYUuE-2Vl5eSoqw_2_2"/>
      <w:bookmarkStart w:id="663" w:name="Tc_M9zyrIZqgkSCpzfgnbShOQ_1_2"/>
      <w:bookmarkStart w:id="664" w:name="_9265a6c3_978c_4ae6_ab20_bb34282ec892"/>
      <w:bookmarkStart w:id="665" w:name="Tc_RlLPsoHhykSbBSUWHM0u4Q_44_5"/>
      <w:bookmarkStart w:id="666" w:name="Tc_N1FasfaA2keQo7SlD27OYA_44_2"/>
      <w:bookmarkStart w:id="667" w:name="Tc_WgqjGLOW2EqGabF2z-4EGw_44_0"/>
      <w:bookmarkStart w:id="668" w:name="Tc_anIL7-JP80-CA3GliA5irA_43_0"/>
      <w:bookmarkStart w:id="669" w:name="Tc_j0DUJoMZgkyvlPKRHem4xg_42_0"/>
      <w:bookmarkStart w:id="670" w:name="Tc_yIzyN40LY0arKu1Ds9iM0g_41_3"/>
      <w:bookmarkStart w:id="671" w:name="Tc_mfZqvY7bbEaqTDAk68LKcw_41_0"/>
      <w:bookmarkStart w:id="672" w:name="Tc_AXU7jnoP00unytxsGbr5sw_40_0"/>
      <w:bookmarkStart w:id="673" w:name="Tc_74wk7zBq-kOWQTsr4iK0ow_39_0"/>
      <w:bookmarkStart w:id="674" w:name="Tc_crgVNzTQIECZW3XefnQvyQ_38_0"/>
      <w:bookmarkStart w:id="675" w:name="Tc_bAp_LmxVBEuiYIYOhOZ9nQ_37_0"/>
      <w:bookmarkStart w:id="676" w:name="Tc_KphV_ivnkEaVOd5JQBK37Q_36_0"/>
      <w:bookmarkStart w:id="677" w:name="Tc_WFB8DcxMHEiVV-w16k2MKg_35_6"/>
      <w:bookmarkStart w:id="678" w:name="Tc_Wd6kuQB3YkSNd7dPAI_nlA_35_0"/>
      <w:bookmarkStart w:id="679" w:name="Tc_4oYsIaVH6EWgogCAFsFPTg_34_0"/>
      <w:bookmarkStart w:id="680" w:name="Tc_YDyZHcfdSEeDVLKmJLWjdg_33_0"/>
      <w:bookmarkStart w:id="681" w:name="Tc_nN0dEY4sOkag1aSYu929Lw_32_0"/>
      <w:bookmarkStart w:id="682" w:name="Tc_1paA-BRhtkqigKbTUqtWRQ_31_3"/>
      <w:bookmarkStart w:id="683" w:name="Tc_W5q6enIKM0yj4IEjTU8rhg_31_0"/>
      <w:bookmarkStart w:id="684" w:name="Tc_uoSH5ujz4065XRmy7mtwmg_30_0"/>
      <w:bookmarkStart w:id="685" w:name="Tc_Ldzp47jt20G7_pQt8zyseg_29_0"/>
      <w:bookmarkStart w:id="686" w:name="Tc_itiR92wWU0ul-G7SowVBsQ_28_0"/>
      <w:bookmarkStart w:id="687" w:name="Tc_34MEjdR9UUqgk5izqNYOHQ_27_3"/>
      <w:bookmarkStart w:id="688" w:name="Tc_VN1UK7I3jUiVTXCVNMgd_g_27_0"/>
      <w:bookmarkStart w:id="689" w:name="Tc_UGIYm1WLEEGMxMYcp6g3Gw_26_0"/>
      <w:bookmarkStart w:id="690" w:name="Tc_9LVIyvRV_EikFIKBwC5dZQ_25_3"/>
      <w:bookmarkStart w:id="691" w:name="Tc_XnUI7cXrR0ab1oRwVve9IQ_25_0"/>
      <w:bookmarkStart w:id="692" w:name="Tc_2SpC84jbrkuxwiCQrDZdgw_24_0"/>
      <w:bookmarkStart w:id="693" w:name="Tc_FwVi6W4YfUysckfw8IcdJA_23_0"/>
      <w:bookmarkStart w:id="694" w:name="Tc_0Hc1P1yLdE-RbQk5J_-ycw_22_0"/>
      <w:bookmarkStart w:id="695" w:name="Tc_kGBfmhQFxE263-5tpgVoDw_21_0"/>
      <w:bookmarkStart w:id="696" w:name="Tc_uzn7YYlV4EeyXAKKHMkvBw_20_0"/>
      <w:bookmarkStart w:id="697" w:name="Tc_u4EsHGhUM0ycTe4_DrGTTA_19_0"/>
      <w:bookmarkStart w:id="698" w:name="Tc_5BIkilQiy0aAgq1QFvDEcQ_18_0"/>
      <w:bookmarkStart w:id="699" w:name="Tc_QX16wq6tPECLON4vasAnFA_17_0"/>
      <w:bookmarkStart w:id="700" w:name="Tc_WpjN8SAvfk66IdivJ5k1HA_16_3"/>
      <w:bookmarkStart w:id="701" w:name="Tc_zlENovNtCUqHhoW-M-CG-w_16_0"/>
      <w:bookmarkStart w:id="702" w:name="Tc_u7ospaV_iE2Uc5MnXoWybw_15_0"/>
      <w:bookmarkStart w:id="703" w:name="Tc_IFmbCicWB0WpxVgfMpuNoA_14_0"/>
      <w:bookmarkStart w:id="704" w:name="Tc_Lc-9B3Z1OkCZ53G59RZc_Q_13_0"/>
      <w:bookmarkStart w:id="705" w:name="Tc_Cum3qoz1-UifYx_AlZejAQ_12_0"/>
      <w:bookmarkStart w:id="706" w:name="Tc_StrOnaAQE0-2CicsByLb_A_11_0"/>
      <w:bookmarkStart w:id="707" w:name="Tc_bC3CtKIREE-ECJX7DGOk3A_10_0"/>
      <w:bookmarkStart w:id="708" w:name="Tc_De7tq-0gI0aheaN5DUihZg_9_0"/>
      <w:bookmarkStart w:id="709" w:name="Tc_XV2Hc8yYPk-X6qrT7q94Jg_8_0"/>
      <w:bookmarkStart w:id="710" w:name="Tc_0-Gqb7KApkiIVTlvZSP81g_7_0"/>
      <w:bookmarkStart w:id="711" w:name="Tc_NuX40Fs_lEeCmfKfeyniIg_6_0"/>
      <w:bookmarkStart w:id="712" w:name="Tc_w4PkWhl_DUiE8-fvHzo7BQ_5_5"/>
      <w:bookmarkStart w:id="713" w:name="Tc_24L_K8oz6UqBGvysNUzBTw_5_2"/>
      <w:bookmarkStart w:id="714" w:name="Tc_-vq91GqbAkepwQCxdIANaQ_5_0"/>
      <w:bookmarkStart w:id="715" w:name="Tc_2nJdbYKM7EW2wNwOnuL4Lg_4_0"/>
      <w:bookmarkStart w:id="716" w:name="Tc_cVWHxqSsoUWvQVrf2DKXkQ_3_2"/>
      <w:bookmarkStart w:id="717" w:name="Tc_6tZcRsIR_kC0C8cSe3LpRA_2_5"/>
      <w:bookmarkStart w:id="718" w:name="Tc_oHb_nlWXYUuE-2Vl5eSoqw_2_2"/>
      <w:bookmarkStart w:id="719" w:name="Tc_M9zyrIZqgkSCpzfgnbShOQ_1_2"/>
      <w:bookmarkStart w:id="720" w:name="_9265a6c3_978c_4ae6_ab20_bb34282ec892"/>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tbl>
      <w:tblPr>
        <w:tblW w:w="10205" w:type="dxa"/>
        <w:jc w:val="left"/>
        <w:tblInd w:w="0" w:type="dxa"/>
        <w:tblLayout w:type="fixed"/>
        <w:tblCellMar>
          <w:top w:w="0" w:type="dxa"/>
          <w:left w:w="0" w:type="dxa"/>
          <w:bottom w:w="0" w:type="dxa"/>
          <w:right w:w="0" w:type="dxa"/>
        </w:tblCellMar>
      </w:tblPr>
      <w:tblGrid>
        <w:gridCol w:w="7430"/>
        <w:gridCol w:w="346"/>
        <w:gridCol w:w="233"/>
        <w:gridCol w:w="747"/>
        <w:gridCol w:w="412"/>
        <w:gridCol w:w="233"/>
        <w:gridCol w:w="804"/>
      </w:tblGrid>
      <w:tr>
        <w:trPr/>
        <w:tc>
          <w:tcPr>
            <w:tcW w:w="7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718050" cy="175260"/>
                      <wp:effectExtent l="0" t="0" r="0" b="0"/>
                      <wp:wrapNone/>
                      <wp:docPr id="79" name="Frame79"/>
                      <a:graphic xmlns:a="http://schemas.openxmlformats.org/drawingml/2006/main">
                        <a:graphicData uri="http://schemas.microsoft.com/office/word/2010/wordprocessingShape">
                          <wps:wsp>
                            <wps:cNvSpPr txBox="1"/>
                            <wps:spPr>
                              <a:xfrm>
                                <a:off x="0" y="0"/>
                                <a:ext cx="4718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7955" cy="175260"/>
                      <wp:effectExtent l="0" t="0" r="0" b="0"/>
                      <wp:wrapNone/>
                      <wp:docPr id="81" name="Frame8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74345" cy="175260"/>
                      <wp:effectExtent l="0" t="0" r="0" b="0"/>
                      <wp:wrapNone/>
                      <wp:docPr id="82" name="Frame82"/>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61620" cy="175260"/>
                      <wp:effectExtent l="0" t="0" r="0" b="0"/>
                      <wp:wrapNone/>
                      <wp:docPr id="83" name="Frame8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7955" cy="175260"/>
                      <wp:effectExtent l="0" t="0" r="0" b="0"/>
                      <wp:wrapNone/>
                      <wp:docPr id="84" name="Frame8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10540" cy="175260"/>
                      <wp:effectExtent l="0" t="0" r="0" b="0"/>
                      <wp:wrapNone/>
                      <wp:docPr id="85" name="Frame85"/>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74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12"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29"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747" w:type="dxa"/>
            <w:tcBorders/>
            <w:shd w:fill="CCEEFF" w:val="clear"/>
            <w:vAlign w:val="center"/>
          </w:tcPr>
          <w:p>
            <w:pPr>
              <w:pStyle w:val="TableContents"/>
              <w:bidi w:val="0"/>
              <w:spacing w:before="0" w:after="1"/>
              <w:ind w:left="0" w:right="0" w:hanging="0"/>
              <w:jc w:val="center"/>
              <w:rPr/>
            </w:pPr>
            <w:r>
              <w:rPr/>
              <w:t>​</w:t>
            </w:r>
          </w:p>
        </w:tc>
        <w:tc>
          <w:tcPr>
            <w:tcW w:w="412" w:type="dxa"/>
            <w:tcBorders/>
            <w:shd w:fill="CCEEFF" w:val="clear"/>
            <w:vAlign w:val="center"/>
          </w:tcPr>
          <w:p>
            <w:pPr>
              <w:pStyle w:val="TableContents"/>
              <w:bidi w:val="0"/>
              <w:spacing w:before="0" w:after="1"/>
              <w:ind w:left="0" w:right="0" w:hanging="0"/>
              <w:jc w:val="center"/>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804" w:type="dxa"/>
            <w:tcBorders/>
            <w:shd w:fill="CCEEFF" w:val="clear"/>
            <w:vAlign w:val="center"/>
          </w:tcPr>
          <w:p>
            <w:pPr>
              <w:pStyle w:val="TableContents"/>
              <w:bidi w:val="0"/>
              <w:spacing w:before="0" w:after="1"/>
              <w:ind w:left="0" w:right="0" w:hanging="0"/>
              <w:jc w:val="center"/>
              <w:rPr/>
            </w:pPr>
            <w:r>
              <w:rPr/>
              <w:t>​</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loss </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(951)</w:t>
            </w:r>
          </w:p>
        </w:tc>
        <w:tc>
          <w:tcPr>
            <w:tcW w:w="412" w:type="dxa"/>
            <w:tcBorders/>
            <w:vAlign w:val="center"/>
          </w:tcPr>
          <w:p>
            <w:pPr>
              <w:pStyle w:val="TableContents"/>
              <w:bidi w:val="0"/>
              <w:spacing w:before="0" w:after="1"/>
              <w:ind w:left="0" w:right="0" w:hanging="0"/>
              <w:jc w:val="left"/>
              <w:rPr/>
            </w:pPr>
            <w:r>
              <w:rPr/>
              <w:t>  ​ ​ ​</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pPr>
            <w:r>
              <w:rPr/>
              <w:t>​</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from securities transactions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(1,069)</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of securities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979</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to cover securities sold, not yet purchased</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(1,233)</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securities sold, not yet purchased</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553</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receivables and payables relating to securities transactions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542</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derivative assets and liabilities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loss on disposition of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other operating assets and liabilities</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w:t>
            </w:r>
          </w:p>
        </w:tc>
        <w:tc>
          <w:tcPr>
            <w:tcW w:w="412"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513</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pPr>
            <w:r>
              <w:rPr/>
              <w:t>  ​</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pPr>
            <w:r>
              <w:rPr/>
              <w:t>  ​</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Turnaround expenditures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disposition of businesses and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 of equity method investment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Return of equity method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12"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pPr>
            <w:r>
              <w:rPr/>
              <w:t>  ​</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pPr>
            <w:r>
              <w:rPr/>
              <w:t>  ​</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segment 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Partnership contributions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pPr>
            <w:r>
              <w:rPr/>
              <w:t>—</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Partnership distributions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additional interests in consolidated subsidiaries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Dividends and distributions to non-controlling interests in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reverse recapitalization</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pPr>
            <w:r>
              <w:rPr/>
              <w:t>—</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Holding Company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subsidiary borrowings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subsidiary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(983)</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412"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cash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(554)</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 and restricted cash and restricted cash equivalents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pPr>
            <w:r>
              <w:rPr/>
              <w:t>—</w:t>
            </w:r>
          </w:p>
        </w:tc>
        <w:tc>
          <w:tcPr>
            <w:tcW w:w="412"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decrease in cash and cash equivalents and restricted cash and restricted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(763)</w:t>
            </w:r>
          </w:p>
        </w:tc>
      </w:tr>
      <w:tr>
        <w:trPr/>
        <w:tc>
          <w:tcPr>
            <w:tcW w:w="743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and restricted cash equivalents, beginning of period</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3,419</w:t>
            </w:r>
          </w:p>
        </w:tc>
        <w:tc>
          <w:tcPr>
            <w:tcW w:w="412"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5,239</w:t>
            </w:r>
          </w:p>
        </w:tc>
      </w:tr>
      <w:tr>
        <w:trPr/>
        <w:tc>
          <w:tcPr>
            <w:tcW w:w="74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and restricted cash equivalents,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3,192</w:t>
            </w:r>
          </w:p>
        </w:tc>
        <w:tc>
          <w:tcPr>
            <w:tcW w:w="412"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4,476</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240"/>
        <w:ind w:left="0" w:right="0" w:firstLine="36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1" w:name="a1DescriptionofBusiness_834296"/>
      <w:bookmarkEnd w:id="721"/>
      <w:r>
        <w:rPr>
          <w:rFonts w:ascii="Times New Roman;Times;serif" w:hAnsi="Times New Roman;Times;serif"/>
          <w:b/>
          <w:sz w:val="20"/>
        </w:rPr>
        <w:t>1.  Description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References to “we,” “our” or “us” herein include both Icahn Enterprises and Icahn Enterprises Holdings L.P. (“Icahn Enterprises Holdings”) and their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2026, representing an aggregate 1.99% general partner interest in Icahn Enterprises and Icahn Enterprises Holdings. Mr. Icahn and his affiliates owned approximately 87% of our outstanding depositary units as of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Continuing Operating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See Note 13, “Segment Reporting,” for a reconciliation of each of our reporting segment’s results of operations to our consolidated results. Certain additional information with respect to our segments is discussed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$2.0 billion and $2.7 billion as of June 30, 2026 and December 31, 2025,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Energy segment through our majority owned subsidiary, CVR Energy, Inc. (“CVR Energy”), along with our interest in CVR Partners, LP, a publicly traded limited partnership (“CVR Partners”) and subsidiary of CVR Energy. CVR Energy is a diversified holding company primarily engaged in the petroleum refining and marketing businesses as well as in the nitrogen fertilizer manufacturing and distribution businesses through its holdings in CVR Partners. CVR Energy is an independent petroleum refiner and is a marketer of high value transportation fuels primarily in the form of gasoline, diesel, jet fuel and distillates, as well as activities related to crude oil gathering and logistics that support refinery operations. CVR Partners produces and markets nitrogen fertilizers in the form of urea ammonium nitrate (“UAN”) and ammonia. CVR Energy held 100% of the general partner interest and approximately 37% of the outstanding common units of CVR Partners as of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2026, we increased our ownership of CVR Energy by acquiring 783,404 shares for a total purchase price of approximately $16 million. As of June 30, 2026, we owned approximately 71% of the total outstanding common stock of CVR Energy and 3% of the outstanding common units of CVR Partners.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2025, our Energy segment reverted the renewable diesel unit back to hydrocarbon processing service, in response to unfavorable market economics of renewable fuels and to improve feedstock optimization and alleviate certain logistical constraints within our refining operations. CVR Energy retains the flexibility to return the unit to renewable diesel service should market conditions and incentives become favorable. At present, the unit no longer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processes renewable feedstocks, such as soybean oil, corn oil, and other similar feedstocks, into renewable diesel, and CVR Energy does not currently market renewable diesel.</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Automotive segment through our wholly owned subsidiary, Icahn Automotive Group LLC (“Icahn Automotive”). The Automotive segment is engaged in providing a full range of automotive repair and maintenance services, along with the sale of any installed parts or materials related to automotive services (“Automotive Services”) to its customers. The Automotive segment previously also operated an automotive aftermarket parts and retail merchandise business (“Aftermarket Parts”), which it exited in the first quarter of 2025. In addition to its primary businesses, the Automotive segment leases available and excess real estate in certain locations under long-term operating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Food Packaging segment through our majority owned subsidiary, Viskase Holdings, Inc. (“Viskase”). Viskase is a producer of cellulosic, fibrous and plastic casings used to prepare and package processed meat products.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2026, Viskase completed an equity private placement whereby we acquired an additional 25,862,069 shares of Viskase common stock for $15 million. In March 2026, Viskase completed its previously announced merger with Enzon Pharmaceuticals, Inc., and the combined company now operates as “Viskase Holdings, Inc.” We own approximately 94% of the outstanding common stock of the combined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Real Estate segment through various wholly owned subsidiaries. Our Real Estate segment primarily consists of investment properties which includes land, retail, office and industrial properties leased to corporate tenants, the development and sale of single-family homes, and the operations of a resort and a country club.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Home Fashion segment through our wholly owned subsidiary, WestPoint Home LLC (“WPH”). WPH’s business consists of manufacturing, sourcing, marketing, distributing and selling hospitality and home fashion consumer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Pharma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conduct our Pharma segment through our wholly owned subsidiary, Vivus LLC, formerly Vivus, Inc. (“Vivus”). Vivus is a specialty pharmaceutical company with two approved therapies: one for chronic weight management and the other for the treatment of exocrine pancreatic insufficiency. In addition, Vivus has two product candidates in active clinical development and two product candidates in early-stage development.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Basis of Presentation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Events beyond our control, including significant appreciation or depreciation in the market value of certain of our publicly traded holdings or adverse developments with respect to our ownership of certain of our subsidiaries, could result in us inadvertently becoming an investment company that is required to register under the Investment Company Act. Following such events or certain transactions (such as the sale of an operating business),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condensed consolidated financial statements and related notes should be read in conjunction with our consolidated financial statements and related notes contained in our Annual Report on Form 10-K for the year ended December 31, 2025.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for our Investment segment and Holding Company, for equity investments in which we own 50% or less but greater than 20%, we generally account for such investments using the equity method. All other equity investments are accounted for at fair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Variable Interest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established a captive insurance program to supplement the insurance coverage of the officers, directors, employees and agents of the Company, its subsidiaries and our general partner. We hold assets in a protected cell, which we are the primary beneficiary of, and therefore consolidate the protected cell. Our total assets related to the protected cell were $115 million and $113 million as of June 30, 2026 and December 31, 2025, respectively, and included in restricted cash in the condensed consolidated balance sheet.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fair value of our long-term debt is based on the quoted market prices for the same or similar issues or on the current rates offered to us for debt of the same remaining maturities. The carrying value and estimated fair value of our long-term debt as of June 30, 2026 was approximately $6.4 billion and $6.2 billion, respectively. The carrying value and estimated fair value of our long-term debt as of December 31, 2025 was approximately $6.6 billion and $6.3 billion,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on our condensed consolidated statements of cash flows is comprised of (i) cash and cash equivalents and (ii) cash held at consolidated affiliated partnerships and restricted cash.</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Held at Consolidated Affiliated Partnerships and Restricted Cash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$741 million and $746 million as of June 30, 2026 and December 31, 2025,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restricted cash balance was approximately $1.2 billion as of June 30, 2026 and December 31, 2025. Restricted cash includes, but is not limited to, our Investment segment’s cash pledged and held for margin requirements on derivative transactions and cash held related to our captive insurance program.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Investments and Related Transactions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Other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August 2025, the Company sold certain properties to TEB LLC </w:t>
      </w:r>
      <w:r>
        <w:rPr>
          <w:rFonts w:ascii="Times New Roman;Times;serif" w:hAnsi="Times New Roman;Times;serif"/>
          <w:i/>
          <w:sz w:val="20"/>
        </w:rPr>
        <w:t>(“TEB”).</w:t>
      </w:r>
      <w:r>
        <w:rPr>
          <w:rFonts w:ascii="Times New Roman;Times;serif" w:hAnsi="Times New Roman;Times;serif"/>
          <w:sz w:val="20"/>
        </w:rPr>
        <w:t xml:space="preserve"> TEB was formed by a third-party developer for such developer to acquire, redevelop and operate the properties sold by the Company. In connection with the sale of the properties, the Company received cash, provided certain seller financing and also received a preferred equity interest and a profits interest in TEB. The Company did not provide any cash capital to TEB and the Company is not obligated to invest any capital to support TEB or its operations in the future. The day-to-day operations of TEB’s business is the sole responsibility of the other member who serves as manager of TEB and the Company does not control those day-to-day operations. The Company has certain protective rights in connection with its preferred equity interest.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evaluated its investment in and involvement with TEB and determined that the entity meets the definition of a variable interest entity. The Company determined it is not the primary beneficiary, as certain decisions related to the entity’s operations require the consent of both the Company and the other member serving as the manager. As a result, the Company does not consolidate TEB and accounts for its preferred equity investment under the equity method. As of June 30, 2026 and December 31, 2025, the carrying amount of our equity method investment in TEB was $84 million and $74 million, respectively, and is included in investments in the condensed consolidated balance sheet. Our maximum exposure to loss in connection with our involvement in TEB is limited to the carrying value of our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and related party loan receivable, which together total $220 million and $203 million as of June 30, 2026 and December 31,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reviews long-lived assets for impairment when impairment indicators exist. An evaluation of impairment consists of reviewing the carrying value of a long-lived asset for recoverability. Recoverability of long-lived assets to be held and used is measured by a comparison of the carrying amount of an asset to estimated undiscounted future net cash flows expected to be generated by the asset. If the carrying value of the long-lived asset is not determined to be recoverable, a fair value assessment is performed.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Revenue From Contracts With Customers and Contract Balances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we derive revenue from various sources in various industries. With the exception of all of our Investment segment’s and our Holding Company’s revenues, and our Real Estate segment’s and Automotive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10,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13, “Segment Reporting,” for our complete disaggregation of revenue information. In addition, we disclose additional information with respect to revenue from contracts with customers and contract balances for our Energy and Automotive segments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segment’s deferred revenue is a contract liability that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As of June 30, 2026, our Energy segment had $2 million of remaining performance obligations for contracts with an original expected duration of more than one year. Our Energy segment expects to recognize $1 million of these performance obligations as revenue by the end of </w:t>
      </w:r>
      <w:r>
        <w:rPr>
          <w:rFonts w:ascii="Times New Roman;Times;serif" w:hAnsi="Times New Roman;Times;serif"/>
          <w:b w:val="false"/>
          <w:i w:val="false"/>
          <w:caps w:val="false"/>
          <w:smallCaps w:val="false"/>
          <w:sz w:val="20"/>
        </w:rPr>
        <w:t>2026</w:t>
      </w:r>
      <w:r>
        <w:rPr>
          <w:rFonts w:ascii="Times New Roman;Times;serif" w:hAnsi="Times New Roman;Times;serif"/>
          <w:sz w:val="20"/>
        </w:rPr>
        <w:t xml:space="preserve"> and less than $1 million during both </w:t>
      </w:r>
      <w:r>
        <w:rPr>
          <w:rFonts w:ascii="Times New Roman;Times;serif" w:hAnsi="Times New Roman;Times;serif"/>
          <w:b w:val="false"/>
          <w:i w:val="false"/>
          <w:caps w:val="false"/>
          <w:smallCaps w:val="false"/>
          <w:sz w:val="20"/>
        </w:rPr>
        <w:t>2027</w:t>
      </w:r>
      <w:r>
        <w:rPr>
          <w:rFonts w:ascii="Times New Roman;Times;serif" w:hAnsi="Times New Roman;Times;serif"/>
          <w:sz w:val="20"/>
        </w:rPr>
        <w:t xml:space="preserve"> and 2028.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deferred revenue includes agreements entered into with third-party investors that have allowed our Energy segment to monetize certain tax credits available under Section 45Q of the Internal Revenue Code (the “45Q Transaction”). Our Energy segment had deferred revenue of $49 million and $44 million as of June 30, 2026 and December 31, 2025, respectively. For the six months ended June 30, 2026 and 2025, our Energy segment recognized revenue of $19 million and $47 million, respectively, with respect to deferred revenue outstanding as of the beginning of each respective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had deferred revenue with respect to extended warranty plans of $24 million and $28 million as of June 30, 2026 and December 31, 2025, respectively, which are included in accrued expenses and other liabilities on the condensed consolidated balance sheets. For each of the six months ended June 30, 2026 and 2025, our Automotive segment recorded deferred revenue of $9 million and $11 million, respectively, outstanding as of the beginning of each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0"/>
        <w:ind w:left="0" w:right="0" w:firstLine="360"/>
        <w:jc w:val="left"/>
        <w:rPr>
          <w:rFonts w:ascii="Times New Roman;Times;serif" w:hAnsi="Times New Roman;Times;serif"/>
          <w:sz w:val="20"/>
        </w:rPr>
      </w:pPr>
      <w:r>
        <w:rPr>
          <w:rFonts w:ascii="TimesNewRoman" w:hAnsi="TimesNewRoman"/>
          <w:sz w:val="20"/>
        </w:rPr>
        <w:t xml:space="preserve">In May 2026, the Financial Accounting Standards Board </w:t>
      </w:r>
      <w:r>
        <w:rPr>
          <w:rFonts w:ascii="Times New Roman;Times;serif" w:hAnsi="Times New Roman;Times;serif"/>
          <w:sz w:val="20"/>
        </w:rPr>
        <w:t xml:space="preserve">(“FASB”) </w:t>
      </w:r>
      <w:r>
        <w:rPr>
          <w:rFonts w:ascii="TimesNewRoman" w:hAnsi="TimesNewRoman"/>
          <w:sz w:val="20"/>
        </w:rPr>
        <w:t xml:space="preserve">issued Accounting Standards Update </w:t>
      </w:r>
      <w:r>
        <w:rPr>
          <w:rFonts w:ascii="Times New Roman;Times;serif" w:hAnsi="Times New Roman;Times;serif"/>
          <w:sz w:val="20"/>
        </w:rPr>
        <w:t xml:space="preserve">(“ASU”) </w:t>
      </w:r>
      <w:r>
        <w:rPr>
          <w:rFonts w:ascii="TimesNewRoman" w:hAnsi="TimesNewRoman"/>
          <w:sz w:val="20"/>
        </w:rPr>
        <w:t xml:space="preserve">2026-02, </w:t>
      </w:r>
      <w:r>
        <w:rPr>
          <w:rFonts w:ascii="TimesNewRoman-Italic" w:hAnsi="TimesNewRoman-Italic"/>
          <w:i/>
          <w:sz w:val="20"/>
        </w:rPr>
        <w:t xml:space="preserve">Environmental Credits and Environmental Credit Obligations (Topic 818), </w:t>
      </w:r>
      <w:r>
        <w:rPr>
          <w:rFonts w:ascii="TimesNewRoman" w:hAnsi="TimesNewRoman"/>
          <w:sz w:val="20"/>
        </w:rPr>
        <w:t>which establishes authoritative guidance for environmental credits and environmental credit obligations and provides the recognition, measurement, presentation, and disclosure requirements for entities that generate, purchase, or receive environmental credits, or that have a regulatory compliance obligation that may be settled with environmental credits. This standard is effective for the Company’s annual and interim reporting periods beginning January 1, 2028. Early adoption is permitted as of the beginning of an annual reporting period. The Company is currently evaluating the potential impact of adopting this new accounting guidance.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20"/>
        </w:rPr>
        <w:t>In November 2024, the FASB issued ASU 2024-03, </w:t>
      </w:r>
      <w:r>
        <w:rPr>
          <w:rFonts w:ascii="Times New Roman;Times;serif" w:hAnsi="Times New Roman;Times;serif"/>
          <w:i/>
          <w:sz w:val="20"/>
        </w:rPr>
        <w:t>Income Statement - Reporting Comprehensive Income - Expense Disaggregation Disclosures (Subtopic 220-40)</w:t>
      </w:r>
      <w:r>
        <w:rPr>
          <w:rFonts w:ascii="Times New Roman;Times;serif" w:hAnsi="Times New Roman;Times;serif"/>
          <w:sz w:val="18"/>
        </w:rPr>
        <w:t xml:space="preserve"> </w:t>
      </w:r>
      <w:r>
        <w:rPr>
          <w:rFonts w:ascii="Times New Roman;Times;serif" w:hAnsi="Times New Roman;Times;serif"/>
          <w:sz w:val="20"/>
        </w:rPr>
        <w:t>and in January 2025, the FASB issued ASU 2025-01</w:t>
      </w:r>
      <w:r>
        <w:rPr>
          <w:rFonts w:ascii="Times New Roman;Times;serif" w:hAnsi="Times New Roman;Times;serif"/>
          <w:i/>
          <w:sz w:val="20"/>
        </w:rPr>
        <w:t xml:space="preserve">, Income Statement - Reporting Comprehensive Income - Expense Disaggregation Disclosures (Subtopic 220-40): Clarifying the Effective Date. </w:t>
      </w:r>
      <w:r>
        <w:rPr>
          <w:rFonts w:ascii="Times New Roman;Times;serif" w:hAnsi="Times New Roman;Times;serif"/>
          <w:sz w:val="20"/>
        </w:rPr>
        <w:t>The ASU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as clarified by ASU 2025-01, is effective for the Company’s annual reporting period beginning January 1, 2027 and interim reporting periods beginning January 1, 2028 and should be applied on a retrospective or prospective basis, with early adoption permitted. We continue to evaluate the impact of adopting this standard on our consolidated financial statements.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third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and December 31, 2025, the total fair market value of investments in the Investment Funds made by Mr. Icahn and his affiliates (excluding us and Brett Icahn) was approximately $591 million and $908 million, respectively, representing approximately 23% and 25% of the Investment Funds’ assets under management as of each respective date. Mr. Icahn and his affiliates (excluding us and Brett Icahn) redeemed $175 million from his personal interests in the Investment Funds and the Holding Company redeemed $240 million during the six months ended June 30, 2026. In addition, during the six months ended June 30, 2026, the Holding Company redeemed $40 million in securities from the Investment Funds. Mr. Icahn and his affiliates (excluding us and Brett Icahn) redeemed $208 million from his personal interests in the Investment Funds during the six months ended June 30,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six months ended June 30, 2026 and 2025, $7 million and $6 million, respectively, was allocated to the Investment Funds based on this expense-sharing arrangement.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TEB</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August 2025, the Company sold certain properties to TEB. TEB was formed by a third-party developer to acquire, redevelop and operate the properties sold by the Company. In connection with the sale of the properties, the Company provided certain seller financing and received cash, a preferred equity interest and a profits interest in TEB. The Company did not provide any cash capital to TEB and the Company is not obligated to invest any capital contributions to support TEB or its operations in the future. The day-to-day operations of TEB’s business are the sole responsibility of the other member who serves as manager of TEB and the Company does not control those day-to-day operations. The Company has certain protective rights in connection with its preferred equity interest. The Company does not consolidate TEB and accounts for its preferred equity investment under the equity method. Entities that are recognized under the equity method of accounting are deemed to be related parties.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sale in August 2025, the Company entered into a loan agreement with TEB. As of June 30, 2026, the outstanding balance of the loan was $136 million, representing the seller-financed debt portion of the transaction. For the three and six months ended June 30, 2026, the Company recognized interest income of $5 million and $9 million, respectively, related to this loan and the interest income is included in interest and dividend income in the condensed consolidated statements of operations.</w:t>
      </w:r>
    </w:p>
    <w:p>
      <w:pPr>
        <w:pStyle w:val="TextBody"/>
        <w:bidi w:val="0"/>
        <w:spacing w:before="0" w:after="0"/>
        <w:ind w:left="0" w:right="0" w:firstLine="360"/>
        <w:jc w:val="left"/>
        <w:rPr/>
      </w:pPr>
      <w:r>
        <w:rPr/>
        <w:t>​</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Other Related Party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1, 2020, we entered into a manager agreement with Brett Icahn, the son of Mr. Icahn, and affiliates of Brett Icahn. Under the manager agreement, Brett Icahn serves as the portfolio manager of a designated portfolio of assets within the Investment Funds over a seven-year term, subject to veto rights by our Investment segment and Mr.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redemptions of less than $1 million during the six months ended June 30, 2026, and net redemptions of $8 million during the six months ended June 30, 2025. As of June 30, 2026 and December 31, 2025, Brett Icahn had investments in the Investment Funds with a total fair market value of $2 million and $4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2" w:name="Tc_cBLIRGkMJE2k0v8f74suZQ_22_5"/>
      <w:bookmarkStart w:id="723" w:name="Tc_mN3_gmYHP0KsTrb1XP155Q_22_2"/>
      <w:bookmarkStart w:id="724" w:name="Tc_bLpY6A2LKEykodM1gVfXVA_21_0"/>
      <w:bookmarkStart w:id="725" w:name="Tc_Yf6B1KJgcE2JP1Bv6wgQ1A_20_0"/>
      <w:bookmarkStart w:id="726" w:name="Tc_cwpVsby32keVgPB6mwCGKQ_19_5"/>
      <w:bookmarkStart w:id="727" w:name="Tc_l9bUO5G87Uej7Kvpk880YQ_19_2"/>
      <w:bookmarkStart w:id="728" w:name="Tc_7-PrAvxHwUuZrVN8fong0Q_19_0"/>
      <w:bookmarkStart w:id="729" w:name="Tc_tR9mG8XqPkiRQ9nozQUVpw_18_0"/>
      <w:bookmarkStart w:id="730" w:name="Tc_sa0RZprad0uGQbJnHqYAhg_17_0"/>
      <w:bookmarkStart w:id="731" w:name="Tc_I-sK6asrRUqXqug_PojGpw_16_0"/>
      <w:bookmarkStart w:id="732" w:name="Tc_-6V9RV08Uk6tkLsTmsbiXg_15_5"/>
      <w:bookmarkStart w:id="733" w:name="Tc_Mr1JITzM5U211hNLQIvw_A_15_2"/>
      <w:bookmarkStart w:id="734" w:name="Tc_Ygbj2-qxC0uhLmG1IhMECg_14_0"/>
      <w:bookmarkStart w:id="735" w:name="Tc_YjD0deIBBUq9mWLQUCOOiA_13_0"/>
      <w:bookmarkStart w:id="736" w:name="Tc_yI1FzgixBky9sT560zkxKA_12_6"/>
      <w:bookmarkStart w:id="737" w:name="Tc_Xjilu0CN-EeVQYriGI1sSg_12_0"/>
      <w:bookmarkStart w:id="738" w:name="Tc_VlIXl2zAGECY846VnShMjw_11_0"/>
      <w:bookmarkStart w:id="739" w:name="Tc_adjaKqksZk-oeMl7_MYYFw_10_0"/>
      <w:bookmarkStart w:id="740" w:name="Tc__AmVUyurnU2ZUYF0O9xeCQ_9_0"/>
      <w:bookmarkStart w:id="741" w:name="Tc_ifSq62JV5kKSDzlFabZMcw_8_0"/>
      <w:bookmarkStart w:id="742" w:name="Tc_Ek4PEhHr0E6nXG5wNiu_dQ_7_5"/>
      <w:bookmarkStart w:id="743" w:name="Tc_3iNHAuytmEq43Gril0sUDw_7_2"/>
      <w:bookmarkStart w:id="744" w:name="Tc_DLTIZH8LS0-AV9WLIMduuw_7_0"/>
      <w:bookmarkStart w:id="745" w:name="Tc_xvUxwsaQ0kSjYsikinOQLA_6_0"/>
      <w:bookmarkStart w:id="746" w:name="Tc_F5ke9fRmm0eCa8UhPSINfQ_5_0"/>
      <w:bookmarkStart w:id="747" w:name="Tc_w1qErb_mbkConhKO9AULtQ_4_0"/>
      <w:bookmarkStart w:id="748" w:name="Tc_ubOJ_2GaukOwyQ0XAQkgUg_3_2"/>
      <w:bookmarkStart w:id="749" w:name="Tc_A_ywvsHUSEONHUc5Cm8aoA_2_5"/>
      <w:bookmarkStart w:id="750" w:name="Tc_JO9_ai5W-EKA76cD_8apJQ_2_2"/>
      <w:bookmarkStart w:id="751" w:name="Tc_zMoV_tes-ESauM59VKQNaQ_1_5"/>
      <w:bookmarkStart w:id="752" w:name="Tc_bGDQaSZs1EmB0IIUQNBFqQ_1_2"/>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Pr>
          <w:rFonts w:ascii="Times New Roman;Times;serif" w:hAnsi="Times New Roman;Times;serif"/>
          <w:b/>
          <w:sz w:val="20"/>
        </w:rPr>
        <w:t>4.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pStyle w:val="TextBody"/>
        <w:bidi w:val="0"/>
        <w:spacing w:before="0" w:after="0"/>
        <w:ind w:left="0" w:right="0" w:hanging="0"/>
        <w:jc w:val="left"/>
        <w:rPr/>
      </w:pPr>
      <w:r>
        <w:rPr/>
        <w:t>​</w:t>
      </w:r>
    </w:p>
    <w:tbl>
      <w:tblPr>
        <w:tblW w:w="6843" w:type="dxa"/>
        <w:jc w:val="left"/>
        <w:tblInd w:w="0" w:type="dxa"/>
        <w:tblLayout w:type="fixed"/>
        <w:tblCellMar>
          <w:top w:w="0" w:type="dxa"/>
          <w:left w:w="0" w:type="dxa"/>
          <w:bottom w:w="0" w:type="dxa"/>
          <w:right w:w="0" w:type="dxa"/>
        </w:tblCellMar>
      </w:tblPr>
      <w:tblGrid>
        <w:gridCol w:w="3946"/>
        <w:gridCol w:w="346"/>
        <w:gridCol w:w="230"/>
        <w:gridCol w:w="625"/>
        <w:gridCol w:w="346"/>
        <w:gridCol w:w="343"/>
        <w:gridCol w:w="1007"/>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505710" cy="175260"/>
                      <wp:effectExtent l="0" t="0" r="0" b="0"/>
                      <wp:wrapNone/>
                      <wp:docPr id="86" name="Frame86"/>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6050" cy="175260"/>
                      <wp:effectExtent l="0" t="0" r="0" b="0"/>
                      <wp:wrapNone/>
                      <wp:docPr id="88" name="Frame8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96875" cy="175260"/>
                      <wp:effectExtent l="0" t="0" r="0" b="0"/>
                      <wp:wrapNone/>
                      <wp:docPr id="89" name="Frame89"/>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7805" cy="175260"/>
                      <wp:effectExtent l="0" t="0" r="0" b="0"/>
                      <wp:wrapNone/>
                      <wp:docPr id="91" name="Frame91"/>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39445" cy="175260"/>
                      <wp:effectExtent l="0" t="0" r="0" b="0"/>
                      <wp:wrapNone/>
                      <wp:docPr id="92" name="Frame92"/>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84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9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62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343" w:type="dxa"/>
            <w:tcBorders/>
            <w:shd w:fill="CCEEFF" w:val="clear"/>
            <w:vAlign w:val="center"/>
          </w:tcPr>
          <w:p>
            <w:pPr>
              <w:pStyle w:val="TableContents"/>
              <w:bidi w:val="0"/>
              <w:spacing w:before="0" w:after="1"/>
              <w:ind w:left="0" w:right="0" w:hanging="0"/>
              <w:jc w:val="center"/>
              <w:rPr/>
            </w:pPr>
            <w:r>
              <w:rPr/>
              <w:t>​</w:t>
            </w:r>
          </w:p>
        </w:tc>
        <w:tc>
          <w:tcPr>
            <w:tcW w:w="1007" w:type="dxa"/>
            <w:tcBorders/>
            <w:shd w:fill="CCEEFF" w:val="clear"/>
            <w:vAlign w:val="center"/>
          </w:tcPr>
          <w:p>
            <w:pPr>
              <w:pStyle w:val="TableContents"/>
              <w:bidi w:val="0"/>
              <w:spacing w:before="0" w:after="1"/>
              <w:ind w:left="0" w:right="0" w:hanging="0"/>
              <w:jc w:val="center"/>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62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3"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cyclical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346" w:type="dxa"/>
            <w:tcBorders/>
            <w:shd w:fill="CCEEFF" w:val="clear"/>
            <w:vAlign w:val="center"/>
          </w:tcPr>
          <w:p>
            <w:pPr>
              <w:pStyle w:val="TableContents"/>
              <w:bidi w:val="0"/>
              <w:spacing w:before="0" w:after="1"/>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w:t>
            </w:r>
          </w:p>
        </w:tc>
        <w:tc>
          <w:tcPr>
            <w:tcW w:w="34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r>
      <w:tr>
        <w:trPr/>
        <w:tc>
          <w:tcPr>
            <w:tcW w:w="39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34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portion of unrealized gains and (losses) that related to securities still held by our Investment segment, primarily equity securities, were $149 million and $11 million for the three months ended June 30, 2026 and 2025, respectively, and $91 million and $(204) million for the six months ended June 30, 2026 and 2025,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Other Segments and Holding Company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With the exception of certain equity method investments at our operating subsidiaries and our Holding Company disclosed in the table below, our investments are measured at fair value in our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753" w:name="Tc_ZQyzCnK-y0KtLEpw4-VgVQ_7_5"/>
      <w:bookmarkStart w:id="754" w:name="Tc_5PcYOMXPeU-vh2i6_ko-WQ_7_2"/>
      <w:bookmarkStart w:id="755" w:name="Tc_x7TOe-wV4ECIINdFXreFaQ_6_0"/>
      <w:bookmarkStart w:id="756" w:name="Tc_h07RfeipyEam36ovE0JB5A_5_0"/>
      <w:bookmarkStart w:id="757" w:name="Tc_h0ysmHpodECElNE-abG--w_4_5"/>
      <w:bookmarkStart w:id="758" w:name="Tc_ccX9aVD_sUmhsgKPXXSOsw_4_2"/>
      <w:bookmarkStart w:id="759" w:name="Tc_Mv0J5YcALkuUUmBHzNnTfg_4_0"/>
      <w:bookmarkStart w:id="760" w:name="Tc_8pDvzPU9vUejIkMEtuo61A_3_2"/>
      <w:bookmarkStart w:id="761" w:name="Tc_Pkv6H-xnQUKzTkQEgd-4gA_2_5"/>
      <w:bookmarkStart w:id="762" w:name="Tc_nB_f_847oEq9QE6mFQQTAw_2_2"/>
      <w:bookmarkStart w:id="763" w:name="Tc_9MScI30W5EKDDnzLjFV1DQ_1_5"/>
      <w:bookmarkStart w:id="764" w:name="Tc_kjV396e7e0CJyH6B5L8tyg_1_2"/>
      <w:bookmarkEnd w:id="753"/>
      <w:bookmarkEnd w:id="754"/>
      <w:bookmarkEnd w:id="755"/>
      <w:bookmarkEnd w:id="756"/>
      <w:bookmarkEnd w:id="757"/>
      <w:bookmarkEnd w:id="758"/>
      <w:bookmarkEnd w:id="759"/>
      <w:bookmarkEnd w:id="760"/>
      <w:bookmarkEnd w:id="761"/>
      <w:bookmarkEnd w:id="762"/>
      <w:bookmarkEnd w:id="763"/>
      <w:bookmarkEnd w:id="764"/>
      <w:r>
        <w:rPr>
          <w:rFonts w:ascii="Times New Roman;Times;serif" w:hAnsi="Times New Roman;Times;serif"/>
          <w:sz w:val="20"/>
        </w:rPr>
        <w:t>The carrying value of investments held by our other segments and our Holding Company consist of the following:</w:t>
      </w:r>
    </w:p>
    <w:p>
      <w:pPr>
        <w:pStyle w:val="TextBody"/>
        <w:bidi w:val="0"/>
        <w:spacing w:before="0" w:after="0"/>
        <w:ind w:left="0" w:right="0" w:hanging="0"/>
        <w:jc w:val="left"/>
        <w:rPr/>
      </w:pPr>
      <w:r>
        <w:rPr/>
        <w:t>​</w:t>
      </w:r>
    </w:p>
    <w:tbl>
      <w:tblPr>
        <w:tblW w:w="8013" w:type="dxa"/>
        <w:jc w:val="left"/>
        <w:tblInd w:w="0" w:type="dxa"/>
        <w:tblLayout w:type="fixed"/>
        <w:tblCellMar>
          <w:top w:w="0" w:type="dxa"/>
          <w:left w:w="0" w:type="dxa"/>
          <w:bottom w:w="0" w:type="dxa"/>
          <w:right w:w="0" w:type="dxa"/>
        </w:tblCellMar>
      </w:tblPr>
      <w:tblGrid>
        <w:gridCol w:w="5116"/>
        <w:gridCol w:w="346"/>
        <w:gridCol w:w="284"/>
        <w:gridCol w:w="571"/>
        <w:gridCol w:w="346"/>
        <w:gridCol w:w="386"/>
        <w:gridCol w:w="964"/>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248660" cy="175260"/>
                      <wp:effectExtent l="0" t="0" r="0" b="0"/>
                      <wp:wrapNone/>
                      <wp:docPr id="93" name="Frame93"/>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80340" cy="175260"/>
                      <wp:effectExtent l="0" t="0" r="0" b="0"/>
                      <wp:wrapNone/>
                      <wp:docPr id="95" name="Frame9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2585" cy="175260"/>
                      <wp:effectExtent l="0" t="0" r="0" b="0"/>
                      <wp:wrapNone/>
                      <wp:docPr id="96"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45110" cy="175260"/>
                      <wp:effectExtent l="0" t="0" r="0" b="0"/>
                      <wp:wrapNone/>
                      <wp:docPr id="98" name="Frame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12140" cy="175260"/>
                      <wp:effectExtent l="0" t="0" r="0" b="0"/>
                      <wp:wrapNone/>
                      <wp:docPr id="99" name="Frame99"/>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801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 to maturity debt investments measured at amortized cost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 measured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unrealized gains and (losses) that related to equity securities still held by our other segments and Holding Company for each of the three and six months ended June 30, 2026 and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Assets and liabilities measured and reported at fair value are classified and disclosed in one of the following categories: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1 – Quoted prices are available in active markets for identical assets and liabilities as of the reporting date.</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765" w:name="Tc_bRgsnvkN3EWv_EtW834WcQ_6_5"/>
      <w:bookmarkStart w:id="766" w:name="Tc_U3pRhm5I1E2z4Xa70axtNA_6_2"/>
      <w:bookmarkStart w:id="767" w:name="Tc_4ozxpRlnLEuQ0rK4O7_bzQ_6_0"/>
      <w:bookmarkStart w:id="768" w:name="Tc_3rLdXe74c0KwnoD61SxWyQ_5_0"/>
      <w:bookmarkStart w:id="769" w:name="Tc_S-iwNGgee0eTfJlaeV1rLQ_4_5"/>
      <w:bookmarkStart w:id="770" w:name="Tc_GGJMBs_VbEWqNOrJ8AVoMA_4_2"/>
      <w:bookmarkStart w:id="771" w:name="Tc_VwHaaurttUSHE3OnNfmQ3Q_4_0"/>
      <w:bookmarkStart w:id="772" w:name="Tc_LhR8fMPqQ0OtJ1GuSsOmzw_3_2"/>
      <w:bookmarkStart w:id="773" w:name="Tc_mNTsE96wE0WJg-5LxndBXg_2_5"/>
      <w:bookmarkStart w:id="774" w:name="Tc_Pt0EdYW4kEufaWtcM28qwA_2_2"/>
      <w:bookmarkStart w:id="775" w:name="Tc_HNFoOJh7qEGsxOL0SbQmxQ_1_2"/>
      <w:bookmarkStart w:id="776" w:name="Tc_8NToo5CxnE-ZbS5chKGKqg_12_23"/>
      <w:bookmarkStart w:id="777" w:name="Tc_vJuQjpA0y02XouBon9CYTg_12_21"/>
      <w:bookmarkStart w:id="778" w:name="Tc_v0JHImbB4EGERBU8nsIhrQ_12_20"/>
      <w:bookmarkStart w:id="779" w:name="Tc_L6HRntU5DU-4DpTLDqfo6g_12_17"/>
      <w:bookmarkStart w:id="780" w:name="Tc_EMxQaMeamESgB_e0uufG6Q_12_14"/>
      <w:bookmarkStart w:id="781" w:name="Tc_fIFoPhIXtECTezObBReBIQ_12_11"/>
      <w:bookmarkStart w:id="782" w:name="Tc_AX9unpsarkq1q_5QBkhoyw_12_9"/>
      <w:bookmarkStart w:id="783" w:name="Tc_ffooY0m18kKKYx9sITgZUw_12_8"/>
      <w:bookmarkStart w:id="784" w:name="Tc_Qc3XDuiV5keDIw8r5QIWLQ_12_5"/>
      <w:bookmarkStart w:id="785" w:name="Tc_HZNhnjVGfUqJqJrZCy_1jA_12_2"/>
      <w:bookmarkStart w:id="786" w:name="Tc_gDwlqj-PPEOiIxGByp4j-g_11_21"/>
      <w:bookmarkStart w:id="787" w:name="Tc_3NX6c6iEgkmkG2Sq-DggWA_11_15"/>
      <w:bookmarkStart w:id="788" w:name="Tc_5pEtzfVnb0GXQk_a9LbmJg_11_9"/>
      <w:bookmarkStart w:id="789" w:name="Tc_KbM7Olt4dU6gJ9gFLBXcHg_11_3"/>
      <w:bookmarkStart w:id="790" w:name="Tc_yZ2kmC5g30ikBK3y6Ofniw_11_0"/>
      <w:bookmarkStart w:id="791" w:name="Tc_7F7nVd7TFEye4lgNmpT65g_10_21"/>
      <w:bookmarkStart w:id="792" w:name="Tc_HRMjoW62tUi9rbVJlscHGA_10_15"/>
      <w:bookmarkStart w:id="793" w:name="Tc_DNWs3t3cFEWt8C4b2fTWCw_10_9"/>
      <w:bookmarkStart w:id="794" w:name="Tc_6ZBg9ApeNECVu-TXzkHctg_10_3"/>
      <w:bookmarkStart w:id="795" w:name="Tc_hE82JsK5T0qudzzLWWareA_10_0"/>
      <w:bookmarkStart w:id="796" w:name="Tc_qCPCEgZJCEedKW8D2c_qvQ_9_23"/>
      <w:bookmarkStart w:id="797" w:name="Tc_okDD6iUn0UGK78FuwNKNjw_9_21"/>
      <w:bookmarkStart w:id="798" w:name="Tc_s1gcm-8rnEiWjGKNCVXyDw_9_20"/>
      <w:bookmarkStart w:id="799" w:name="Tc_kwBwrr6heUyQDVe2FMAV4A_9_18"/>
      <w:bookmarkStart w:id="800" w:name="Tc_b86se6Uty0mSZ9QWIXQ_AQ_9_17"/>
      <w:bookmarkStart w:id="801" w:name="Tc_KW9OCwH__EiJHvBmKRwQjQ_9_14"/>
      <w:bookmarkStart w:id="802" w:name="Tc_eA2_VNDgIkO3KZcIwi5G_g_9_11"/>
      <w:bookmarkStart w:id="803" w:name="Tc_ZURGYmFzJUmW6LKfCfllMA_9_9"/>
      <w:bookmarkStart w:id="804" w:name="Tc_tuj-atDvqk27r8i4UQUW0Q_9_8"/>
      <w:bookmarkStart w:id="805" w:name="Tc_f41ohuR7KE2RN8RT2L8G1A_9_6"/>
      <w:bookmarkStart w:id="806" w:name="Tc_4OZLMOnCjU6gFmmyrDC__w_9_5"/>
      <w:bookmarkStart w:id="807" w:name="Tc_WOj8wY6NhkCnjWBqzcYE9A_9_2"/>
      <w:bookmarkStart w:id="808" w:name="Tc_QR5I_ZN-GUWeeR1fwFT-1A_9_0"/>
      <w:bookmarkStart w:id="809" w:name="Tc_afNckBz_ZEySxQC5ocr27A_8_0"/>
      <w:bookmarkStart w:id="810" w:name="Tc_gRCJ9ATHWUeSRGZNrmjSyA_7_23"/>
      <w:bookmarkStart w:id="811" w:name="Tc_yStroenFREGH7gvmtK0etA_7_20"/>
      <w:bookmarkStart w:id="812" w:name="Tc_q8KRHUmupEqencDjompuog_7_17"/>
      <w:bookmarkStart w:id="813" w:name="Tc_ei645Lir4E2ybZ15ViKnUA_7_14"/>
      <w:bookmarkStart w:id="814" w:name="Tc_RPX-tfJ0oUWDoNCIib2lcQ_7_11"/>
      <w:bookmarkStart w:id="815" w:name="Tc_KGyqYvdLSUywRsFqFiZXsw_7_8"/>
      <w:bookmarkStart w:id="816" w:name="Tc_fSkGo35TLUi80bZKTnLS5g_7_6"/>
      <w:bookmarkStart w:id="817" w:name="Tc_OtHsxdlVE0mD6Sr_YxNFxA_7_5"/>
      <w:bookmarkStart w:id="818" w:name="Tc_FHQ5O1dVrkyi0gAWAXT_ug_7_2"/>
      <w:bookmarkStart w:id="819" w:name="Tc_3TS4cLX89kybOE0hf5v26Q_6_21"/>
      <w:bookmarkStart w:id="820" w:name="Tc_8eSHcJLGUEq_ADyo_ANslQ_6_15"/>
      <w:bookmarkStart w:id="821" w:name="Tc_4SDicszNXUSS8mowHVZbvA_6_12"/>
      <w:bookmarkStart w:id="822" w:name="Tc_VjxrYUFvdUSrYGOqsPpMGQ_6_9"/>
      <w:bookmarkStart w:id="823" w:name="Tc_IQJDmY6Isk6VQnANf6eb1w_6_6"/>
      <w:bookmarkStart w:id="824" w:name="Tc_48NPTUviikqMD99oQKB7GQ_6_3"/>
      <w:bookmarkStart w:id="825" w:name="Tc_MYNKVOu5zkGL4zP_k09sMw_6_0"/>
      <w:bookmarkStart w:id="826" w:name="Tc_0LDy6OEQ0k22aWWPxwO2sg_5_23"/>
      <w:bookmarkStart w:id="827" w:name="Tc_O6f4PwTh-0CL-Z95wE7C-w_5_20"/>
      <w:bookmarkStart w:id="828" w:name="Tc_Ih3nLuDt30SPm-WRIDEWzA_5_18"/>
      <w:bookmarkStart w:id="829" w:name="Tc_sLSwe6QDY0amQ1_rBbnWEA_5_17"/>
      <w:bookmarkStart w:id="830" w:name="Tc_I57VZ2YiNkez_QTv9NqDJQ_5_14"/>
      <w:bookmarkStart w:id="831" w:name="Tc_lqBgMJsWUUuxQf1oPDMNDQ_5_11"/>
      <w:bookmarkStart w:id="832" w:name="Tc__zvHvVr43E2Vx4yPlofAfQ_5_8"/>
      <w:bookmarkStart w:id="833" w:name="Tc_Bd1r4aUsWkeFiGUgEbrdqg_5_6"/>
      <w:bookmarkStart w:id="834" w:name="Tc_CdUV5kif006DDhbzIuTKTA_5_5"/>
      <w:bookmarkStart w:id="835" w:name="Tc__2_goXmFYEiSVADBncWaPA_5_2"/>
      <w:bookmarkStart w:id="836" w:name="Tc_flyJe0TlK0muWSKTGUIOgg_5_0"/>
      <w:bookmarkStart w:id="837" w:name="Tc_BZ7yu9t9k0yNYrpkWWgDgA_4_0"/>
      <w:bookmarkStart w:id="838" w:name="Tc_RVkUw2SEYUO_UyzAxxJ2Ww_3_2"/>
      <w:bookmarkStart w:id="839" w:name="Tc_Cj4aWC1GtkqvogQwujGNdQ_2_23"/>
      <w:bookmarkStart w:id="840" w:name="Tc_93C19Ph0IE-iRXdoBH0bjw_2_20"/>
      <w:bookmarkStart w:id="841" w:name="Tc_KAF62AwtaEm1GSTNlYVaYw_2_17"/>
      <w:bookmarkStart w:id="842" w:name="Tc_61zgKUkjwEe9qL00DtB9Ng_2_14"/>
      <w:bookmarkStart w:id="843" w:name="Tc_KNNm9BnvV0C3Jn0jAd_s0g_2_11"/>
      <w:bookmarkStart w:id="844" w:name="Tc_FzLtK7BKd0GGLqHJsD7ifA_2_8"/>
      <w:bookmarkStart w:id="845" w:name="Tc_NbpZVQioA0Oo_QRBs8y6EQ_2_5"/>
      <w:bookmarkStart w:id="846" w:name="Tc_YnOhlATPdEWqfewIg3rIUA_2_2"/>
      <w:bookmarkStart w:id="847" w:name="Tc_1g4bsNIgtkuA9fcU2gdm4A_1_14"/>
      <w:bookmarkStart w:id="848" w:name="Tc_QRqyHz8u8EenViw7LBO_rA_1_2"/>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b/>
          <w:i/>
          <w:sz w:val="20"/>
        </w:rPr>
        <w:t>Assets and Liabilities Measured at Fair Value on a Recurring Basis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the valuation of our assets and liabilities by the above fair value hierarchy levels measured on a recurring basis: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44"/>
        <w:gridCol w:w="346"/>
        <w:gridCol w:w="211"/>
        <w:gridCol w:w="571"/>
        <w:gridCol w:w="346"/>
        <w:gridCol w:w="211"/>
        <w:gridCol w:w="571"/>
        <w:gridCol w:w="346"/>
        <w:gridCol w:w="231"/>
        <w:gridCol w:w="382"/>
        <w:gridCol w:w="346"/>
        <w:gridCol w:w="211"/>
        <w:gridCol w:w="571"/>
        <w:gridCol w:w="346"/>
        <w:gridCol w:w="211"/>
        <w:gridCol w:w="571"/>
        <w:gridCol w:w="346"/>
        <w:gridCol w:w="217"/>
        <w:gridCol w:w="433"/>
        <w:gridCol w:w="346"/>
        <w:gridCol w:w="231"/>
        <w:gridCol w:w="382"/>
        <w:gridCol w:w="346"/>
        <w:gridCol w:w="211"/>
        <w:gridCol w:w="678"/>
      </w:tblGrid>
      <w:tr>
        <w:trPr/>
        <w:tc>
          <w:tcPr>
            <w:tcW w:w="1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80440" cy="175260"/>
                      <wp:effectExtent l="0" t="0" r="0" b="0"/>
                      <wp:wrapNone/>
                      <wp:docPr id="100" name="Frame100"/>
                      <a:graphic xmlns:a="http://schemas.openxmlformats.org/drawingml/2006/main">
                        <a:graphicData uri="http://schemas.microsoft.com/office/word/2010/wordprocessingShape">
                          <wps:wsp>
                            <wps:cNvSpPr txBox="1"/>
                            <wps:spPr>
                              <a:xfrm>
                                <a:off x="0" y="0"/>
                                <a:ext cx="980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62585" cy="175260"/>
                      <wp:effectExtent l="0" t="0" r="0" b="0"/>
                      <wp:wrapNone/>
                      <wp:docPr id="103" name="Frame1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2585" cy="175260"/>
                      <wp:effectExtent l="0" t="0" r="0" b="0"/>
                      <wp:wrapNone/>
                      <wp:docPr id="106" name="Frame1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6685" cy="175260"/>
                      <wp:effectExtent l="0" t="0" r="0" b="0"/>
                      <wp:wrapNone/>
                      <wp:docPr id="108" name="Frame10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2570" cy="175260"/>
                      <wp:effectExtent l="0" t="0" r="0" b="0"/>
                      <wp:wrapNone/>
                      <wp:docPr id="109" name="Frame109"/>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62585" cy="175260"/>
                      <wp:effectExtent l="0" t="0" r="0" b="0"/>
                      <wp:wrapNone/>
                      <wp:docPr id="112" name="Frame1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62585" cy="175260"/>
                      <wp:effectExtent l="0" t="0" r="0" b="0"/>
                      <wp:wrapNone/>
                      <wp:docPr id="115" name="Frame1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7795" cy="175260"/>
                      <wp:effectExtent l="0" t="0" r="0" b="0"/>
                      <wp:wrapNone/>
                      <wp:docPr id="117" name="Frame11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74955" cy="175260"/>
                      <wp:effectExtent l="0" t="0" r="0" b="0"/>
                      <wp:wrapNone/>
                      <wp:docPr id="118" name="Frame118"/>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6685" cy="175260"/>
                      <wp:effectExtent l="0" t="0" r="0" b="0"/>
                      <wp:wrapNone/>
                      <wp:docPr id="120" name="Frame12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42570" cy="175260"/>
                      <wp:effectExtent l="0" t="0" r="0" b="0"/>
                      <wp:wrapNone/>
                      <wp:docPr id="121" name="Frame121"/>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30530" cy="175260"/>
                      <wp:effectExtent l="0" t="0" r="0" b="0"/>
                      <wp:wrapNone/>
                      <wp:docPr id="124" name="Frame124"/>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w:t>
            </w:r>
          </w:p>
        </w:tc>
        <w:tc>
          <w:tcPr>
            <w:tcW w:w="397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0"/>
              <w:ind w:left="0" w:right="0" w:hanging="0"/>
              <w:jc w:val="left"/>
              <w:rPr/>
            </w:pPr>
            <w:r>
              <w:rPr/>
              <w:t>  ​ ​ ​</w:t>
            </w:r>
          </w:p>
        </w:tc>
        <w:tc>
          <w:tcPr>
            <w:tcW w:w="6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0"/>
              <w:ind w:left="0" w:right="0" w:hanging="0"/>
              <w:jc w:val="left"/>
              <w:rPr/>
            </w:pPr>
            <w:r>
              <w:rPr/>
              <w:t>  ​ ​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0"/>
              <w:ind w:left="0" w:right="0" w:hanging="0"/>
              <w:jc w:val="left"/>
              <w:rPr/>
            </w:pPr>
            <w:r>
              <w:rPr/>
              <w:t>  ​ ​ ​</w:t>
            </w:r>
          </w:p>
        </w:tc>
        <w:tc>
          <w:tcPr>
            <w:tcW w:w="6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0"/>
              <w:ind w:left="0" w:right="0" w:hanging="0"/>
              <w:jc w:val="left"/>
              <w:rPr/>
            </w:pPr>
            <w:r>
              <w:rPr/>
              <w:t>  ​ ​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15" w:type="dxa"/>
            <w:gridSpan w:val="23"/>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54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3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center"/>
              <w:rPr/>
            </w:pPr>
            <w:r>
              <w:rPr/>
              <w:t>​</w:t>
            </w:r>
          </w:p>
        </w:tc>
        <w:tc>
          <w:tcPr>
            <w:tcW w:w="4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3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r>
      <w:tr>
        <w:trPr/>
        <w:tc>
          <w:tcPr>
            <w:tcW w:w="1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(Note 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w:t>
            </w:r>
          </w:p>
        </w:tc>
      </w:tr>
      <w:tr>
        <w:trPr/>
        <w:tc>
          <w:tcPr>
            <w:tcW w:w="1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net (Note 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5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r>
      <w:tr>
        <w:trPr/>
        <w:tc>
          <w:tcPr>
            <w:tcW w:w="154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1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sold, not yet purchased (Note 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r>
      <w:tr>
        <w:trPr/>
        <w:tc>
          <w:tcPr>
            <w:tcW w:w="15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net (Note 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15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RFS obligations (Note 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15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2,049</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changes in investments measured at fair value on a recurring basis for which we use Level 3 inputs to determine fair value are as follows:</w:t>
      </w:r>
    </w:p>
    <w:p>
      <w:pPr>
        <w:pStyle w:val="TextBody"/>
        <w:bidi w:val="0"/>
        <w:spacing w:before="0" w:after="0"/>
        <w:ind w:left="0" w:right="0" w:hanging="0"/>
        <w:jc w:val="left"/>
        <w:rPr>
          <w:shd w:fill="FFFF00" w:val="clear"/>
        </w:rPr>
      </w:pPr>
      <w:r>
        <w:rPr>
          <w:shd w:fill="FFFF00" w:val="clear"/>
        </w:rPr>
        <w:t>​</w:t>
      </w:r>
    </w:p>
    <w:tbl>
      <w:tblPr>
        <w:tblW w:w="4786" w:type="dxa"/>
        <w:jc w:val="left"/>
        <w:tblInd w:w="0" w:type="dxa"/>
        <w:tblLayout w:type="fixed"/>
        <w:tblCellMar>
          <w:top w:w="0" w:type="dxa"/>
          <w:left w:w="0" w:type="dxa"/>
          <w:bottom w:w="0" w:type="dxa"/>
          <w:right w:w="0" w:type="dxa"/>
        </w:tblCellMar>
      </w:tblPr>
      <w:tblGrid>
        <w:gridCol w:w="1966"/>
        <w:gridCol w:w="346"/>
        <w:gridCol w:w="321"/>
        <w:gridCol w:w="664"/>
        <w:gridCol w:w="527"/>
        <w:gridCol w:w="321"/>
        <w:gridCol w:w="64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48410" cy="175260"/>
                      <wp:effectExtent l="0" t="0" r="0" b="0"/>
                      <wp:wrapNone/>
                      <wp:docPr id="125" name="Frame125"/>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3835" cy="175260"/>
                      <wp:effectExtent l="0" t="0" r="0" b="0"/>
                      <wp:wrapNone/>
                      <wp:docPr id="127" name="Frame127"/>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1640" cy="175260"/>
                      <wp:effectExtent l="0" t="0" r="0" b="0"/>
                      <wp:wrapNone/>
                      <wp:docPr id="128" name="Frame128"/>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34645" cy="175260"/>
                      <wp:effectExtent l="0" t="0" r="0" b="0"/>
                      <wp:wrapNone/>
                      <wp:docPr id="129" name="Frame129"/>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3835" cy="175260"/>
                      <wp:effectExtent l="0" t="0" r="0" b="0"/>
                      <wp:wrapNone/>
                      <wp:docPr id="130" name="Frame13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07035" cy="175260"/>
                      <wp:effectExtent l="0" t="0" r="0" b="0"/>
                      <wp:wrapNone/>
                      <wp:docPr id="131" name="Frame131"/>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27"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78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4"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1</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52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out of Level 3</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527"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27"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our 39,277 shares of Enzon Series C Non-Convertible Redeemable Preferred Stock, par value $0.01 per share (“Enzon Series C Preferred Stock”), were converted in connection with the closing of the merger of Viskase and Enzon and transferred out of Level 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Note 1, “Description of Business,” for discussion of the Viskase–Enzon merger.</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Assets Measured at Fair Value on a Non-Recurring Basis for Which We Use Level 3 Inputs to Determine Fair Value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0"/>
        <w:ind w:left="0" w:right="0" w:hanging="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related party loan receivable from TEB is collateral-dependent, as repayment is expected to be provided substantially through the planned sale of certain properties by TEB. As of June 30, 2026, management individually evaluated the related party loan for credit losses and determined that the expected credit losses on the loan receivable are not material due to significant collateral coverage and ongoing support of TEB by co-investors.</w:t>
      </w:r>
    </w:p>
    <w:p>
      <w:pPr>
        <w:pStyle w:val="TextBody"/>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With respect to the preferred equity investment, subsequent accounting and disclosures should not reflect a fair value approach, as the fair value option was not elected and only utilized in determining the initial carrying value. As the transaction occurred in a prior period and is not subsequently measured at fair value nor reported in the statement of financial position at fair value (either in the current or prior periods), there is no requirement for nonrecurring fair value disclosures, and the disclosures are limited to those required under ASC 323.</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have entered into various types of swap contracts with other counterparties. These agreements provide that they are entitled to receive or are obligated to pay in cash an amount equal to the increase or decrease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entitled to receive from or required to pay to the counterparty a floating interest rate equal to the product of the notional amount multiplied by an agreed-upon rate. They also receive interest on any cash collateral that they post to the counterparty and pay interest on any cash collateral posted by the counterparty at an agreed-upon 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 and to the independent amount posted on such forward contracts pursuant to the margin requirements of the relevant agreement, which is recognized in restricted cash in our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49" w:name="Tc_8K-BIpHv9U-mxTWWhhWdnw_6_9"/>
      <w:bookmarkStart w:id="850" w:name="Tc_PoNABuA-DUyWQ7Z3pi0ikA_6_3"/>
      <w:bookmarkStart w:id="851" w:name="Tc_F2Mj57HpYUuCEMzRuW2Q5w_6_0"/>
      <w:bookmarkStart w:id="852" w:name="Tc_h_xfYUHtFUiSx-_FthtIsg_5_11"/>
      <w:bookmarkStart w:id="853" w:name="Tc_5b-EiH2oD0u3NUSjIjvZYw_5_8"/>
      <w:bookmarkStart w:id="854" w:name="Tc_MQvVYFFdo06Us86gQuUDUQ_5_5"/>
      <w:bookmarkStart w:id="855" w:name="Tc_peLvNZLXX0mruHSkUIw6Ug_5_2"/>
      <w:bookmarkStart w:id="856" w:name="Tc_I3IKuYjiDEKNevWlP_YsSQ_5_0"/>
      <w:bookmarkStart w:id="857" w:name="Tc_DgKDTiMJ60KYruqJ_Rep2A_4_0"/>
      <w:bookmarkStart w:id="858" w:name="Tc_OxaK0nqe6kqBrjqTPScZlg_3_3"/>
      <w:bookmarkStart w:id="859" w:name="Tc_3SZSoP8wU0mbG154XjGpMg_2_11"/>
      <w:bookmarkStart w:id="860" w:name="Tc_am9BwfC9bU6rF3dW3dn0ew_2_8"/>
      <w:bookmarkStart w:id="861" w:name="Tc_6iX7LsjRkEuyDUOMkd-BeQ_2_5"/>
      <w:bookmarkStart w:id="862" w:name="Tc_9uq4Jl_7jU-riNRMJeLCcg_2_2"/>
      <w:bookmarkStart w:id="863" w:name="Tc_NJVaCAUToUWBjem80v2arg_1_8"/>
      <w:bookmarkStart w:id="864" w:name="Tc_PJ-3N5V820uUJUx5ZC-v2g_1_2"/>
      <w:bookmarkStart w:id="865" w:name="_2d2c95bb_09e0_4d23_8439_924c8d4639e1"/>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rFonts w:ascii="Times New Roman;Times;serif" w:hAnsi="Times New Roman;Times;serif"/>
          <w:sz w:val="20"/>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val="false"/>
          <w:sz w:val="20"/>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w:t>
      </w:r>
      <w:r>
        <w:rPr>
          <w:rFonts w:ascii="Times New Roman;Times;serif" w:hAnsi="Times New Roman;Times;serif"/>
          <w:b/>
          <w:sz w:val="20"/>
        </w:rPr>
        <w:t xml:space="preserve"> </w:t>
      </w:r>
      <w:r>
        <w:rPr>
          <w:rFonts w:ascii="Times New Roman;Times;serif" w:hAnsi="Times New Roman;Times;serif"/>
          <w:b w:val="false"/>
          <w:sz w:val="20"/>
        </w:rPr>
        <w:t xml:space="preserve">Investment Funds’ derivative instruments with credit-risk-related contingent features in a liability position as of June 30, 2026 and December 31,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volume of our Investment segment’s derivative activities based on their notional exposure, categorized by primary underlying risk: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54"/>
        <w:gridCol w:w="346"/>
        <w:gridCol w:w="582"/>
        <w:gridCol w:w="1167"/>
        <w:gridCol w:w="346"/>
        <w:gridCol w:w="474"/>
        <w:gridCol w:w="1286"/>
        <w:gridCol w:w="346"/>
        <w:gridCol w:w="471"/>
        <w:gridCol w:w="1278"/>
        <w:gridCol w:w="346"/>
        <w:gridCol w:w="459"/>
        <w:gridCol w:w="1350"/>
      </w:tblGrid>
      <w:tr>
        <w:trPr/>
        <w:tc>
          <w:tcPr>
            <w:tcW w:w="1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113790" cy="175260"/>
                      <wp:effectExtent l="0" t="0" r="0" b="0"/>
                      <wp:wrapNone/>
                      <wp:docPr id="132" name="Frame132"/>
                      <a:graphic xmlns:a="http://schemas.openxmlformats.org/drawingml/2006/main">
                        <a:graphicData uri="http://schemas.microsoft.com/office/word/2010/wordprocessingShape">
                          <wps:wsp>
                            <wps:cNvSpPr txBox="1"/>
                            <wps:spPr>
                              <a:xfrm>
                                <a:off x="0" y="0"/>
                                <a:ext cx="1113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9570" cy="175260"/>
                      <wp:effectExtent l="0" t="0" r="0" b="0"/>
                      <wp:wrapNone/>
                      <wp:docPr id="134" name="Frame134"/>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41045" cy="175260"/>
                      <wp:effectExtent l="0" t="0" r="0" b="0"/>
                      <wp:wrapNone/>
                      <wp:docPr id="135" name="Frame135"/>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00990" cy="175260"/>
                      <wp:effectExtent l="0" t="0" r="0" b="0"/>
                      <wp:wrapNone/>
                      <wp:docPr id="137" name="Frame137"/>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816610" cy="175260"/>
                      <wp:effectExtent l="0" t="0" r="0" b="0"/>
                      <wp:wrapNone/>
                      <wp:docPr id="138" name="Frame138"/>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99085" cy="175260"/>
                      <wp:effectExtent l="0" t="0" r="0" b="0"/>
                      <wp:wrapNone/>
                      <wp:docPr id="140" name="Frame140"/>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811530" cy="175260"/>
                      <wp:effectExtent l="0" t="0" r="0" b="0"/>
                      <wp:wrapNone/>
                      <wp:docPr id="141" name="Frame141"/>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91465" cy="175260"/>
                      <wp:effectExtent l="0" t="0" r="0" b="0"/>
                      <wp:wrapNone/>
                      <wp:docPr id="143" name="Frame143"/>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857250" cy="175260"/>
                      <wp:effectExtent l="0" t="0" r="0" b="0"/>
                      <wp:wrapNone/>
                      <wp:docPr id="144" name="Frame144"/>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8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left"/>
              <w:rPr/>
            </w:pPr>
            <w:r>
              <w:rPr/>
              <w:t>​</w:t>
            </w:r>
          </w:p>
        </w:tc>
        <w:tc>
          <w:tcPr>
            <w:tcW w:w="39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7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7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46" w:type="dxa"/>
            <w:tcBorders/>
            <w:vAlign w:val="center"/>
          </w:tcPr>
          <w:p>
            <w:pPr>
              <w:pStyle w:val="TableContents"/>
              <w:bidi w:val="0"/>
              <w:spacing w:before="0" w:after="1"/>
              <w:ind w:left="0" w:right="0" w:hanging="0"/>
              <w:jc w:val="center"/>
              <w:rPr/>
            </w:pPr>
            <w:r>
              <w:rPr/>
              <w:t>  ​ ​ ​</w:t>
            </w:r>
          </w:p>
        </w:tc>
        <w:tc>
          <w:tcPr>
            <w:tcW w:w="17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c>
          <w:tcPr>
            <w:tcW w:w="346" w:type="dxa"/>
            <w:tcBorders/>
            <w:vAlign w:val="center"/>
          </w:tcPr>
          <w:p>
            <w:pPr>
              <w:pStyle w:val="TableContents"/>
              <w:bidi w:val="0"/>
              <w:spacing w:before="0" w:after="1"/>
              <w:ind w:left="0" w:right="0" w:hanging="0"/>
              <w:jc w:val="center"/>
              <w:rPr/>
            </w:pPr>
            <w:r>
              <w:rPr/>
              <w:t>  ​ ​ ​</w:t>
            </w:r>
          </w:p>
        </w:tc>
        <w:tc>
          <w:tcPr>
            <w:tcW w:w="17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46" w:type="dxa"/>
            <w:tcBorders/>
            <w:vAlign w:val="center"/>
          </w:tcPr>
          <w:p>
            <w:pPr>
              <w:pStyle w:val="TableContents"/>
              <w:bidi w:val="0"/>
              <w:spacing w:before="0" w:after="1"/>
              <w:ind w:left="0" w:right="0" w:hanging="0"/>
              <w:jc w:val="center"/>
              <w:rPr/>
            </w:pPr>
            <w:r>
              <w:rPr/>
              <w:t>  ​ ​ ​</w:t>
            </w:r>
          </w:p>
        </w:tc>
        <w:tc>
          <w:tcPr>
            <w:tcW w:w="18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82" w:type="dxa"/>
            <w:tcBorders/>
            <w:vAlign w:val="center"/>
          </w:tcPr>
          <w:p>
            <w:pPr>
              <w:pStyle w:val="TableContents"/>
              <w:bidi w:val="0"/>
              <w:spacing w:before="0" w:after="1"/>
              <w:ind w:left="0" w:right="0" w:hanging="0"/>
              <w:jc w:val="center"/>
              <w:rPr/>
            </w:pPr>
            <w:r>
              <w:rPr/>
              <w:t>​</w:t>
            </w:r>
          </w:p>
        </w:tc>
        <w:tc>
          <w:tcPr>
            <w:tcW w:w="7523"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7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Primary underlying risk:</w:t>
            </w:r>
          </w:p>
        </w:tc>
        <w:tc>
          <w:tcPr>
            <w:tcW w:w="346" w:type="dxa"/>
            <w:tcBorders/>
            <w:vAlign w:val="center"/>
          </w:tcPr>
          <w:p>
            <w:pPr>
              <w:pStyle w:val="TableContents"/>
              <w:bidi w:val="0"/>
              <w:spacing w:before="0" w:after="1"/>
              <w:ind w:left="0" w:right="0" w:hanging="0"/>
              <w:jc w:val="center"/>
              <w:rPr/>
            </w:pPr>
            <w:r>
              <w:rPr/>
              <w:t>​</w:t>
            </w:r>
          </w:p>
        </w:tc>
        <w:tc>
          <w:tcPr>
            <w:tcW w:w="582" w:type="dxa"/>
            <w:tcBorders/>
            <w:vAlign w:val="center"/>
          </w:tcPr>
          <w:p>
            <w:pPr>
              <w:pStyle w:val="TableContents"/>
              <w:bidi w:val="0"/>
              <w:spacing w:before="0" w:after="1"/>
              <w:ind w:left="0" w:right="0" w:hanging="0"/>
              <w:jc w:val="center"/>
              <w:rPr/>
            </w:pPr>
            <w:r>
              <w:rPr/>
              <w:t>​</w:t>
            </w:r>
          </w:p>
        </w:tc>
        <w:tc>
          <w:tcPr>
            <w:tcW w:w="11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74" w:type="dxa"/>
            <w:tcBorders/>
            <w:vAlign w:val="center"/>
          </w:tcPr>
          <w:p>
            <w:pPr>
              <w:pStyle w:val="TableContents"/>
              <w:bidi w:val="0"/>
              <w:spacing w:before="0" w:after="1"/>
              <w:ind w:left="0" w:right="0" w:hanging="0"/>
              <w:jc w:val="center"/>
              <w:rPr/>
            </w:pPr>
            <w:r>
              <w:rPr/>
              <w:t>​</w:t>
            </w:r>
          </w:p>
        </w:tc>
        <w:tc>
          <w:tcPr>
            <w:tcW w:w="1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71" w:type="dxa"/>
            <w:tcBorders/>
            <w:vAlign w:val="center"/>
          </w:tcPr>
          <w:p>
            <w:pPr>
              <w:pStyle w:val="TableContents"/>
              <w:bidi w:val="0"/>
              <w:spacing w:before="0" w:after="1"/>
              <w:ind w:left="0" w:right="0" w:hanging="0"/>
              <w:jc w:val="center"/>
              <w:rPr/>
            </w:pPr>
            <w:r>
              <w:rPr/>
              <w:t>​</w:t>
            </w:r>
          </w:p>
        </w:tc>
        <w:tc>
          <w:tcPr>
            <w:tcW w:w="12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1350" w:type="dxa"/>
            <w:tcBorders/>
            <w:vAlign w:val="center"/>
          </w:tcPr>
          <w:p>
            <w:pPr>
              <w:pStyle w:val="TableContents"/>
              <w:bidi w:val="0"/>
              <w:spacing w:before="0" w:after="1"/>
              <w:ind w:left="0" w:right="0" w:hanging="0"/>
              <w:jc w:val="center"/>
              <w:rPr/>
            </w:pPr>
            <w:r>
              <w:rPr/>
              <w:t>​</w:t>
            </w:r>
          </w:p>
        </w:tc>
      </w:tr>
      <w:tr>
        <w:trPr/>
        <w:tc>
          <w:tcPr>
            <w:tcW w:w="17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46" w:type="dxa"/>
            <w:tcBorders/>
            <w:shd w:fill="CCEEFF" w:val="clear"/>
            <w:vAlign w:val="center"/>
          </w:tcPr>
          <w:p>
            <w:pPr>
              <w:pStyle w:val="TableContents"/>
              <w:bidi w:val="0"/>
              <w:spacing w:before="0" w:after="1"/>
              <w:ind w:left="0" w:right="0" w:hanging="0"/>
              <w:jc w:val="center"/>
              <w:rPr/>
            </w:pPr>
            <w:r>
              <w:rPr/>
              <w:t>​</w:t>
            </w:r>
          </w:p>
        </w:tc>
        <w:tc>
          <w:tcPr>
            <w:tcW w:w="58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c>
          <w:tcPr>
            <w:tcW w:w="346" w:type="dxa"/>
            <w:tcBorders/>
            <w:shd w:fill="CCEEFF" w:val="clear"/>
            <w:vAlign w:val="center"/>
          </w:tcPr>
          <w:p>
            <w:pPr>
              <w:pStyle w:val="TableContents"/>
              <w:bidi w:val="0"/>
              <w:spacing w:before="0" w:after="1"/>
              <w:ind w:left="0" w:right="0" w:hanging="0"/>
              <w:jc w:val="right"/>
              <w:rPr/>
            </w:pPr>
            <w:r>
              <w:rPr/>
              <w:t>​</w:t>
            </w:r>
          </w:p>
        </w:tc>
        <w:tc>
          <w:tcPr>
            <w:tcW w:w="47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w:t>
            </w:r>
          </w:p>
        </w:tc>
        <w:tc>
          <w:tcPr>
            <w:tcW w:w="346"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c>
          <w:tcPr>
            <w:tcW w:w="346" w:type="dxa"/>
            <w:tcBorders/>
            <w:shd w:fill="CCEEFF" w:val="clear"/>
            <w:vAlign w:val="center"/>
          </w:tcPr>
          <w:p>
            <w:pPr>
              <w:pStyle w:val="TableContents"/>
              <w:bidi w:val="0"/>
              <w:spacing w:before="0" w:after="1"/>
              <w:ind w:left="0" w:right="0" w:hanging="0"/>
              <w:jc w:val="right"/>
              <w:rPr/>
            </w:pPr>
            <w:r>
              <w:rPr/>
              <w:t>​</w:t>
            </w:r>
          </w:p>
        </w:tc>
        <w:tc>
          <w:tcPr>
            <w:tcW w:w="45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2,386</w:t>
            </w:r>
          </w:p>
        </w:tc>
      </w:tr>
      <w:tr>
        <w:trPr/>
        <w:tc>
          <w:tcPr>
            <w:tcW w:w="17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46"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left"/>
              <w:rPr/>
            </w:pPr>
            <w:r>
              <w:rPr/>
              <w:t>​</w:t>
            </w:r>
          </w:p>
        </w:tc>
        <w:tc>
          <w:tcPr>
            <w:tcW w:w="11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474" w:type="dxa"/>
            <w:tcBorders/>
            <w:vAlign w:val="center"/>
          </w:tcPr>
          <w:p>
            <w:pPr>
              <w:pStyle w:val="TableContents"/>
              <w:bidi w:val="0"/>
              <w:spacing w:before="0" w:after="1"/>
              <w:ind w:left="0" w:right="0" w:hanging="0"/>
              <w:jc w:val="right"/>
              <w:rPr/>
            </w:pPr>
            <w:r>
              <w:rPr/>
              <w:t>​</w:t>
            </w:r>
          </w:p>
        </w:tc>
        <w:tc>
          <w:tcPr>
            <w:tcW w:w="12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46" w:type="dxa"/>
            <w:tcBorders/>
            <w:vAlign w:val="center"/>
          </w:tcPr>
          <w:p>
            <w:pPr>
              <w:pStyle w:val="TableContents"/>
              <w:bidi w:val="0"/>
              <w:spacing w:before="0" w:after="1"/>
              <w:ind w:left="0" w:right="0" w:hanging="0"/>
              <w:jc w:val="right"/>
              <w:rPr/>
            </w:pPr>
            <w:r>
              <w:rPr/>
              <w:t>​</w:t>
            </w:r>
          </w:p>
        </w:tc>
        <w:tc>
          <w:tcPr>
            <w:tcW w:w="471" w:type="dxa"/>
            <w:tcBorders/>
            <w:vAlign w:val="center"/>
          </w:tcPr>
          <w:p>
            <w:pPr>
              <w:pStyle w:val="TableContents"/>
              <w:bidi w:val="0"/>
              <w:spacing w:before="0" w:after="1"/>
              <w:ind w:left="0" w:right="0" w:hanging="0"/>
              <w:jc w:val="right"/>
              <w:rPr/>
            </w:pPr>
            <w:r>
              <w:rPr/>
              <w:t>​</w:t>
            </w:r>
          </w:p>
        </w:tc>
        <w:tc>
          <w:tcPr>
            <w:tcW w:w="12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59" w:type="dxa"/>
            <w:tcBorders/>
            <w:vAlign w:val="center"/>
          </w:tcPr>
          <w:p>
            <w:pPr>
              <w:pStyle w:val="TableContents"/>
              <w:bidi w:val="0"/>
              <w:spacing w:before="0" w:after="1"/>
              <w:ind w:left="0" w:right="0" w:hanging="0"/>
              <w:jc w:val="right"/>
              <w:rPr/>
            </w:pPr>
            <w:r>
              <w:rPr/>
              <w:t>​</w:t>
            </w:r>
          </w:p>
        </w:tc>
        <w:tc>
          <w:tcPr>
            <w:tcW w:w="1350"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346</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66" w:name="_41b32f1c_0f95_49dc_9b05_5ce6715d36fa"/>
      <w:bookmarkStart w:id="867" w:name="Tc_k_ZR_ORPqUO6WvSuvMlxlA_8_11"/>
      <w:bookmarkStart w:id="868" w:name="Tc_5gmbxgvIJEipTqj8yVGJKw_8_8"/>
      <w:bookmarkStart w:id="869" w:name="Tc_n52ER7vkXUG3vnYrAF655w_8_5"/>
      <w:bookmarkStart w:id="870" w:name="Tc_eTve0QBpuUKXnfuUGjXmsw_8_2"/>
      <w:bookmarkStart w:id="871" w:name="Tc_uA6ylP5n7k6A2SdvmcXiaw_7_0"/>
      <w:bookmarkStart w:id="872" w:name="Tc_QwHdingWa0Ch18O0q-DiKQ_6_9"/>
      <w:bookmarkStart w:id="873" w:name="Tc_v_q4RRqxbkmjrh04unHKRQ_6_3"/>
      <w:bookmarkStart w:id="874" w:name="Tc_jYyHeTytpE-ID7zB0gtITw_6_0"/>
      <w:bookmarkStart w:id="875" w:name="Tc_X7axRTsgR0Wjsv9bz27wmw_5_11"/>
      <w:bookmarkStart w:id="876" w:name="Tc_t9jQtL1zBkK3hvFObcWHQA_5_8"/>
      <w:bookmarkStart w:id="877" w:name="Tc_3GgldBo7WUuF9dhprQMzhw_5_5"/>
      <w:bookmarkStart w:id="878" w:name="Tc_hqHqFnQOoUa0SVCHuIAUAQ_5_2"/>
      <w:bookmarkStart w:id="879" w:name="Tc_RfU45w2fRUybqTWbHud9og_5_0"/>
      <w:bookmarkStart w:id="880" w:name="Tc_lZy2E1G8RU209KbBioWAGg_4_2"/>
      <w:bookmarkStart w:id="881" w:name="Tc_gGPJW3nlEEK6elZWAmEAFA_3_11"/>
      <w:bookmarkStart w:id="882" w:name="Tc_Xzh22rtmx0K0zv-jXvvt3A_3_8"/>
      <w:bookmarkStart w:id="883" w:name="Tc_NWZjOBJZYUOsrsBy8wSYJw_3_5"/>
      <w:bookmarkStart w:id="884" w:name="Tc_w4d-6S6zEECkDPJmbXLQrw_3_2"/>
      <w:bookmarkStart w:id="885" w:name="Tc_sKofY5iKMECrwaTztd-oyw_2_8"/>
      <w:bookmarkStart w:id="886" w:name="Tc_iFTVj2J9eUqImPnr9Qzkog_2_2"/>
      <w:bookmarkStart w:id="887" w:name="Tc_YsInAZO0skm6ZZPGbTrUgQ_1_2"/>
      <w:bookmarkStart w:id="888" w:name="_e8d26ce3_2852_4a7e_bacb_06593b606108"/>
      <w:bookmarkStart w:id="889" w:name="_255930f1_f0aa_4c93_bb4b_6a6aebf905d8"/>
      <w:bookmarkStart w:id="890" w:name="Tc_w7iylF0EnEyoyH9N4a1WQw_9_6"/>
      <w:bookmarkStart w:id="891" w:name="Tc_JP2YitaceEmAqkHZoRqSgw_9_5"/>
      <w:bookmarkStart w:id="892" w:name="Tc_h4vtX3bXzUKxOAC5QBZEBQ_9_3"/>
      <w:bookmarkStart w:id="893" w:name="Tc_UzfrUUqzqkGTcjMak1HC-g_9_2"/>
      <w:bookmarkStart w:id="894" w:name="Tc_UNIVeGU6tEW9_Mr20MaXug_9_0"/>
      <w:bookmarkStart w:id="895" w:name="Tc_RlyDp_3shEq0cUBKroHgVw_8_0"/>
      <w:bookmarkStart w:id="896" w:name="Tc_UjUVztE1UkKvieFVg2Hm5A_7_0"/>
      <w:bookmarkStart w:id="897" w:name="Tc_lE6d_Aa5_E-FFuFW95YTIg_6_0"/>
      <w:bookmarkStart w:id="898" w:name="Tc_ogmje70Tck2NdIMpZr08kw_5_12"/>
      <w:bookmarkStart w:id="899" w:name="Tc_JW8o-c565UGBq7coOG6C9w_5_9"/>
      <w:bookmarkStart w:id="900" w:name="Tc_DJR_kkvl_Um9SOkJTDQw7g_5_6"/>
      <w:bookmarkStart w:id="901" w:name="Tc_BF-bG5A5IUW4_GTmVVIp8A_5_3"/>
      <w:bookmarkStart w:id="902" w:name="Tc_8fV9f6iMWEyhWeffJajrMw_5_0"/>
      <w:bookmarkStart w:id="903" w:name="Tc_Y-NMBN8UcUWD13oug7oNCg_4_11"/>
      <w:bookmarkStart w:id="904" w:name="Tc_xLjT2bXBi02_pgczBQmEwQ_4_8"/>
      <w:bookmarkStart w:id="905" w:name="Tc_J2DjsS-rGk2cBCJthoEQdQ_4_5"/>
      <w:bookmarkStart w:id="906" w:name="Tc_4hABXaBYvUm2RGb8J_vvUw_4_2"/>
      <w:bookmarkStart w:id="907" w:name="Tc_qGveevJouEy2jsaMXjR3PQ_4_0"/>
      <w:bookmarkStart w:id="908" w:name="Tc_Q22Nq9mz0Uus8m1Zd0ocjQ_3_3"/>
      <w:bookmarkStart w:id="909" w:name="Tc_1KX13ytA5UaSK5xW8CW58w_2_11"/>
      <w:bookmarkStart w:id="910" w:name="Tc_-jLwV99BRU65qY_eghnwTA_2_8"/>
      <w:bookmarkStart w:id="911" w:name="Tc_NcHNCIuWCEyGQDC9C9fi8A_2_5"/>
      <w:bookmarkStart w:id="912" w:name="Tc_9J2hxITrGUKGiBfiZdBdnw_2_2"/>
      <w:bookmarkStart w:id="913" w:name="Tc_nrwmSXu0v06UEoPOd99Qow_1_8"/>
      <w:bookmarkStart w:id="914" w:name="Tc_xvmW_32qAEqQ4oSCPDWl3Q_1_2"/>
      <w:bookmarkStart w:id="915" w:name="_8c8df067_0f3c_4c5e_9729_644fc25c8841"/>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rFonts w:ascii="Times New Roman;Times;serif" w:hAnsi="Times New Roman;Times;serif"/>
          <w:sz w:val="20"/>
        </w:rPr>
        <w:t>The following table presents the fair values of our Investment segment’s derivatives that are not designated as hedging instruments in accordance with U.S. GAAP:</w:t>
      </w:r>
    </w:p>
    <w:p>
      <w:pPr>
        <w:pStyle w:val="TextBody"/>
        <w:bidi w:val="0"/>
        <w:spacing w:before="0" w:after="0"/>
        <w:ind w:left="0" w:right="0" w:hanging="0"/>
        <w:jc w:val="left"/>
        <w:rPr/>
      </w:pPr>
      <w:r>
        <w:rPr/>
        <w:t>​</w:t>
      </w:r>
    </w:p>
    <w:tbl>
      <w:tblPr>
        <w:tblW w:w="10093" w:type="dxa"/>
        <w:jc w:val="left"/>
        <w:tblInd w:w="0" w:type="dxa"/>
        <w:tblLayout w:type="fixed"/>
        <w:tblCellMar>
          <w:top w:w="0" w:type="dxa"/>
          <w:left w:w="0" w:type="dxa"/>
          <w:bottom w:w="0" w:type="dxa"/>
          <w:right w:w="0" w:type="dxa"/>
        </w:tblCellMar>
      </w:tblPr>
      <w:tblGrid>
        <w:gridCol w:w="2626"/>
        <w:gridCol w:w="346"/>
        <w:gridCol w:w="458"/>
        <w:gridCol w:w="818"/>
        <w:gridCol w:w="346"/>
        <w:gridCol w:w="526"/>
        <w:gridCol w:w="1200"/>
        <w:gridCol w:w="346"/>
        <w:gridCol w:w="426"/>
        <w:gridCol w:w="850"/>
        <w:gridCol w:w="380"/>
        <w:gridCol w:w="507"/>
        <w:gridCol w:w="1264"/>
      </w:tblGrid>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8"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w:t>
            </w:r>
          </w:p>
        </w:tc>
        <w:tc>
          <w:tcPr>
            <w:tcW w:w="1264"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46" w:type="dxa"/>
            <w:tcBorders/>
            <w:vAlign w:val="center"/>
          </w:tcPr>
          <w:p>
            <w:pPr>
              <w:pStyle w:val="TableContents"/>
              <w:bidi w:val="0"/>
              <w:spacing w:before="0" w:after="1"/>
              <w:ind w:left="0" w:right="0" w:hanging="0"/>
              <w:jc w:val="center"/>
              <w:rPr/>
            </w:pPr>
            <w:r>
              <w:rPr/>
              <w:t>​</w:t>
            </w:r>
          </w:p>
        </w:tc>
        <w:tc>
          <w:tcPr>
            <w:tcW w:w="34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1"/>
              <w:ind w:left="0" w:right="0" w:hanging="0"/>
              <w:jc w:val="left"/>
              <w:rPr/>
            </w:pPr>
            <w:r>
              <w:rPr/>
              <w:t>  ​ ​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80" w:type="dxa"/>
            <w:tcBorders/>
            <w:vAlign w:val="center"/>
          </w:tcPr>
          <w:p>
            <w:pPr>
              <w:pStyle w:val="TableContents"/>
              <w:bidi w:val="0"/>
              <w:spacing w:before="0" w:after="1"/>
              <w:ind w:left="0" w:right="0" w:hanging="0"/>
              <w:jc w:val="left"/>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009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58" w:type="dxa"/>
            <w:tcBorders/>
            <w:vAlign w:val="center"/>
          </w:tcPr>
          <w:p>
            <w:pPr>
              <w:pStyle w:val="TableContents"/>
              <w:bidi w:val="0"/>
              <w:spacing w:before="0" w:after="1"/>
              <w:ind w:left="0" w:right="0" w:hanging="0"/>
              <w:jc w:val="center"/>
              <w:rPr/>
            </w:pPr>
            <w:r>
              <w:rPr/>
              <w:t>​</w:t>
            </w:r>
          </w:p>
        </w:tc>
        <w:tc>
          <w:tcPr>
            <w:tcW w:w="6663"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80"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46" w:type="dxa"/>
            <w:tcBorders/>
            <w:vAlign w:val="center"/>
          </w:tcPr>
          <w:p>
            <w:pPr>
              <w:pStyle w:val="TableContents"/>
              <w:bidi w:val="0"/>
              <w:spacing w:before="0" w:after="1"/>
              <w:ind w:left="0" w:right="0" w:hanging="0"/>
              <w:jc w:val="left"/>
              <w:rPr/>
            </w:pPr>
            <w:r>
              <w:rPr/>
              <w:t>​</w:t>
            </w:r>
          </w:p>
        </w:tc>
        <w:tc>
          <w:tcPr>
            <w:tcW w:w="458"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pPr>
            <w:r>
              <w:rPr/>
              <w:t>—</w:t>
            </w:r>
          </w:p>
        </w:tc>
        <w:tc>
          <w:tcPr>
            <w:tcW w:w="380"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4" w:type="dxa"/>
            <w:tcBorders/>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80"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1"/>
              <w:ind w:left="0" w:right="0" w:hanging="0"/>
              <w:jc w:val="left"/>
              <w:rPr/>
            </w:pPr>
            <w:r>
              <w:rPr/>
              <w:t>​</w:t>
            </w:r>
          </w:p>
        </w:tc>
        <w:tc>
          <w:tcPr>
            <w:tcW w:w="458"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w:t>
            </w:r>
          </w:p>
        </w:tc>
        <w:tc>
          <w:tcPr>
            <w:tcW w:w="380"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26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1"/>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80"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26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4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c>
          <w:tcPr>
            <w:tcW w:w="380" w:type="dxa"/>
            <w:tcBorders/>
            <w:vAlign w:val="center"/>
          </w:tcPr>
          <w:p>
            <w:pPr>
              <w:pStyle w:val="TableContents"/>
              <w:bidi w:val="0"/>
              <w:spacing w:before="0" w:after="1"/>
              <w:ind w:left="0" w:right="0" w:hanging="0"/>
              <w:jc w:val="left"/>
              <w:rPr/>
            </w:pPr>
            <w:r>
              <w:rPr/>
              <w:t>​</w:t>
            </w:r>
          </w:p>
        </w:tc>
        <w:tc>
          <w:tcPr>
            <w:tcW w:w="5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595</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cash collateral received and posted. The total collateral posted at June 30, 2026 and December 31, 2025 was $1.0</w:t>
            </w:r>
            <w:r>
              <w:rPr>
                <w:caps w:val="false"/>
                <w:smallCaps w:val="false"/>
              </w:rPr>
              <w:t xml:space="preserve"> </w:t>
            </w:r>
            <w:r>
              <w:rPr>
                <w:rFonts w:ascii="Times New Roman;Times;serif" w:hAnsi="Times New Roman;Times;serif"/>
                <w:b w:val="false"/>
                <w:i w:val="false"/>
                <w:caps w:val="false"/>
                <w:smallCaps w:val="false"/>
                <w:sz w:val="16"/>
              </w:rPr>
              <w:t>billion and $1.0</w:t>
            </w:r>
            <w:r>
              <w:rPr>
                <w:caps w:val="false"/>
                <w:smallCaps w:val="false"/>
              </w:rPr>
              <w:t xml:space="preserve"> </w:t>
            </w:r>
            <w:r>
              <w:rPr>
                <w:rFonts w:ascii="Times New Roman;Times;serif" w:hAnsi="Times New Roman;Times;serif"/>
                <w:b w:val="false"/>
                <w:i w:val="false"/>
                <w:caps w:val="false"/>
                <w:smallCaps w:val="false"/>
                <w:sz w:val="16"/>
              </w:rPr>
              <w:t>billion, respectively, across all counterparties, which are included in cash held at consolidated affiliated partnerships and restricted cash in the condensed consolidated balance sheets.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the amount of gain (loss) recognized in the condensed consolidated statements of operations for our Investment segment’s derivatives not designated as hedging instruments: </w:t>
      </w:r>
    </w:p>
    <w:p>
      <w:pPr>
        <w:pStyle w:val="TextBody"/>
        <w:bidi w:val="0"/>
        <w:spacing w:before="0" w:after="0"/>
        <w:ind w:left="0" w:right="0" w:hanging="0"/>
        <w:jc w:val="left"/>
        <w:rPr/>
      </w:pPr>
      <w:r>
        <w:rPr/>
        <w:t>​</w:t>
      </w:r>
    </w:p>
    <w:tbl>
      <w:tblPr>
        <w:tblW w:w="7710" w:type="dxa"/>
        <w:jc w:val="left"/>
        <w:tblInd w:w="0" w:type="dxa"/>
        <w:tblLayout w:type="fixed"/>
        <w:tblCellMar>
          <w:top w:w="0" w:type="dxa"/>
          <w:left w:w="0" w:type="dxa"/>
          <w:bottom w:w="0" w:type="dxa"/>
          <w:right w:w="0" w:type="dxa"/>
        </w:tblCellMar>
      </w:tblPr>
      <w:tblGrid>
        <w:gridCol w:w="1876"/>
        <w:gridCol w:w="346"/>
        <w:gridCol w:w="304"/>
        <w:gridCol w:w="781"/>
        <w:gridCol w:w="499"/>
        <w:gridCol w:w="304"/>
        <w:gridCol w:w="781"/>
        <w:gridCol w:w="346"/>
        <w:gridCol w:w="275"/>
        <w:gridCol w:w="706"/>
        <w:gridCol w:w="452"/>
        <w:gridCol w:w="275"/>
        <w:gridCol w:w="765"/>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191260" cy="175260"/>
                      <wp:effectExtent l="0" t="0" r="0" b="0"/>
                      <wp:wrapNone/>
                      <wp:docPr id="145" name="Frame14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3040" cy="175260"/>
                      <wp:effectExtent l="0" t="0" r="0" b="0"/>
                      <wp:wrapNone/>
                      <wp:docPr id="147" name="Frame14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5935" cy="175260"/>
                      <wp:effectExtent l="0" t="0" r="0" b="0"/>
                      <wp:wrapNone/>
                      <wp:docPr id="148" name="Frame1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16865" cy="175260"/>
                      <wp:effectExtent l="0" t="0" r="0" b="0"/>
                      <wp:wrapNone/>
                      <wp:docPr id="149" name="Frame149"/>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93040" cy="175260"/>
                      <wp:effectExtent l="0" t="0" r="0" b="0"/>
                      <wp:wrapNone/>
                      <wp:docPr id="150" name="Frame15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95935" cy="175260"/>
                      <wp:effectExtent l="0" t="0" r="0" b="0"/>
                      <wp:wrapNone/>
                      <wp:docPr id="151" name="Frame1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74625" cy="175260"/>
                      <wp:effectExtent l="0" t="0" r="0" b="0"/>
                      <wp:wrapNone/>
                      <wp:docPr id="153" name="Frame153"/>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48310" cy="175260"/>
                      <wp:effectExtent l="0" t="0" r="0" b="0"/>
                      <wp:wrapNone/>
                      <wp:docPr id="154" name="Frame15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87020" cy="175260"/>
                      <wp:effectExtent l="0" t="0" r="0" b="0"/>
                      <wp:wrapNone/>
                      <wp:docPr id="155" name="Frame155"/>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74625" cy="175260"/>
                      <wp:effectExtent l="0" t="0" r="0" b="0"/>
                      <wp:wrapNone/>
                      <wp:docPr id="156" name="Frame15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85775" cy="175260"/>
                      <wp:effectExtent l="0" t="0" r="0" b="0"/>
                      <wp:wrapNone/>
                      <wp:docPr id="157" name="Frame157"/>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488" w:type="dxa"/>
            <w:gridSpan w:val="11"/>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Gain (loss) Recognized in Income </w:t>
            </w:r>
            <w:r>
              <w:rPr>
                <w:rFonts w:ascii="Times New Roman;Times;serif" w:hAnsi="Times New Roman;Times;serif"/>
                <w:b/>
                <w:sz w:val="15"/>
              </w:rPr>
              <w:t>(1)</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99" w:type="dxa"/>
            <w:tcBorders/>
            <w:vAlign w:val="center"/>
          </w:tcPr>
          <w:p>
            <w:pPr>
              <w:pStyle w:val="TableContents"/>
              <w:bidi w:val="0"/>
              <w:spacing w:before="0" w:after="1"/>
              <w:ind w:left="0" w:right="0" w:hanging="0"/>
              <w:jc w:val="left"/>
              <w:rPr/>
            </w:pPr>
            <w:r>
              <w:rPr/>
              <w:t>  ​ ​ ​</w:t>
            </w:r>
          </w:p>
        </w:tc>
        <w:tc>
          <w:tcPr>
            <w:tcW w:w="10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52" w:type="dxa"/>
            <w:tcBorders/>
            <w:vAlign w:val="center"/>
          </w:tcPr>
          <w:p>
            <w:pPr>
              <w:pStyle w:val="TableContents"/>
              <w:bidi w:val="0"/>
              <w:spacing w:before="0" w:after="1"/>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71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88"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499"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452"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4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499"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452"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499" w:type="dxa"/>
            <w:tcBorders/>
            <w:shd w:fill="CCEEFF" w:val="clear"/>
            <w:vAlign w:val="center"/>
          </w:tcPr>
          <w:p>
            <w:pPr>
              <w:pStyle w:val="TableContents"/>
              <w:bidi w:val="0"/>
              <w:spacing w:before="0" w:after="1"/>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452"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499"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w:t>
            </w:r>
          </w:p>
        </w:tc>
        <w:tc>
          <w:tcPr>
            <w:tcW w:w="452"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 (losses) recognized on derivatives are classified in net (loss) gain from investment activities in our condensed consolidated statements of operations for our Investment segment.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and December 31, 2025, CVR Energy had swap positions for crack spreads with net notional volumes of 8.2 million and 3.1 million barrels at each period, respectively. As of June 30, 2026 and December 31, 2025, CVR Energy had no barrels and 75 thousand barrels of futures contracts at each period, respectively. As of June 30, 2026 and December 31, 2025, CVR Energy had forward contracts of 324 thousand and 736 thousand barrels at each period, respectively. As of June 30, 2026, CVR Energy held offsetting forward crude and crack commodity buy and sell positions with net notional volumes of approximately 1.4 million and 0.5 million barrels, respectively. As of June 30, 2026, CVR Energy had open fixed-price commitments to purchase a net 20 million RINs. As of December 31, 2025, CVR Energy had open fixed-price commitments to purchase a net of 11 million RINs.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916" w:name="Narr_VpO0EVsRIEKoRJ5Jzurenw"/>
      <w:bookmarkStart w:id="917" w:name="Narr_oDLZuv0hckqnmpAyA2zUVg"/>
      <w:bookmarkStart w:id="918" w:name="_30519531_f992_448c_ab60_c22887656322"/>
      <w:bookmarkStart w:id="919" w:name="Tc_fion7MnRhU2O3Vv-5mK9eA_6_12"/>
      <w:bookmarkStart w:id="920" w:name="Tc_402jt4Fy9UGGHpM8O9DgPA_6_11"/>
      <w:bookmarkStart w:id="921" w:name="Tc_iz-XK8Jlv0eVSo_b-tr6Zg_6_8"/>
      <w:bookmarkStart w:id="922" w:name="Tc_Fr2gKLV0hUikCOtSf8-cHw_6_5"/>
      <w:bookmarkStart w:id="923" w:name="Tc_idF-UjnpnUKTwygY2o7f1g_6_3"/>
      <w:bookmarkStart w:id="924" w:name="Tc_WsNf40Y9aE-EMWTBWMX6Pw_6_2"/>
      <w:bookmarkStart w:id="925" w:name="Tc_pSEIuDPpzkyA1NW9fw5iEQ_6_0"/>
      <w:bookmarkStart w:id="926" w:name="Tc_jtZIHwLGikG0ZkyxLiEowQ_5_0"/>
      <w:bookmarkStart w:id="927" w:name="Tc_O8s7OB2520uIpIPK5PbzBw_4_11"/>
      <w:bookmarkStart w:id="928" w:name="Tc_RBBmzmnOYkKCXUBW3BXVwA_4_8"/>
      <w:bookmarkStart w:id="929" w:name="Tc_-T2v-q9mrEG7MrR835G18Q_4_5"/>
      <w:bookmarkStart w:id="930" w:name="Tc_2XRiiLCBOUKJeIeJO0jP9Q_4_2"/>
      <w:bookmarkStart w:id="931" w:name="Tc_FV4nItNAikGr6n77QEdytQ_4_0"/>
      <w:bookmarkStart w:id="932" w:name="Tc_n_SI-F_sI0SZvtepUP0iYA_3_3"/>
      <w:bookmarkStart w:id="933" w:name="Tc_gfc9KHeI20WB2Yo0fOATcQ_2_11"/>
      <w:bookmarkStart w:id="934" w:name="Tc_kGHDZHBK1km3r6qKMs58Bw_2_8"/>
      <w:bookmarkStart w:id="935" w:name="Tc_Q6Y0BtmtlUK2T8WhDBeanw_2_5"/>
      <w:bookmarkStart w:id="936" w:name="Tc_OGEoJYLnaUieuW1zanQWXw_2_2"/>
      <w:bookmarkStart w:id="937" w:name="Tc_eqkOu1LM-EOhG2NWQEQ-ew_1_8"/>
      <w:bookmarkStart w:id="938" w:name="Tc_aWkTgJyf1E20TtiQ5RxJEg_1_2"/>
      <w:bookmarkStart w:id="939" w:name="_a2dab6fa_313e_4988_8f0b_37a7ad3c3175"/>
      <w:bookmarkStart w:id="940" w:name="RANGEA3M8"/>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sz w:val="20"/>
        </w:rPr>
        <w:t xml:space="preserve">The following table presents the fair value of our Energy segment’s derivatives and the effect of the collateral netting: </w:t>
      </w:r>
    </w:p>
    <w:tbl>
      <w:tblPr>
        <w:tblW w:w="10127" w:type="dxa"/>
        <w:jc w:val="left"/>
        <w:tblInd w:w="0" w:type="dxa"/>
        <w:tblLayout w:type="fixed"/>
        <w:tblCellMar>
          <w:top w:w="0" w:type="dxa"/>
          <w:left w:w="0" w:type="dxa"/>
          <w:bottom w:w="0" w:type="dxa"/>
          <w:right w:w="0" w:type="dxa"/>
        </w:tblCellMar>
      </w:tblPr>
      <w:tblGrid>
        <w:gridCol w:w="2626"/>
        <w:gridCol w:w="346"/>
        <w:gridCol w:w="415"/>
        <w:gridCol w:w="860"/>
        <w:gridCol w:w="351"/>
        <w:gridCol w:w="691"/>
        <w:gridCol w:w="1035"/>
        <w:gridCol w:w="346"/>
        <w:gridCol w:w="415"/>
        <w:gridCol w:w="860"/>
        <w:gridCol w:w="411"/>
        <w:gridCol w:w="564"/>
        <w:gridCol w:w="1207"/>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67510" cy="175260"/>
                      <wp:effectExtent l="0" t="0" r="0" b="0"/>
                      <wp:wrapNone/>
                      <wp:docPr id="158" name="Frame158"/>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63525" cy="175260"/>
                      <wp:effectExtent l="0" t="0" r="0" b="0"/>
                      <wp:wrapNone/>
                      <wp:docPr id="160" name="Frame16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46100" cy="175260"/>
                      <wp:effectExtent l="0" t="0" r="0" b="0"/>
                      <wp:wrapNone/>
                      <wp:docPr id="161" name="Frame161"/>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2885" cy="175260"/>
                      <wp:effectExtent l="0" t="0" r="0" b="0"/>
                      <wp:wrapNone/>
                      <wp:docPr id="162" name="Frame162"/>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8785" cy="175260"/>
                      <wp:effectExtent l="0" t="0" r="0" b="0"/>
                      <wp:wrapNone/>
                      <wp:docPr id="163" name="Frame1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57225" cy="175260"/>
                      <wp:effectExtent l="0" t="0" r="0" b="0"/>
                      <wp:wrapNone/>
                      <wp:docPr id="164" name="Frame164"/>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63525" cy="175260"/>
                      <wp:effectExtent l="0" t="0" r="0" b="0"/>
                      <wp:wrapNone/>
                      <wp:docPr id="166" name="Frame16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46100" cy="175260"/>
                      <wp:effectExtent l="0" t="0" r="0" b="0"/>
                      <wp:wrapNone/>
                      <wp:docPr id="167" name="Frame167"/>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0985" cy="175260"/>
                      <wp:effectExtent l="0" t="0" r="0" b="0"/>
                      <wp:wrapNone/>
                      <wp:docPr id="168" name="Frame168"/>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58140" cy="175260"/>
                      <wp:effectExtent l="0" t="0" r="0" b="0"/>
                      <wp:wrapNone/>
                      <wp:docPr id="169" name="Frame169"/>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766445" cy="175260"/>
                      <wp:effectExtent l="0" t="0" r="0" b="0"/>
                      <wp:wrapNone/>
                      <wp:docPr id="170" name="Frame170"/>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46" w:type="dxa"/>
            <w:tcBorders/>
            <w:vAlign w:val="center"/>
          </w:tcPr>
          <w:p>
            <w:pPr>
              <w:pStyle w:val="TableContents"/>
              <w:bidi w:val="0"/>
              <w:spacing w:before="0" w:after="0"/>
              <w:ind w:left="0" w:right="0" w:hanging="0"/>
              <w:jc w:val="center"/>
              <w:rPr/>
            </w:pPr>
            <w:r>
              <w:rPr/>
              <w:t>​</w:t>
            </w:r>
          </w:p>
        </w:tc>
        <w:tc>
          <w:tcPr>
            <w:tcW w:w="34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51" w:type="dxa"/>
            <w:tcBorders/>
            <w:vAlign w:val="center"/>
          </w:tcPr>
          <w:p>
            <w:pPr>
              <w:pStyle w:val="TableContents"/>
              <w:bidi w:val="0"/>
              <w:spacing w:before="0" w:after="0"/>
              <w:ind w:left="0" w:right="0" w:hanging="0"/>
              <w:jc w:val="left"/>
              <w:rPr/>
            </w:pPr>
            <w:r>
              <w:rPr/>
              <w:t>  ​ ​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411" w:type="dxa"/>
            <w:tcBorders/>
            <w:vAlign w:val="center"/>
          </w:tcPr>
          <w:p>
            <w:pPr>
              <w:pStyle w:val="TableContents"/>
              <w:bidi w:val="0"/>
              <w:spacing w:before="0" w:after="0"/>
              <w:ind w:left="0" w:right="0" w:hanging="0"/>
              <w:jc w:val="left"/>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012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5" w:type="dxa"/>
            <w:tcBorders/>
            <w:vAlign w:val="center"/>
          </w:tcPr>
          <w:p>
            <w:pPr>
              <w:pStyle w:val="TableContents"/>
              <w:bidi w:val="0"/>
              <w:spacing w:before="0" w:after="0"/>
              <w:ind w:left="0" w:right="0" w:hanging="0"/>
              <w:jc w:val="center"/>
              <w:rPr/>
            </w:pPr>
            <w:r>
              <w:rPr/>
              <w:t>​</w:t>
            </w:r>
          </w:p>
        </w:tc>
        <w:tc>
          <w:tcPr>
            <w:tcW w:w="6740"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5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411"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6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51"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411"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6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411" w:type="dxa"/>
            <w:tcBorders/>
            <w:shd w:fill="CCEEFF" w:val="clear"/>
            <w:vAlign w:val="center"/>
          </w:tcPr>
          <w:p>
            <w:pPr>
              <w:pStyle w:val="TableContents"/>
              <w:bidi w:val="0"/>
              <w:spacing w:before="0" w:after="0"/>
              <w:ind w:left="0" w:right="0" w:hanging="0"/>
              <w:jc w:val="left"/>
              <w:rPr/>
            </w:pPr>
            <w:r>
              <w:rPr/>
              <w:t>​</w:t>
            </w:r>
          </w:p>
        </w:tc>
        <w:tc>
          <w:tcPr>
            <w:tcW w:w="5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netting of derivatives primarily related to initial margin requirements of $6</w:t>
            </w:r>
            <w:r>
              <w:rPr>
                <w:caps w:val="false"/>
                <w:smallCaps w:val="false"/>
              </w:rPr>
              <w:t xml:space="preserve"> </w:t>
            </w:r>
            <w:r>
              <w:rPr>
                <w:rFonts w:ascii="Times New Roman;Times;serif" w:hAnsi="Times New Roman;Times;serif"/>
                <w:b w:val="false"/>
                <w:i w:val="false"/>
                <w:caps w:val="false"/>
                <w:smallCaps w:val="false"/>
                <w:sz w:val="16"/>
              </w:rPr>
              <w:t>million and $5</w:t>
            </w:r>
            <w:r>
              <w:rPr>
                <w:caps w:val="false"/>
                <w:smallCaps w:val="false"/>
              </w:rPr>
              <w:t xml:space="preserve"> </w:t>
            </w:r>
            <w:r>
              <w:rPr>
                <w:rFonts w:ascii="Times New Roman;Times;serif" w:hAnsi="Times New Roman;Times;serif"/>
                <w:b w:val="false"/>
                <w:i w:val="false"/>
                <w:caps w:val="false"/>
                <w:smallCaps w:val="false"/>
                <w:sz w:val="16"/>
              </w:rPr>
              <w:t>million at June 30, 2026 and December 31, 2025, respectively, which was not offset against derivatives liabilities, net in the condensed consolidated balance sheets.</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derivative instruments within our Energy segment contain credit risk-related contingent provisions associated with our Energy segment’s credit ratings. If our Energy segment’s credit rating were to be downgraded below specified levels, counterparties could require our Energy segment to post additional collateral or to request immediate settlement of derivative instruments in a liability position. As of June 30, 2026, the aggregate fair value of derivative instruments in a gross liability position subject to these provisions was $159 million, for which our Energy segment has posted collateral of $47 million. Based on our Energy segment’s derivative positions and collateral posted as of June 30, 2026, our Energy segment would not have been required to post additional collateral or settle its derivative liabilities if the credit-risk related contingent provisions had been triggered at that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derivative instruments within our Energy segment are entered into with counterparties that qualify as secured hedging providers under our Energy segment’s asset-based lending facility. Under the terms of the applicable derivative contracts, the counterparties' exposure is secured by the collateral package supporting the asset-based lending facility. Accordingly, our Energy segment generally is not required to post cash collateral or margin with respect to these derivative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(losses) gains recognized on derivatives for our Energy segment were $(75) million and $4 million for the three months ended June 30, 2026 and 2025, respectively, and $(257) million and $19 million for the six months ended June 30, 2026 and 2025, respectively, and are included in cost of goods sold on the condensed consolidated statements of operations.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941" w:name="Tc_JZ5M--API0ertwzak8bctQ_5_6"/>
      <w:bookmarkStart w:id="942" w:name="Tc_hcp2-XI6PEyqlzHP6WTF5g_5_2"/>
      <w:bookmarkStart w:id="943" w:name="Tc_MhgKb_Ud_ESVm_islK3tIw_5_0"/>
      <w:bookmarkStart w:id="944" w:name="Tc_BA1ZfTwOLUiHY9ZjGpYZLQ_4_7"/>
      <w:bookmarkStart w:id="945" w:name="Tc_WBIMtPwHiEaYwm1dZJpVjQ_4_3"/>
      <w:bookmarkStart w:id="946" w:name="Tc_DoO9KWoWI0CVuGVWYy3e-Q_4_0"/>
      <w:bookmarkStart w:id="947" w:name="Tc_Xs-PXkuFt0G6qVqKnfVobA_3_6"/>
      <w:bookmarkStart w:id="948" w:name="Tc_erYx2KLOJUGp352MlXg3Zg_3_2"/>
      <w:bookmarkStart w:id="949" w:name="Tc_IlHFK8ag7UK76sjAebcZLg_3_0"/>
      <w:bookmarkStart w:id="950" w:name="Tc_9n3ITqRKLU61icxoPkgV5Q_2_2"/>
      <w:bookmarkStart w:id="951" w:name="Tc_M0yCRClYCE2O57rkdMkmQA_1_6"/>
      <w:bookmarkStart w:id="952" w:name="Tc_9C5i69_Dokm2otJAMxCItg_1_2"/>
      <w:bookmarkEnd w:id="941"/>
      <w:bookmarkEnd w:id="942"/>
      <w:bookmarkEnd w:id="943"/>
      <w:bookmarkEnd w:id="944"/>
      <w:bookmarkEnd w:id="945"/>
      <w:bookmarkEnd w:id="946"/>
      <w:bookmarkEnd w:id="947"/>
      <w:bookmarkEnd w:id="948"/>
      <w:bookmarkEnd w:id="949"/>
      <w:bookmarkEnd w:id="950"/>
      <w:bookmarkEnd w:id="951"/>
      <w:bookmarkEnd w:id="952"/>
      <w:r>
        <w:rPr>
          <w:rFonts w:ascii="Times New Roman;Times;serif" w:hAnsi="Times New Roman;Times;serif"/>
          <w:b/>
          <w:sz w:val="20"/>
        </w:rPr>
        <w:t>7.  Related Party Notes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Related party notes receivable and its related allowance for expected credit losses consists of the following:</w:t>
      </w:r>
    </w:p>
    <w:p>
      <w:pPr>
        <w:pStyle w:val="TextBody"/>
        <w:bidi w:val="0"/>
        <w:spacing w:before="0" w:after="0"/>
        <w:ind w:left="0" w:right="0" w:hanging="0"/>
        <w:jc w:val="left"/>
        <w:rPr/>
      </w:pPr>
      <w:r>
        <w:rPr/>
        <w:t>​</w:t>
      </w:r>
    </w:p>
    <w:tbl>
      <w:tblPr>
        <w:tblW w:w="6803" w:type="dxa"/>
        <w:jc w:val="left"/>
        <w:tblInd w:w="0" w:type="dxa"/>
        <w:tblLayout w:type="fixed"/>
        <w:tblCellMar>
          <w:top w:w="0" w:type="dxa"/>
          <w:left w:w="0" w:type="dxa"/>
          <w:bottom w:w="0" w:type="dxa"/>
          <w:right w:w="0" w:type="dxa"/>
        </w:tblCellMar>
      </w:tblPr>
      <w:tblGrid>
        <w:gridCol w:w="3541"/>
        <w:gridCol w:w="109"/>
        <w:gridCol w:w="363"/>
        <w:gridCol w:w="724"/>
        <w:gridCol w:w="187"/>
        <w:gridCol w:w="109"/>
        <w:gridCol w:w="551"/>
        <w:gridCol w:w="1219"/>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48535" cy="175260"/>
                      <wp:effectExtent l="0" t="0" r="0" b="0"/>
                      <wp:wrapNone/>
                      <wp:docPr id="171" name="Frame171"/>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30505" cy="175260"/>
                      <wp:effectExtent l="0" t="0" r="0" b="0"/>
                      <wp:wrapNone/>
                      <wp:docPr id="173" name="Frame17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59740" cy="175260"/>
                      <wp:effectExtent l="0" t="0" r="0" b="0"/>
                      <wp:wrapNone/>
                      <wp:docPr id="174" name="Frame174"/>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18745" cy="175260"/>
                      <wp:effectExtent l="0" t="0" r="0" b="0"/>
                      <wp:wrapNone/>
                      <wp:docPr id="175" name="Frame175"/>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49885" cy="175260"/>
                      <wp:effectExtent l="0" t="0" r="0" b="0"/>
                      <wp:wrapNone/>
                      <wp:docPr id="177" name="Frame17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74065" cy="175260"/>
                      <wp:effectExtent l="0" t="0" r="0" b="0"/>
                      <wp:wrapNone/>
                      <wp:docPr id="178" name="Frame178"/>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7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109" w:type="dxa"/>
            <w:tcBorders/>
            <w:vAlign w:val="center"/>
          </w:tcPr>
          <w:p>
            <w:pPr>
              <w:pStyle w:val="TableContents"/>
              <w:bidi w:val="0"/>
              <w:spacing w:before="0" w:after="1"/>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680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53" w:type="dxa"/>
            <w:gridSpan w:val="6"/>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Related party notes receivable, gross </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109"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pPr>
            <w:r>
              <w:rPr/>
              <w:t>​</w:t>
            </w:r>
          </w:p>
        </w:tc>
        <w:tc>
          <w:tcPr>
            <w:tcW w:w="1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write-offs associated with related party notes receivable for the six months ended June 30, 2026. See Note 5, “Fair Value Measurements” for additional information related to the fair value of the related party notes receivable.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3" w:name="Tc_1G4ED0gSpkWi5rLvaQ3qvg_7_5"/>
      <w:bookmarkStart w:id="954" w:name="Tc_gRUWpDC1d0y5WtXkF7SiFA_7_2"/>
      <w:bookmarkStart w:id="955" w:name="Tc_HwNr9eiGnkG_QQlkYSi1zg_6_0"/>
      <w:bookmarkStart w:id="956" w:name="Tc_TrccqLoLlkWFsEwpNu80JQ_5_0"/>
      <w:bookmarkStart w:id="957" w:name="Tc_FIHvlWRu0UCk0FopxbOitw_4_5"/>
      <w:bookmarkStart w:id="958" w:name="Tc_juAtOBy-GkCEImuLIk5z7w_4_2"/>
      <w:bookmarkStart w:id="959" w:name="Tc_Gpzs0w6SoUu5rvKwIYp98g_4_0"/>
      <w:bookmarkStart w:id="960" w:name="Tc_BHw_ozFTJ0e1_LYnw-QF0Q_3_2"/>
      <w:bookmarkStart w:id="961" w:name="Tc_qV6ij4uuY02gbI2ZCVBhlg_2_5"/>
      <w:bookmarkStart w:id="962" w:name="Tc_KAkejIaPdESM1ib8rlEsGg_2_2"/>
      <w:bookmarkStart w:id="963" w:name="Tc_81rwh4Kx7kCgN76LSRm_6Q_1_5"/>
      <w:bookmarkStart w:id="964" w:name="Tc_IYAtz0NVj0yOb-SzERQqTg_1_2"/>
      <w:bookmarkEnd w:id="953"/>
      <w:bookmarkEnd w:id="954"/>
      <w:bookmarkEnd w:id="955"/>
      <w:bookmarkEnd w:id="956"/>
      <w:bookmarkEnd w:id="957"/>
      <w:bookmarkEnd w:id="958"/>
      <w:bookmarkEnd w:id="959"/>
      <w:bookmarkEnd w:id="960"/>
      <w:bookmarkEnd w:id="961"/>
      <w:bookmarkEnd w:id="962"/>
      <w:bookmarkEnd w:id="963"/>
      <w:bookmarkEnd w:id="964"/>
      <w:r>
        <w:rPr>
          <w:rFonts w:ascii="Times New Roman;Times;serif" w:hAnsi="Times New Roman;Times;serif"/>
          <w:b/>
          <w:sz w:val="20"/>
        </w:rPr>
        <w:t>8.  Inventories, Net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Inventories, net consists of the following:</w:t>
      </w:r>
    </w:p>
    <w:p>
      <w:pPr>
        <w:pStyle w:val="TextBody"/>
        <w:bidi w:val="0"/>
        <w:spacing w:before="0" w:after="240"/>
        <w:ind w:left="0" w:right="0" w:firstLine="360"/>
        <w:jc w:val="left"/>
        <w:rPr/>
      </w:pPr>
      <w:r>
        <w:rPr/>
        <w:t>​</w:t>
      </w:r>
    </w:p>
    <w:tbl>
      <w:tblPr>
        <w:tblW w:w="4323" w:type="dxa"/>
        <w:jc w:val="left"/>
        <w:tblInd w:w="0" w:type="dxa"/>
        <w:tblLayout w:type="fixed"/>
        <w:tblCellMar>
          <w:top w:w="0" w:type="dxa"/>
          <w:left w:w="0" w:type="dxa"/>
          <w:bottom w:w="0" w:type="dxa"/>
          <w:right w:w="0" w:type="dxa"/>
        </w:tblCellMar>
      </w:tblPr>
      <w:tblGrid>
        <w:gridCol w:w="1426"/>
        <w:gridCol w:w="346"/>
        <w:gridCol w:w="284"/>
        <w:gridCol w:w="571"/>
        <w:gridCol w:w="346"/>
        <w:gridCol w:w="386"/>
        <w:gridCol w:w="964"/>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905510" cy="175260"/>
                      <wp:effectExtent l="0" t="0" r="0" b="0"/>
                      <wp:wrapNone/>
                      <wp:docPr id="179" name="Frame17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0340" cy="175260"/>
                      <wp:effectExtent l="0" t="0" r="0" b="0"/>
                      <wp:wrapNone/>
                      <wp:docPr id="181" name="Frame181"/>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62585" cy="175260"/>
                      <wp:effectExtent l="0" t="0" r="0" b="0"/>
                      <wp:wrapNone/>
                      <wp:docPr id="182" name="Frame1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45110" cy="175260"/>
                      <wp:effectExtent l="0" t="0" r="0" b="0"/>
                      <wp:wrapNone/>
                      <wp:docPr id="184" name="Frame18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12140" cy="175260"/>
                      <wp:effectExtent l="0" t="0" r="0" b="0"/>
                      <wp:wrapNone/>
                      <wp:docPr id="185" name="Frame185"/>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32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346" w:type="dxa"/>
            <w:tcBorders/>
            <w:vAlign w:val="center"/>
          </w:tcPr>
          <w:p>
            <w:pPr>
              <w:pStyle w:val="TableContents"/>
              <w:bidi w:val="0"/>
              <w:spacing w:before="0" w:after="1"/>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845</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65" w:name="Tc_knNFY1oWOEakYxa6ZdZx2g_13_17"/>
      <w:bookmarkStart w:id="966" w:name="Tc_MwaKAiVzDk6ZxN3YKmHZwg_13_8"/>
      <w:bookmarkStart w:id="967" w:name="Tc_pFHIbONp7ES_po5GhfzBSw_13_0"/>
      <w:bookmarkStart w:id="968" w:name="Tc_C64buRUCK0SEuGlvkSj3Ew_12_17"/>
      <w:bookmarkStart w:id="969" w:name="Tc_iJ6_CY97FEm1sMc1wBAelg_12_8"/>
      <w:bookmarkStart w:id="970" w:name="Tc_c-Ag49JdwEOtm0uyVkp3WQ_12_0"/>
      <w:bookmarkStart w:id="971" w:name="Tc_zIm0oQOQ4U2BbNjiUQusiA_10_17"/>
      <w:bookmarkStart w:id="972" w:name="Tc_65baoLUET02eRMVDGgqHfw_10_14"/>
      <w:bookmarkStart w:id="973" w:name="Tc_iYJBlJNRCUaWMki27XqfLw_10_11"/>
      <w:bookmarkStart w:id="974" w:name="Tc_WEI1GVrj6E-LXhK5w6Omug_10_8"/>
      <w:bookmarkStart w:id="975" w:name="Tc_Nic4l8d9MEalOL85u0ECzA_10_5"/>
      <w:bookmarkStart w:id="976" w:name="Tc_EOF78zXsyUqne7vAsDMPwQ_10_2"/>
      <w:bookmarkStart w:id="977" w:name="Tc_M8s9Y-dGJk6D8KCU210o8g_9_0"/>
      <w:bookmarkStart w:id="978" w:name="Tc_4wRgRXv4AUGi8zjmIzFVfg_8_0"/>
      <w:bookmarkStart w:id="979" w:name="Tc_0839NkxtvEqD9oYZlLqgEA_7_17"/>
      <w:bookmarkStart w:id="980" w:name="Tc_oTdsnkCNckupilXlQkPysQ_7_14"/>
      <w:bookmarkStart w:id="981" w:name="Tc_T5NyjjPLCUOFDhaGgW029g_7_11"/>
      <w:bookmarkStart w:id="982" w:name="Tc_xtjRWL2aSEqvD1_oOqZyRQ_7_8"/>
      <w:bookmarkStart w:id="983" w:name="Tc_oShZRuXZokul6d7T1c1Dtw_7_5"/>
      <w:bookmarkStart w:id="984" w:name="Tc_Dn3E8u6WCkq7judrbMKzdQ_7_2"/>
      <w:bookmarkStart w:id="985" w:name="Tc_YDkGg-oJ3Uaieggf2PiyFg_7_0"/>
      <w:bookmarkStart w:id="986" w:name="Tc_-T0xUAOxtkiT4gmvC8fK5w_6_0"/>
      <w:bookmarkStart w:id="987" w:name="Tc_A5JWBVMURkOvKsnNAS8nFA_5_2"/>
      <w:bookmarkStart w:id="988" w:name="Tc_9huvdHEM10S0Xonw2u7qJQ_4_17"/>
      <w:bookmarkStart w:id="989" w:name="Tc_XWvCeLetA0uIs6qgz8CyMQ_4_14"/>
      <w:bookmarkStart w:id="990" w:name="Tc_le_SIuvz5kCUr872ui12Fg_4_11"/>
      <w:bookmarkStart w:id="991" w:name="Tc_Aw1KEd_n7kihIdltwrM27w_4_8"/>
      <w:bookmarkStart w:id="992" w:name="Tc_yhAcaFvIhUyzKxhb-QKX9w_4_5"/>
      <w:bookmarkStart w:id="993" w:name="Tc_DFIxplXp30GQTYGaugOgrQ_4_2"/>
      <w:bookmarkStart w:id="994" w:name="Tc_MDbcYxYjrkSuCqv3u9m3Hg_3_17"/>
      <w:bookmarkStart w:id="995" w:name="Tc_XRyt1uVFzky81KTObgmFGw_3_14"/>
      <w:bookmarkStart w:id="996" w:name="Tc_XJK7pJTYpE2W24eCQDenOg_3_11"/>
      <w:bookmarkStart w:id="997" w:name="Tc_QCmYyy4JXUmoWupAsrTm4A_3_8"/>
      <w:bookmarkStart w:id="998" w:name="Tc_CxBIAmkeekW4V561o2ZdZg_3_5"/>
      <w:bookmarkStart w:id="999" w:name="Tc_2z4Paqj97EmHZQaKjmmwKw_3_2"/>
      <w:bookmarkStart w:id="1000" w:name="Tc_knjikEvU80OAwFSChmv97g_2_17"/>
      <w:bookmarkStart w:id="1001" w:name="Tc_YETkphOgTEmVtOFM6Kf2KA_2_11"/>
      <w:bookmarkStart w:id="1002" w:name="Tc_P65I94UWZkaZJwxUI5W3zw_2_8"/>
      <w:bookmarkStart w:id="1003" w:name="Tc_JL9OBBZzkkavWFrzQe6YdQ_2_2"/>
      <w:bookmarkStart w:id="1004" w:name="Tc_NW-tAyb4G0WqhiDhklfgMw_1_11"/>
      <w:bookmarkStart w:id="1005" w:name="Tc_fu8s1eaIoU-5uAaCIP9yRA_1_2"/>
      <w:bookmarkStart w:id="1006" w:name="Tc_ovFZjsMd3UuUv5lO5b1Slg_10_17"/>
      <w:bookmarkStart w:id="1007" w:name="Tc_7-z75RcrS0ObVRNw3O_VTQ_10_14"/>
      <w:bookmarkStart w:id="1008" w:name="Tc_Eg3HxLv7EEqxK7UlruxBmA_10_11"/>
      <w:bookmarkStart w:id="1009" w:name="Tc_LyuYggW3BUeKiKDFaLc9Zw_10_8"/>
      <w:bookmarkStart w:id="1010" w:name="Tc_E1gA61imtEmMITbAXnRRQg_10_5"/>
      <w:bookmarkStart w:id="1011" w:name="Tc_siSY-PmTEUuKMs_AOEwlnQ_10_2"/>
      <w:bookmarkStart w:id="1012" w:name="Tc_nrix--ejHEy3i91Y9iCgAw_9_15"/>
      <w:bookmarkStart w:id="1013" w:name="Tc_mCndy5XLQkqXak9tVES_3g_9_6"/>
      <w:bookmarkStart w:id="1014" w:name="Tc_BkxT_3KZi0u0Frtmw6x-GA_9_0"/>
      <w:bookmarkStart w:id="1015" w:name="Tc_HvoZauogu0KppTD27j4Q8g_8_0"/>
      <w:bookmarkStart w:id="1016" w:name="Tc_aZ-UDtv2dkedmeebvLrWUw_7_15"/>
      <w:bookmarkStart w:id="1017" w:name="Tc_fMa6Jcy1CkC8cnAkT-mI9Q_7_6"/>
      <w:bookmarkStart w:id="1018" w:name="Tc_WPqptFHogE-P6CYq6Zu_cQ_7_0"/>
      <w:bookmarkStart w:id="1019" w:name="Tc_GOWSbT4BME-pQXCrCcgRAQ_6_17"/>
      <w:bookmarkStart w:id="1020" w:name="Tc_74I3NFnDP0qdBqPIFSAbVA_6_14"/>
      <w:bookmarkStart w:id="1021" w:name="Tc_YCKjQG3aTEe_pbnXrhGGKw_6_11"/>
      <w:bookmarkStart w:id="1022" w:name="Tc_ycIHuC-sMUmuqlvFZmZNtg_6_8"/>
      <w:bookmarkStart w:id="1023" w:name="Tc_HGBYeVNe8EKFgs53IKlEjg_6_5"/>
      <w:bookmarkStart w:id="1024" w:name="Tc_BsjstFOSDkCcB6w5ZIQUNw_6_2"/>
      <w:bookmarkStart w:id="1025" w:name="Tc_AXreeJmM2k6gB_fbIUCdwA_6_0"/>
      <w:bookmarkStart w:id="1026" w:name="Tc_Nz-I19U7tEiNc4FqIwaYOg_5_2"/>
      <w:bookmarkStart w:id="1027" w:name="Tc_TjRWJRXgAUaFX0h7jvsxvA_4_17"/>
      <w:bookmarkStart w:id="1028" w:name="Tc_B0vyGWBDVEKvl2EpXRlwlw_4_14"/>
      <w:bookmarkStart w:id="1029" w:name="Tc_XcYOB9gBT0S-aNZ3nr5x8A_4_11"/>
      <w:bookmarkStart w:id="1030" w:name="Tc_7r5U57Od8U6hPK6o7KaY-Q_4_8"/>
      <w:bookmarkStart w:id="1031" w:name="Tc_cc5HhG91KUecpuQ0RE3rUg_4_5"/>
      <w:bookmarkStart w:id="1032" w:name="Tc_FVQXf60NtEKvxkM0KIzyig_4_2"/>
      <w:bookmarkStart w:id="1033" w:name="Tc_I_-FqvHKO0WmMBczv9_eWA_3_17"/>
      <w:bookmarkStart w:id="1034" w:name="Tc_r5lxXfvWC0ioWeEoA2CiRw_3_14"/>
      <w:bookmarkStart w:id="1035" w:name="Tc_ejgA7U_9zke-kSoATyYq5Q_3_11"/>
      <w:bookmarkStart w:id="1036" w:name="Tc_4TLQjK-EfUej3uDDeHKhOg_3_8"/>
      <w:bookmarkStart w:id="1037" w:name="Tc_0_srFiuNb0CGEVfuUMqscA_3_5"/>
      <w:bookmarkStart w:id="1038" w:name="Tc_LEe13-5G0Emu5cKIcbRmWw_3_2"/>
      <w:bookmarkStart w:id="1039" w:name="Tc_cekDylyW5kaJ4bHbcgx2Ew_2_17"/>
      <w:bookmarkStart w:id="1040" w:name="Tc_QZWPyc7tk0KacXTSH3TQ-g_2_11"/>
      <w:bookmarkStart w:id="1041" w:name="Tc_KbGHUhNcPEiuI2LqNHdacA_2_8"/>
      <w:bookmarkStart w:id="1042" w:name="Tc_Pn1gRJ1TSEiLbtMsVqJZ1w_2_2"/>
      <w:bookmarkStart w:id="1043" w:name="Tc_gw5R0auqWky3mf7G86UVgw_1_11"/>
      <w:bookmarkStart w:id="1044" w:name="Tc_rGkGxdecZUGg1eF_nFp5kA_1_2"/>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Pr>
          <w:rFonts w:ascii="Times New Roman;Times;serif" w:hAnsi="Times New Roman;Times;serif"/>
          <w:b/>
          <w:sz w:val="20"/>
        </w:rPr>
        <w:t>9.  Goodwill and Intangible Assets,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consists of the following:</w:t>
      </w:r>
    </w:p>
    <w:p>
      <w:pPr>
        <w:pStyle w:val="TextBody"/>
        <w:bidi w:val="0"/>
        <w:spacing w:before="0" w:after="0"/>
        <w:ind w:left="0" w:right="0" w:hanging="0"/>
        <w:jc w:val="left"/>
        <w:rPr/>
      </w:pPr>
      <w:r>
        <w:rPr/>
        <w:t>​</w:t>
      </w:r>
    </w:p>
    <w:tbl>
      <w:tblPr>
        <w:tblW w:w="9642" w:type="dxa"/>
        <w:jc w:val="left"/>
        <w:tblInd w:w="0" w:type="dxa"/>
        <w:tblLayout w:type="fixed"/>
        <w:tblCellMar>
          <w:top w:w="0" w:type="dxa"/>
          <w:left w:w="0" w:type="dxa"/>
          <w:bottom w:w="0" w:type="dxa"/>
          <w:right w:w="0" w:type="dxa"/>
        </w:tblCellMar>
      </w:tblPr>
      <w:tblGrid>
        <w:gridCol w:w="1441"/>
        <w:gridCol w:w="346"/>
        <w:gridCol w:w="314"/>
        <w:gridCol w:w="631"/>
        <w:gridCol w:w="346"/>
        <w:gridCol w:w="437"/>
        <w:gridCol w:w="779"/>
        <w:gridCol w:w="346"/>
        <w:gridCol w:w="300"/>
        <w:gridCol w:w="601"/>
        <w:gridCol w:w="346"/>
        <w:gridCol w:w="300"/>
        <w:gridCol w:w="601"/>
        <w:gridCol w:w="346"/>
        <w:gridCol w:w="437"/>
        <w:gridCol w:w="779"/>
        <w:gridCol w:w="346"/>
        <w:gridCol w:w="270"/>
        <w:gridCol w:w="67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915035" cy="175260"/>
                      <wp:effectExtent l="0" t="0" r="0" b="0"/>
                      <wp:wrapNone/>
                      <wp:docPr id="186" name="Frame186"/>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99390" cy="175260"/>
                      <wp:effectExtent l="0" t="0" r="0" b="0"/>
                      <wp:wrapNone/>
                      <wp:docPr id="188" name="Frame188"/>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00685" cy="175260"/>
                      <wp:effectExtent l="0" t="0" r="0" b="0"/>
                      <wp:wrapNone/>
                      <wp:docPr id="189" name="Frame18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77495" cy="175260"/>
                      <wp:effectExtent l="0" t="0" r="0" b="0"/>
                      <wp:wrapNone/>
                      <wp:docPr id="191" name="Frame191"/>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94665" cy="175260"/>
                      <wp:effectExtent l="0" t="0" r="0" b="0"/>
                      <wp:wrapNone/>
                      <wp:docPr id="192" name="Frame19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90500" cy="175260"/>
                      <wp:effectExtent l="0" t="0" r="0" b="0"/>
                      <wp:wrapNone/>
                      <wp:docPr id="194" name="Frame194"/>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81635" cy="175260"/>
                      <wp:effectExtent l="0" t="0" r="0" b="0"/>
                      <wp:wrapNone/>
                      <wp:docPr id="195" name="Frame19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90500" cy="175260"/>
                      <wp:effectExtent l="0" t="0" r="0" b="0"/>
                      <wp:wrapNone/>
                      <wp:docPr id="197" name="Frame19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81635" cy="175260"/>
                      <wp:effectExtent l="0" t="0" r="0" b="0"/>
                      <wp:wrapNone/>
                      <wp:docPr id="198" name="Frame19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7495" cy="175260"/>
                      <wp:effectExtent l="0" t="0" r="0" b="0"/>
                      <wp:wrapNone/>
                      <wp:docPr id="200" name="Frame20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94665" cy="175260"/>
                      <wp:effectExtent l="0" t="0" r="0" b="0"/>
                      <wp:wrapNone/>
                      <wp:docPr id="201" name="Frame201"/>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1450" cy="175260"/>
                      <wp:effectExtent l="0" t="0" r="0" b="0"/>
                      <wp:wrapNone/>
                      <wp:docPr id="203" name="Frame20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2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w:t>
            </w:r>
          </w:p>
        </w:tc>
        <w:tc>
          <w:tcPr>
            <w:tcW w:w="375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46" w:type="dxa"/>
            <w:tcBorders/>
            <w:vAlign w:val="center"/>
          </w:tcPr>
          <w:p>
            <w:pPr>
              <w:pStyle w:val="TableContents"/>
              <w:bidi w:val="0"/>
              <w:spacing w:before="0" w:after="0"/>
              <w:ind w:left="0" w:right="0" w:hanging="0"/>
              <w:jc w:val="left"/>
              <w:rPr/>
            </w:pPr>
            <w:r>
              <w:rPr/>
              <w:t>  ​ ​ ​</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46" w:type="dxa"/>
            <w:tcBorders/>
            <w:vAlign w:val="center"/>
          </w:tcPr>
          <w:p>
            <w:pPr>
              <w:pStyle w:val="TableContents"/>
              <w:bidi w:val="0"/>
              <w:spacing w:before="0" w:after="0"/>
              <w:ind w:left="0" w:right="0" w:hanging="0"/>
              <w:jc w:val="left"/>
              <w:rPr/>
            </w:pPr>
            <w:r>
              <w:rPr/>
              <w:t>  ​ ​ ​</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Impairment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Impairment</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9642"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55"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0"/>
              <w:ind w:left="0" w:right="0" w:hanging="0"/>
              <w:jc w:val="left"/>
              <w:rPr>
                <w:rFonts w:ascii="Times" w:hAnsi="Times"/>
                <w:sz w:val="20"/>
              </w:rPr>
            </w:pPr>
            <w:r>
              <w:rPr>
                <w:rFonts w:ascii="Times" w:hAnsi="Times"/>
                <w:sz w:val="20"/>
              </w:rPr>
              <w:t>Automotive</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  ​ ​ ​</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  ​ ​ ​</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1441" w:type="dxa"/>
            <w:tcBorders/>
            <w:vAlign w:val="center"/>
          </w:tcPr>
          <w:p>
            <w:pPr>
              <w:pStyle w:val="TableContents"/>
              <w:bidi w:val="0"/>
              <w:spacing w:before="0" w:after="0"/>
              <w:ind w:left="0" w:right="0" w:hanging="0"/>
              <w:jc w:val="left"/>
              <w:rPr>
                <w:rFonts w:ascii="Times" w:hAnsi="Times"/>
                <w:sz w:val="20"/>
              </w:rPr>
            </w:pPr>
            <w:r>
              <w:rPr>
                <w:rFonts w:ascii="Times" w:hAnsi="Times"/>
                <w:sz w:val="20"/>
              </w:rPr>
              <w:t>Food Packaging</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441" w:type="dxa"/>
            <w:tcBorders/>
            <w:shd w:fill="CCEEFF" w:val="clear"/>
            <w:vAlign w:val="center"/>
          </w:tcPr>
          <w:p>
            <w:pPr>
              <w:pStyle w:val="TableContents"/>
              <w:bidi w:val="0"/>
              <w:spacing w:before="0" w:after="0"/>
              <w:ind w:left="0" w:right="0" w:hanging="0"/>
              <w:jc w:val="left"/>
              <w:rPr>
                <w:rFonts w:ascii="Times" w:hAnsi="Times"/>
                <w:sz w:val="20"/>
              </w:rPr>
            </w:pPr>
            <w:r>
              <w:rPr>
                <w:rFonts w:ascii="Times" w:hAnsi="Times"/>
                <w:sz w:val="20"/>
              </w:rPr>
              <w:t>Home Fashion</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441" w:type="dxa"/>
            <w:tcBorders/>
            <w:vAlign w:val="center"/>
          </w:tcPr>
          <w:p>
            <w:pPr>
              <w:pStyle w:val="TableContents"/>
              <w:bidi w:val="0"/>
              <w:spacing w:before="0" w:after="0"/>
              <w:ind w:left="0" w:right="0" w:hanging="0"/>
              <w:jc w:val="left"/>
              <w:rPr>
                <w:rFonts w:ascii="Times" w:hAnsi="Times"/>
                <w:sz w:val="20"/>
              </w:rPr>
            </w:pPr>
            <w:r>
              <w:rPr>
                <w:rFonts w:ascii="Times" w:hAnsi="Times"/>
                <w:sz w:val="20"/>
              </w:rPr>
              <w:t>Pharma</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Intangible assets,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69"/>
        <w:gridCol w:w="346"/>
        <w:gridCol w:w="305"/>
        <w:gridCol w:w="613"/>
        <w:gridCol w:w="346"/>
        <w:gridCol w:w="379"/>
        <w:gridCol w:w="867"/>
        <w:gridCol w:w="346"/>
        <w:gridCol w:w="300"/>
        <w:gridCol w:w="601"/>
        <w:gridCol w:w="346"/>
        <w:gridCol w:w="300"/>
        <w:gridCol w:w="601"/>
        <w:gridCol w:w="346"/>
        <w:gridCol w:w="379"/>
        <w:gridCol w:w="867"/>
        <w:gridCol w:w="346"/>
        <w:gridCol w:w="270"/>
        <w:gridCol w:w="678"/>
      </w:tblGrid>
      <w:tr>
        <w:trPr/>
        <w:tc>
          <w:tcPr>
            <w:tcW w:w="1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50315" cy="175260"/>
                      <wp:effectExtent l="0" t="0" r="0" b="0"/>
                      <wp:wrapNone/>
                      <wp:docPr id="205" name="Frame205"/>
                      <a:graphic xmlns:a="http://schemas.openxmlformats.org/drawingml/2006/main">
                        <a:graphicData uri="http://schemas.microsoft.com/office/word/2010/wordprocessingShape">
                          <wps:wsp>
                            <wps:cNvSpPr txBox="1"/>
                            <wps:spPr>
                              <a:xfrm>
                                <a:off x="0" y="0"/>
                                <a:ext cx="1250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93675" cy="175260"/>
                      <wp:effectExtent l="0" t="0" r="0" b="0"/>
                      <wp:wrapNone/>
                      <wp:docPr id="207" name="Frame20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89255" cy="175260"/>
                      <wp:effectExtent l="0" t="0" r="0" b="0"/>
                      <wp:wrapNone/>
                      <wp:docPr id="208" name="Frame208"/>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40665" cy="175260"/>
                      <wp:effectExtent l="0" t="0" r="0" b="0"/>
                      <wp:wrapNone/>
                      <wp:docPr id="210" name="Frame21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50545" cy="175260"/>
                      <wp:effectExtent l="0" t="0" r="0" b="0"/>
                      <wp:wrapNone/>
                      <wp:docPr id="211" name="Frame211"/>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90500" cy="175260"/>
                      <wp:effectExtent l="0" t="0" r="0" b="0"/>
                      <wp:wrapNone/>
                      <wp:docPr id="213" name="Frame21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81635" cy="175260"/>
                      <wp:effectExtent l="0" t="0" r="0" b="0"/>
                      <wp:wrapNone/>
                      <wp:docPr id="214" name="Frame2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90500" cy="175260"/>
                      <wp:effectExtent l="0" t="0" r="0" b="0"/>
                      <wp:wrapNone/>
                      <wp:docPr id="216" name="Frame216"/>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81635" cy="175260"/>
                      <wp:effectExtent l="0" t="0" r="0" b="0"/>
                      <wp:wrapNone/>
                      <wp:docPr id="217" name="Frame21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40665" cy="175260"/>
                      <wp:effectExtent l="0" t="0" r="0" b="0"/>
                      <wp:wrapNone/>
                      <wp:docPr id="219" name="Frame219"/>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50545" cy="175260"/>
                      <wp:effectExtent l="0" t="0" r="0" b="0"/>
                      <wp:wrapNone/>
                      <wp:docPr id="220" name="Frame220"/>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71450" cy="175260"/>
                      <wp:effectExtent l="0" t="0" r="0" b="0"/>
                      <wp:wrapNone/>
                      <wp:docPr id="222" name="Frame22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30530" cy="175260"/>
                      <wp:effectExtent l="0" t="0" r="0" b="0"/>
                      <wp:wrapNone/>
                      <wp:docPr id="223" name="Frame223"/>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346" w:type="dxa"/>
            <w:tcBorders/>
            <w:vAlign w:val="center"/>
          </w:tcPr>
          <w:p>
            <w:pPr>
              <w:pStyle w:val="TableContents"/>
              <w:bidi w:val="0"/>
              <w:spacing w:before="0" w:after="0"/>
              <w:ind w:left="0" w:right="0" w:hanging="0"/>
              <w:jc w:val="left"/>
              <w:rPr/>
            </w:pPr>
            <w:r>
              <w:rPr/>
              <w:t>​</w:t>
            </w:r>
          </w:p>
        </w:tc>
        <w:tc>
          <w:tcPr>
            <w:tcW w:w="378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1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46" w:type="dxa"/>
            <w:tcBorders/>
            <w:vAlign w:val="center"/>
          </w:tcPr>
          <w:p>
            <w:pPr>
              <w:pStyle w:val="TableContents"/>
              <w:bidi w:val="0"/>
              <w:spacing w:before="0" w:after="0"/>
              <w:ind w:left="0" w:right="0" w:hanging="0"/>
              <w:jc w:val="left"/>
              <w:rPr/>
            </w:pPr>
            <w:r>
              <w:rPr/>
              <w:t>  ​ ​ ​</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46" w:type="dxa"/>
            <w:tcBorders/>
            <w:vAlign w:val="center"/>
          </w:tcPr>
          <w:p>
            <w:pPr>
              <w:pStyle w:val="TableContents"/>
              <w:bidi w:val="0"/>
              <w:spacing w:before="0" w:after="0"/>
              <w:ind w:left="0" w:right="0" w:hanging="0"/>
              <w:jc w:val="left"/>
              <w:rPr/>
            </w:pPr>
            <w:r>
              <w:rPr/>
              <w:t>  ​ ​ ​</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0"/>
              <w:ind w:left="0" w:right="0" w:hanging="0"/>
              <w:jc w:val="left"/>
              <w:rPr/>
            </w:pPr>
            <w:r>
              <w:rPr/>
              <w:t>​</w:t>
            </w:r>
          </w:p>
        </w:tc>
        <w:tc>
          <w:tcPr>
            <w:tcW w:w="94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46" w:type="dxa"/>
            <w:tcBorders/>
            <w:vAlign w:val="center"/>
          </w:tcPr>
          <w:p>
            <w:pPr>
              <w:pStyle w:val="TableContents"/>
              <w:bidi w:val="0"/>
              <w:spacing w:before="0" w:after="0"/>
              <w:ind w:left="0" w:right="0" w:hanging="0"/>
              <w:jc w:val="left"/>
              <w:rPr/>
            </w:pPr>
            <w:r>
              <w:rPr/>
              <w:t>​</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90"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Definite-lived intangible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0"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pPr>
            <w:r>
              <w:rPr/>
              <w:t>  ​</w:t>
            </w:r>
          </w:p>
        </w:tc>
      </w:tr>
      <w:tr>
        <w:trPr/>
        <w:tc>
          <w:tcPr>
            <w:tcW w:w="1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1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9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19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19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Indefinite-lived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 </w:t>
            </w:r>
          </w:p>
        </w:tc>
        <w:tc>
          <w:tcPr>
            <w:tcW w:w="61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1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61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Amortization expense associated with definite-lived intangible assets was $10 million and $14 million for the three months ended June 30, 2026 and 2025, respectively, and $19 million and $28 million for the six months ended June 30,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utilize the straight-line method of amortization, recognized over the estimated useful lives of the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45" w:name="Tc_RHu4dELPSkqshmPd3i_YCQ_8_5"/>
      <w:bookmarkStart w:id="1046" w:name="Tc_FWoznwa0yUGnTKF9Da5g1Q_8_2"/>
      <w:bookmarkStart w:id="1047" w:name="Tc_7F0rtvgaL06fyKBVWNSd7A_7_0"/>
      <w:bookmarkStart w:id="1048" w:name="Tc_mhiwmqY2IkKXWee1tj4xug_6_8"/>
      <w:bookmarkStart w:id="1049" w:name="Tc_7_pGfIexWUW8gDWaJcCi6g_6_0"/>
      <w:bookmarkStart w:id="1050" w:name="Tc_gABK9zIkOUWBohBJ_EY6xw_5_8"/>
      <w:bookmarkStart w:id="1051" w:name="Tc_dTDXC0lK3kaFAW9RLQELdw_5_0"/>
      <w:bookmarkStart w:id="1052" w:name="Tc_YiU2LsvH30-uK-6A7apQ4g_4_8"/>
      <w:bookmarkStart w:id="1053" w:name="Tc_QMdbfulFg0-dpCOPa145-w_4_5"/>
      <w:bookmarkStart w:id="1054" w:name="Tc_Y3QCrFYW-0aMTHwe9eORWQ_4_2"/>
      <w:bookmarkStart w:id="1055" w:name="Tc_FBdmne71xUijdUvg-9X_Mg_4_0"/>
      <w:bookmarkStart w:id="1056" w:name="Tc_ljXf4Hikjk2Vup-nbMuvwA_3_2"/>
      <w:bookmarkStart w:id="1057" w:name="Tc_NhhHibL_NkCnVBbMLMp1sw_2_10"/>
      <w:bookmarkStart w:id="1058" w:name="Tc_jz8dFfGaQESlanrudLSNdw_2_8"/>
      <w:bookmarkStart w:id="1059" w:name="Tc_L3iSxEZzpEC1wCzPQugsBw_2_5"/>
      <w:bookmarkStart w:id="1060" w:name="Tc_41Hksmj3GEObVvkzV8_FWQ_2_2"/>
      <w:bookmarkStart w:id="1061" w:name="Tc_8dTYH9j7fkyFqPcFmCHGKA_2_0"/>
      <w:bookmarkStart w:id="1062" w:name="Tc_dJ-bufqaIkCAzYCpvPlqXw_1_10"/>
      <w:bookmarkStart w:id="1063" w:name="Tc_iglW8zsmzU--T46XvjqlSA_1_5"/>
      <w:bookmarkStart w:id="1064" w:name="Tc_brhcrcU4vEu8Nu6hLE8atg_1_2"/>
      <w:bookmarkStart w:id="1065" w:name="_7a05827d_c990_4c54_b21c_3fff58b575f8"/>
      <w:bookmarkStart w:id="1066" w:name="Tc_hQjFJhYWMEODeK-tKjn7ag_8_5"/>
      <w:bookmarkStart w:id="1067" w:name="Tc_lu3Ocr5HEE6sxPb0KNBIUA_8_2"/>
      <w:bookmarkStart w:id="1068" w:name="Tc_tiY_Yx6eSEaNU5lZ_hAwAQ_7_0"/>
      <w:bookmarkStart w:id="1069" w:name="Tc_kiDygNxJQkignGqLoPqo1g_6_8"/>
      <w:bookmarkStart w:id="1070" w:name="Tc_g2z1n9xKxkSCvvOHpTUFdw_6_0"/>
      <w:bookmarkStart w:id="1071" w:name="Tc_toX8f7PF3U2JAhk_aGRQPA_5_8"/>
      <w:bookmarkStart w:id="1072" w:name="Tc_8kf_xC-E7EubC_kfMSedpQ_5_0"/>
      <w:bookmarkStart w:id="1073" w:name="Tc_A9EFmNhGuUuO8WE-SJ-cew_4_8"/>
      <w:bookmarkStart w:id="1074" w:name="Tc__PAsSvZwTUGHfeowvEU2VA_4_5"/>
      <w:bookmarkStart w:id="1075" w:name="Tc_10gPINAYMUGeeUTdG6UpUg_4_2"/>
      <w:bookmarkStart w:id="1076" w:name="Tc_4TN5mIX7WUWJRHjAze0dXQ_4_0"/>
      <w:bookmarkStart w:id="1077" w:name="Tc_Lu1QEaw6XEaqFjYY4XDhjw_3_2"/>
      <w:bookmarkStart w:id="1078" w:name="Tc_t1PYMU2SgEe8IPfadGrigQ_2_10"/>
      <w:bookmarkStart w:id="1079" w:name="Tc_S6RKbKVXPEu6DZF1p2ux7Q_2_8"/>
      <w:bookmarkStart w:id="1080" w:name="Tc_astcPauOLUWy79bhdmICxw_2_5"/>
      <w:bookmarkStart w:id="1081" w:name="Tc_s6KHn0c640iDbNfed9kzOA_2_2"/>
      <w:bookmarkStart w:id="1082" w:name="Tc__T_XLFgWsEu4QJh0UL1EAA_2_0"/>
      <w:bookmarkStart w:id="1083" w:name="Tc_w2na0FtrWECVdCaCZFEsEA_1_10"/>
      <w:bookmarkStart w:id="1084" w:name="Tc_SEcepX9J90qxtZ7gdXN1Qw_1_5"/>
      <w:bookmarkStart w:id="1085" w:name="Tc_pOhJdH4aLkG9vL-9zqmEUQ_1_2"/>
      <w:bookmarkStart w:id="1086" w:name="_f9f3067d_6509_40d1_a7f8_3af7adcb5e00"/>
      <w:bookmarkStart w:id="1087" w:name="Tc_4hPaEoFankSQH_rqPuIzzw_8_0"/>
      <w:bookmarkStart w:id="1088" w:name="Tc_1sv0sQmE1Emh3zwO_2yCiA_5_5"/>
      <w:bookmarkStart w:id="1089" w:name="Tc_Jz_-zlo51ku12NUgDP4v8A_5_2"/>
      <w:bookmarkStart w:id="1090" w:name="Tc_S4tFtQ1hIkyXv8rtApGyjg_4_0"/>
      <w:bookmarkStart w:id="1091" w:name="Tc_dQfwa5avcESk3CWyR8AFfg_3_2"/>
      <w:bookmarkStart w:id="1092" w:name="Tc_FZKPu7ieXEiEVe4TZvnXgg_2_5"/>
      <w:bookmarkStart w:id="1093" w:name="Tc_eJCVdXr4hE6lfhY-lnrSaA_2_2"/>
      <w:bookmarkStart w:id="1094" w:name="Tc_0oJOdx4l2EWb_ltxr8dZoQ_1_5"/>
      <w:bookmarkStart w:id="1095" w:name="Tc_Jw_OkS4hBU23Nt90etMHeQ_1_2"/>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Times New Roman;Times;serif" w:hAnsi="Times New Roman;Times;serif"/>
          <w:b/>
          <w:sz w:val="20"/>
        </w:rPr>
        <w:t>10.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Right-of-use assets and lease liabilities are as follows:</w:t>
      </w:r>
    </w:p>
    <w:p>
      <w:pPr>
        <w:pStyle w:val="TextBody"/>
        <w:bidi w:val="0"/>
        <w:spacing w:before="0" w:after="0"/>
        <w:ind w:left="0" w:right="0" w:hanging="0"/>
        <w:jc w:val="left"/>
        <w:rPr/>
      </w:pPr>
      <w:r>
        <w:rPr/>
        <w:t>​</w:t>
      </w:r>
    </w:p>
    <w:tbl>
      <w:tblPr>
        <w:tblW w:w="7518" w:type="dxa"/>
        <w:jc w:val="left"/>
        <w:tblInd w:w="0" w:type="dxa"/>
        <w:tblLayout w:type="fixed"/>
        <w:tblCellMar>
          <w:top w:w="0" w:type="dxa"/>
          <w:left w:w="0" w:type="dxa"/>
          <w:bottom w:w="0" w:type="dxa"/>
          <w:right w:w="0" w:type="dxa"/>
        </w:tblCellMar>
      </w:tblPr>
      <w:tblGrid>
        <w:gridCol w:w="4621"/>
        <w:gridCol w:w="346"/>
        <w:gridCol w:w="298"/>
        <w:gridCol w:w="557"/>
        <w:gridCol w:w="346"/>
        <w:gridCol w:w="440"/>
        <w:gridCol w:w="910"/>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934335" cy="175260"/>
                      <wp:effectExtent l="0" t="0" r="0" b="0"/>
                      <wp:wrapNone/>
                      <wp:docPr id="224" name="Frame224"/>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9230" cy="175260"/>
                      <wp:effectExtent l="0" t="0" r="0" b="0"/>
                      <wp:wrapNone/>
                      <wp:docPr id="226" name="Frame226"/>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53695" cy="175260"/>
                      <wp:effectExtent l="0" t="0" r="0" b="0"/>
                      <wp:wrapNone/>
                      <wp:docPr id="227" name="Frame227"/>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79400" cy="175260"/>
                      <wp:effectExtent l="0" t="0" r="0" b="0"/>
                      <wp:wrapNone/>
                      <wp:docPr id="229" name="Frame229"/>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77850" cy="175260"/>
                      <wp:effectExtent l="0" t="0" r="0" b="0"/>
                      <wp:wrapNone/>
                      <wp:docPr id="230" name="Frame230"/>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5" w:type="dxa"/>
            <w:gridSpan w:val="2"/>
            <w:tcBorders/>
            <w:vAlign w:val="center"/>
          </w:tcPr>
          <w:p>
            <w:pPr>
              <w:pStyle w:val="TableContents"/>
              <w:bidi w:val="0"/>
              <w:spacing w:before="0" w:after="0"/>
              <w:ind w:left="0" w:right="0" w:hanging="0"/>
              <w:jc w:val="center"/>
              <w:rPr>
                <w:rFonts w:ascii="Times" w:hAnsi="Times"/>
                <w:b/>
                <w:sz w:val="20"/>
              </w:rPr>
            </w:pPr>
            <w:r>
              <w:rPr>
                <w:rFonts w:ascii="Times" w:hAnsi="Times"/>
                <w:b/>
                <w:sz w:val="20"/>
              </w:rPr>
              <w:t>June 30, </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vAlign w:val="center"/>
          </w:tcPr>
          <w:p>
            <w:pPr>
              <w:pStyle w:val="TableContents"/>
              <w:bidi w:val="0"/>
              <w:spacing w:before="0" w:after="0"/>
              <w:ind w:left="0" w:right="0" w:hanging="0"/>
              <w:jc w:val="center"/>
              <w:rPr>
                <w:rFonts w:ascii="Times" w:hAnsi="Times"/>
                <w:b/>
                <w:sz w:val="20"/>
              </w:rPr>
            </w:pPr>
            <w:r>
              <w:rPr>
                <w:rFonts w:ascii="Times" w:hAnsi="Times"/>
                <w:b/>
                <w:sz w:val="20"/>
              </w:rPr>
              <w:t>December 31, </w: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w:hAnsi="Times"/>
                <w:b/>
                <w:sz w:val="20"/>
              </w:rPr>
            </w:pPr>
            <w:r>
              <w:rPr>
                <w:rFonts w:ascii="Times" w:hAnsi="Times"/>
                <w:b/>
                <w:sz w:val="20"/>
              </w:rPr>
              <w:t>2026</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w:hAnsi="Times"/>
                <w:b/>
                <w:sz w:val="20"/>
              </w:rPr>
            </w:pPr>
            <w:r>
              <w:rPr>
                <w:rFonts w:ascii="Times" w:hAnsi="Times"/>
                <w:b/>
                <w:sz w:val="20"/>
              </w:rPr>
              <w:t>2025</w:t>
            </w:r>
          </w:p>
        </w:tc>
      </w:tr>
      <w:tr>
        <w:trPr/>
        <w:tc>
          <w:tcPr>
            <w:tcW w:w="751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1" w:type="dxa"/>
            <w:gridSpan w:val="5"/>
            <w:tcBorders/>
            <w:vAlign w:val="center"/>
          </w:tcPr>
          <w:p>
            <w:pPr>
              <w:pStyle w:val="TableContents"/>
              <w:bidi w:val="0"/>
              <w:spacing w:before="0" w:after="0"/>
              <w:ind w:left="0" w:right="0" w:hanging="0"/>
              <w:jc w:val="center"/>
              <w:rPr>
                <w:rFonts w:ascii="Times" w:hAnsi="Times"/>
                <w:sz w:val="16"/>
              </w:rPr>
            </w:pPr>
            <w:r>
              <w:rPr>
                <w:rFonts w:ascii="Times" w:hAnsi="Times"/>
                <w:sz w:val="16"/>
              </w:rPr>
              <w:t>(in millions)</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55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center"/>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(other assets)</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5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(property, plant and equipment, net)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5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(debt)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 information with respect to our operating leases as of June 30, 2026 and December 31, 2025 is presented below. The lease terms and discount rates for our Energy, Automotive and Food Packaging segments represent weighted averages based on their respective lease liability balances.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079" w:type="dxa"/>
        <w:jc w:val="left"/>
        <w:tblInd w:w="0" w:type="dxa"/>
        <w:tblLayout w:type="fixed"/>
        <w:tblCellMar>
          <w:top w:w="0" w:type="dxa"/>
          <w:left w:w="0" w:type="dxa"/>
          <w:bottom w:w="0" w:type="dxa"/>
          <w:right w:w="0" w:type="dxa"/>
        </w:tblCellMar>
      </w:tblPr>
      <w:tblGrid>
        <w:gridCol w:w="3271"/>
        <w:gridCol w:w="346"/>
        <w:gridCol w:w="414"/>
        <w:gridCol w:w="831"/>
        <w:gridCol w:w="346"/>
        <w:gridCol w:w="325"/>
        <w:gridCol w:w="651"/>
        <w:gridCol w:w="346"/>
        <w:gridCol w:w="1126"/>
        <w:gridCol w:w="346"/>
        <w:gridCol w:w="886"/>
        <w:gridCol w:w="1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7085" cy="175260"/>
                      <wp:effectExtent l="0" t="0" r="0" b="0"/>
                      <wp:wrapNone/>
                      <wp:docPr id="231" name="Frame231"/>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62890" cy="175260"/>
                      <wp:effectExtent l="0" t="0" r="0" b="0"/>
                      <wp:wrapNone/>
                      <wp:docPr id="233" name="Frame233"/>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27685" cy="175260"/>
                      <wp:effectExtent l="0" t="0" r="0" b="0"/>
                      <wp:wrapNone/>
                      <wp:docPr id="234" name="Frame234"/>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6375" cy="175260"/>
                      <wp:effectExtent l="0" t="0" r="0" b="0"/>
                      <wp:wrapNone/>
                      <wp:docPr id="236" name="Frame236"/>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13385" cy="175260"/>
                      <wp:effectExtent l="0" t="0" r="0" b="0"/>
                      <wp:wrapNone/>
                      <wp:docPr id="237" name="Frame237"/>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715010" cy="175260"/>
                      <wp:effectExtent l="0" t="0" r="0" b="0"/>
                      <wp:wrapNone/>
                      <wp:docPr id="239" name="Frame23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62610" cy="175260"/>
                      <wp:effectExtent l="0" t="0" r="0" b="0"/>
                      <wp:wrapNone/>
                      <wp:docPr id="241" name="Frame24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1285" cy="175260"/>
                      <wp:effectExtent l="0" t="0" r="0" b="0"/>
                      <wp:wrapNone/>
                      <wp:docPr id="242" name="Frame24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91" w:type="dxa"/>
            <w:tcBorders/>
            <w:vAlign w:val="center"/>
          </w:tcPr>
          <w:p>
            <w:pPr>
              <w:pStyle w:val="TableContents"/>
              <w:bidi w:val="0"/>
              <w:spacing w:before="0" w:after="0"/>
              <w:ind w:left="0" w:right="0" w:hanging="0"/>
              <w:jc w:val="center"/>
              <w:rPr/>
            </w:pPr>
            <w:r>
              <w:rPr/>
              <w:t> </w:t>
            </w:r>
          </w:p>
        </w:tc>
      </w:tr>
      <w:tr>
        <w:trPr/>
        <w:tc>
          <w:tcPr>
            <w:tcW w:w="3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 as of June 30, 2026</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91" w:type="dxa"/>
            <w:tcBorders/>
            <w:vAlign w:val="center"/>
          </w:tcPr>
          <w:p>
            <w:pPr>
              <w:pStyle w:val="TableContents"/>
              <w:bidi w:val="0"/>
              <w:spacing w:before="0" w:after="0"/>
              <w:ind w:left="0" w:right="0" w:hanging="0"/>
              <w:jc w:val="center"/>
              <w:rPr/>
            </w:pPr>
            <w:r>
              <w:rPr/>
              <w:t> </w:t>
            </w:r>
          </w:p>
        </w:tc>
      </w:tr>
      <w:tr>
        <w:trPr/>
        <w:tc>
          <w:tcPr>
            <w:tcW w:w="9079"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 years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years</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19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 years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477" w:type="dxa"/>
        <w:jc w:val="left"/>
        <w:tblInd w:w="0" w:type="dxa"/>
        <w:tblLayout w:type="fixed"/>
        <w:tblCellMar>
          <w:top w:w="0" w:type="dxa"/>
          <w:left w:w="0" w:type="dxa"/>
          <w:bottom w:w="0" w:type="dxa"/>
          <w:right w:w="0" w:type="dxa"/>
        </w:tblCellMar>
      </w:tblPr>
      <w:tblGrid>
        <w:gridCol w:w="3706"/>
        <w:gridCol w:w="346"/>
        <w:gridCol w:w="414"/>
        <w:gridCol w:w="831"/>
        <w:gridCol w:w="346"/>
        <w:gridCol w:w="325"/>
        <w:gridCol w:w="651"/>
        <w:gridCol w:w="346"/>
        <w:gridCol w:w="1126"/>
        <w:gridCol w:w="346"/>
        <w:gridCol w:w="886"/>
        <w:gridCol w:w="15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353310" cy="175260"/>
                      <wp:effectExtent l="0" t="0" r="0" b="0"/>
                      <wp:wrapNone/>
                      <wp:docPr id="243" name="Frame243"/>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62890" cy="175260"/>
                      <wp:effectExtent l="0" t="0" r="0" b="0"/>
                      <wp:wrapNone/>
                      <wp:docPr id="245" name="Frame24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27685" cy="175260"/>
                      <wp:effectExtent l="0" t="0" r="0" b="0"/>
                      <wp:wrapNone/>
                      <wp:docPr id="246" name="Frame246"/>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6375" cy="175260"/>
                      <wp:effectExtent l="0" t="0" r="0" b="0"/>
                      <wp:wrapNone/>
                      <wp:docPr id="248" name="Frame248"/>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13385" cy="175260"/>
                      <wp:effectExtent l="0" t="0" r="0" b="0"/>
                      <wp:wrapNone/>
                      <wp:docPr id="249" name="Frame249"/>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15010" cy="175260"/>
                      <wp:effectExtent l="0" t="0" r="0" b="0"/>
                      <wp:wrapNone/>
                      <wp:docPr id="251" name="Frame25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62610" cy="175260"/>
                      <wp:effectExtent l="0" t="0" r="0" b="0"/>
                      <wp:wrapNone/>
                      <wp:docPr id="253" name="Frame25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7790" cy="175260"/>
                      <wp:effectExtent l="0" t="0" r="0" b="0"/>
                      <wp:wrapNone/>
                      <wp:docPr id="254" name="Frame25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46" w:type="dxa"/>
            <w:tcBorders/>
            <w:vAlign w:val="center"/>
          </w:tcPr>
          <w:p>
            <w:pPr>
              <w:pStyle w:val="TableContents"/>
              <w:bidi w:val="0"/>
              <w:spacing w:before="0" w:after="0"/>
              <w:ind w:left="0" w:right="0" w:hanging="0"/>
              <w:jc w:val="left"/>
              <w:rPr/>
            </w:pPr>
            <w:r>
              <w:rPr/>
              <w:t>  ​ ​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 as of December 31, 2025</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54" w:type="dxa"/>
            <w:tcBorders/>
            <w:vAlign w:val="center"/>
          </w:tcPr>
          <w:p>
            <w:pPr>
              <w:pStyle w:val="TableContents"/>
              <w:bidi w:val="0"/>
              <w:spacing w:before="0" w:after="0"/>
              <w:ind w:left="0" w:right="0" w:hanging="0"/>
              <w:jc w:val="left"/>
              <w:rPr/>
            </w:pPr>
            <w:r>
              <w:rPr/>
              <w:t>​</w:t>
            </w:r>
          </w:p>
        </w:tc>
      </w:tr>
      <w:tr>
        <w:trPr/>
        <w:tc>
          <w:tcPr>
            <w:tcW w:w="947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 years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 </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years</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 years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7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096" w:name="_9fd8ba27_89ee_4d2c_a8d0_949d9b6ef070_5"/>
      <w:bookmarkStart w:id="1097" w:name="_9fd8ba27_89ee_4d2c_a8d0_949d9b6ef070_4"/>
      <w:bookmarkStart w:id="1098" w:name="_9fd8ba27_89ee_4d2c_a8d0_949d9b6ef070_3"/>
      <w:bookmarkStart w:id="1099" w:name="_9fd8ba27_89ee_4d2c_a8d0_949d9b6ef070_2"/>
      <w:bookmarkStart w:id="1100" w:name="_9fd8ba27_89ee_4d2c_a8d0_949d9b6ef070"/>
      <w:bookmarkStart w:id="1101" w:name="Narr_KVwsMBuuBEKMkQTTvTh3Og"/>
      <w:bookmarkEnd w:id="1096"/>
      <w:bookmarkEnd w:id="1097"/>
      <w:bookmarkEnd w:id="1098"/>
      <w:bookmarkEnd w:id="1099"/>
      <w:bookmarkEnd w:id="1100"/>
      <w:bookmarkEnd w:id="1101"/>
      <w:r>
        <w:rPr>
          <w:rFonts w:ascii="Times New Roman;Times;serif" w:hAnsi="Times New Roman;Times;serif"/>
          <w:sz w:val="20"/>
        </w:rPr>
        <w:t xml:space="preserve">For the three months ended June 30, 2026 and 2025, lease cost was comprised of (i) operating lease cost of $47 million and $45 million, respectively, (ii) amortization of financing lease right-of-use assets of $2 million and $3 million, respectively, and (iii) interest expense on financing lease liabilities of $2 million and $4 million, respectively. For the six months ended June 30, 2026 and 2025, lease cost was comprised of (i) operating lease cost of $93 million and $89 million, respectively, (ii) amortization of financing lease right-of-use assets of $5 million and $5 million, respectively, and (iii) interest expense on financing lease liabilities of $4 million and $5 million,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accounted for $60 million and $67 million of total lease cost for each of the six months ended June 30, 2026 and 2025,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Lessor Arrangements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leases available and excess real estate in certain locations under long-term operating leases. Our Automotive segment’s revenues from operating leases were $12 million and $8 million for the three months ended June 30, 2026 and 2025, respectively, and $17 million and $22 million for the six months ended June 30, 2026 and 2025, respectively. Revenues from operating leases are included in other revenue from operations in the condensed consolidated statements of operations. Our Automotive segment’s expenses from operating leases including variable lease costs were $16 million and $22 million for the three months ended June 30, 2026 and 2025, respectively, and $32 million and $46 million for the six months ended June 30, 2026 and 2025, respectively. Expenses from operating leases are included in other expenses from operations in the condensed consolidated statements of operations.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Real Estate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Real Estate segment leases real estate, primarily commercial properties under long-term operating leases. As of June 30, 2026 and December 31, 2025, our Real Estate segment had assets leased to others included in property, plant and equipment of $501 million and $484 million, respectively, net of accumulated depreciation. Our Real Estate segment’s revenues from operating leases were $9 million and $2 million for the three months ended June 30, 2026 and 2025, respectively, and $16 million and $5 million for the six months ended June 30, 2026 and 2025, respectively. Revenues from operating leases are included in other revenue from operations in the condensed consolidated statements of operations. Our Real Estate segment’s expenses from operating leases including variable lease costs were $14 million and $7 million for the three months ended June 30, 2026 and 2025, respectively, and $28 million and $14 million for the six months ended June 30, 2026 and 2025, respectively. Expenses from operating leases are included in other expenses from operations in the condensed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02" w:name="Tc_c4DB9d--nkuNp66GZq9a4A_19_5"/>
      <w:bookmarkStart w:id="1103" w:name="Tc_t1suogKzqUCEDvFPK8JwRA_19_2"/>
      <w:bookmarkStart w:id="1104" w:name="Tc_v-fHa9TmpUuzKoUg1lClkw_19_0"/>
      <w:bookmarkStart w:id="1105" w:name="Tc_nO-_EgZer0GKuYp4LA8Psg_17_0"/>
      <w:bookmarkStart w:id="1106" w:name="Tc_nen2PphPLUiC34xl69fATw_16_0"/>
      <w:bookmarkStart w:id="1107" w:name="Tc_veM8M7gENEiWeC-SOpnnYA_15_0"/>
      <w:bookmarkStart w:id="1108" w:name="Tc_QNNh7_655kKy5jYxwFqK4A_14_0"/>
      <w:bookmarkStart w:id="1109" w:name="Tc_GCQKwwv-sUWafINaLibUyw_13_0"/>
      <w:bookmarkStart w:id="1110" w:name="Tc_4clE_Y3AhkG73bpywD1a6w_12_0"/>
      <w:bookmarkStart w:id="1111" w:name="Tc_zohpcQFAFECnb8n_CrmWdQ_10_0"/>
      <w:bookmarkStart w:id="1112" w:name="Tc_81KU60jpAkq6z60x3eAuWg_9_0"/>
      <w:bookmarkStart w:id="1113" w:name="Tc_7w1zpfQrfkaX9eQ7pVAayw_8_0"/>
      <w:bookmarkStart w:id="1114" w:name="Tc_WUUQgjsmj0u0tg9vl2AOMw_7_0"/>
      <w:bookmarkStart w:id="1115" w:name="Tc_KwCwD7wBqU-iaNhyXIBZSg_6_0"/>
      <w:bookmarkStart w:id="1116" w:name="Tc_jj9ReqmNnUa4BDJcRqmduA_5_5"/>
      <w:bookmarkStart w:id="1117" w:name="Tc_f1FPsAO9OkWkDW8-OIzhRw_5_3"/>
      <w:bookmarkStart w:id="1118" w:name="Tc_VBgWGM3X7EWwc8Z0hEq7Sg_5_2"/>
      <w:bookmarkStart w:id="1119" w:name="Tc_hgemJF5J4Eqtk0fwPuS_lQ_5_0"/>
      <w:bookmarkStart w:id="1120" w:name="Tc_ktrjTnxC9EiV5ahHmYnDWw_4_0"/>
      <w:bookmarkStart w:id="1121" w:name="Tc_x1hOARJXVEibCuouwtfw0A_3_2"/>
      <w:bookmarkStart w:id="1122" w:name="Tc_7rmVponqBEyJLjEEX6fYfA_2_5"/>
      <w:bookmarkStart w:id="1123" w:name="Tc_X0BnWDnWXE6In-QfuiqO3Q_2_2"/>
      <w:bookmarkStart w:id="1124" w:name="Tc_3G2qJa2EckKjMvg6FWhR_g_1_5"/>
      <w:bookmarkStart w:id="1125" w:name="Tc_ixlvt6FLJUiVkaOSIL7S1A_1_2"/>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rFonts w:ascii="Times New Roman;Times;serif" w:hAnsi="Times New Roman;Times;serif"/>
          <w:b/>
          <w:sz w:val="20"/>
        </w:rPr>
        <w:t>11.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Debt consists of the following:</w:t>
      </w:r>
    </w:p>
    <w:p>
      <w:pPr>
        <w:pStyle w:val="TextBody"/>
        <w:bidi w:val="0"/>
        <w:spacing w:before="0" w:after="0"/>
        <w:ind w:left="0" w:right="0" w:hanging="0"/>
        <w:jc w:val="left"/>
        <w:rPr/>
      </w:pPr>
      <w:r>
        <w:rPr/>
        <w:t>​</w:t>
      </w:r>
    </w:p>
    <w:tbl>
      <w:tblPr>
        <w:tblW w:w="5583" w:type="dxa"/>
        <w:jc w:val="left"/>
        <w:tblInd w:w="0" w:type="dxa"/>
        <w:tblLayout w:type="fixed"/>
        <w:tblCellMar>
          <w:top w:w="0" w:type="dxa"/>
          <w:left w:w="0" w:type="dxa"/>
          <w:bottom w:w="0" w:type="dxa"/>
          <w:right w:w="0" w:type="dxa"/>
        </w:tblCellMar>
      </w:tblPr>
      <w:tblGrid>
        <w:gridCol w:w="2686"/>
        <w:gridCol w:w="346"/>
        <w:gridCol w:w="230"/>
        <w:gridCol w:w="625"/>
        <w:gridCol w:w="346"/>
        <w:gridCol w:w="320"/>
        <w:gridCol w:w="1030"/>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705610" cy="175260"/>
                      <wp:effectExtent l="0" t="0" r="0" b="0"/>
                      <wp:wrapNone/>
                      <wp:docPr id="255" name="Frame255"/>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6050" cy="175260"/>
                      <wp:effectExtent l="0" t="0" r="0" b="0"/>
                      <wp:wrapNone/>
                      <wp:docPr id="257" name="Frame25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96875" cy="175260"/>
                      <wp:effectExtent l="0" t="0" r="0" b="0"/>
                      <wp:wrapNone/>
                      <wp:docPr id="258" name="Frame25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3200" cy="175260"/>
                      <wp:effectExtent l="0" t="0" r="0" b="0"/>
                      <wp:wrapNone/>
                      <wp:docPr id="260" name="Frame26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54050" cy="175260"/>
                      <wp:effectExtent l="0" t="0" r="0" b="0"/>
                      <wp:wrapNone/>
                      <wp:docPr id="261" name="Frame261"/>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58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Holding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  ​</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2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6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6,389</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6,616</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Holding Company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rPr>
        <w:t xml:space="preserve">Holding Company debt is </w:t>
      </w:r>
      <w:r>
        <w:rPr>
          <w:rFonts w:ascii="Times New Roman;Times;serif" w:hAnsi="Times New Roman;Times;serif"/>
          <w:sz w:val="20"/>
        </w:rPr>
        <w:t xml:space="preserve">net of unamortized discounts, premiums, debt issuance costs and notes held in treasury.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2026, we redeemed all outstanding 6.250% senior notes due 2026, at par, using cash on hand.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2026, CVR Energy completed the issuance of $1 billion aggregate principal amount of senior notes, consisting of $600 million of 7.50% senior notes due February 2031 and $400 million of 7.875% senior notes due February 2034. The proceeds from the issuance of these notes were used to (i) fund the redemption in full of CVR Energy’s existing $600 million in aggregate principal amount of 8.50% senior unsecured notes due 2029 at a redemption price equal to 104.25% of the principal amount in February 2026, resulting in a $28 million loss on extinguishment of debt in the six months ended June 30, 2026, (ii) fund the partial redemption of $217 million of CVR Energy’s existing $400 million in aggregate principal amount of 5.75% senior unsecured notes due 2028 at par in February 2026, resulting in a less than $1 million loss on extinguishment of debt in the six months ended June 30, 2026, and (iii) repay the aggregate principal balance of CVR Energy’s senior secured term loan facility, resulting in a $3 million loss on extinguishment of debt in the six months ended June 30, 2026. </w:t>
      </w:r>
    </w:p>
    <w:p>
      <w:pPr>
        <w:pStyle w:val="TextBody"/>
        <w:bidi w:val="0"/>
        <w:spacing w:before="0" w:after="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In February 2026, CVR Energy and certain of its subsidiaries entered into Amendment No. 5 (the “CVR Energy ABL Amendment”) to the Amended and Restated ABL Credit Agreement (the “CVR Energy ABL”) with a group of lenders and Wells Fargo Bank, National Association, a national banking association, as administrative agent, collateral agent and a lender. The CVR Energy ABL Amendment amended the CVR Energy ABL, dated December 20, 2012, to, among other things, (i) increase the aggregate principal amount available under the CVR Energy ABL from $345 million to $550 million, which commitments may be further increased up to $700 million in accordance with the CVR Energy ABL Amendment, (ii) extend the maturity date by an additional three years from June 30, 2027 to February 12, 2031, and (iii) make certain amendments to the borrowing base calculation and negative covenants.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June 30, 2026, total availability under the CVR Energy ABL and CVR Partners’ ABL Credit Agreement (the “CVR Partners ABL”) aggregated to $590 million. The CVR Energy ABL had $10 million of letters of credit outstanding as of June 30, 2026. The CVR Energy ABL matures on February 12, 2031, and the CVR Partners ABL matures on September 26, 2028.</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Non-Cash Charges to 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amortization of deferred financing costs and debt discounts and premiums included in interest expense in the condensed consolidated statements of operations were $2 million and $2 million for the three months ended June 30, 2026 and 2025, respectively, and ($28) million and $3 million for the six months ended June 30, 2026 and 2025, respectively. </w:t>
      </w:r>
    </w:p>
    <w:p>
      <w:pPr>
        <w:pStyle w:val="TextBody"/>
        <w:bidi w:val="0"/>
        <w:spacing w:before="0" w:after="240"/>
        <w:ind w:left="0" w:right="0" w:hanging="0"/>
        <w:jc w:val="left"/>
        <w:rPr>
          <w:rFonts w:ascii="Times New Roman;Times;serif" w:hAnsi="Times New Roman;Times;serif"/>
          <w:b/>
          <w:sz w:val="20"/>
        </w:rPr>
      </w:pPr>
      <w:bookmarkStart w:id="1126" w:name="Tc__DyYv2ynTkCqtbX_E72EEA_8_0"/>
      <w:bookmarkStart w:id="1127" w:name="Tc_U89_eywJyUCE2t0RVYtZzg_7_11"/>
      <w:bookmarkStart w:id="1128" w:name="Tc_L9875JfOnkKiFd_kSV5bNw_7_8"/>
      <w:bookmarkStart w:id="1129" w:name="Tc_VQILjxprx0uiL-WGeY7Afg_7_5"/>
      <w:bookmarkStart w:id="1130" w:name="Tc_k-DtDJV30kug88m9xYmPww_7_2"/>
      <w:bookmarkStart w:id="1131" w:name="Tc_QSkspJjCokORbFnDjahlQw_7_0"/>
      <w:bookmarkStart w:id="1132" w:name="Tc_HCGJViJ6nEWgTDXU0-HYgA_5_11"/>
      <w:bookmarkStart w:id="1133" w:name="Tc_yYgc9aWmDUegXYJoTKO7vA_5_8"/>
      <w:bookmarkStart w:id="1134" w:name="Tc_Zehu2ikWhkKlBIT9B4Gr5A_5_5"/>
      <w:bookmarkStart w:id="1135" w:name="Tc_3oHgaCXx_UK9JxZt8nWWmQ_5_2"/>
      <w:bookmarkStart w:id="1136" w:name="Tc_CcXvyGIK5026P2EgOtMpMw_5_0"/>
      <w:bookmarkStart w:id="1137" w:name="Tc_X3wQTTVZG025RSIxElupqA_4_11"/>
      <w:bookmarkStart w:id="1138" w:name="Tc_wAMe-KAWtUmAliSntvgOVQ_4_8"/>
      <w:bookmarkStart w:id="1139" w:name="Tc_VuHMXRKRgEmlko9HCVdJiQ_4_5"/>
      <w:bookmarkStart w:id="1140" w:name="Tc_umic036yCUWHt8a2zpuMvA_4_2"/>
      <w:bookmarkStart w:id="1141" w:name="Tc_Voj42jsgTk2-1rmhJlD9mQ_4_0"/>
      <w:bookmarkStart w:id="1142" w:name="Tc_6Wla1in5J0OYyvSgrR-AgA_3_2"/>
      <w:bookmarkStart w:id="1143" w:name="Tc_mDwUCbutHU6Opd3jl6pMWg_2_11"/>
      <w:bookmarkStart w:id="1144" w:name="Tc_69wjSgYXGk-dnUNWntpXMQ_2_8"/>
      <w:bookmarkStart w:id="1145" w:name="Tc_yUKp7jmgRkeu-Lxzm2iQag_2_5"/>
      <w:bookmarkStart w:id="1146" w:name="Tc_nQKCqOOvD0aw-6kmYRfE2w_2_2"/>
      <w:bookmarkStart w:id="1147" w:name="Tc_5HMpDgw9sky05Ep-X4tZFw_1_8"/>
      <w:bookmarkStart w:id="1148" w:name="Tc_pydmaUP9FUqyXSyWyn2sQQ_1_2"/>
      <w:bookmarkStart w:id="1149" w:name="_a03facfb_c75e_435f_958f_b94e8694d05c"/>
      <w:bookmarkStart w:id="1150" w:name="_84cd67ff_cc68_415d_ba8d_9ced38450f16"/>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r>
        <w:rPr>
          <w:rFonts w:ascii="Times New Roman;Times;serif" w:hAnsi="Times New Roman;Times;serif"/>
          <w:b/>
          <w:sz w:val="20"/>
        </w:rPr>
        <w:t>12. Net Income (Loss) Per LP Unit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components of the computation of basic and diluted income (loss) per LP unit of Icahn Enterprises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18"/>
        <w:gridCol w:w="346"/>
        <w:gridCol w:w="254"/>
        <w:gridCol w:w="681"/>
        <w:gridCol w:w="418"/>
        <w:gridCol w:w="254"/>
        <w:gridCol w:w="681"/>
        <w:gridCol w:w="346"/>
        <w:gridCol w:w="239"/>
        <w:gridCol w:w="639"/>
        <w:gridCol w:w="393"/>
        <w:gridCol w:w="239"/>
        <w:gridCol w:w="697"/>
      </w:tblGrid>
      <w:tr>
        <w:trPr/>
        <w:tc>
          <w:tcPr>
            <w:tcW w:w="5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186430" cy="175260"/>
                      <wp:effectExtent l="0" t="0" r="0" b="0"/>
                      <wp:wrapNone/>
                      <wp:docPr id="262" name="Frame262"/>
                      <a:graphic xmlns:a="http://schemas.openxmlformats.org/drawingml/2006/main">
                        <a:graphicData uri="http://schemas.microsoft.com/office/word/2010/wordprocessingShape">
                          <wps:wsp>
                            <wps:cNvSpPr txBox="1"/>
                            <wps:spPr>
                              <a:xfrm>
                                <a:off x="0" y="0"/>
                                <a:ext cx="3186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1290" cy="175260"/>
                      <wp:effectExtent l="0" t="0" r="0" b="0"/>
                      <wp:wrapNone/>
                      <wp:docPr id="264" name="Frame26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32435" cy="175260"/>
                      <wp:effectExtent l="0" t="0" r="0" b="0"/>
                      <wp:wrapNone/>
                      <wp:docPr id="265" name="Frame26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65430" cy="175260"/>
                      <wp:effectExtent l="0" t="0" r="0" b="0"/>
                      <wp:wrapNone/>
                      <wp:docPr id="266" name="Frame266"/>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1290" cy="175260"/>
                      <wp:effectExtent l="0" t="0" r="0" b="0"/>
                      <wp:wrapNone/>
                      <wp:docPr id="267" name="Frame26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32435" cy="175260"/>
                      <wp:effectExtent l="0" t="0" r="0" b="0"/>
                      <wp:wrapNone/>
                      <wp:docPr id="268" name="Frame268"/>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51765" cy="175260"/>
                      <wp:effectExtent l="0" t="0" r="0" b="0"/>
                      <wp:wrapNone/>
                      <wp:docPr id="270" name="Frame27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05765" cy="175260"/>
                      <wp:effectExtent l="0" t="0" r="0" b="0"/>
                      <wp:wrapNone/>
                      <wp:docPr id="271" name="Frame271"/>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49555" cy="175260"/>
                      <wp:effectExtent l="0" t="0" r="0" b="0"/>
                      <wp:wrapNone/>
                      <wp:docPr id="272" name="Frame27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51765" cy="175260"/>
                      <wp:effectExtent l="0" t="0" r="0" b="0"/>
                      <wp:wrapNone/>
                      <wp:docPr id="273" name="Frame27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42595" cy="175260"/>
                      <wp:effectExtent l="0" t="0" r="0" b="0"/>
                      <wp:wrapNone/>
                      <wp:docPr id="274" name="Frame274"/>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2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50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18" w:type="dxa"/>
            <w:tcBorders/>
            <w:vAlign w:val="center"/>
          </w:tcPr>
          <w:p>
            <w:pPr>
              <w:pStyle w:val="TableContents"/>
              <w:bidi w:val="0"/>
              <w:spacing w:before="0" w:after="0"/>
              <w:ind w:left="0" w:right="0" w:hanging="0"/>
              <w:jc w:val="left"/>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93" w:type="dxa"/>
            <w:tcBorders/>
            <w:vAlign w:val="center"/>
          </w:tcPr>
          <w:p>
            <w:pPr>
              <w:pStyle w:val="TableContents"/>
              <w:bidi w:val="0"/>
              <w:spacing w:before="0" w:after="0"/>
              <w:ind w:left="0" w:right="0" w:hanging="0"/>
              <w:jc w:val="left"/>
              <w:rPr/>
            </w:pPr>
            <w:r>
              <w:rPr/>
              <w:t>  ​ ​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1"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5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Icahn Enterprises</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418" w:type="dxa"/>
            <w:tcBorders/>
            <w:shd w:fill="CCEEFF" w:val="clear"/>
            <w:vAlign w:val="center"/>
          </w:tcPr>
          <w:p>
            <w:pPr>
              <w:pStyle w:val="TableContents"/>
              <w:bidi w:val="0"/>
              <w:spacing w:before="0" w:after="0"/>
              <w:ind w:left="0" w:right="0" w:hanging="0"/>
              <w:jc w:val="left"/>
              <w:rPr/>
            </w:pPr>
            <w:r>
              <w:rPr/>
              <w:t>  ​ ​ ​</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93" w:type="dxa"/>
            <w:tcBorders/>
            <w:shd w:fill="CCEEFF" w:val="clear"/>
            <w:vAlign w:val="center"/>
          </w:tcPr>
          <w:p>
            <w:pPr>
              <w:pStyle w:val="TableContents"/>
              <w:bidi w:val="0"/>
              <w:spacing w:before="0" w:after="0"/>
              <w:ind w:left="0" w:right="0" w:hanging="0"/>
              <w:jc w:val="left"/>
              <w:rPr/>
            </w:pPr>
            <w:r>
              <w:rPr/>
              <w:t>  ​ ​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r>
      <w:tr>
        <w:trPr/>
        <w:tc>
          <w:tcPr>
            <w:tcW w:w="5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Icahn Enterprises allocated to limited partners (98.01% allocation)</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418"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393"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r>
      <w:tr>
        <w:trPr/>
        <w:tc>
          <w:tcPr>
            <w:tcW w:w="50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pPr>
            <w:r>
              <w:rPr/>
              <w:t>​</w:t>
            </w:r>
          </w:p>
        </w:tc>
        <w:tc>
          <w:tcPr>
            <w:tcW w:w="418"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39"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r>
      <w:tr>
        <w:trPr/>
        <w:tc>
          <w:tcPr>
            <w:tcW w:w="5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income (loss) per LP unit: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418"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(0.30)</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93"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501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Basic and diluted weighted average LP units outstanding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418"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93"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534</w:t>
            </w:r>
          </w:p>
        </w:tc>
      </w:tr>
    </w:tbl>
    <w:tbl>
      <w:tblPr>
        <w:tblW w:w="8526" w:type="dxa"/>
        <w:jc w:val="left"/>
        <w:tblInd w:w="0" w:type="dxa"/>
        <w:tblLayout w:type="fixed"/>
        <w:tblCellMar>
          <w:top w:w="28" w:type="dxa"/>
          <w:left w:w="28" w:type="dxa"/>
          <w:bottom w:w="28" w:type="dxa"/>
          <w:right w:w="28" w:type="dxa"/>
        </w:tblCellMar>
      </w:tblPr>
      <w:tblGrid>
        <w:gridCol w:w="124"/>
        <w:gridCol w:w="31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Excludes an immaterial amount of unvested RSU awards during the three months ended June 30, 2026 and 2025. </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LP Unit Transactions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Unit Distributions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23, 2026, we declared a quarterly distribution in the amount of $0.50 per depositary unit, in which each depositary unitholder had the option to make an election to receive either cash or additional depositary units, payable April 15, 2026. In April 2026, we distributed 34,841,101 depositary units to unitholders who did not elect to receive cash, of which 32,536,774 depositary units were distributed to Mr. Icahn and his affiliates. In connection with these distributions, aggregate cash distributions to all depositary unitholders that made a timely election to receive cash was $51 million, of which $25 million was distributed to Mr. Icahn and his affiliates in April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4, 2026, we declared a quarterly distribution in the amount of $0.50 per depositary unit in which each depositary unitholder had the option to make an election to receive either cash or additional depositary units, payable June 25, 2026. In June 2026, we distributed 38,864,540 depositary units to unitholders who did not elect to receive cash, of which 36,456,030 depositary units were distributed to Mr. Icahn and his affiliates. In connection with these distributions, aggregate cash distributions to all depositary unitholders that made a timely election to receive cash was $52 million, of which $25 million was distributed to Mr. Icahn and his affiliates in June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NRMTPro" w:hAnsi="TimesNRMTPro"/>
          <w:sz w:val="20"/>
        </w:rPr>
        <w:t>From time to time Icahn Enterprises enters into open market sale agreements providing for the sale of depositary units under its ongoing “at-the-market” offering program. As of June 30, 2026, Icahn Enterprises may sell depositary units for up to an additional $363</w:t>
      </w:r>
      <w:r>
        <w:rPr>
          <w:rFonts w:ascii="Times New Roman;Times;serif" w:hAnsi="Times New Roman;Times;serif"/>
          <w:sz w:val="20"/>
        </w:rPr>
        <w:t xml:space="preserve"> </w:t>
      </w:r>
      <w:r>
        <w:rPr>
          <w:rFonts w:ascii="TimesNRMTPro" w:hAnsi="TimesNRMTPro"/>
          <w:sz w:val="20"/>
        </w:rPr>
        <w:t>million in aggregate gross proceeds pursuant to the open market sale agreement entered into on August 26, 2024 (the “2024 Open Market Sale Agreement”). No assurance can be made that any or all amounts will be sold during the term of the agreement, and we have no obligation to sell additional depositary units under the 2024 Open Market Sale Agreement. Depending on market conditions, we may continue to sell depositary units under the 2024 Open Market Sale Agreement, and, if appropriate, enter into a new open market sale agreement to continue our “at-the-market” sales program once we have sold the full amount of our existing 2024 Open Market Sale Agreement. Our ability to access remaining capital under our “at-the-market” program may be limited by market conditions at the time of any future potential sale. There can be no assurance that any future capital will be available on acceptable terms or at all under this program.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Icahn Enterprises GP (the “Board”)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On November 6, 2024, the Board re-approved the Repurchase Program, and, pursuant to the re-approved Repurchase Program, we were reauthorized to repurchase up to $500 million worth of our outstanding fixed-rate senior notes. During the six months ended June 30, 2026, the Company did not repurchase any of the Company’s depositary units or fixed-rate senior notes under the Repurchase Program. Repurchased notes are extinguished but not retired when held in treasury. We remain authorized to repurchase up to $450 million of our senior notes and up to $500 million of our outstanding depositary units, in each case subject to restrictions on use of our cash contained in the indentures governing our indebtedness.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Segment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reportable segments reflect the way the Company is managed, and for which separate financial information is available and evaluated regularly by the Company’s Chief Operating Decision Maker (“CODM”) in deciding how to allocate resources and assess performance. The Chairman of the Board, who is our CODM, reviews financial information for each segment and evaluates the results in relation to our broader business strategies. Accordingly, segment operating results are assessed based on net income from continuing operations attributable to Icahn Enterprises. Assets provided to the CODM are consistent with those reported in the condensed consolidated balance sheets, and there are no intra-entity sales or transfers, or significant expense categories regularly reviewed by the CODM beyond those disclosed in the condensed consolidated statements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51" w:name="Tc_XD0v5jT1dUuKyRQIMXhJjg_28_26"/>
      <w:bookmarkStart w:id="1152" w:name="Tc_o8PfFXnM6k6OHof18njtSQ_28_24"/>
      <w:bookmarkStart w:id="1153" w:name="Tc_hSHZgRBaOEmnQQ4ynqVauw_28_23"/>
      <w:bookmarkStart w:id="1154" w:name="Tc_DSxXHIA5qkyfxAy58Zpn5w_28_20"/>
      <w:bookmarkStart w:id="1155" w:name="Tc_F1uBBlUlr0a-saUyIHf7Pw_28_17"/>
      <w:bookmarkStart w:id="1156" w:name="Tc_7uWuLl8An0uddAXu-eyI1g_28_14"/>
      <w:bookmarkStart w:id="1157" w:name="Tc_MSkvAU6wHUuMs7Mv9A_epQ_28_11"/>
      <w:bookmarkStart w:id="1158" w:name="Tc_j47B-DI4GEKIthi5gV8pjw_28_8"/>
      <w:bookmarkStart w:id="1159" w:name="Tc_-EoletHiYEe7Jt0IxAiJOA_28_5"/>
      <w:bookmarkStart w:id="1160" w:name="Tc_JzTPk49aHE2kk0QiRD7oWA_28_3"/>
      <w:bookmarkStart w:id="1161" w:name="Tc_hYGi9grXHUS6ewMgjcWZ5w_28_2"/>
      <w:bookmarkStart w:id="1162" w:name="Tc_3tH2s7Uv-E6UAa1yR04RgA_28_0"/>
      <w:bookmarkStart w:id="1163" w:name="Tc_r2pvbtZZyESOI3m2VidiRQ_27_26"/>
      <w:bookmarkStart w:id="1164" w:name="Tc_fgKCGpGuYUy78-s8VvTq0g_27_24"/>
      <w:bookmarkStart w:id="1165" w:name="Tc_nbkMXAREkkiAMiXXPPKh9w_27_23"/>
      <w:bookmarkStart w:id="1166" w:name="Tc_wmQ39unL5EuQANH-VDtN4g_27_21"/>
      <w:bookmarkStart w:id="1167" w:name="Tc_sB9dnGw2DEqMqKpVdu_fIw_27_20"/>
      <w:bookmarkStart w:id="1168" w:name="Tc_KsQUsJIMCEOQwRKyAxPHDw_27_17"/>
      <w:bookmarkStart w:id="1169" w:name="Tc_cIgSYWDTOUW1mfrpX1ZyuQ_27_14"/>
      <w:bookmarkStart w:id="1170" w:name="Tc_RI_C8XQLQkemXWtVkW8EHA_27_11"/>
      <w:bookmarkStart w:id="1171" w:name="Tc_kXJ6X0fIzESQK8WzTIMNKw_27_8"/>
      <w:bookmarkStart w:id="1172" w:name="Tc_XyaqqaN-w0O4w_9kxvLBGQ_27_5"/>
      <w:bookmarkStart w:id="1173" w:name="Tc_ZBESpLnDO0uIhizv_TGDQw_27_3"/>
      <w:bookmarkStart w:id="1174" w:name="Tc_qF2dcV7370yZqmEcBR9ptw_27_2"/>
      <w:bookmarkStart w:id="1175" w:name="Tc_-Totp_gss0i6jj3Zc7VsNw_27_0"/>
      <w:bookmarkStart w:id="1176" w:name="Tc_6tMjpT_dikuwuQNVpF3I7Q_26_0"/>
      <w:bookmarkStart w:id="1177" w:name="Tc_cpaX1S823k2hyOQyIUQYRg_25_26"/>
      <w:bookmarkStart w:id="1178" w:name="Tc_ofufKNlJcky2B_ozhBhcVA_25_23"/>
      <w:bookmarkStart w:id="1179" w:name="Tc_gMAdl03rRUqxaA-QJSRpGg_25_20"/>
      <w:bookmarkStart w:id="1180" w:name="Tc_Zor0qrwkxkGcXyYnGEy-lQ_25_17"/>
      <w:bookmarkStart w:id="1181" w:name="Tc_odHmdIo-D0mFNAhMXjQzNw_25_14"/>
      <w:bookmarkStart w:id="1182" w:name="Tc_HAfen2O980yKhOoLWG_r8Q_25_11"/>
      <w:bookmarkStart w:id="1183" w:name="Tc_QxomNAh2W02PitZsBTSR4Q_25_8"/>
      <w:bookmarkStart w:id="1184" w:name="Tc_b5356tUQo0qEPnRzrM0pKQ_25_5"/>
      <w:bookmarkStart w:id="1185" w:name="Tc_NfBNeBh9qkGWa26qcpniJQ_25_2"/>
      <w:bookmarkStart w:id="1186" w:name="Tc_s7UspkYweUaXjKQ7nFLJLA_25_0"/>
      <w:bookmarkStart w:id="1187" w:name="Tc_ARhQCqsokkmA0yV6gjiF8Q_24_24"/>
      <w:bookmarkStart w:id="1188" w:name="Tc_3rNv0G0TT0eLaVtIYz9X0A_24_21"/>
      <w:bookmarkStart w:id="1189" w:name="Tc_2F9BE7hpPkOnk1Sdg4XwzA_24_18"/>
      <w:bookmarkStart w:id="1190" w:name="Tc_KqcVYedyC0GMLGyCOjHagA_24_15"/>
      <w:bookmarkStart w:id="1191" w:name="Tc_PlyvX5erm0mDdw8egxUuHQ_24_12"/>
      <w:bookmarkStart w:id="1192" w:name="Tc_cdZhZjB15Um0xCMYPKovWg_24_9"/>
      <w:bookmarkStart w:id="1193" w:name="Tc_eS8EcIVni0-n0ltAV-GEWQ_24_0"/>
      <w:bookmarkStart w:id="1194" w:name="Tc_d4-ynMo0vkWzPp6lMtcCHg_23_0"/>
      <w:bookmarkStart w:id="1195" w:name="Tc_SDYtJ52UEkSazph0ojW6Jg_22_21"/>
      <w:bookmarkStart w:id="1196" w:name="Tc_Csd4cuHKckKeT4rLOx2Dvg_22_18"/>
      <w:bookmarkStart w:id="1197" w:name="Tc_bjf6wSH9okOq4infvZGhMQ_22_15"/>
      <w:bookmarkStart w:id="1198" w:name="Tc_Tilg4uNpd06sn-HDdVTorQ_22_3"/>
      <w:bookmarkStart w:id="1199" w:name="Tc_xpbEgWwfoUeoW_1eGAQvcA_22_0"/>
      <w:bookmarkStart w:id="1200" w:name="Tc_Q8k757ymzEK_a6asr_Mtwg_21_0"/>
      <w:bookmarkStart w:id="1201" w:name="Tc_cOHLM_0p4EeYrkpTFUEgbQ_19_21"/>
      <w:bookmarkStart w:id="1202" w:name="Tc_-eln-XYTeUimmVcWEIaBag_19_15"/>
      <w:bookmarkStart w:id="1203" w:name="Tc_pL41T9-G1UWiw-GyOLztWA_19_0"/>
      <w:bookmarkStart w:id="1204" w:name="Tc_Z32NN4VH2E2DdQYbYjJHow_18_24"/>
      <w:bookmarkStart w:id="1205" w:name="Tc_Bsf4o50sSEqNqMV9sr5zEg_18_21"/>
      <w:bookmarkStart w:id="1206" w:name="Tc_YBf5dx90VUmpFReBFKHYuQ_18_18"/>
      <w:bookmarkStart w:id="1207" w:name="Tc_pOZz8j7-Pk-0geNUpWD04w_18_15"/>
      <w:bookmarkStart w:id="1208" w:name="Tc_jzMKb1dJwUyK6PPMgRUPWQ_18_9"/>
      <w:bookmarkStart w:id="1209" w:name="Tc_e5_N0o6aS0Snou9pxMUQvw_18_6"/>
      <w:bookmarkStart w:id="1210" w:name="Tc_bdqfBiU1q0ObL4NRNH_PSg_18_3"/>
      <w:bookmarkStart w:id="1211" w:name="Tc_8L7kQVxAPU2__SM8XS2VbA_18_0"/>
      <w:bookmarkStart w:id="1212" w:name="Tc_zc_l6zRFf0KEHVihgN9zuw_17_24"/>
      <w:bookmarkStart w:id="1213" w:name="Tc_57k48Kla50OjhKKRvJFO0A_17_21"/>
      <w:bookmarkStart w:id="1214" w:name="Tc_840M5qr7VUSiZ-yPy2JA9g_17_18"/>
      <w:bookmarkStart w:id="1215" w:name="Tc_9hPrQoM3P0qP_IMr1d3pRw_17_15"/>
      <w:bookmarkStart w:id="1216" w:name="Tc_2OMbS0AL-0uDg6ld3wSksw_17_9"/>
      <w:bookmarkStart w:id="1217" w:name="Tc_C4c9rsomrEiXELsU1nbVpA_17_6"/>
      <w:bookmarkStart w:id="1218" w:name="Tc_2E_l8Ol-Qkqr0hPAfT1sbA_17_3"/>
      <w:bookmarkStart w:id="1219" w:name="Tc_6e0quBwEHEWAvTXq8VLZLQ_17_0"/>
      <w:bookmarkStart w:id="1220" w:name="Tc_Yn_oRAqRg0-W_JDktKgmSA_16_0"/>
      <w:bookmarkStart w:id="1221" w:name="Tc_c-1bGKVL2k6aBP1ZCD_hkQ_15_24"/>
      <w:bookmarkStart w:id="1222" w:name="Tc_q3kZpA1NxUqNAzgyoisZ1A_15_21"/>
      <w:bookmarkStart w:id="1223" w:name="Tc_cZNvT_95e0iLLJ08Uhel-Q_15_18"/>
      <w:bookmarkStart w:id="1224" w:name="Tc_YH7ML4RoKEOH_ggIKCtr8g_15_15"/>
      <w:bookmarkStart w:id="1225" w:name="Tc_xQV3crRA6kmMZHbC4wNjHg_15_12"/>
      <w:bookmarkStart w:id="1226" w:name="Tc_XTwIHJTXzUSrx0ivv8Nyxw_15_9"/>
      <w:bookmarkStart w:id="1227" w:name="Tc__1DrsLfMPE2VHoxZIaY1Nw_15_6"/>
      <w:bookmarkStart w:id="1228" w:name="Tc_C1bXoawDCk2lnTSl-Zw_xQ_15_0"/>
      <w:bookmarkStart w:id="1229" w:name="Tc_GCwKZY_WnUmPwRNQoNUmbA_14_24"/>
      <w:bookmarkStart w:id="1230" w:name="Tc_5Tsd0qoepkmaWxBKaT4zxQ_14_21"/>
      <w:bookmarkStart w:id="1231" w:name="Tc__UL14PaeKESpPHW9YpsPxA_14_18"/>
      <w:bookmarkStart w:id="1232" w:name="Tc_5INKGL4TnEWz9ToXqS6scg_14_12"/>
      <w:bookmarkStart w:id="1233" w:name="Tc_ehQgU4GJtk-RonwgEbFxLg_14_6"/>
      <w:bookmarkStart w:id="1234" w:name="Tc_gGSxfFm8WECYSHxXJBZARw_14_3"/>
      <w:bookmarkStart w:id="1235" w:name="Tc_yGHbkwZIHk-InuLv8Pj6kw_14_0"/>
      <w:bookmarkStart w:id="1236" w:name="Tc_GsDABv94VEacA9IvsyrZhQ_13_24"/>
      <w:bookmarkStart w:id="1237" w:name="Tc_5KMhv2nxa062htTq2357QA_13_3"/>
      <w:bookmarkStart w:id="1238" w:name="Tc_pFWOqzo_7Uq-C8lJKRz3HA_13_0"/>
      <w:bookmarkStart w:id="1239" w:name="Tc_34l8f_cEtEGoSn4r6Y1TNQ_12_0"/>
      <w:bookmarkStart w:id="1240" w:name="Tc_yFxkvqIa8EC2I7ibjrSQvA_10_18"/>
      <w:bookmarkStart w:id="1241" w:name="Tc_BMRyEJA-v0OYL87TDXQYSw_10_12"/>
      <w:bookmarkStart w:id="1242" w:name="Tc_M62Pijy2eEmG-RLnieS3tA_10_9"/>
      <w:bookmarkStart w:id="1243" w:name="Tc_OQft-tglYkCvRVkKQsQ5XQ_10_0"/>
      <w:bookmarkStart w:id="1244" w:name="Tc_pryj8_2wukCjox5UO2g6Ig_9_24"/>
      <w:bookmarkStart w:id="1245" w:name="Tc_FyGoRn_LV0izoTZOT2Flww_9_21"/>
      <w:bookmarkStart w:id="1246" w:name="Tc_iFjZmu8fbUiyqkPGFJ6moA_9_18"/>
      <w:bookmarkStart w:id="1247" w:name="Tc_KytHYm9Lv0OsV1Qp7Xr5iw_9_12"/>
      <w:bookmarkStart w:id="1248" w:name="Tc_xQo5IVuohkWrIWSQpjU67Q_9_3"/>
      <w:bookmarkStart w:id="1249" w:name="Tc_BTalIN5XjUOYOo-L0OcZHg_9_0"/>
      <w:bookmarkStart w:id="1250" w:name="Tc_vybJ2dcmG0yB4ynWlkfpoA_8_18"/>
      <w:bookmarkStart w:id="1251" w:name="Tc_EcrSLahnuEmpq89ZOd_0Ug_8_15"/>
      <w:bookmarkStart w:id="1252" w:name="Tc_5zhYnLcOSku64OHp5Iy5bg_8_12"/>
      <w:bookmarkStart w:id="1253" w:name="Tc_D9Ts-vgqXku-hjEB6j9OvA_8_0"/>
      <w:bookmarkStart w:id="1254" w:name="Tc_xDRnx8x6cka-SIwJxr__HA_7_24"/>
      <w:bookmarkStart w:id="1255" w:name="Tc_j-MG1bgZ3EexJb6-ZuTqBA_7_21"/>
      <w:bookmarkStart w:id="1256" w:name="Tc_bQwmIhCypk-gyVEWzUFQOw_7_18"/>
      <w:bookmarkStart w:id="1257" w:name="Tc_fLYN5VFAu0u5TKNvwDO8FQ_7_15"/>
      <w:bookmarkStart w:id="1258" w:name="Tc_gOhkpn0Xw0KPW5A22tPLuQ_7_12"/>
      <w:bookmarkStart w:id="1259" w:name="Tc_Htf7Mm-rVECZABkPy5n9sQ_7_9"/>
      <w:bookmarkStart w:id="1260" w:name="Tc_3Kqjk7W5KkS20etEcZrssg_7_6"/>
      <w:bookmarkStart w:id="1261" w:name="Tc_m1r-hxzPc06h6Cpmy5k81A_7_0"/>
      <w:bookmarkStart w:id="1262" w:name="Tc_FLSQ0N7G0EuBfxN9cpXSkA_6_24"/>
      <w:bookmarkStart w:id="1263" w:name="Tc_Jx7jw0GaA0W_wMKgD8WaOQ_6_18"/>
      <w:bookmarkStart w:id="1264" w:name="Tc_8UHsxrCBykS65aZaoiL3-w_6_12"/>
      <w:bookmarkStart w:id="1265" w:name="Tc_RmffjRKN0EGX9M2ZPdg-xw_6_6"/>
      <w:bookmarkStart w:id="1266" w:name="Tc_VQE2Yag1PUajHDlOQUtSNw_6_3"/>
      <w:bookmarkStart w:id="1267" w:name="Tc_mv9d6TmB9k6swsbT8wzAzw_6_0"/>
      <w:bookmarkStart w:id="1268" w:name="Tc_d4i-uRGGbEW0_Oo1M4Rc5A_5_26"/>
      <w:bookmarkStart w:id="1269" w:name="Tc_1ngdDGydp0KokssmDrJAdg_5_24"/>
      <w:bookmarkStart w:id="1270" w:name="Tc_QZx75LqLaUWcw1ZmmXODjw_5_23"/>
      <w:bookmarkStart w:id="1271" w:name="Tc_XVSIVBEAmkymGc2pq78loA_5_20"/>
      <w:bookmarkStart w:id="1272" w:name="Tc_A7KCQYeRY0mdGIKqnUHatA_5_17"/>
      <w:bookmarkStart w:id="1273" w:name="Tc_AoejdKALyU24lfUa2MCwvQ_5_14"/>
      <w:bookmarkStart w:id="1274" w:name="Tc__270jeVi1U2fz9tAUBiilQ_5_11"/>
      <w:bookmarkStart w:id="1275" w:name="Tc_u17RBgyM0EaEzwlWI6gAAg_5_8"/>
      <w:bookmarkStart w:id="1276" w:name="Tc_PiYrVYbJq0ymoXNtvbpqIQ_5_5"/>
      <w:bookmarkStart w:id="1277" w:name="Tc_SMIpcR6PxEWGaglkXmPGvg_5_3"/>
      <w:bookmarkStart w:id="1278" w:name="Tc_s_C3N144eEmEK7c5Yq8LpA_5_2"/>
      <w:bookmarkStart w:id="1279" w:name="Tc_GAzhRx1LYkC9YO-zRGDJOQ_5_0"/>
      <w:bookmarkStart w:id="1280" w:name="Tc_4pE8bcv9oUyunfgwfnp4wQ_4_0"/>
      <w:bookmarkStart w:id="1281" w:name="Tc_XDdbicCyKUSCtp--kkAHNA_3_2"/>
      <w:bookmarkStart w:id="1282" w:name="Tc_ewhvDJLWjkKW-qij5wFqKQ_2_26"/>
      <w:bookmarkStart w:id="1283" w:name="Tc_-AyPSsXw0EG3MsB0npDyVw_2_23"/>
      <w:bookmarkStart w:id="1284" w:name="Tc_KlCZJRFs70SVDZ17eU6yOg_2_20"/>
      <w:bookmarkStart w:id="1285" w:name="Tc_8LxUQ3wbHEmDINQ5Ekr4Rg_2_17"/>
      <w:bookmarkStart w:id="1286" w:name="Tc_D4xlUIRLaEWsywXE8Of7Lg_2_14"/>
      <w:bookmarkStart w:id="1287" w:name="Tc_R35p_w81CUGesK4H7No_NQ_2_11"/>
      <w:bookmarkStart w:id="1288" w:name="Tc_pd60CaEeoUeAk6ESzzdBMw_2_8"/>
      <w:bookmarkStart w:id="1289" w:name="Tc_Y67R6qxDL0WH9-eoYht7FA_2_5"/>
      <w:bookmarkStart w:id="1290" w:name="Tc_Hf-jv5bbK0SAPBPa2vkaNQ_2_2"/>
      <w:bookmarkStart w:id="1291" w:name="Tc_7ZrmPRASZEG-lXPVMUxVkQ_1_2"/>
      <w:bookmarkStart w:id="1292" w:name="_10686c91_9fce_4551_aa14_88579185a64e"/>
      <w:bookmarkStart w:id="1293" w:name="Tc_yS07-SbGikCS278Qj9mlcw_27_26"/>
      <w:bookmarkStart w:id="1294" w:name="Tc_aRorCUoLUEWrHf8erYAxxg_27_24"/>
      <w:bookmarkStart w:id="1295" w:name="Tc__4wCvVd3Bk-37-8UTbER4A_27_23"/>
      <w:bookmarkStart w:id="1296" w:name="Tc_TcmZxqV6l0Sb_Dg-2h1WUQ_27_20"/>
      <w:bookmarkStart w:id="1297" w:name="Tc_5SHVabCksE2Ek1Ck7K2Luw_27_17"/>
      <w:bookmarkStart w:id="1298" w:name="Tc_2e1DkRtFSkGVehxsVi0n-Q_27_14"/>
      <w:bookmarkStart w:id="1299" w:name="Tc_CEaqe1pG3EK218qYjFZ7Bg_27_11"/>
      <w:bookmarkStart w:id="1300" w:name="Tc_vdTI0Vsnd0qrahN833ty3w_27_8"/>
      <w:bookmarkStart w:id="1301" w:name="Tc_V8XN3PEOpEGuv6gdIXzfoA_27_5"/>
      <w:bookmarkStart w:id="1302" w:name="Tc_o7x7ll2zP06aQlaRzt-_0g_27_3"/>
      <w:bookmarkStart w:id="1303" w:name="Tc_RSj1wCyVV026MvcqKN2VWQ_27_2"/>
      <w:bookmarkStart w:id="1304" w:name="Tc_T6KnC9EcTk-dWGJIf8unCw_27_0"/>
      <w:bookmarkStart w:id="1305" w:name="Tc_8Qc8Rtc7ZkKviyLxIchQdQ_26_26"/>
      <w:bookmarkStart w:id="1306" w:name="Tc_Tdl8d6UHX0GTKTmHDoMrZA_26_24"/>
      <w:bookmarkStart w:id="1307" w:name="Tc_pEJwYX6rZk-k9qaSWawQug_26_23"/>
      <w:bookmarkStart w:id="1308" w:name="Tc_6vKAcAeUIU-ZaauBKR_cIA_26_21"/>
      <w:bookmarkStart w:id="1309" w:name="Tc_a5wUInjXk0qXVy6FFnq_uA_26_20"/>
      <w:bookmarkStart w:id="1310" w:name="Tc_qYJFWaSSYUueBvR4l_u5qg_26_18"/>
      <w:bookmarkStart w:id="1311" w:name="Tc_eTYdI9TPm0OMsvQsfJYeKw_26_17"/>
      <w:bookmarkStart w:id="1312" w:name="Tc_rmFYMC0v00GozMmCoFgmPw_26_14"/>
      <w:bookmarkStart w:id="1313" w:name="Tc_Qvxum_Qr9UCvsv9kRKT3uQ_26_11"/>
      <w:bookmarkStart w:id="1314" w:name="Tc_fk4SqMBRCkS_mujJmoNQBQ_26_8"/>
      <w:bookmarkStart w:id="1315" w:name="Tc_RBfliyHEHEOoT6hBeAr17g_26_5"/>
      <w:bookmarkStart w:id="1316" w:name="Tc_pRbUH0JM4UufzmlEYyx9Ww_26_3"/>
      <w:bookmarkStart w:id="1317" w:name="Tc_QOH-rNiCrU-8WRVk6UcSfQ_26_2"/>
      <w:bookmarkStart w:id="1318" w:name="Tc_u7kdgeX1zEGeEIxtUyk5Nw_26_0"/>
      <w:bookmarkStart w:id="1319" w:name="Tc_lvYnKgC5KEGHVznALGPMtQ_25_0"/>
      <w:bookmarkStart w:id="1320" w:name="Tc_rOPV-t34lEiDYg5XbgDm4w_24_26"/>
      <w:bookmarkStart w:id="1321" w:name="Tc_s71DrGm7fUGxQoyVnf2K4g_24_23"/>
      <w:bookmarkStart w:id="1322" w:name="Tc_rEJeNzLvWEejCImlfoh0gA_24_20"/>
      <w:bookmarkStart w:id="1323" w:name="Tc_kT0naIcisEO9IFNa_cZbiA_24_17"/>
      <w:bookmarkStart w:id="1324" w:name="Tc_b2QAfibQsU-l93-fpj13Cw_24_14"/>
      <w:bookmarkStart w:id="1325" w:name="Tc_W16S5Uqtekus2oATUcSdLg_24_11"/>
      <w:bookmarkStart w:id="1326" w:name="Tc_AJHNDEocIkOkLzPeT2lrBA_24_8"/>
      <w:bookmarkStart w:id="1327" w:name="Tc_A3BvnrgNm0q066x6nBLadg_24_5"/>
      <w:bookmarkStart w:id="1328" w:name="Tc_RFh7Fv7nDUe8S8SVf_NJjA_24_2"/>
      <w:bookmarkStart w:id="1329" w:name="Tc_LM_h1x3N1U-QdmYXYy6giQ_24_0"/>
      <w:bookmarkStart w:id="1330" w:name="Tc_0GHxudIPLU63QfcPhe0b2Q_23_24"/>
      <w:bookmarkStart w:id="1331" w:name="Tc_FFTW_7vCT0Ocvim-J6ngsA_23_21"/>
      <w:bookmarkStart w:id="1332" w:name="Tc_Dpr0ncr2gUqooKoYC4HpFw_23_18"/>
      <w:bookmarkStart w:id="1333" w:name="Tc_rF6duHrHzUqTwCrQtgChzg_23_15"/>
      <w:bookmarkStart w:id="1334" w:name="Tc_gWR86SXOpk-n149y8XYb2A_23_12"/>
      <w:bookmarkStart w:id="1335" w:name="Tc_fTaZJKc6rkm7hZ1SedvqaA_23_9"/>
      <w:bookmarkStart w:id="1336" w:name="Tc_JFm9oxPL90m-ax2V4Y8oZQ_23_0"/>
      <w:bookmarkStart w:id="1337" w:name="Tc_yAJW0gHPsEu5r88u9XfEEQ_22_0"/>
      <w:bookmarkStart w:id="1338" w:name="Tc_1nheb3JDREWnJoxoJb3GWg_21_21"/>
      <w:bookmarkStart w:id="1339" w:name="Tc_med5MIzSO0mdJSE8hdVldg_21_18"/>
      <w:bookmarkStart w:id="1340" w:name="Tc_MuL9q5AC6EG2tctTky9Ngw_21_15"/>
      <w:bookmarkStart w:id="1341" w:name="Tc_3WZ2ynOih02p7MWidoOQJQ_21_3"/>
      <w:bookmarkStart w:id="1342" w:name="Tc_dfJ0mOyl6UKkDE87UE24Bg_21_0"/>
      <w:bookmarkStart w:id="1343" w:name="Tc_AnfKJuovD0aGculEqo8B8A_20_0"/>
      <w:bookmarkStart w:id="1344" w:name="Tc_VLGWVjha2kaRkgnP4QNCaA_18_21"/>
      <w:bookmarkStart w:id="1345" w:name="Tc_HfU24948C06icJnFOkprqw_18_18"/>
      <w:bookmarkStart w:id="1346" w:name="Tc_rMUSRAK-pU23pu4imGSznA_18_15"/>
      <w:bookmarkStart w:id="1347" w:name="Tc__t9-HcGXVkadEiv5aMdbzg_18_9"/>
      <w:bookmarkStart w:id="1348" w:name="Tc_JsANxLMkfE6SwSayLylouA_18_0"/>
      <w:bookmarkStart w:id="1349" w:name="Tc_qoLwFG3veUGSIVHSSjrR4w_17_24"/>
      <w:bookmarkStart w:id="1350" w:name="Tc_dfi5RcOwwkSs_IhCI0FCGA_17_18"/>
      <w:bookmarkStart w:id="1351" w:name="Tc_l1fmi9W_m06J4kk9fgzMzg_17_15"/>
      <w:bookmarkStart w:id="1352" w:name="Tc_f7hud-zBrUyrLS52mcPqJg_17_9"/>
      <w:bookmarkStart w:id="1353" w:name="Tc_Fl7x2YFCZEeHEe5wh7pQjA_17_6"/>
      <w:bookmarkStart w:id="1354" w:name="Tc_IIwtI89XAkOUSegm1wtuYA_17_3"/>
      <w:bookmarkStart w:id="1355" w:name="Tc_0Sc-EGg770yyTMB2gTlsUA_17_0"/>
      <w:bookmarkStart w:id="1356" w:name="Tc_DQ37JjJ9JEGLBRUPvEq2OQ_16_0"/>
      <w:bookmarkStart w:id="1357" w:name="Tc_x8JPABNMBEegIlBWotSJyA_15_24"/>
      <w:bookmarkStart w:id="1358" w:name="Tc_seGFjh2X7UuzryCXZnWV9g_15_21"/>
      <w:bookmarkStart w:id="1359" w:name="Tc_TB4KgP5w-UuEq71HIOd3hw_15_18"/>
      <w:bookmarkStart w:id="1360" w:name="Tc_sqAFAfFHW0WgCtJOO6vflA_15_15"/>
      <w:bookmarkStart w:id="1361" w:name="Tc_D3ocikJ7S0-UgLpV0ZSemA_15_12"/>
      <w:bookmarkStart w:id="1362" w:name="Tc_UphvQbhme0aFyTcijnUjvw_15_9"/>
      <w:bookmarkStart w:id="1363" w:name="Tc_2yftUkoPZEOwRhqb2Kn3gA_15_6"/>
      <w:bookmarkStart w:id="1364" w:name="Tc_eYDnaHD8V0GMoxehzw14GQ_15_0"/>
      <w:bookmarkStart w:id="1365" w:name="Tc_ZPtzLzv9nEucMAldZeUFGw_14_24"/>
      <w:bookmarkStart w:id="1366" w:name="Tc_g7EeRXojE0mxlP8mD84ikg_14_21"/>
      <w:bookmarkStart w:id="1367" w:name="Tc_hNRs922ggUaN1i6K3efpwQ_14_18"/>
      <w:bookmarkStart w:id="1368" w:name="Tc_kVLqvYEdBUudmCybBj4fgg_14_12"/>
      <w:bookmarkStart w:id="1369" w:name="Tc_LNq_JgUREU6EN8RCT6eoTw_14_6"/>
      <w:bookmarkStart w:id="1370" w:name="Tc_0sCWa9CpmkKRvA4rnz8L1w_14_3"/>
      <w:bookmarkStart w:id="1371" w:name="Tc_vHobGVsNRE24MCQlUtg_RQ_14_0"/>
      <w:bookmarkStart w:id="1372" w:name="Tc_Wn-Bj6k0YkyTW10EY96ySA_13_24"/>
      <w:bookmarkStart w:id="1373" w:name="Tc_1pbmJteGYk-aOe2nnYxNxA_13_15"/>
      <w:bookmarkStart w:id="1374" w:name="Tc_u4TTi8DsL062s_3K3-Cebg_13_3"/>
      <w:bookmarkStart w:id="1375" w:name="Tc_deD40MDXn0Wxe1YPQneq6g_13_0"/>
      <w:bookmarkStart w:id="1376" w:name="Tc_TaNnEJWSi0WJdnYM2F7HCA_12_0"/>
      <w:bookmarkStart w:id="1377" w:name="Tc_K3SZxksvtEitEI_lbp0N2Q_10_24"/>
      <w:bookmarkStart w:id="1378" w:name="Tc_NcLMYHHI-EmGaIa3C2i7QQ_10_21"/>
      <w:bookmarkStart w:id="1379" w:name="Tc_ZAuD3185vE2QvwZ-lWlTyw_10_12"/>
      <w:bookmarkStart w:id="1380" w:name="Tc_oDjNX5WSSEKXv8UKf7iMlA_10_9"/>
      <w:bookmarkStart w:id="1381" w:name="Tc_AX0iN8JCRUuzPHcWrhnx0A_10_3"/>
      <w:bookmarkStart w:id="1382" w:name="Tc_EgKiYWsnQkqD_k3Z9-B3VA_10_0"/>
      <w:bookmarkStart w:id="1383" w:name="Tc_9er0qbiJZ0WR663rZarYUg_9_24"/>
      <w:bookmarkStart w:id="1384" w:name="Tc_TVVBxUcoUUCsB1Vyq0AWaw_9_21"/>
      <w:bookmarkStart w:id="1385" w:name="Tc_-W01Mu3UNEK0J-Lc_6httw_9_18"/>
      <w:bookmarkStart w:id="1386" w:name="Tc_cUhz8CMauUWmrq_aOqiHjA_9_15"/>
      <w:bookmarkStart w:id="1387" w:name="Tc_OF87ky0ujE-r456ucNsFmA_9_12"/>
      <w:bookmarkStart w:id="1388" w:name="Tc_0WM_Eu711EaQbwxuqpFDLQ_9_3"/>
      <w:bookmarkStart w:id="1389" w:name="Tc_1nldyy6ni0WGsdK-b8C5WA_9_0"/>
      <w:bookmarkStart w:id="1390" w:name="Tc_50FgDiOEVUK8pH5eI-1CXA_8_21"/>
      <w:bookmarkStart w:id="1391" w:name="Tc_7RhanE0wc0-XS35ph6kV6A_8_18"/>
      <w:bookmarkStart w:id="1392" w:name="Tc_WlT2qS2T2UCwBOqTEISimg_8_12"/>
      <w:bookmarkStart w:id="1393" w:name="Tc_Whp_4wNlGU635Xqre5i_Qw_8_9"/>
      <w:bookmarkStart w:id="1394" w:name="Tc_O30F-cswvUiC6yibKwxe1g_8_0"/>
      <w:bookmarkStart w:id="1395" w:name="Tc_wMepj_yTKkKxINlQY1K4PQ_7_24"/>
      <w:bookmarkStart w:id="1396" w:name="Tc_lP1844ykx0-CyoTOLgu4cA_7_21"/>
      <w:bookmarkStart w:id="1397" w:name="Tc_zIlcoweCp0SUCpNp_QXlkw_7_18"/>
      <w:bookmarkStart w:id="1398" w:name="Tc_R5M_duNOK0W08u_KkKIN-Q_7_15"/>
      <w:bookmarkStart w:id="1399" w:name="Tc_3TneniYftkSZ6d5EsySVxg_7_12"/>
      <w:bookmarkStart w:id="1400" w:name="Tc_pf_xbXi010icHoD4qspd6A_7_9"/>
      <w:bookmarkStart w:id="1401" w:name="Tc_CZPspNN570KRNVddHXi4Mw_7_6"/>
      <w:bookmarkStart w:id="1402" w:name="Tc_B1PEG2W-3EGlGC6keFGXeg_7_0"/>
      <w:bookmarkStart w:id="1403" w:name="Tc_yunTdiCv80mPUFCXupQ6Mg_6_24"/>
      <w:bookmarkStart w:id="1404" w:name="Tc_5rxS4alCEkWwUhS2nxK-Ng_6_18"/>
      <w:bookmarkStart w:id="1405" w:name="Tc_0FkVHKXdPEC560KPAQZqww_6_12"/>
      <w:bookmarkStart w:id="1406" w:name="Tc_sRpnY0j9W0ufZPWec4wVUQ_6_6"/>
      <w:bookmarkStart w:id="1407" w:name="Tc_w6H7KneqeE-oPA9E76AnHw_6_3"/>
      <w:bookmarkStart w:id="1408" w:name="Tc_Kn5aegt_9Eir-MqZ7tRSZg_6_0"/>
      <w:bookmarkStart w:id="1409" w:name="Tc_PSxZUWAnX0aXDVWWM5r2TQ_5_26"/>
      <w:bookmarkStart w:id="1410" w:name="Tc_XY8jwrsJhkmjLdFaAo6GYA_5_24"/>
      <w:bookmarkStart w:id="1411" w:name="Tc_uzSAImo5OkyhAgt80I1AUg_5_23"/>
      <w:bookmarkStart w:id="1412" w:name="Tc_oUzTEVozVUG1vHsAXImD3Q_5_20"/>
      <w:bookmarkStart w:id="1413" w:name="Tc_zGJgjDx7IEaph7BZy_1Szw_5_17"/>
      <w:bookmarkStart w:id="1414" w:name="Tc_xDsqf_YnZkGjo87rf61KPg_5_15"/>
      <w:bookmarkStart w:id="1415" w:name="Tc_zYlFMxaqi0etCz2XJSsD1w_5_14"/>
      <w:bookmarkStart w:id="1416" w:name="Tc_2KxOxtUsQEecQXshAtSDrg_5_11"/>
      <w:bookmarkStart w:id="1417" w:name="Tc_2i5tDwsDPkO9cmEW8YBzRg_5_8"/>
      <w:bookmarkStart w:id="1418" w:name="Tc__EteBQ-kME-ojkiP26aJNw_5_5"/>
      <w:bookmarkStart w:id="1419" w:name="Tc_acqVB_4IrUiokiI09QXSWw_5_3"/>
      <w:bookmarkStart w:id="1420" w:name="Tc_PiyJo8wkgkWRU2tmFc_tig_5_2"/>
      <w:bookmarkStart w:id="1421" w:name="Tc_jBU_9_rIPkO920SXNckieg_5_0"/>
      <w:bookmarkStart w:id="1422" w:name="Tc_0C4PUCNKs0akYPTKMaiSeA_4_0"/>
      <w:bookmarkStart w:id="1423" w:name="Tc_Bls4TlWcFEWmt74CNezNZA_3_2"/>
      <w:bookmarkStart w:id="1424" w:name="Tc_nb746nXC5UmlfJ9RFAdFRw_2_26"/>
      <w:bookmarkStart w:id="1425" w:name="Tc_HrL-flOPJEeodCUSq9hQ2g_2_23"/>
      <w:bookmarkStart w:id="1426" w:name="Tc_o2PuPccPG0CWJUFHzN9uEA_2_20"/>
      <w:bookmarkStart w:id="1427" w:name="Tc_TGnZt53cKkK_-OITUYS1Fg_2_17"/>
      <w:bookmarkStart w:id="1428" w:name="Tc_E89gFh8vsE-NHNLA402HQw_2_14"/>
      <w:bookmarkStart w:id="1429" w:name="Tc_bPFCOtTl10y4iyOQi0jdEA_2_11"/>
      <w:bookmarkStart w:id="1430" w:name="Tc_TjpVy2P91kWEnf2N7Mvwiw_2_8"/>
      <w:bookmarkStart w:id="1431" w:name="Tc_iMUFk0zdUUmQNSu_KrrmHg_2_5"/>
      <w:bookmarkStart w:id="1432" w:name="Tc_D_2zPVj6e02yTYd-aBe15w_2_2"/>
      <w:bookmarkStart w:id="1433" w:name="Tc_C11duZdJ_EOl509x_aCoLA_1_2"/>
      <w:bookmarkStart w:id="1434" w:name="_14ec5e71_ba2b_4ffa_90de_ff6ccd8efc82"/>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r>
        <w:rPr>
          <w:rFonts w:ascii="Times New Roman;Times;serif" w:hAnsi="Times New Roman;Times;serif"/>
          <w:b/>
          <w:sz w:val="20"/>
        </w:rPr>
        <w:t>Condensed Statements of Operations</w:t>
      </w:r>
    </w:p>
    <w:p>
      <w:pPr>
        <w:pStyle w:val="TextBody"/>
        <w:bidi w:val="0"/>
        <w:spacing w:before="0" w:after="0"/>
        <w:ind w:left="0" w:right="0" w:hanging="0"/>
        <w:jc w:val="left"/>
        <w:rPr/>
      </w:pPr>
      <w:r>
        <w:rPr/>
        <w:t>​</w:t>
      </w:r>
    </w:p>
    <w:tbl>
      <w:tblPr>
        <w:tblW w:w="10386" w:type="dxa"/>
        <w:jc w:val="left"/>
        <w:tblInd w:w="0" w:type="dxa"/>
        <w:tblLayout w:type="fixed"/>
        <w:tblCellMar>
          <w:top w:w="0" w:type="dxa"/>
          <w:left w:w="0" w:type="dxa"/>
          <w:bottom w:w="0" w:type="dxa"/>
          <w:right w:w="0" w:type="dxa"/>
        </w:tblCellMar>
      </w:tblPr>
      <w:tblGrid>
        <w:gridCol w:w="1051"/>
        <w:gridCol w:w="346"/>
        <w:gridCol w:w="248"/>
        <w:gridCol w:w="518"/>
        <w:gridCol w:w="346"/>
        <w:gridCol w:w="181"/>
        <w:gridCol w:w="436"/>
        <w:gridCol w:w="346"/>
        <w:gridCol w:w="273"/>
        <w:gridCol w:w="523"/>
        <w:gridCol w:w="346"/>
        <w:gridCol w:w="252"/>
        <w:gridCol w:w="484"/>
        <w:gridCol w:w="346"/>
        <w:gridCol w:w="181"/>
        <w:gridCol w:w="346"/>
        <w:gridCol w:w="346"/>
        <w:gridCol w:w="201"/>
        <w:gridCol w:w="385"/>
        <w:gridCol w:w="346"/>
        <w:gridCol w:w="196"/>
        <w:gridCol w:w="375"/>
        <w:gridCol w:w="346"/>
        <w:gridCol w:w="232"/>
        <w:gridCol w:w="444"/>
        <w:gridCol w:w="34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67385" cy="175260"/>
                      <wp:effectExtent l="0" t="0" r="0" b="0"/>
                      <wp:wrapNone/>
                      <wp:docPr id="275" name="Frame27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57480" cy="175260"/>
                      <wp:effectExtent l="0" t="0" r="0" b="0"/>
                      <wp:wrapNone/>
                      <wp:docPr id="277" name="Frame27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28930" cy="175260"/>
                      <wp:effectExtent l="0" t="0" r="0" b="0"/>
                      <wp:wrapNone/>
                      <wp:docPr id="278" name="Frame278"/>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14935" cy="175260"/>
                      <wp:effectExtent l="0" t="0" r="0" b="0"/>
                      <wp:wrapNone/>
                      <wp:docPr id="280" name="Frame2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76860" cy="175260"/>
                      <wp:effectExtent l="0" t="0" r="0" b="0"/>
                      <wp:wrapNone/>
                      <wp:docPr id="281" name="Frame28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73355" cy="175260"/>
                      <wp:effectExtent l="0" t="0" r="0" b="0"/>
                      <wp:wrapNone/>
                      <wp:docPr id="283" name="Frame283"/>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32105" cy="175260"/>
                      <wp:effectExtent l="0" t="0" r="0" b="0"/>
                      <wp:wrapNone/>
                      <wp:docPr id="284" name="Frame284"/>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60020" cy="175260"/>
                      <wp:effectExtent l="0" t="0" r="0" b="0"/>
                      <wp:wrapNone/>
                      <wp:docPr id="286" name="Frame28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07340" cy="175260"/>
                      <wp:effectExtent l="0" t="0" r="0" b="0"/>
                      <wp:wrapNone/>
                      <wp:docPr id="287" name="Frame287"/>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14935" cy="175260"/>
                      <wp:effectExtent l="0" t="0" r="0" b="0"/>
                      <wp:wrapNone/>
                      <wp:docPr id="289" name="Frame28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7635" cy="175260"/>
                      <wp:effectExtent l="0" t="0" r="0" b="0"/>
                      <wp:wrapNone/>
                      <wp:docPr id="292" name="Frame292"/>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44475" cy="175260"/>
                      <wp:effectExtent l="0" t="0" r="0" b="0"/>
                      <wp:wrapNone/>
                      <wp:docPr id="293" name="Frame293"/>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95" name="Frame2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38125" cy="175260"/>
                      <wp:effectExtent l="0" t="0" r="0" b="0"/>
                      <wp:wrapNone/>
                      <wp:docPr id="296" name="Frame29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7320" cy="175260"/>
                      <wp:effectExtent l="0" t="0" r="0" b="0"/>
                      <wp:wrapNone/>
                      <wp:docPr id="298" name="Frame29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81940" cy="175260"/>
                      <wp:effectExtent l="0" t="0" r="0" b="0"/>
                      <wp:wrapNone/>
                      <wp:docPr id="299" name="Frame299"/>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3830" cy="175260"/>
                      <wp:effectExtent l="0" t="0" r="0" b="0"/>
                      <wp:wrapNone/>
                      <wp:docPr id="301" name="Frame30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36880" cy="175260"/>
                      <wp:effectExtent l="0" t="0" r="0" b="0"/>
                      <wp:wrapNone/>
                      <wp:docPr id="302" name="Frame302"/>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2026</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before="0" w:after="1"/>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46" w:type="dxa"/>
            <w:tcBorders/>
            <w:vAlign w:val="center"/>
          </w:tcPr>
          <w:p>
            <w:pPr>
              <w:pStyle w:val="TableContents"/>
              <w:bidi w:val="0"/>
              <w:spacing w:before="0" w:after="1"/>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46" w:type="dxa"/>
            <w:tcBorders/>
            <w:vAlign w:val="center"/>
          </w:tcPr>
          <w:p>
            <w:pPr>
              <w:pStyle w:val="TableContents"/>
              <w:bidi w:val="0"/>
              <w:spacing w:before="0" w:after="1"/>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46" w:type="dxa"/>
            <w:tcBorders/>
            <w:vAlign w:val="center"/>
          </w:tcPr>
          <w:p>
            <w:pPr>
              <w:pStyle w:val="TableContents"/>
              <w:bidi w:val="0"/>
              <w:spacing w:before="0" w:after="1"/>
              <w:ind w:left="0" w:right="0" w:hanging="0"/>
              <w:jc w:val="left"/>
              <w:rPr/>
            </w:pPr>
            <w:r>
              <w:rPr/>
              <w:t>  ​ ​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46" w:type="dxa"/>
            <w:tcBorders/>
            <w:vAlign w:val="center"/>
          </w:tcPr>
          <w:p>
            <w:pPr>
              <w:pStyle w:val="TableContents"/>
              <w:bidi w:val="0"/>
              <w:spacing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46"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38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2,738</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3,081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(334)</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4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(303)</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2,745</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354</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2,975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2,632</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4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2,705</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368</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3,361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benefit</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(312)</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(312)</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(388)</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attributable to Icahn Enterprises</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124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386" w:type="dxa"/>
        <w:jc w:val="left"/>
        <w:tblInd w:w="0" w:type="dxa"/>
        <w:tblLayout w:type="fixed"/>
        <w:tblCellMar>
          <w:top w:w="0" w:type="dxa"/>
          <w:left w:w="0" w:type="dxa"/>
          <w:bottom w:w="0" w:type="dxa"/>
          <w:right w:w="0" w:type="dxa"/>
        </w:tblCellMar>
      </w:tblPr>
      <w:tblGrid>
        <w:gridCol w:w="1051"/>
        <w:gridCol w:w="346"/>
        <w:gridCol w:w="263"/>
        <w:gridCol w:w="503"/>
        <w:gridCol w:w="346"/>
        <w:gridCol w:w="181"/>
        <w:gridCol w:w="436"/>
        <w:gridCol w:w="346"/>
        <w:gridCol w:w="273"/>
        <w:gridCol w:w="523"/>
        <w:gridCol w:w="346"/>
        <w:gridCol w:w="252"/>
        <w:gridCol w:w="484"/>
        <w:gridCol w:w="346"/>
        <w:gridCol w:w="181"/>
        <w:gridCol w:w="346"/>
        <w:gridCol w:w="346"/>
        <w:gridCol w:w="201"/>
        <w:gridCol w:w="385"/>
        <w:gridCol w:w="346"/>
        <w:gridCol w:w="196"/>
        <w:gridCol w:w="375"/>
        <w:gridCol w:w="346"/>
        <w:gridCol w:w="232"/>
        <w:gridCol w:w="444"/>
        <w:gridCol w:w="34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67385" cy="175260"/>
                      <wp:effectExtent l="0" t="0" r="0" b="0"/>
                      <wp:wrapNone/>
                      <wp:docPr id="303" name="Frame30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67005" cy="175260"/>
                      <wp:effectExtent l="0" t="0" r="0" b="0"/>
                      <wp:wrapNone/>
                      <wp:docPr id="305" name="Frame30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19405" cy="175260"/>
                      <wp:effectExtent l="0" t="0" r="0" b="0"/>
                      <wp:wrapNone/>
                      <wp:docPr id="306" name="Frame306"/>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14935" cy="175260"/>
                      <wp:effectExtent l="0" t="0" r="0" b="0"/>
                      <wp:wrapNone/>
                      <wp:docPr id="308" name="Frame30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76860" cy="175260"/>
                      <wp:effectExtent l="0" t="0" r="0" b="0"/>
                      <wp:wrapNone/>
                      <wp:docPr id="309" name="Frame30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73355" cy="175260"/>
                      <wp:effectExtent l="0" t="0" r="0" b="0"/>
                      <wp:wrapNone/>
                      <wp:docPr id="311" name="Frame31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32105" cy="175260"/>
                      <wp:effectExtent l="0" t="0" r="0" b="0"/>
                      <wp:wrapNone/>
                      <wp:docPr id="312" name="Frame312"/>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60020" cy="175260"/>
                      <wp:effectExtent l="0" t="0" r="0" b="0"/>
                      <wp:wrapNone/>
                      <wp:docPr id="314" name="Frame31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07340" cy="175260"/>
                      <wp:effectExtent l="0" t="0" r="0" b="0"/>
                      <wp:wrapNone/>
                      <wp:docPr id="315" name="Frame315"/>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14935" cy="175260"/>
                      <wp:effectExtent l="0" t="0" r="0" b="0"/>
                      <wp:wrapNone/>
                      <wp:docPr id="317" name="Frame31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27635" cy="175260"/>
                      <wp:effectExtent l="0" t="0" r="0" b="0"/>
                      <wp:wrapNone/>
                      <wp:docPr id="320" name="Frame320"/>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44475" cy="175260"/>
                      <wp:effectExtent l="0" t="0" r="0" b="0"/>
                      <wp:wrapNone/>
                      <wp:docPr id="321" name="Frame32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4460" cy="175260"/>
                      <wp:effectExtent l="0" t="0" r="0" b="0"/>
                      <wp:wrapNone/>
                      <wp:docPr id="323"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38125" cy="175260"/>
                      <wp:effectExtent l="0" t="0" r="0" b="0"/>
                      <wp:wrapNone/>
                      <wp:docPr id="324" name="Frame32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47320" cy="175260"/>
                      <wp:effectExtent l="0" t="0" r="0" b="0"/>
                      <wp:wrapNone/>
                      <wp:docPr id="326" name="Frame32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81940" cy="175260"/>
                      <wp:effectExtent l="0" t="0" r="0" b="0"/>
                      <wp:wrapNone/>
                      <wp:docPr id="327" name="Frame327"/>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63830" cy="175260"/>
                      <wp:effectExtent l="0" t="0" r="0" b="0"/>
                      <wp:wrapNone/>
                      <wp:docPr id="329" name="Frame32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6880" cy="175260"/>
                      <wp:effectExtent l="0" t="0" r="0" b="0"/>
                      <wp:wrapNone/>
                      <wp:docPr id="330" name="Frame33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June 30, 2025</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before="0" w:after="1"/>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46" w:type="dxa"/>
            <w:tcBorders/>
            <w:vAlign w:val="center"/>
          </w:tcPr>
          <w:p>
            <w:pPr>
              <w:pStyle w:val="TableContents"/>
              <w:bidi w:val="0"/>
              <w:spacing w:before="0" w:after="1"/>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46" w:type="dxa"/>
            <w:tcBorders/>
            <w:vAlign w:val="center"/>
          </w:tcPr>
          <w:p>
            <w:pPr>
              <w:pStyle w:val="TableContents"/>
              <w:bidi w:val="0"/>
              <w:spacing w:before="0" w:after="1"/>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46" w:type="dxa"/>
            <w:tcBorders/>
            <w:vAlign w:val="center"/>
          </w:tcPr>
          <w:p>
            <w:pPr>
              <w:pStyle w:val="TableContents"/>
              <w:bidi w:val="0"/>
              <w:spacing w:before="0" w:after="1"/>
              <w:ind w:left="0" w:right="0" w:hanging="0"/>
              <w:jc w:val="left"/>
              <w:rPr/>
            </w:pPr>
            <w:r>
              <w:rPr/>
              <w:t>  ​ ​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46" w:type="dxa"/>
            <w:tcBorders/>
            <w:vAlign w:val="center"/>
          </w:tcPr>
          <w:p>
            <w:pPr>
              <w:pStyle w:val="TableContents"/>
              <w:bidi w:val="0"/>
              <w:spacing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46"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38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1,761</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2,143</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4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4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Gain (loss) on disposition of assets, net</w:t>
            </w:r>
          </w:p>
        </w:tc>
        <w:tc>
          <w:tcPr>
            <w:tcW w:w="34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1,769</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2,369</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4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1,839</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2,118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4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4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1,917</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395</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2,615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4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benefit (expense)</w:t>
            </w:r>
          </w:p>
        </w:tc>
        <w:tc>
          <w:tcPr>
            <w:tcW w:w="34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4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132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435" w:name="Tc_Qz3nvf77dkCMrvg3W29heg_28_26"/>
      <w:bookmarkStart w:id="1436" w:name="Tc_0bUBuJMMRU-v9UW0Dvj9zg_28_24"/>
      <w:bookmarkStart w:id="1437" w:name="Tc_6l_LmNs-00KmDbUmBTGhQg_28_23"/>
      <w:bookmarkStart w:id="1438" w:name="Tc_ZQyFk_cWtEGquw2HMyNTnQ_28_20"/>
      <w:bookmarkStart w:id="1439" w:name="Tc_c0wlo1Ibe02qolQLtOxx6g_28_17"/>
      <w:bookmarkStart w:id="1440" w:name="Tc_wdLX6t8sn0-VunLmuiPAAw_28_14"/>
      <w:bookmarkStart w:id="1441" w:name="Tc_B-9ub5FazECKEcluqXqHzg_28_11"/>
      <w:bookmarkStart w:id="1442" w:name="Tc_HUdJgJj3Mk6kEotG2Xe6GA_28_8"/>
      <w:bookmarkStart w:id="1443" w:name="Tc_IvB-f3UMVkyai1iSvoyy0g_28_5"/>
      <w:bookmarkStart w:id="1444" w:name="Tc_bJDBSUkf4kCn8RZGE1pLZw_28_3"/>
      <w:bookmarkStart w:id="1445" w:name="Tc_hnG5xYOjqkeHA1I1yY7_fQ_28_2"/>
      <w:bookmarkStart w:id="1446" w:name="Tc_h-VYsaFS_EiH-gWUT4folg_28_0"/>
      <w:bookmarkStart w:id="1447" w:name="Tc_F8U-WkfvBUSFGVdLvILniw_27_26"/>
      <w:bookmarkStart w:id="1448" w:name="Tc_t5m-QLHvz0CIENoxoyzS5A_27_24"/>
      <w:bookmarkStart w:id="1449" w:name="Tc_S8NxzVRIdEennT00pPxpoQ_27_23"/>
      <w:bookmarkStart w:id="1450" w:name="Tc_szsLNkhDqU-sNB7bxZkcJg_27_21"/>
      <w:bookmarkStart w:id="1451" w:name="Tc_9dgIg5narEOaiUKboayV2g_27_20"/>
      <w:bookmarkStart w:id="1452" w:name="Tc_wW1vqcTjKUOdjv3tsHHQcg_27_17"/>
      <w:bookmarkStart w:id="1453" w:name="Tc_y1gUXF55dEmf83AVxi-9cg_27_14"/>
      <w:bookmarkStart w:id="1454" w:name="Tc_ck3LPa4FrEiEicBqo3hjpg_27_11"/>
      <w:bookmarkStart w:id="1455" w:name="Tc_Vkzo4kAcRUCqb_BwVdKyUQ_27_8"/>
      <w:bookmarkStart w:id="1456" w:name="Tc_-utMLfO5nEiMESIKxIPHpQ_27_5"/>
      <w:bookmarkStart w:id="1457" w:name="Tc_E_U76tnha02QPe1spwt6iA_27_3"/>
      <w:bookmarkStart w:id="1458" w:name="Tc_zxlsN5nDLk-F_zxPoc8rFg_27_2"/>
      <w:bookmarkStart w:id="1459" w:name="Tc_YtBXKVr78kChwRMT5UNCEQ_27_0"/>
      <w:bookmarkStart w:id="1460" w:name="Tc_7U7DXdIn1EGiHJXG4K4zTg_26_0"/>
      <w:bookmarkStart w:id="1461" w:name="Tc_yiN7WIRW9EGfbLRtvA_tIA_25_26"/>
      <w:bookmarkStart w:id="1462" w:name="Tc_hY_BuRt-qUeFSZl80jPpxA_25_23"/>
      <w:bookmarkStart w:id="1463" w:name="Tc_gQFcD4jtO0y1WWgjS2NtbQ_25_20"/>
      <w:bookmarkStart w:id="1464" w:name="Tc_qQT3AdB09USkk5Z5511xUw_25_17"/>
      <w:bookmarkStart w:id="1465" w:name="Tc_yu418SoklEORcxbDyhVejw_25_14"/>
      <w:bookmarkStart w:id="1466" w:name="Tc_Ibo7lquk4kuJrFpE6d9MhA_25_11"/>
      <w:bookmarkStart w:id="1467" w:name="Tc_e5GBBEapVEOwCUnva4V2BQ_25_8"/>
      <w:bookmarkStart w:id="1468" w:name="Tc_FzD_6pQpG0C5WvDgs4GNcg_25_5"/>
      <w:bookmarkStart w:id="1469" w:name="Tc_aWIUJnJmgkmTvwiHSYz7uA_25_2"/>
      <w:bookmarkStart w:id="1470" w:name="Tc_Cx9b0YhXhEKxb9qbDA5d3Q_25_0"/>
      <w:bookmarkStart w:id="1471" w:name="Tc_Ne23QvcD5Uqd8UZUQ5rrew_24_24"/>
      <w:bookmarkStart w:id="1472" w:name="Tc_OBLAeDwggEm_eUb-lCNzfg_24_21"/>
      <w:bookmarkStart w:id="1473" w:name="Tc_BY7MyhSmm0ylPSoh-2t3LA_24_18"/>
      <w:bookmarkStart w:id="1474" w:name="Tc_thwM7spJaESvoWc3_sPj6g_24_15"/>
      <w:bookmarkStart w:id="1475" w:name="Tc_q-DQo3Atv0iqYuXi2Vl2HQ_24_9"/>
      <w:bookmarkStart w:id="1476" w:name="Tc_ZNropkeLH0KYjM9n9H9UPQ_24_0"/>
      <w:bookmarkStart w:id="1477" w:name="Tc_3TiKmVfJK0mSeJbOXwOFyw_23_0"/>
      <w:bookmarkStart w:id="1478" w:name="Tc_thKEdnHMT0GO3qVhEFCCOw_22_21"/>
      <w:bookmarkStart w:id="1479" w:name="Tc_Bud5foZFQUKwBbF7OHSibw_22_18"/>
      <w:bookmarkStart w:id="1480" w:name="Tc_AgB3_zgA5km6m6hjQoWWTw_22_15"/>
      <w:bookmarkStart w:id="1481" w:name="Tc_D6YHCy1ayE6MgVgxYS3zzQ_22_3"/>
      <w:bookmarkStart w:id="1482" w:name="Tc_TRDMA03scEubXeGCkpLpSg_22_0"/>
      <w:bookmarkStart w:id="1483" w:name="Tc_iRDRrEvHyke9OSITn5DmbQ_21_0"/>
      <w:bookmarkStart w:id="1484" w:name="Tc_6gCDcyUEYEuY0L74CyOVlg_19_21"/>
      <w:bookmarkStart w:id="1485" w:name="Tc_gr_J_NVO_E6oonPWai0Iqg_19_15"/>
      <w:bookmarkStart w:id="1486" w:name="Tc_3jsEyNQkUk2-sZ9jiGJ-Gw_19_0"/>
      <w:bookmarkStart w:id="1487" w:name="Tc_JN-rXhpiAESpcrJ_mMzHSg_18_24"/>
      <w:bookmarkStart w:id="1488" w:name="Tc_jTlyRd-0VU6zi2t8XPuYwQ_18_21"/>
      <w:bookmarkStart w:id="1489" w:name="Tc_dU921Wzk90aew7h0a5T3zg_18_18"/>
      <w:bookmarkStart w:id="1490" w:name="Tc_pagIQ5zjZkuwJDYUJiR0ig_18_15"/>
      <w:bookmarkStart w:id="1491" w:name="Tc_jJPcR0YzFkSroL6a598ZzQ_18_9"/>
      <w:bookmarkStart w:id="1492" w:name="Tc_rozMeNkIs0eEjXEiWn5eSQ_18_6"/>
      <w:bookmarkStart w:id="1493" w:name="Tc_tgcZRnQZgU2vJKSTZc5gMg_18_3"/>
      <w:bookmarkStart w:id="1494" w:name="Tc_FGAbYJUb20G0wiPj0zyRig_18_0"/>
      <w:bookmarkStart w:id="1495" w:name="Tc_UFbJmG2Wz0atOnmd2JTGFA_17_24"/>
      <w:bookmarkStart w:id="1496" w:name="Tc_CTndB9atUUGf6DlNKQPHFA_17_21"/>
      <w:bookmarkStart w:id="1497" w:name="Tc_IAZm53LvK0GZD9jpnGGjAg_17_18"/>
      <w:bookmarkStart w:id="1498" w:name="Tc_MEcJ9htiqUOrav9T7VeUnQ_17_15"/>
      <w:bookmarkStart w:id="1499" w:name="Tc_ed9FngnJ-UydKzvXe1WJEA_17_9"/>
      <w:bookmarkStart w:id="1500" w:name="Tc_trp1v61lhUCUgIb6mCrt9g_17_6"/>
      <w:bookmarkStart w:id="1501" w:name="Tc_rBPbZyQSWUSgZLyOrWorLA_17_3"/>
      <w:bookmarkStart w:id="1502" w:name="Tc_euGEQ0iIzkWlw2UDOFvZsQ_17_0"/>
      <w:bookmarkStart w:id="1503" w:name="Tc_syzuF_wMHke2517g69BNlg_16_0"/>
      <w:bookmarkStart w:id="1504" w:name="Tc_ZLIWR7LQzk69ejHw9iex3w_15_24"/>
      <w:bookmarkStart w:id="1505" w:name="Tc_734e-4Nth0SfF9QhbEjk_A_15_21"/>
      <w:bookmarkStart w:id="1506" w:name="Tc_nGbxZtp6hk6e87hnsZ2UGw_15_18"/>
      <w:bookmarkStart w:id="1507" w:name="Tc_3CetCFP8YUmEIasHlByMRQ_15_15"/>
      <w:bookmarkStart w:id="1508" w:name="Tc_ltDMtAeQXkS0ppZtQ1JI8g_15_12"/>
      <w:bookmarkStart w:id="1509" w:name="Tc_mpS986IFokebyIikcklcBw_15_9"/>
      <w:bookmarkStart w:id="1510" w:name="Tc_WOmxNhHgZEWZ4uFfHsbFQA_15_6"/>
      <w:bookmarkStart w:id="1511" w:name="Tc_lSUynRYSIkqqLTwI9EhL9Q_15_0"/>
      <w:bookmarkStart w:id="1512" w:name="Tc_cw1-4KZGoky-CnckV7Gt6Q_14_24"/>
      <w:bookmarkStart w:id="1513" w:name="Tc_D7IOvmHbEEqPhHP2i4Diqg_14_21"/>
      <w:bookmarkStart w:id="1514" w:name="Tc_uhaYm4v1xEiyJdII113Nxg_14_18"/>
      <w:bookmarkStart w:id="1515" w:name="Tc_XX6fBqdN6UGIP-2zGoDkGg_14_12"/>
      <w:bookmarkStart w:id="1516" w:name="Tc_uDYI_40WcUu0uwW_CG0EvA_14_6"/>
      <w:bookmarkStart w:id="1517" w:name="Tc_hZNy5ewNVU2_voXjLw60Lw_14_3"/>
      <w:bookmarkStart w:id="1518" w:name="Tc_J_NuNmwm5kirxGzzbkJcsA_14_0"/>
      <w:bookmarkStart w:id="1519" w:name="Tc_fb9ULgvHWUGU_hvPCQnZmw_13_24"/>
      <w:bookmarkStart w:id="1520" w:name="Tc_IutBJlyeQkGMSJm3H7GN4Q_13_3"/>
      <w:bookmarkStart w:id="1521" w:name="Tc_DYmzxnpGfUukBfvR-ns6_A_13_0"/>
      <w:bookmarkStart w:id="1522" w:name="Tc_mPb1No3sMk6aCwT0CS_dmw_12_0"/>
      <w:bookmarkStart w:id="1523" w:name="Tc_UMRRQ9QOZ06zCfowNk2rAw_10_21"/>
      <w:bookmarkStart w:id="1524" w:name="Tc_jkO1bEgsYEWHcLR-3B6iwQ_10_9"/>
      <w:bookmarkStart w:id="1525" w:name="Tc_L9wOMCXndEWDgN91PY6aGA_10_0"/>
      <w:bookmarkStart w:id="1526" w:name="Tc_3gMuzfPLyUGpIyabAYnzpA_9_24"/>
      <w:bookmarkStart w:id="1527" w:name="Tc_bydBycb9p0Of_ceg0GCJEw_9_21"/>
      <w:bookmarkStart w:id="1528" w:name="Tc_W4A4jdOpeE-1aXWmFRuSEg_9_18"/>
      <w:bookmarkStart w:id="1529" w:name="Tc_ekz4oqHEKkefHH2xzcIpeg_9_12"/>
      <w:bookmarkStart w:id="1530" w:name="Tc_l6bCQPbRkUqcTWe5WCdiLw_9_6"/>
      <w:bookmarkStart w:id="1531" w:name="Tc_h7slCPqoUkegQtZ8T3sqVg_9_3"/>
      <w:bookmarkStart w:id="1532" w:name="Tc_zENenzHhlka2geYKM1dc3A_9_0"/>
      <w:bookmarkStart w:id="1533" w:name="Tc_ijUfkmYGlECE0qg1U-XGSg_8_18"/>
      <w:bookmarkStart w:id="1534" w:name="Tc_dUifkJgDP0a17gk6YU0Htg_8_15"/>
      <w:bookmarkStart w:id="1535" w:name="Tc_hCsx91oyI0qfW7tP-Hw69A_8_12"/>
      <w:bookmarkStart w:id="1536" w:name="Tc_TOU73UzMbkeGj8lvVW3ehQ_8_0"/>
      <w:bookmarkStart w:id="1537" w:name="Tc_MZjDy0V6z0GOM7ZHIoyMng_7_24"/>
      <w:bookmarkStart w:id="1538" w:name="Tc_NpFKguFL3k2MdN0IJ6SNCQ_7_21"/>
      <w:bookmarkStart w:id="1539" w:name="Tc_iP2VvgNW3kCtItD39o8I5A_7_18"/>
      <w:bookmarkStart w:id="1540" w:name="Tc_-AAT7hRpV0qDEzcoV7H-sQ_7_15"/>
      <w:bookmarkStart w:id="1541" w:name="Tc_99vKyQoZWEuWAWrr92vKcA_7_12"/>
      <w:bookmarkStart w:id="1542" w:name="Tc_zyCZ_gEF90eB_2LRfixa6A_7_9"/>
      <w:bookmarkStart w:id="1543" w:name="Tc_tHoYg-MA1UuIMkvcsozdUw_7_6"/>
      <w:bookmarkStart w:id="1544" w:name="Tc_8yfF_M5yO06IODc36cuxqA_7_0"/>
      <w:bookmarkStart w:id="1545" w:name="Tc_DgVqK7oxVUS9NkhLvB23Xw_6_24"/>
      <w:bookmarkStart w:id="1546" w:name="Tc_iCBYUhk5LkOhxZblQBvZrg_6_18"/>
      <w:bookmarkStart w:id="1547" w:name="Tc_sk14o8KXH0G88AEYzvXVgw_6_12"/>
      <w:bookmarkStart w:id="1548" w:name="Tc_wB5YtM-jiEedRZ3xGkZwPg_6_6"/>
      <w:bookmarkStart w:id="1549" w:name="Tc_QJrPmGkC7EWBZMJR6KNBkw_6_3"/>
      <w:bookmarkStart w:id="1550" w:name="Tc_06zCuEYK7kGws67es_rtZg_6_0"/>
      <w:bookmarkStart w:id="1551" w:name="Tc_1cjA7JRWy06djbeQt5cKFA_5_26"/>
      <w:bookmarkStart w:id="1552" w:name="Tc_yHsQXtjzrkWbRBifp-YGCw_5_24"/>
      <w:bookmarkStart w:id="1553" w:name="Tc_8JcWEfu7LkSYsxEeiah8Nw_5_23"/>
      <w:bookmarkStart w:id="1554" w:name="Tc_-j-TcnANyEuhscuBke-X4A_5_20"/>
      <w:bookmarkStart w:id="1555" w:name="Tc_YOR6ZfU-CEef2BA1IntNZg_5_17"/>
      <w:bookmarkStart w:id="1556" w:name="Tc_P474YMhJEkuiR5As47Fl7Q_5_14"/>
      <w:bookmarkStart w:id="1557" w:name="Tc_RbWmg5b8c02YOM56T_slgw_5_11"/>
      <w:bookmarkStart w:id="1558" w:name="Tc_R0NaiDckoU6lwnv-RsO69Q_5_8"/>
      <w:bookmarkStart w:id="1559" w:name="Tc_XFGOYpS2xUWr8d9EEgNgUQ_5_5"/>
      <w:bookmarkStart w:id="1560" w:name="Tc__tLQKrmcOEW_jr7KuIG0QA_5_3"/>
      <w:bookmarkStart w:id="1561" w:name="Tc_COwUtQMAl0CaOh1wh35Rqg_5_2"/>
      <w:bookmarkStart w:id="1562" w:name="Tc_zrzpsXkH6E2T4DEsKjZ9pA_5_0"/>
      <w:bookmarkStart w:id="1563" w:name="Tc_eXfIwyyC5USTTjtXioVl8Q_4_0"/>
      <w:bookmarkStart w:id="1564" w:name="Tc_nclP3jby00S2i1Su1w-itw_3_2"/>
      <w:bookmarkStart w:id="1565" w:name="Tc_ie9w2wXB9kiAXWWc1nCdjg_2_26"/>
      <w:bookmarkStart w:id="1566" w:name="Tc_LtVUQ6v750yNxCiMrslVqA_2_23"/>
      <w:bookmarkStart w:id="1567" w:name="Tc_wjUXaHiskUKJGuRqGzf_dA_2_20"/>
      <w:bookmarkStart w:id="1568" w:name="Tc_5KPztfShRUixYlnIIbetiw_2_17"/>
      <w:bookmarkStart w:id="1569" w:name="Tc_JUFztzPQWE2iyQmsnQT5Bg_2_14"/>
      <w:bookmarkStart w:id="1570" w:name="Tc_2kJ8JehPNUGoBNAaayevQA_2_11"/>
      <w:bookmarkStart w:id="1571" w:name="Tc_1tXsj7VD00C0h8ggzGdl2g_2_8"/>
      <w:bookmarkStart w:id="1572" w:name="Tc_p-FQu2wgNEytBD4KKS5uZw_2_5"/>
      <w:bookmarkStart w:id="1573" w:name="Tc_GSsYF7_qAEaAZQRlZMxxGQ_2_2"/>
      <w:bookmarkStart w:id="1574" w:name="Tc_NDDqrraonUSMY6-WE6j2eQ_1_2"/>
      <w:bookmarkStart w:id="1575" w:name="_c06ecc81_f523_487b_a79e_a24ce4529d2d"/>
      <w:bookmarkStart w:id="1576" w:name="Tc_Nnkyxy359Uy7YNFE5TvHQw_27_26"/>
      <w:bookmarkStart w:id="1577" w:name="Tc_gipG_1IRC02jtAS0DJWffw_27_24"/>
      <w:bookmarkStart w:id="1578" w:name="Tc_haNOZhdmBU2zUmOF1CI5JA_27_23"/>
      <w:bookmarkStart w:id="1579" w:name="Tc_p4HKtMhpy0yVcmlLnDAaiQ_27_20"/>
      <w:bookmarkStart w:id="1580" w:name="Tc_IguRPbHmwkGwxSptZ_EGvQ_27_17"/>
      <w:bookmarkStart w:id="1581" w:name="Tc_Ry8lXTDPu0SAcH-OU4q92Q_27_14"/>
      <w:bookmarkStart w:id="1582" w:name="Tc_S0b85JlYFUG6ewWFWPFZBg_27_11"/>
      <w:bookmarkStart w:id="1583" w:name="Tc_mpXPhXA1z06sXlEmgDmEIw_27_8"/>
      <w:bookmarkStart w:id="1584" w:name="Tc_wVF5i05xKEyR7x3eM30tUA_27_5"/>
      <w:bookmarkStart w:id="1585" w:name="Tc_N-ywUpYghEKphB5HY1MV5g_27_3"/>
      <w:bookmarkStart w:id="1586" w:name="Tc_LVnP7wrvK0y30RARfS0iGg_27_2"/>
      <w:bookmarkStart w:id="1587" w:name="Tc_7719HHjyZ0iCuwBf-vKFYg_27_0"/>
      <w:bookmarkStart w:id="1588" w:name="Tc_4WJ4fi8LXE-okWzEmqEXCA_26_26"/>
      <w:bookmarkStart w:id="1589" w:name="Tc_NWX6XPuO8kKLs44uqcS3QQ_26_24"/>
      <w:bookmarkStart w:id="1590" w:name="Tc_exUCuT218Eu4jzxsMDFfXQ_26_23"/>
      <w:bookmarkStart w:id="1591" w:name="Tc_nZdYvBP5Wk6Lw5x8j1Inuw_26_21"/>
      <w:bookmarkStart w:id="1592" w:name="Tc_TC_BwxPPgUCzypem_eeGkQ_26_20"/>
      <w:bookmarkStart w:id="1593" w:name="Tc_TMOCP_Mb6kmSYhKtoAqnkg_26_17"/>
      <w:bookmarkStart w:id="1594" w:name="Tc_rLrfa7V7FEqYNHwPnGtq_w_26_14"/>
      <w:bookmarkStart w:id="1595" w:name="Tc_KjTE5e_fp0-Wk3oVmFj38A_26_11"/>
      <w:bookmarkStart w:id="1596" w:name="Tc_FGw-PpvkIUuw1Nd8EN5g3g_26_8"/>
      <w:bookmarkStart w:id="1597" w:name="Tc_CxHZcpFBqU6LTMn9sFdd9w_26_5"/>
      <w:bookmarkStart w:id="1598" w:name="Tc_0Kw2T_63TEGGTc5_q_JTVQ_26_3"/>
      <w:bookmarkStart w:id="1599" w:name="Tc_pm8TEWkgN0eVdClTswTHWQ_26_2"/>
      <w:bookmarkStart w:id="1600" w:name="Tc_46WjsriSZkus1BZwUkxxJQ_26_0"/>
      <w:bookmarkStart w:id="1601" w:name="Tc_CQcsya4zL0q996KeoCOsgA_25_0"/>
      <w:bookmarkStart w:id="1602" w:name="Tc_v_ynL-kpyUWd3vCm9csfOQ_24_26"/>
      <w:bookmarkStart w:id="1603" w:name="Tc_mhlOmhqQy0qXzhWDvcRoTw_24_23"/>
      <w:bookmarkStart w:id="1604" w:name="Tc_mIOw-7GKdEG_WlCVhEA8rQ_24_20"/>
      <w:bookmarkStart w:id="1605" w:name="Tc_XaJPfKrsJ0KhExEK9hUIHg_24_17"/>
      <w:bookmarkStart w:id="1606" w:name="Tc_YOufPH2-6kq0w-bC0t8KTA_24_14"/>
      <w:bookmarkStart w:id="1607" w:name="Tc_Ew0C7MvBjk22p90tum49jg_24_11"/>
      <w:bookmarkStart w:id="1608" w:name="Tc_XPR3AZDRSEyDQfRV3JS5Ig_24_8"/>
      <w:bookmarkStart w:id="1609" w:name="Tc_Y9RsbS2j_EW2CgU2PUPUjw_24_5"/>
      <w:bookmarkStart w:id="1610" w:name="Tc_T2DvzCv1j0aD6nGBxO3BQw_24_2"/>
      <w:bookmarkStart w:id="1611" w:name="Tc_U16RnN0nVk6Tu026r9amhA_24_0"/>
      <w:bookmarkStart w:id="1612" w:name="Tc_tvZIyJnpDE-isNs0yxyzOQ_23_24"/>
      <w:bookmarkStart w:id="1613" w:name="Tc_TCAncnNLEU6cUOqSYaltlg_23_21"/>
      <w:bookmarkStart w:id="1614" w:name="Tc_gMlbqhnzzESwWRWlQiYs-g_23_18"/>
      <w:bookmarkStart w:id="1615" w:name="Tc_wdcrCUJBCU25E19K8c_plg_23_15"/>
      <w:bookmarkStart w:id="1616" w:name="Tc_fItf58vEIU-xVdBXosRZwg_23_9"/>
      <w:bookmarkStart w:id="1617" w:name="Tc_emH_3BzvMU-V1xleRSi9LA_23_0"/>
      <w:bookmarkStart w:id="1618" w:name="Tc_YivPM447MUm96a2esvEp1g_22_0"/>
      <w:bookmarkStart w:id="1619" w:name="Tc_JUNHw9oQxESlab2CTN4FLw_21_21"/>
      <w:bookmarkStart w:id="1620" w:name="Tc_9Dkl-rEwpUCOfryILlLv5w_21_18"/>
      <w:bookmarkStart w:id="1621" w:name="Tc_jxfklpUFxESVhCcsoqyOVA_21_15"/>
      <w:bookmarkStart w:id="1622" w:name="Tc_xWlG68BVaEWmNNEeBlWbTg_21_3"/>
      <w:bookmarkStart w:id="1623" w:name="Tc_3uVnUNz0pkOXXtY7sC43rA_21_0"/>
      <w:bookmarkStart w:id="1624" w:name="Tc_e2D62_59s0Cm2HjtcKuzdQ_20_0"/>
      <w:bookmarkStart w:id="1625" w:name="Tc_XpbN2xiXxU6IVCtcOOhrww_18_21"/>
      <w:bookmarkStart w:id="1626" w:name="Tc_7Cx2omvRA0Wp8JStENm4uA_18_15"/>
      <w:bookmarkStart w:id="1627" w:name="Tc_rEDpLr-ySUmfeBkjmyiZfQ_18_0"/>
      <w:bookmarkStart w:id="1628" w:name="Tc_Arej9WIHfUC9m0uTEZUQEg_17_24"/>
      <w:bookmarkStart w:id="1629" w:name="Tc_oYnRi5feeUGxC_3eS9Jp6Q_17_18"/>
      <w:bookmarkStart w:id="1630" w:name="Tc_OA7cU7A9t0ykvIRXyuDaaQ_17_15"/>
      <w:bookmarkStart w:id="1631" w:name="Tc_fDZ4kwAnZ0Gveri9v_4vMw_17_9"/>
      <w:bookmarkStart w:id="1632" w:name="Tc_oc6P4vvsVUWrG2i60i7u-A_17_6"/>
      <w:bookmarkStart w:id="1633" w:name="Tc_e2zSuB_JBU2bqabXLtUpaA_17_3"/>
      <w:bookmarkStart w:id="1634" w:name="Tc_cjg4WjnicU2LFEn3A0sL3Q_17_0"/>
      <w:bookmarkStart w:id="1635" w:name="Tc_rqH2sNRlRkeRC6rVAYO9PQ_16_0"/>
      <w:bookmarkStart w:id="1636" w:name="Tc_0sgNlazzAk6knb0PHlLpfg_15_24"/>
      <w:bookmarkStart w:id="1637" w:name="Tc_pLcI5X_HBUWRMiL09ivCiA_15_21"/>
      <w:bookmarkStart w:id="1638" w:name="Tc_0UPXahKbIEeV0lxlgzU4zA_15_18"/>
      <w:bookmarkStart w:id="1639" w:name="Tc_3lOr17BzMkiimHZpvLNntw_15_15"/>
      <w:bookmarkStart w:id="1640" w:name="Tc_7VUoFc9tR02O_l-ABLBOZg_15_12"/>
      <w:bookmarkStart w:id="1641" w:name="Tc_BmEDRvn_CkysnTKggGP_1Q_15_9"/>
      <w:bookmarkStart w:id="1642" w:name="Tc_uoSmyDOixEmZeGll_bPj3Q_15_6"/>
      <w:bookmarkStart w:id="1643" w:name="Tc_1Jsmw5H3IkO-cX1DiNKbxQ_15_0"/>
      <w:bookmarkStart w:id="1644" w:name="Tc_cP4lQxYv6UaiFYkFjy97Og_14_24"/>
      <w:bookmarkStart w:id="1645" w:name="Tc_TRO27LsWzU6HbOPbel0SCQ_14_21"/>
      <w:bookmarkStart w:id="1646" w:name="Tc_ydYFlgRfmk2DX8ipxDFVig_14_18"/>
      <w:bookmarkStart w:id="1647" w:name="Tc_juC7Ss8rlESMfrW9IMKgSQ_14_12"/>
      <w:bookmarkStart w:id="1648" w:name="Tc_8DGeGY3UtUqCYZgoxGbXkg_14_6"/>
      <w:bookmarkStart w:id="1649" w:name="Tc_g0DFDq3M90KOpE8pCnYY5w_14_3"/>
      <w:bookmarkStart w:id="1650" w:name="Tc_myAJqCG_iECjTEYVnHtk8Q_14_0"/>
      <w:bookmarkStart w:id="1651" w:name="Tc_yRP3G-yVD0yXfInWE95meA_13_24"/>
      <w:bookmarkStart w:id="1652" w:name="Tc_pPUEvfmODkqrzH2YkKc5gg_13_3"/>
      <w:bookmarkStart w:id="1653" w:name="Tc_2ItisUPrN022YveTqm6Fhg_13_0"/>
      <w:bookmarkStart w:id="1654" w:name="Tc_vs3wsp6sdUKCf80n3KLd6w_12_0"/>
      <w:bookmarkStart w:id="1655" w:name="Tc_7kGD1IuQF0ubMlb80OVkOQ_10_24"/>
      <w:bookmarkStart w:id="1656" w:name="Tc_iBUqZ8BOLE-vgDOqL15Oog_10_21"/>
      <w:bookmarkStart w:id="1657" w:name="Tc_FSOngYmn1Eao0qh6YUxq6g_10_9"/>
      <w:bookmarkStart w:id="1658" w:name="Tc_dqoltaHG60qMX58gNb-c9g_10_3"/>
      <w:bookmarkStart w:id="1659" w:name="Tc_X2o_rXYEQ0iueamOSUJ3yQ_10_0"/>
      <w:bookmarkStart w:id="1660" w:name="Tc_zXue-bV8QkSe2Y9tiVylnw_9_24"/>
      <w:bookmarkStart w:id="1661" w:name="Tc_G81S85blLUCK81ijYPmvIg_9_21"/>
      <w:bookmarkStart w:id="1662" w:name="Tc_DZdmeVFAVEaqrcHpyrs6IQ_9_18"/>
      <w:bookmarkStart w:id="1663" w:name="Tc_yEQGRtWpNkuQ9TpcH2G7KQ_9_15"/>
      <w:bookmarkStart w:id="1664" w:name="Tc_2w-4ax9BpE-vAlG7AGkEyQ_9_12"/>
      <w:bookmarkStart w:id="1665" w:name="Tc_nAp08vJOzEOXmGwCN9VbGQ_9_9"/>
      <w:bookmarkStart w:id="1666" w:name="Tc__Xo4A68MH0usoHwwadOUEQ_9_3"/>
      <w:bookmarkStart w:id="1667" w:name="Tc_HsVIjhkQXEmkEL6e7-sZYg_9_0"/>
      <w:bookmarkStart w:id="1668" w:name="Tc_0dfySZJlAUiu1K0dtpZHGQ_8_21"/>
      <w:bookmarkStart w:id="1669" w:name="Tc_IKSGrM6bD0iHwhIqXWnnOA_8_18"/>
      <w:bookmarkStart w:id="1670" w:name="Tc_LAsS6M64e0G2CVuzPQCCRw_8_12"/>
      <w:bookmarkStart w:id="1671" w:name="Tc_rPwjD5j3hUmz7nWXDv8qrg_8_9"/>
      <w:bookmarkStart w:id="1672" w:name="Tc_uP_IIk17X0mqhiYucRTF_w_8_0"/>
      <w:bookmarkStart w:id="1673" w:name="Tc_k6XcOA0C80OyWukAkk-PQQ_7_21"/>
      <w:bookmarkStart w:id="1674" w:name="Tc_bNhGRcGZ4kmilB8LL1Bllg_7_18"/>
      <w:bookmarkStart w:id="1675" w:name="Tc_ZzeCMQcfLUKqWiYPyL6E8A_7_15"/>
      <w:bookmarkStart w:id="1676" w:name="Tc_ns-AQIKZf0GaSGQqIRfkGg_7_12"/>
      <w:bookmarkStart w:id="1677" w:name="Tc_2VOvNaxLNUKhmgve35FpvQ_7_9"/>
      <w:bookmarkStart w:id="1678" w:name="Tc_32DaVIRrYEmpmb_z69jJcg_7_6"/>
      <w:bookmarkStart w:id="1679" w:name="Tc_7DXwco3mGUSF89Epk7QUUQ_7_0"/>
      <w:bookmarkStart w:id="1680" w:name="Tc_EpCwlSeP8k6PudbP3OAhOg_6_24"/>
      <w:bookmarkStart w:id="1681" w:name="Tc_pTFmJdAWjkKTaTip-SBl3w_6_18"/>
      <w:bookmarkStart w:id="1682" w:name="Tc_g25VNodqwkWzaVEU7AD4DQ_6_12"/>
      <w:bookmarkStart w:id="1683" w:name="Tc_475jDhdd0U6Bz8PUkMQpVg_6_6"/>
      <w:bookmarkStart w:id="1684" w:name="Tc_BCr_L6XfmEuiTkT6s_X7yA_6_3"/>
      <w:bookmarkStart w:id="1685" w:name="Tc_4w9RSAQwukGfEgECfZoGyA_6_0"/>
      <w:bookmarkStart w:id="1686" w:name="Tc_E1OtRzRGaEGIe2gIu89Jzg_5_26"/>
      <w:bookmarkStart w:id="1687" w:name="Tc_a1tQsbZ0n0uCe0gNCiAJZg_5_24"/>
      <w:bookmarkStart w:id="1688" w:name="Tc_A2ED45e93EmPFHx1dM-lTg_5_23"/>
      <w:bookmarkStart w:id="1689" w:name="Tc_lSGO3eZWLkuR55kocm_M5g_5_20"/>
      <w:bookmarkStart w:id="1690" w:name="Tc_dU7pEppe7EKvhpxoNXTpMA_5_17"/>
      <w:bookmarkStart w:id="1691" w:name="Tc_luZIDq5wHUiejRzY3nxrYw_5_14"/>
      <w:bookmarkStart w:id="1692" w:name="Tc_-c1JbQi5bUKrLHLHEsOaDg_5_11"/>
      <w:bookmarkStart w:id="1693" w:name="Tc_WM8F49zwrkaQCwQf7qQQVQ_5_8"/>
      <w:bookmarkStart w:id="1694" w:name="Tc_nHGOr21Se0KADmfKF4atag_5_5"/>
      <w:bookmarkStart w:id="1695" w:name="Tc_LSlVBjibYEu--Zz-No10QQ_5_3"/>
      <w:bookmarkStart w:id="1696" w:name="Tc_cDG_6OnbdEuiZ9TglRLrGQ_5_2"/>
      <w:bookmarkStart w:id="1697" w:name="Tc_c_JR1VzAuEuLhExB6pymVw_5_0"/>
      <w:bookmarkStart w:id="1698" w:name="Tc_dZb448gGLUC3utfTqFskFg_4_0"/>
      <w:bookmarkStart w:id="1699" w:name="Tc_aTyDe5WX9kW_3F7zgc3cqw_3_2"/>
      <w:bookmarkStart w:id="1700" w:name="Tc_LwqoHzqhaU2TbsoMNwilxA_2_26"/>
      <w:bookmarkStart w:id="1701" w:name="Tc_iBMgBplkWEacWltxja81sA_2_23"/>
      <w:bookmarkStart w:id="1702" w:name="Tc_0-TmW9JH20OVoJgXvKct-w_2_20"/>
      <w:bookmarkStart w:id="1703" w:name="Tc_YfF9MOOvkkqw31DxSVJ2PQ_2_17"/>
      <w:bookmarkStart w:id="1704" w:name="Tc_7hZKYkc5wEGgH0ri4r2HHA_2_14"/>
      <w:bookmarkStart w:id="1705" w:name="Tc_8ikQrrUakESwt88aLM5wkA_2_11"/>
      <w:bookmarkStart w:id="1706" w:name="Tc_OVDyTEIOgE2nyJB51wqTdg_2_8"/>
      <w:bookmarkStart w:id="1707" w:name="Tc_ECIamJJqFkCj_qCqMPrwgA_2_5"/>
      <w:bookmarkStart w:id="1708" w:name="Tc_LzRMR4dU6UGXB7XF7pdmAQ_2_2"/>
      <w:bookmarkStart w:id="1709" w:name="Tc_r4VNx7vYWkuevFwBcSalyQ_1_2"/>
      <w:bookmarkStart w:id="1710" w:name="_c97efc40_fd86_44b5_b4de_1b9989aa6375"/>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r>
        <w:rPr/>
        <w:t>​</w:t>
      </w:r>
    </w:p>
    <w:tbl>
      <w:tblPr>
        <w:tblW w:w="10386" w:type="dxa"/>
        <w:jc w:val="left"/>
        <w:tblInd w:w="0" w:type="dxa"/>
        <w:tblLayout w:type="fixed"/>
        <w:tblCellMar>
          <w:top w:w="0" w:type="dxa"/>
          <w:left w:w="0" w:type="dxa"/>
          <w:bottom w:w="0" w:type="dxa"/>
          <w:right w:w="0" w:type="dxa"/>
        </w:tblCellMar>
      </w:tblPr>
      <w:tblGrid>
        <w:gridCol w:w="1051"/>
        <w:gridCol w:w="346"/>
        <w:gridCol w:w="248"/>
        <w:gridCol w:w="518"/>
        <w:gridCol w:w="346"/>
        <w:gridCol w:w="181"/>
        <w:gridCol w:w="436"/>
        <w:gridCol w:w="346"/>
        <w:gridCol w:w="273"/>
        <w:gridCol w:w="523"/>
        <w:gridCol w:w="346"/>
        <w:gridCol w:w="252"/>
        <w:gridCol w:w="484"/>
        <w:gridCol w:w="346"/>
        <w:gridCol w:w="181"/>
        <w:gridCol w:w="346"/>
        <w:gridCol w:w="346"/>
        <w:gridCol w:w="201"/>
        <w:gridCol w:w="385"/>
        <w:gridCol w:w="346"/>
        <w:gridCol w:w="196"/>
        <w:gridCol w:w="375"/>
        <w:gridCol w:w="346"/>
        <w:gridCol w:w="219"/>
        <w:gridCol w:w="457"/>
        <w:gridCol w:w="346"/>
        <w:gridCol w:w="258"/>
        <w:gridCol w:w="688"/>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67385" cy="175260"/>
                      <wp:effectExtent l="0" t="0" r="0" b="0"/>
                      <wp:wrapNone/>
                      <wp:docPr id="331" name="Frame33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57480" cy="175260"/>
                      <wp:effectExtent l="0" t="0" r="0" b="0"/>
                      <wp:wrapNone/>
                      <wp:docPr id="333" name="Frame33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28930" cy="175260"/>
                      <wp:effectExtent l="0" t="0" r="0" b="0"/>
                      <wp:wrapNone/>
                      <wp:docPr id="334" name="Frame334"/>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14935" cy="175260"/>
                      <wp:effectExtent l="0" t="0" r="0" b="0"/>
                      <wp:wrapNone/>
                      <wp:docPr id="336" name="Frame3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76860" cy="175260"/>
                      <wp:effectExtent l="0" t="0" r="0" b="0"/>
                      <wp:wrapNone/>
                      <wp:docPr id="337" name="Frame33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73355" cy="175260"/>
                      <wp:effectExtent l="0" t="0" r="0" b="0"/>
                      <wp:wrapNone/>
                      <wp:docPr id="339" name="Frame33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32105" cy="175260"/>
                      <wp:effectExtent l="0" t="0" r="0" b="0"/>
                      <wp:wrapNone/>
                      <wp:docPr id="340" name="Frame340"/>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60020" cy="175260"/>
                      <wp:effectExtent l="0" t="0" r="0" b="0"/>
                      <wp:wrapNone/>
                      <wp:docPr id="342" name="Frame34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07340" cy="175260"/>
                      <wp:effectExtent l="0" t="0" r="0" b="0"/>
                      <wp:wrapNone/>
                      <wp:docPr id="343" name="Frame343"/>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14935" cy="175260"/>
                      <wp:effectExtent l="0" t="0" r="0" b="0"/>
                      <wp:wrapNone/>
                      <wp:docPr id="345" name="Frame34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7635" cy="175260"/>
                      <wp:effectExtent l="0" t="0" r="0" b="0"/>
                      <wp:wrapNone/>
                      <wp:docPr id="348" name="Frame34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44475" cy="175260"/>
                      <wp:effectExtent l="0" t="0" r="0" b="0"/>
                      <wp:wrapNone/>
                      <wp:docPr id="349" name="Frame349"/>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4460" cy="175260"/>
                      <wp:effectExtent l="0" t="0" r="0" b="0"/>
                      <wp:wrapNone/>
                      <wp:docPr id="351" name="Frame3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38125" cy="175260"/>
                      <wp:effectExtent l="0" t="0" r="0" b="0"/>
                      <wp:wrapNone/>
                      <wp:docPr id="352" name="Frame35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9065" cy="175260"/>
                      <wp:effectExtent l="0" t="0" r="0" b="0"/>
                      <wp:wrapNone/>
                      <wp:docPr id="354" name="Frame35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90195" cy="175260"/>
                      <wp:effectExtent l="0" t="0" r="0" b="0"/>
                      <wp:wrapNone/>
                      <wp:docPr id="355" name="Frame355"/>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63830" cy="175260"/>
                      <wp:effectExtent l="0" t="0" r="0" b="0"/>
                      <wp:wrapNone/>
                      <wp:docPr id="357" name="Frame35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36880" cy="175260"/>
                      <wp:effectExtent l="0" t="0" r="0" b="0"/>
                      <wp:wrapNone/>
                      <wp:docPr id="358" name="Frame358"/>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9"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before="0" w:after="1"/>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46" w:type="dxa"/>
            <w:tcBorders/>
            <w:vAlign w:val="center"/>
          </w:tcPr>
          <w:p>
            <w:pPr>
              <w:pStyle w:val="TableContents"/>
              <w:bidi w:val="0"/>
              <w:spacing w:before="0" w:after="1"/>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46" w:type="dxa"/>
            <w:tcBorders/>
            <w:vAlign w:val="center"/>
          </w:tcPr>
          <w:p>
            <w:pPr>
              <w:pStyle w:val="TableContents"/>
              <w:bidi w:val="0"/>
              <w:spacing w:before="0" w:after="1"/>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46" w:type="dxa"/>
            <w:tcBorders/>
            <w:vAlign w:val="center"/>
          </w:tcPr>
          <w:p>
            <w:pPr>
              <w:pStyle w:val="TableContents"/>
              <w:bidi w:val="0"/>
              <w:spacing w:before="0" w:after="1"/>
              <w:ind w:left="0" w:right="0" w:hanging="0"/>
              <w:jc w:val="left"/>
              <w:rPr/>
            </w:pPr>
            <w:r>
              <w:rPr/>
              <w:t>  ​ ​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46" w:type="dxa"/>
            <w:tcBorders/>
            <w:vAlign w:val="center"/>
          </w:tcPr>
          <w:p>
            <w:pPr>
              <w:pStyle w:val="TableContents"/>
              <w:bidi w:val="0"/>
              <w:spacing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46"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38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9"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4,718</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386</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5,392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296</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(634)</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(636)</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on disposition of assets, net</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(loss) income, net</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(572)</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4,712</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682</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178</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34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5,181</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4,727</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258</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5,223</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244</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4,878</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723</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189</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4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185</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6,179</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benefit</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(591)</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benefit (expense)</w:t>
            </w:r>
          </w:p>
        </w:tc>
        <w:tc>
          <w:tcPr>
            <w:tcW w:w="34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(591)</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45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346" w:type="dxa"/>
            <w:tcBorders/>
            <w:shd w:fill="CCEEFF" w:val="clear"/>
            <w:vAlign w:val="center"/>
          </w:tcPr>
          <w:p>
            <w:pPr>
              <w:pStyle w:val="TableContents"/>
              <w:bidi w:val="0"/>
              <w:spacing w:before="0" w:after="1"/>
              <w:ind w:left="0" w:right="0" w:hanging="0"/>
              <w:jc w:val="left"/>
              <w:rPr/>
            </w:pPr>
            <w:r>
              <w:rPr/>
              <w:t> </w:t>
            </w:r>
          </w:p>
        </w:tc>
        <w:tc>
          <w:tcPr>
            <w:tcW w:w="258"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(951)</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4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(146)</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4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8" w:type="dxa"/>
            <w:tcBorders/>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247</w:t>
            </w:r>
          </w:p>
        </w:tc>
      </w:tr>
    </w:tbl>
    <w:p>
      <w:pPr>
        <w:pStyle w:val="TextBody"/>
        <w:bidi w:val="0"/>
        <w:spacing w:before="0" w:after="240"/>
        <w:ind w:left="0" w:right="0" w:hanging="0"/>
        <w:jc w:val="left"/>
        <w:rPr/>
      </w:pPr>
      <w:r>
        <w:rPr/>
        <w:t>​</w:t>
      </w:r>
    </w:p>
    <w:tbl>
      <w:tblPr>
        <w:tblW w:w="10277" w:type="dxa"/>
        <w:jc w:val="left"/>
        <w:tblInd w:w="0" w:type="dxa"/>
        <w:tblLayout w:type="fixed"/>
        <w:tblCellMar>
          <w:top w:w="0" w:type="dxa"/>
          <w:left w:w="0" w:type="dxa"/>
          <w:bottom w:w="0" w:type="dxa"/>
          <w:right w:w="0" w:type="dxa"/>
        </w:tblCellMar>
      </w:tblPr>
      <w:tblGrid>
        <w:gridCol w:w="1051"/>
        <w:gridCol w:w="346"/>
        <w:gridCol w:w="287"/>
        <w:gridCol w:w="479"/>
        <w:gridCol w:w="346"/>
        <w:gridCol w:w="226"/>
        <w:gridCol w:w="436"/>
        <w:gridCol w:w="346"/>
        <w:gridCol w:w="314"/>
        <w:gridCol w:w="482"/>
        <w:gridCol w:w="346"/>
        <w:gridCol w:w="290"/>
        <w:gridCol w:w="446"/>
        <w:gridCol w:w="346"/>
        <w:gridCol w:w="226"/>
        <w:gridCol w:w="346"/>
        <w:gridCol w:w="346"/>
        <w:gridCol w:w="231"/>
        <w:gridCol w:w="355"/>
        <w:gridCol w:w="346"/>
        <w:gridCol w:w="226"/>
        <w:gridCol w:w="346"/>
        <w:gridCol w:w="346"/>
        <w:gridCol w:w="253"/>
        <w:gridCol w:w="423"/>
        <w:gridCol w:w="146"/>
        <w:gridCol w:w="302"/>
        <w:gridCol w:w="644"/>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67385" cy="175260"/>
                      <wp:effectExtent l="0" t="0" r="0" b="0"/>
                      <wp:wrapNone/>
                      <wp:docPr id="359" name="Frame3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82245" cy="175260"/>
                      <wp:effectExtent l="0" t="0" r="0" b="0"/>
                      <wp:wrapNone/>
                      <wp:docPr id="361" name="Frame36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04165" cy="175260"/>
                      <wp:effectExtent l="0" t="0" r="0" b="0"/>
                      <wp:wrapNone/>
                      <wp:docPr id="362" name="Frame362"/>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3510" cy="175260"/>
                      <wp:effectExtent l="0" t="0" r="0" b="0"/>
                      <wp:wrapNone/>
                      <wp:docPr id="364" name="Frame3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76860" cy="175260"/>
                      <wp:effectExtent l="0" t="0" r="0" b="0"/>
                      <wp:wrapNone/>
                      <wp:docPr id="365" name="Frame36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99390" cy="175260"/>
                      <wp:effectExtent l="0" t="0" r="0" b="0"/>
                      <wp:wrapNone/>
                      <wp:docPr id="367" name="Frame367"/>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06070" cy="175260"/>
                      <wp:effectExtent l="0" t="0" r="0" b="0"/>
                      <wp:wrapNone/>
                      <wp:docPr id="368" name="Frame368"/>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84150" cy="175260"/>
                      <wp:effectExtent l="0" t="0" r="0" b="0"/>
                      <wp:wrapNone/>
                      <wp:docPr id="370" name="Frame370"/>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83210" cy="175260"/>
                      <wp:effectExtent l="0" t="0" r="0" b="0"/>
                      <wp:wrapNone/>
                      <wp:docPr id="371" name="Frame371"/>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43510" cy="175260"/>
                      <wp:effectExtent l="0" t="0" r="0" b="0"/>
                      <wp:wrapNone/>
                      <wp:docPr id="373" name="Frame3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6685" cy="175260"/>
                      <wp:effectExtent l="0" t="0" r="0" b="0"/>
                      <wp:wrapNone/>
                      <wp:docPr id="376" name="Frame37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25425" cy="175260"/>
                      <wp:effectExtent l="0" t="0" r="0" b="0"/>
                      <wp:wrapNone/>
                      <wp:docPr id="377" name="Frame377"/>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43510" cy="175260"/>
                      <wp:effectExtent l="0" t="0" r="0" b="0"/>
                      <wp:wrapNone/>
                      <wp:docPr id="379" name="Frame3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60655" cy="175260"/>
                      <wp:effectExtent l="0" t="0" r="0" b="0"/>
                      <wp:wrapNone/>
                      <wp:docPr id="382" name="Frame38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68605" cy="175260"/>
                      <wp:effectExtent l="0" t="0" r="0" b="0"/>
                      <wp:wrapNone/>
                      <wp:docPr id="383" name="Frame383"/>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92710" cy="175260"/>
                      <wp:effectExtent l="0" t="0" r="0" b="0"/>
                      <wp:wrapNone/>
                      <wp:docPr id="384" name="Frame38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91770" cy="175260"/>
                      <wp:effectExtent l="0" t="0" r="0" b="0"/>
                      <wp:wrapNone/>
                      <wp:docPr id="385" name="Frame385"/>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08940" cy="175260"/>
                      <wp:effectExtent l="0" t="0" r="0" b="0"/>
                      <wp:wrapNone/>
                      <wp:docPr id="386" name="Frame386"/>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80"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before="0" w:after="0"/>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46" w:type="dxa"/>
            <w:tcBorders/>
            <w:vAlign w:val="center"/>
          </w:tcPr>
          <w:p>
            <w:pPr>
              <w:pStyle w:val="TableContents"/>
              <w:bidi w:val="0"/>
              <w:spacing w:before="0" w:after="0"/>
              <w:ind w:left="0" w:right="0" w:hanging="0"/>
              <w:jc w:val="left"/>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46" w:type="dxa"/>
            <w:tcBorders/>
            <w:vAlign w:val="center"/>
          </w:tcPr>
          <w:p>
            <w:pPr>
              <w:pStyle w:val="TableContents"/>
              <w:bidi w:val="0"/>
              <w:spacing w:before="0" w:after="0"/>
              <w:ind w:left="0" w:right="0" w:hanging="0"/>
              <w:jc w:val="left"/>
              <w:rPr/>
            </w:pPr>
            <w:r>
              <w:rPr/>
              <w:t>  ​ ​ ​</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46" w:type="dxa"/>
            <w:tcBorders/>
            <w:vAlign w:val="center"/>
          </w:tcPr>
          <w:p>
            <w:pPr>
              <w:pStyle w:val="TableContents"/>
              <w:bidi w:val="0"/>
              <w:spacing w:before="0" w:after="0"/>
              <w:ind w:left="0" w:right="0" w:hanging="0"/>
              <w:jc w:val="left"/>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46" w:type="dxa"/>
            <w:tcBorders/>
            <w:vAlign w:val="center"/>
          </w:tcPr>
          <w:p>
            <w:pPr>
              <w:pStyle w:val="TableContents"/>
              <w:bidi w:val="0"/>
              <w:spacing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77"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788" w:type="dxa"/>
            <w:gridSpan w:val="23"/>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c>
          <w:tcPr>
            <w:tcW w:w="146" w:type="dxa"/>
            <w:tcBorders/>
            <w:vAlign w:val="center"/>
          </w:tcPr>
          <w:p>
            <w:pPr>
              <w:pStyle w:val="TableContents"/>
              <w:bidi w:val="0"/>
              <w:spacing w:before="0" w:after="0"/>
              <w:ind w:left="0" w:right="0" w:hanging="0"/>
              <w:jc w:val="center"/>
              <w:rPr/>
            </w:pPr>
            <w:r>
              <w:rPr/>
              <w:t> </w:t>
            </w:r>
          </w:p>
        </w:tc>
        <w:tc>
          <w:tcPr>
            <w:tcW w:w="302"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center"/>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w:t>
            </w:r>
          </w:p>
        </w:tc>
        <w:tc>
          <w:tcPr>
            <w:tcW w:w="346" w:type="dxa"/>
            <w:tcBorders/>
            <w:shd w:fill="CCEEFF" w:val="clear"/>
            <w:vAlign w:val="center"/>
          </w:tcPr>
          <w:p>
            <w:pPr>
              <w:pStyle w:val="TableContents"/>
              <w:bidi w:val="0"/>
              <w:spacing w:before="0" w:after="0"/>
              <w:ind w:left="0" w:right="0" w:hanging="0"/>
              <w:jc w:val="center"/>
              <w:rPr/>
            </w:pPr>
            <w:r>
              <w:rPr/>
              <w:t>  ​ ​ ​</w:t>
            </w:r>
          </w:p>
        </w:tc>
        <w:tc>
          <w:tcPr>
            <w:tcW w:w="287" w:type="dxa"/>
            <w:tcBorders/>
            <w:shd w:fill="CCEEFF" w:val="clear"/>
            <w:vAlign w:val="center"/>
          </w:tcPr>
          <w:p>
            <w:pPr>
              <w:pStyle w:val="TableContents"/>
              <w:bidi w:val="0"/>
              <w:spacing w:before="0" w:after="0"/>
              <w:ind w:left="0" w:right="0" w:hanging="0"/>
              <w:jc w:val="center"/>
              <w:rPr/>
            </w:pPr>
            <w:r>
              <w:rPr/>
              <w:t>  ​</w:t>
            </w:r>
          </w:p>
        </w:tc>
        <w:tc>
          <w:tcPr>
            <w:tcW w:w="47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14" w:type="dxa"/>
            <w:tcBorders/>
            <w:shd w:fill="CCEEFF" w:val="clear"/>
            <w:vAlign w:val="center"/>
          </w:tcPr>
          <w:p>
            <w:pPr>
              <w:pStyle w:val="TableContents"/>
              <w:bidi w:val="0"/>
              <w:spacing w:before="0" w:after="0"/>
              <w:ind w:left="0" w:right="0" w:hanging="0"/>
              <w:jc w:val="center"/>
              <w:rPr/>
            </w:pPr>
            <w:r>
              <w:rPr/>
              <w:t>  ​</w:t>
            </w:r>
          </w:p>
        </w:tc>
        <w:tc>
          <w:tcPr>
            <w:tcW w:w="48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90" w:type="dxa"/>
            <w:tcBorders/>
            <w:shd w:fill="CCEEFF" w:val="clear"/>
            <w:vAlign w:val="center"/>
          </w:tcPr>
          <w:p>
            <w:pPr>
              <w:pStyle w:val="TableContents"/>
              <w:bidi w:val="0"/>
              <w:spacing w:before="0" w:after="0"/>
              <w:ind w:left="0" w:right="0" w:hanging="0"/>
              <w:jc w:val="center"/>
              <w:rPr/>
            </w:pPr>
            <w:r>
              <w:rPr/>
              <w:t>  ​</w:t>
            </w:r>
          </w:p>
        </w:tc>
        <w:tc>
          <w:tcPr>
            <w:tcW w:w="4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31" w:type="dxa"/>
            <w:tcBorders/>
            <w:shd w:fill="CCEEFF" w:val="clear"/>
            <w:vAlign w:val="center"/>
          </w:tcPr>
          <w:p>
            <w:pPr>
              <w:pStyle w:val="TableContents"/>
              <w:bidi w:val="0"/>
              <w:spacing w:before="0" w:after="0"/>
              <w:ind w:left="0" w:right="0" w:hanging="0"/>
              <w:jc w:val="center"/>
              <w:rPr/>
            </w:pPr>
            <w:r>
              <w:rPr/>
              <w:t>  ​</w:t>
            </w:r>
          </w:p>
        </w:tc>
        <w:tc>
          <w:tcPr>
            <w:tcW w:w="3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3" w:type="dxa"/>
            <w:tcBorders/>
            <w:shd w:fill="CCEEFF" w:val="clear"/>
            <w:vAlign w:val="center"/>
          </w:tcPr>
          <w:p>
            <w:pPr>
              <w:pStyle w:val="TableContents"/>
              <w:bidi w:val="0"/>
              <w:spacing w:before="0" w:after="0"/>
              <w:ind w:left="0" w:right="0" w:hanging="0"/>
              <w:jc w:val="center"/>
              <w:rPr/>
            </w:pPr>
            <w:r>
              <w:rPr/>
              <w:t>  ​</w:t>
            </w:r>
          </w:p>
        </w:tc>
        <w:tc>
          <w:tcPr>
            <w:tcW w:w="423"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center"/>
              <w:rPr/>
            </w:pPr>
            <w:r>
              <w:rPr/>
              <w:t> </w:t>
            </w:r>
          </w:p>
        </w:tc>
        <w:tc>
          <w:tcPr>
            <w:tcW w:w="302" w:type="dxa"/>
            <w:tcBorders/>
            <w:shd w:fill="CCEEFF" w:val="clear"/>
            <w:vAlign w:val="center"/>
          </w:tcPr>
          <w:p>
            <w:pPr>
              <w:pStyle w:val="TableContents"/>
              <w:bidi w:val="0"/>
              <w:spacing w:before="0" w:after="0"/>
              <w:ind w:left="0" w:right="0" w:hanging="0"/>
              <w:jc w:val="center"/>
              <w:rPr/>
            </w:pPr>
            <w:r>
              <w:rPr/>
              <w:t>  ​</w:t>
            </w:r>
          </w:p>
        </w:tc>
        <w:tc>
          <w:tcPr>
            <w:tcW w:w="644" w:type="dxa"/>
            <w:tcBorders/>
            <w:shd w:fill="CCEEFF" w:val="clear"/>
            <w:vAlign w:val="center"/>
          </w:tcPr>
          <w:p>
            <w:pPr>
              <w:pStyle w:val="TableContents"/>
              <w:bidi w:val="0"/>
              <w:spacing w:before="0" w:after="0"/>
              <w:ind w:left="0" w:right="0" w:hanging="0"/>
              <w:jc w:val="center"/>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3,407</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4,145</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305</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30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(468)</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(468)</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146" w:type="dxa"/>
            <w:tcBorders/>
            <w:shd w:fill="CCEEFF" w:val="clear"/>
            <w:vAlign w:val="center"/>
          </w:tcPr>
          <w:p>
            <w:pPr>
              <w:pStyle w:val="TableContents"/>
              <w:bidi w:val="0"/>
              <w:spacing w:before="0" w:after="0"/>
              <w:ind w:left="0" w:right="0" w:hanging="0"/>
              <w:jc w:val="left"/>
              <w:rPr/>
            </w:pPr>
            <w:r>
              <w:rPr/>
              <w:t> </w:t>
            </w:r>
          </w:p>
        </w:tc>
        <w:tc>
          <w:tcPr>
            <w:tcW w:w="30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46" w:type="dxa"/>
            <w:tcBorders/>
            <w:shd w:fill="CCEEFF" w:val="clear"/>
            <w:vAlign w:val="center"/>
          </w:tcPr>
          <w:p>
            <w:pPr>
              <w:pStyle w:val="TableContents"/>
              <w:bidi w:val="0"/>
              <w:spacing w:before="0" w:after="0"/>
              <w:ind w:left="0" w:right="0" w:hanging="0"/>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3,426</w:t>
            </w:r>
          </w:p>
        </w:tc>
        <w:tc>
          <w:tcPr>
            <w:tcW w:w="346" w:type="dxa"/>
            <w:tcBorders/>
            <w:vAlign w:val="center"/>
          </w:tcPr>
          <w:p>
            <w:pPr>
              <w:pStyle w:val="TableContents"/>
              <w:bidi w:val="0"/>
              <w:spacing w:before="0" w:after="0"/>
              <w:ind w:left="0" w:right="0" w:hanging="0"/>
              <w:jc w:val="left"/>
              <w:rPr/>
            </w:pPr>
            <w:r>
              <w:rPr/>
              <w:t> </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710</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w:t>
            </w:r>
          </w:p>
        </w:tc>
        <w:tc>
          <w:tcPr>
            <w:tcW w:w="34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346" w:type="dxa"/>
            <w:tcBorders/>
            <w:vAlign w:val="center"/>
          </w:tcPr>
          <w:p>
            <w:pPr>
              <w:pStyle w:val="TableContents"/>
              <w:bidi w:val="0"/>
              <w:spacing w:before="0" w:after="0"/>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4,236</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3,587</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4,134</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30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305</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218</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146" w:type="dxa"/>
            <w:tcBorders/>
            <w:shd w:fill="CCEEFF" w:val="clear"/>
            <w:vAlign w:val="center"/>
          </w:tcPr>
          <w:p>
            <w:pPr>
              <w:pStyle w:val="TableContents"/>
              <w:bidi w:val="0"/>
              <w:spacing w:before="0" w:after="0"/>
              <w:ind w:left="0" w:right="0" w:hanging="0"/>
              <w:jc w:val="left"/>
              <w:rPr/>
            </w:pPr>
            <w:r>
              <w:rPr/>
              <w:t> </w:t>
            </w:r>
          </w:p>
        </w:tc>
        <w:tc>
          <w:tcPr>
            <w:tcW w:w="30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408</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c>
          <w:tcPr>
            <w:tcW w:w="346" w:type="dxa"/>
            <w:tcBorders/>
            <w:vAlign w:val="center"/>
          </w:tcPr>
          <w:p>
            <w:pPr>
              <w:pStyle w:val="TableContents"/>
              <w:bidi w:val="0"/>
              <w:spacing w:before="0" w:after="0"/>
              <w:ind w:left="0" w:right="0" w:hanging="0"/>
              <w:jc w:val="left"/>
              <w:rPr/>
            </w:pPr>
            <w:r>
              <w:rPr/>
              <w:t> </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w:t>
            </w:r>
          </w:p>
        </w:tc>
      </w:tr>
      <w:tr>
        <w:trPr/>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3,744</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780</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w:t>
            </w:r>
          </w:p>
        </w:tc>
        <w:tc>
          <w:tcPr>
            <w:tcW w:w="146" w:type="dxa"/>
            <w:tcBorders/>
            <w:shd w:fill="CCEEFF" w:val="clear"/>
            <w:vAlign w:val="center"/>
          </w:tcPr>
          <w:p>
            <w:pPr>
              <w:pStyle w:val="TableContents"/>
              <w:bidi w:val="0"/>
              <w:spacing w:before="0" w:after="0"/>
              <w:ind w:left="0" w:right="0" w:hanging="0"/>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5,136</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(318)</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46" w:type="dxa"/>
            <w:tcBorders/>
            <w:shd w:fill="CCEEFF" w:val="clear"/>
            <w:vAlign w:val="center"/>
          </w:tcPr>
          <w:p>
            <w:pPr>
              <w:pStyle w:val="TableContents"/>
              <w:bidi w:val="0"/>
              <w:spacing w:before="0" w:after="0"/>
              <w:ind w:left="0" w:right="0" w:hanging="0"/>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47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(384)</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(219)</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(781)</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c>
          <w:tcPr>
            <w:tcW w:w="146"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(587)</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4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5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2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4"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11" w:name="Tc_QIcY1JoHNU2CI_uKhHbQ6Q_8_11"/>
      <w:bookmarkStart w:id="1712" w:name="Tc_6u4wNOfRSUWRPZVa3sVlEQ_8_8"/>
      <w:bookmarkStart w:id="1713" w:name="Tc_LyS3lUBZUUug4HJp9lI9XQ_8_5"/>
      <w:bookmarkStart w:id="1714" w:name="Tc_myRvAj722UWr8IxOD-u1Rg_8_2"/>
      <w:bookmarkStart w:id="1715" w:name="Tc_l4qp6X0FQUmIMXd_jtBUdw_8_0"/>
      <w:bookmarkStart w:id="1716" w:name="Tc_Wc4ojAcyCkuWaxfosBDtug_7_0"/>
      <w:bookmarkStart w:id="1717" w:name="Tc_ErF1BCFzIk2iBtT5cTYbdA_6_5"/>
      <w:bookmarkStart w:id="1718" w:name="Tc_rEphbJN6fUSGGv-0IfKS-w_6_2"/>
      <w:bookmarkStart w:id="1719" w:name="Tc_3AQpobWgIUGx2lEdbVZd3w_6_0"/>
      <w:bookmarkStart w:id="1720" w:name="Tc_8qTQGQAvYUaz-dz36yGl5Q_5_9"/>
      <w:bookmarkStart w:id="1721" w:name="Tc_oU0w8vVIOEuhz72IGrQVDw_5_6"/>
      <w:bookmarkStart w:id="1722" w:name="Tc_fqsLr5a8AE61cB8cPHyFvQ_5_3"/>
      <w:bookmarkStart w:id="1723" w:name="Tc_uYiiUmqAZkyASrAjtaRmLw_5_0"/>
      <w:bookmarkStart w:id="1724" w:name="Tc_uJKq19OCfE-dAU183YcVtA_4_11"/>
      <w:bookmarkStart w:id="1725" w:name="Tc_YPCTDtsQ9E6_5SV2UeqJrA_4_8"/>
      <w:bookmarkStart w:id="1726" w:name="Tc_Zq8KC-8XfkKqYRBAx2gqWg_4_5"/>
      <w:bookmarkStart w:id="1727" w:name="Tc_-bGbjELGcUWXqhAiXnAO3w_4_2"/>
      <w:bookmarkStart w:id="1728" w:name="Tc_1vpK4lQYYUGV6d0Ex4CA2Q_4_0"/>
      <w:bookmarkStart w:id="1729" w:name="Tc__gyJEvPjT0movTX2dPHuyw_3_2"/>
      <w:bookmarkStart w:id="1730" w:name="Tc_1yX1asLC90S_co4b-hddHA_2_11"/>
      <w:bookmarkStart w:id="1731" w:name="Tc_hbzdF3A8fk6XzkwDv8RtLA_2_8"/>
      <w:bookmarkStart w:id="1732" w:name="Tc_YUMisDfV3USaeqijwfCXUw_2_5"/>
      <w:bookmarkStart w:id="1733" w:name="Tc_L_Qsjes63EykhqPYElEtyA_2_2"/>
      <w:bookmarkStart w:id="1734" w:name="Tc__AVmEEAUdkyrfbuxQ94bcQ_1_8"/>
      <w:bookmarkStart w:id="1735" w:name="Tc_kQJ9DALhP025wKwudznLTw_1_2"/>
      <w:bookmarkStart w:id="1736" w:name="Tc_x1irC64ockuVf1bf2dPFRA_7_11"/>
      <w:bookmarkStart w:id="1737" w:name="Tc_clAiCcg32kO0kuHaivG95w_7_8"/>
      <w:bookmarkStart w:id="1738" w:name="Tc_JK-EwQp6gEunRTqSRcO_wA_7_5"/>
      <w:bookmarkStart w:id="1739" w:name="Tc_eCfPDFdxJUmHZIv3XRQ4NQ_7_2"/>
      <w:bookmarkStart w:id="1740" w:name="Tc_wEYsjlGWrUC0c1wY1YMwzg_6_9"/>
      <w:bookmarkStart w:id="1741" w:name="Tc_p5cFYie_okSkhi2PhunI7A_6_3"/>
      <w:bookmarkStart w:id="1742" w:name="Tc_OAmYca1ps0qVn545Sjw_uA_6_0"/>
      <w:bookmarkStart w:id="1743" w:name="Tc_5PqaoKoIhUWd418En0xCBg_5_0"/>
      <w:bookmarkStart w:id="1744" w:name="Tc_UWBb5rYF0EC1ZdhQF0BFCw_4_11"/>
      <w:bookmarkStart w:id="1745" w:name="Tc_QETIg4FTlESNLMPYMEMEHA_4_5"/>
      <w:bookmarkStart w:id="1746" w:name="Tc_d00hM_15pUOHzcpFKCVcKw_4_2"/>
      <w:bookmarkStart w:id="1747" w:name="Tc_H6daIWVD3EiwOprxPuTsHQ_4_0"/>
      <w:bookmarkStart w:id="1748" w:name="Tc_hJoFdFByhkO2GPuabYDk1g_3_2"/>
      <w:bookmarkStart w:id="1749" w:name="Tc_zFODqXNE802d9cHYe5eofA_2_11"/>
      <w:bookmarkStart w:id="1750" w:name="Tc_3d60zM2ZqE-3LI0ArzES4g_2_8"/>
      <w:bookmarkStart w:id="1751" w:name="Tc_hVBpJUsStEiAdSlxjsKXaQ_2_5"/>
      <w:bookmarkStart w:id="1752" w:name="Tc_iyNTvL2tOkay36aT4-eWBg_2_2"/>
      <w:bookmarkStart w:id="1753" w:name="Tc_-aZjQdfCMUKJLLuAEL7u_A_1_8"/>
      <w:bookmarkStart w:id="1754" w:name="Tc_2N7RwmV-M0-hW9nFsFConA_1_2"/>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rPr>
          <w:rFonts w:ascii="Times New Roman;Times;serif" w:hAnsi="Times New Roman;Times;serif"/>
          <w:b/>
          <w:sz w:val="20"/>
        </w:rPr>
        <w:t>Disaggregation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condensed statements of operations by reporting segment above, we provide additional disaggregated revenue information for our Energy and Automotive segments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0"/>
        <w:ind w:left="0" w:right="0" w:hanging="0"/>
        <w:jc w:val="left"/>
        <w:rPr/>
      </w:pPr>
      <w:r>
        <w:rPr/>
        <w:t>​</w:t>
      </w:r>
    </w:p>
    <w:tbl>
      <w:tblPr>
        <w:tblW w:w="8161" w:type="dxa"/>
        <w:jc w:val="left"/>
        <w:tblInd w:w="0" w:type="dxa"/>
        <w:tblLayout w:type="fixed"/>
        <w:tblCellMar>
          <w:top w:w="0" w:type="dxa"/>
          <w:left w:w="0" w:type="dxa"/>
          <w:bottom w:w="0" w:type="dxa"/>
          <w:right w:w="0" w:type="dxa"/>
        </w:tblCellMar>
      </w:tblPr>
      <w:tblGrid>
        <w:gridCol w:w="2326"/>
        <w:gridCol w:w="346"/>
        <w:gridCol w:w="295"/>
        <w:gridCol w:w="798"/>
        <w:gridCol w:w="483"/>
        <w:gridCol w:w="295"/>
        <w:gridCol w:w="798"/>
        <w:gridCol w:w="346"/>
        <w:gridCol w:w="259"/>
        <w:gridCol w:w="701"/>
        <w:gridCol w:w="425"/>
        <w:gridCol w:w="259"/>
        <w:gridCol w:w="830"/>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477010" cy="175260"/>
                      <wp:effectExtent l="0" t="0" r="0" b="0"/>
                      <wp:wrapNone/>
                      <wp:docPr id="387" name="Frame387"/>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87325" cy="175260"/>
                      <wp:effectExtent l="0" t="0" r="0" b="0"/>
                      <wp:wrapNone/>
                      <wp:docPr id="389" name="Frame38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06730" cy="175260"/>
                      <wp:effectExtent l="0" t="0" r="0" b="0"/>
                      <wp:wrapNone/>
                      <wp:docPr id="390" name="Frame390"/>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06705" cy="175260"/>
                      <wp:effectExtent l="0" t="0" r="0" b="0"/>
                      <wp:wrapNone/>
                      <wp:docPr id="391" name="Frame391"/>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87325" cy="175260"/>
                      <wp:effectExtent l="0" t="0" r="0" b="0"/>
                      <wp:wrapNone/>
                      <wp:docPr id="392" name="Frame39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06730" cy="175260"/>
                      <wp:effectExtent l="0" t="0" r="0" b="0"/>
                      <wp:wrapNone/>
                      <wp:docPr id="393" name="Frame393"/>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64465" cy="175260"/>
                      <wp:effectExtent l="0" t="0" r="0" b="0"/>
                      <wp:wrapNone/>
                      <wp:docPr id="395" name="Frame39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45135" cy="175260"/>
                      <wp:effectExtent l="0" t="0" r="0" b="0"/>
                      <wp:wrapNone/>
                      <wp:docPr id="396" name="Frame396"/>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69875" cy="175260"/>
                      <wp:effectExtent l="0" t="0" r="0" b="0"/>
                      <wp:wrapNone/>
                      <wp:docPr id="397" name="Frame397"/>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64465" cy="175260"/>
                      <wp:effectExtent l="0" t="0" r="0" b="0"/>
                      <wp:wrapNone/>
                      <wp:docPr id="398" name="Frame39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527050" cy="175260"/>
                      <wp:effectExtent l="0" t="0" r="0" b="0"/>
                      <wp:wrapNone/>
                      <wp:docPr id="399" name="Frame39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83" w:type="dxa"/>
            <w:tcBorders/>
            <w:vAlign w:val="center"/>
          </w:tcPr>
          <w:p>
            <w:pPr>
              <w:pStyle w:val="TableContents"/>
              <w:bidi w:val="0"/>
              <w:spacing w:before="0" w:after="0"/>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25" w:type="dxa"/>
            <w:tcBorders/>
            <w:vAlign w:val="center"/>
          </w:tcPr>
          <w:p>
            <w:pPr>
              <w:pStyle w:val="TableContents"/>
              <w:bidi w:val="0"/>
              <w:spacing w:before="0" w:after="0"/>
              <w:ind w:left="0" w:right="0" w:hanging="0"/>
              <w:jc w:val="left"/>
              <w:rPr/>
            </w:pPr>
            <w:r>
              <w:rPr/>
              <w:t>  ​ ​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816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89"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Petroleum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w:t>
            </w:r>
          </w:p>
        </w:tc>
        <w:tc>
          <w:tcPr>
            <w:tcW w:w="483"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4,336</w:t>
            </w:r>
          </w:p>
        </w:tc>
        <w:tc>
          <w:tcPr>
            <w:tcW w:w="425"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3,033</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Nitrogen fertilizer products</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483"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425"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w:t>
            </w:r>
          </w:p>
        </w:tc>
        <w:tc>
          <w:tcPr>
            <w:tcW w:w="483"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4,718</w:t>
            </w:r>
          </w:p>
        </w:tc>
        <w:tc>
          <w:tcPr>
            <w:tcW w:w="425"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3,407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26"/>
        <w:gridCol w:w="346"/>
        <w:gridCol w:w="330"/>
        <w:gridCol w:w="658"/>
        <w:gridCol w:w="541"/>
        <w:gridCol w:w="330"/>
        <w:gridCol w:w="658"/>
        <w:gridCol w:w="346"/>
        <w:gridCol w:w="290"/>
        <w:gridCol w:w="580"/>
        <w:gridCol w:w="477"/>
        <w:gridCol w:w="290"/>
        <w:gridCol w:w="733"/>
      </w:tblGrid>
      <w:tr>
        <w:trPr/>
        <w:tc>
          <w:tcPr>
            <w:tcW w:w="4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937510" cy="175260"/>
                      <wp:effectExtent l="0" t="0" r="0" b="0"/>
                      <wp:wrapNone/>
                      <wp:docPr id="400" name="Frame400"/>
                      <a:graphic xmlns:a="http://schemas.openxmlformats.org/drawingml/2006/main">
                        <a:graphicData uri="http://schemas.microsoft.com/office/word/2010/wordprocessingShape">
                          <wps:wsp>
                            <wps:cNvSpPr txBox="1"/>
                            <wps:spPr>
                              <a:xfrm>
                                <a:off x="0" y="0"/>
                                <a:ext cx="293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9550" cy="175260"/>
                      <wp:effectExtent l="0" t="0" r="0" b="0"/>
                      <wp:wrapNone/>
                      <wp:docPr id="402" name="Frame402"/>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17830" cy="175260"/>
                      <wp:effectExtent l="0" t="0" r="0" b="0"/>
                      <wp:wrapNone/>
                      <wp:docPr id="403" name="Frame403"/>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43535" cy="175260"/>
                      <wp:effectExtent l="0" t="0" r="0" b="0"/>
                      <wp:wrapNone/>
                      <wp:docPr id="404" name="Frame40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9550" cy="175260"/>
                      <wp:effectExtent l="0" t="0" r="0" b="0"/>
                      <wp:wrapNone/>
                      <wp:docPr id="405" name="Frame405"/>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17830" cy="175260"/>
                      <wp:effectExtent l="0" t="0" r="0" b="0"/>
                      <wp:wrapNone/>
                      <wp:docPr id="406" name="Frame40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84150" cy="175260"/>
                      <wp:effectExtent l="0" t="0" r="0" b="0"/>
                      <wp:wrapNone/>
                      <wp:docPr id="408" name="Frame40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68300" cy="175260"/>
                      <wp:effectExtent l="0" t="0" r="0" b="0"/>
                      <wp:wrapNone/>
                      <wp:docPr id="409" name="Frame409"/>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02895" cy="175260"/>
                      <wp:effectExtent l="0" t="0" r="0" b="0"/>
                      <wp:wrapNone/>
                      <wp:docPr id="410" name="Frame410"/>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84150" cy="175260"/>
                      <wp:effectExtent l="0" t="0" r="0" b="0"/>
                      <wp:wrapNone/>
                      <wp:docPr id="411" name="Frame411"/>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65455" cy="175260"/>
                      <wp:effectExtent l="0" t="0" r="0" b="0"/>
                      <wp:wrapNone/>
                      <wp:docPr id="412" name="Frame412"/>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41" w:type="dxa"/>
            <w:tcBorders/>
            <w:vAlign w:val="center"/>
          </w:tcPr>
          <w:p>
            <w:pPr>
              <w:pStyle w:val="TableContents"/>
              <w:bidi w:val="0"/>
              <w:spacing w:before="0" w:after="0"/>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77" w:type="dxa"/>
            <w:tcBorders/>
            <w:vAlign w:val="center"/>
          </w:tcPr>
          <w:p>
            <w:pPr>
              <w:pStyle w:val="TableContents"/>
              <w:bidi w:val="0"/>
              <w:spacing w:before="0" w:after="0"/>
              <w:ind w:left="0" w:right="0" w:hanging="0"/>
              <w:jc w:val="left"/>
              <w:rPr/>
            </w:pPr>
            <w:r>
              <w:rPr/>
              <w:t>  ​ ​ ​</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33"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541"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477"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4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7"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from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541"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477"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4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revenue outside the scope of ASC 606</w:t>
            </w:r>
          </w:p>
        </w:tc>
        <w:tc>
          <w:tcPr>
            <w:tcW w:w="346"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41"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77"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Automotive net sales and other revenues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541"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477"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55" w:name="Tc_gw6RqhyW9E6C4Jdl-0OQQA_24_26"/>
      <w:bookmarkStart w:id="1756" w:name="Tc_OXk9tT-XG0O0MDQZeb_Vlg_24_23"/>
      <w:bookmarkStart w:id="1757" w:name="Tc_ucknxgKDKUeaPVWLN8nGCA_24_20"/>
      <w:bookmarkStart w:id="1758" w:name="Tc_3AN1XODE9EKYdmOEK7Ow3Q_24_17"/>
      <w:bookmarkStart w:id="1759" w:name="Tc_lfgh9d1g50WxXufE7qLCVw_24_14"/>
      <w:bookmarkStart w:id="1760" w:name="Tc_-Dhg8fATHUeeCGHeZH5zFA_24_11"/>
      <w:bookmarkStart w:id="1761" w:name="Tc_V64Cbq7GFEu5ROZstmIa9A_24_8"/>
      <w:bookmarkStart w:id="1762" w:name="Tc_QXGy7tDaQUm2TLReaEQpVg_24_5"/>
      <w:bookmarkStart w:id="1763" w:name="Tc_bRtHB9kNj0OlUqwH39VJrw_24_2"/>
      <w:bookmarkStart w:id="1764" w:name="Tc_TjlGxqA4ikqeW1gHLu53CQ_24_0"/>
      <w:bookmarkStart w:id="1765" w:name="Tc_IP2WRgnf6kSJuu_ebbwM4A_23_0"/>
      <w:bookmarkStart w:id="1766" w:name="Tc_q9MfuXKzcU2MM3G3sGwSFA_22_24"/>
      <w:bookmarkStart w:id="1767" w:name="Tc_UR41YSh410yerlxzGJNshQ_22_21"/>
      <w:bookmarkStart w:id="1768" w:name="Tc_Z8ebxf9sLkGSx7eFxebYuQ_22_18"/>
      <w:bookmarkStart w:id="1769" w:name="Tc_Z5diWOCw2ECAtyrK4fbu8g_22_15"/>
      <w:bookmarkStart w:id="1770" w:name="Tc_r0-fuQBfM0WpjR4HdQ02BA_22_9"/>
      <w:bookmarkStart w:id="1771" w:name="Tc_x69M13shBUuwjMEZNRQZDw_22_0"/>
      <w:bookmarkStart w:id="1772" w:name="Tc_Q2zdOEU57ky8gYUrGQNJ8Q_21_0"/>
      <w:bookmarkStart w:id="1773" w:name="Tc_GS6GS_MnOkG3_sLQlEwhog_19_0"/>
      <w:bookmarkStart w:id="1774" w:name="Tc_iCgRnSkyj0GBd1wncucbfA_18_21"/>
      <w:bookmarkStart w:id="1775" w:name="Tc_AcnLfCHjkkCkDAFYSlsDBA_18_3"/>
      <w:bookmarkStart w:id="1776" w:name="Tc_R9O6f2oKjUuZoDPY__K5FA_18_0"/>
      <w:bookmarkStart w:id="1777" w:name="Tc_j0VJs8R_N0qtJmBzriwfJQ_17_24"/>
      <w:bookmarkStart w:id="1778" w:name="Tc_DYBsLRmMMUaqJoHO322GzA_17_21"/>
      <w:bookmarkStart w:id="1779" w:name="Tc_iowLn8SDw0iSBIIe1I7b3g_17_18"/>
      <w:bookmarkStart w:id="1780" w:name="Tc_kQBz2gioU0S6OHzRd5pUeQ_17_15"/>
      <w:bookmarkStart w:id="1781" w:name="Tc_i8ZYMn0s3EGnZa7FAvh8SA_17_12"/>
      <w:bookmarkStart w:id="1782" w:name="Tc_MJDPaj8HrkCkP6s7RDRh_Q_17_9"/>
      <w:bookmarkStart w:id="1783" w:name="Tc_as28MEMih06AOWDOs399QQ_17_6"/>
      <w:bookmarkStart w:id="1784" w:name="Tc_1UkqqzVYg0evUlN_re6Rsw_17_0"/>
      <w:bookmarkStart w:id="1785" w:name="Tc_fgxkhc7IZU26IfcntHN8cQ_16_26"/>
      <w:bookmarkStart w:id="1786" w:name="Tc_rjZBxYLzZEChC9Nxd8p1eA_16_23"/>
      <w:bookmarkStart w:id="1787" w:name="Tc_48BtbKg_tk-vlRbyeijgtA_16_20"/>
      <w:bookmarkStart w:id="1788" w:name="Tc_luS0hvLBUUaN0YkY6rMBDQ_16_17"/>
      <w:bookmarkStart w:id="1789" w:name="Tc_lVjrwx1gXEu6aAlAbGRArA_16_14"/>
      <w:bookmarkStart w:id="1790" w:name="Tc_t4RyXgoDqUaoKiJZnYjH5A_16_11"/>
      <w:bookmarkStart w:id="1791" w:name="Tc_qzxC9MRHmUi3LYZ1ytfWSw_16_8"/>
      <w:bookmarkStart w:id="1792" w:name="Tc_0jYTzeq1ekqqXOlWr0iCxQ_16_5"/>
      <w:bookmarkStart w:id="1793" w:name="Tc_j23BfMhh9kWh3Q8sIJzzqQ_16_2"/>
      <w:bookmarkStart w:id="1794" w:name="Tc_zFyjiYImUEO6ioXh5KKk9A_16_0"/>
      <w:bookmarkStart w:id="1795" w:name="Tc_tr96frsL0ESLoS69F25BRA_15_0"/>
      <w:bookmarkStart w:id="1796" w:name="Tc_03zDBkP8rE-_DksLFwJAug_14_26"/>
      <w:bookmarkStart w:id="1797" w:name="Tc_JPWAO3a8BUi1IgFObeYyZA_14_23"/>
      <w:bookmarkStart w:id="1798" w:name="Tc_ES1NAxTqu0OS1lgDzEXqDw_14_20"/>
      <w:bookmarkStart w:id="1799" w:name="Tc_6iN3LnPn6UCaCfn8qhT3iA_14_17"/>
      <w:bookmarkStart w:id="1800" w:name="Tc_QCgw3qVONUqsE6SXx3GpRg_14_14"/>
      <w:bookmarkStart w:id="1801" w:name="Tc_mYIv_vnoO0GBqkf6Eolftg_14_11"/>
      <w:bookmarkStart w:id="1802" w:name="Tc_7x596YtJn0SLclQ_oeuYyQ_14_8"/>
      <w:bookmarkStart w:id="1803" w:name="Tc_DdzT9WZLoEmIlVTSx8AQjw_14_5"/>
      <w:bookmarkStart w:id="1804" w:name="Tc_5MV3SOLViEyHWQvAApmdLg_14_2"/>
      <w:bookmarkStart w:id="1805" w:name="Tc_8S4opavFK0CIgzXFIk7KNg_14_0"/>
      <w:bookmarkStart w:id="1806" w:name="Tc_GPuoL2SynkSgSXLEdjvoWQ_13_0"/>
      <w:bookmarkStart w:id="1807" w:name="Tc_rQleAvIx10Kruc3auqUO_A_12_24"/>
      <w:bookmarkStart w:id="1808" w:name="Tc_0-dl_uP-yE2AtbT31oNscA_12_15"/>
      <w:bookmarkStart w:id="1809" w:name="Tc_I9zmKSCdZEuxS1AyMAj84A_12_3"/>
      <w:bookmarkStart w:id="1810" w:name="Tc_ZxXQPqmA4UmBGYBV8o3k-A_12_0"/>
      <w:bookmarkStart w:id="1811" w:name="Tc_YtdEhpbnmk-lNKPM6DKxYA_11_21"/>
      <w:bookmarkStart w:id="1812" w:name="Tc_MIuLpIyIv0eFLwH18f7k_A_11_3"/>
      <w:bookmarkStart w:id="1813" w:name="Tc_LnYipmmm8Eq8RYMzYSvvQw_11_0"/>
      <w:bookmarkStart w:id="1814" w:name="Tc_m3ft92UZnki-gpuPCN-19Q_10_24"/>
      <w:bookmarkStart w:id="1815" w:name="Tc_0yPhqMH9q0iSxDzmI8lVtg_10_15"/>
      <w:bookmarkStart w:id="1816" w:name="Tc_ylkFXzA0-US5YJjIaj9SCQ_10_3"/>
      <w:bookmarkStart w:id="1817" w:name="Tc_7rtimgK4mkuWsasH7CTrQQ_10_0"/>
      <w:bookmarkStart w:id="1818" w:name="Tc_eWs2TbPjaUuFnh60r56s6Q_9_24"/>
      <w:bookmarkStart w:id="1819" w:name="Tc_lhVmbwAunUW24FukHayBqg_9_21"/>
      <w:bookmarkStart w:id="1820" w:name="Tc_devgz0JH30yMsjAUU2OLEw_9_18"/>
      <w:bookmarkStart w:id="1821" w:name="Tc_-utzkECOCUWs842Pbb25Jw_9_12"/>
      <w:bookmarkStart w:id="1822" w:name="Tc_2kR7Khd0vUOsH8dlGy-bTw_9_9"/>
      <w:bookmarkStart w:id="1823" w:name="Tc_T-4PiNpYYEGiI9IA1jcjWQ_9_6"/>
      <w:bookmarkStart w:id="1824" w:name="Tc_YzJjyEZE7Ueu2JyG9u6w3A_9_3"/>
      <w:bookmarkStart w:id="1825" w:name="Tc_CW9CFnOJdkCgEgyjlU9UPw_9_0"/>
      <w:bookmarkStart w:id="1826" w:name="Tc_ild2yyr0DkKVM8kJmfRevQ_8_24"/>
      <w:bookmarkStart w:id="1827" w:name="Tc_FzeDy34gXE6bgxx6X8RSFA_8_3"/>
      <w:bookmarkStart w:id="1828" w:name="Tc_1M0ZhBQ1X0qAbIdYCJ1R1g_8_0"/>
      <w:bookmarkStart w:id="1829" w:name="Tc_ss5WWuSNeUudMyjgr6bF3g_7_24"/>
      <w:bookmarkStart w:id="1830" w:name="Tc_Jwn63mps8UqixgXcv0ny3A_7_21"/>
      <w:bookmarkStart w:id="1831" w:name="Tc_BkrEysrTLUO6yFEsj05ozA_7_18"/>
      <w:bookmarkStart w:id="1832" w:name="Tc_j0ohNdBhDkub1BnMWg_YzQ_7_12"/>
      <w:bookmarkStart w:id="1833" w:name="Tc_NboQ2SAbVkm3qKukY-eBqg_7_9"/>
      <w:bookmarkStart w:id="1834" w:name="Tc_u800iuRXTEaCPzkR-j1CAw_7_0"/>
      <w:bookmarkStart w:id="1835" w:name="Tc_C25hl5Ou3kCE1UXC5waFWg_6_21"/>
      <w:bookmarkStart w:id="1836" w:name="Tc_HzZSNby9ukiolx9_NR9jZw_6_15"/>
      <w:bookmarkStart w:id="1837" w:name="Tc_72It_dXReE2PBTH6_RENRg_6_12"/>
      <w:bookmarkStart w:id="1838" w:name="Tc_f1Zc0tDvRECgz4JxIrLN5Q_6_6"/>
      <w:bookmarkStart w:id="1839" w:name="Tc_AAzVQSKCl0SKz1rKcqSdxg_6_0"/>
      <w:bookmarkStart w:id="1840" w:name="Tc_baPjHAsI902KZfush4Oe6A_5_26"/>
      <w:bookmarkStart w:id="1841" w:name="Tc_k-xaPSdVM0uGPuYld5yt8Q_5_23"/>
      <w:bookmarkStart w:id="1842" w:name="Tc_q-q-sXkdmUKtfeS2cIRILg_5_20"/>
      <w:bookmarkStart w:id="1843" w:name="Tc_KZpJ7WVkSkitFq6gA1_CLA_5_17"/>
      <w:bookmarkStart w:id="1844" w:name="Tc_MUoAXLel6kiHixADyEVM2g_5_14"/>
      <w:bookmarkStart w:id="1845" w:name="Tc_ijNvaRtupUyr0VwCcy4epQ_5_11"/>
      <w:bookmarkStart w:id="1846" w:name="Tc_EYQzapTIS0qNuj-EY5cxow_5_8"/>
      <w:bookmarkStart w:id="1847" w:name="Tc_tOfOtgIzl0GMYXhW51SlfQ_5_5"/>
      <w:bookmarkStart w:id="1848" w:name="Tc_5-kQkDHyF0yo41M6r2wLEA_5_2"/>
      <w:bookmarkStart w:id="1849" w:name="Tc_zqZ-NSoWGUWDtt2tRdj4mw_5_0"/>
      <w:bookmarkStart w:id="1850" w:name="Tc_obTwHhFrFUqA4JfZ9mf5CQ_4_0"/>
      <w:bookmarkStart w:id="1851" w:name="Tc_vi0wl8qMEUG1gSAdZQfTRA_3_2"/>
      <w:bookmarkStart w:id="1852" w:name="Tc_rjKa3lDk3EqeWafWEInBAQ_2_26"/>
      <w:bookmarkStart w:id="1853" w:name="Tc_L5PHfntL8kCXLbgCmG3JWw_2_23"/>
      <w:bookmarkStart w:id="1854" w:name="Tc_ROeguxeAXUyyPg-vszHeBw_2_20"/>
      <w:bookmarkStart w:id="1855" w:name="Tc_jGxm6Wwxx0-hklsq_g2qiA_2_17"/>
      <w:bookmarkStart w:id="1856" w:name="Tc_chKn6GztFUSVe-GeAguagg_2_14"/>
      <w:bookmarkStart w:id="1857" w:name="Tc_EPgWrmBSyEObaw8JwNJaAg_2_11"/>
      <w:bookmarkStart w:id="1858" w:name="Tc_Xfy_H4uyzUKjWFrp-mRf1Q_2_8"/>
      <w:bookmarkStart w:id="1859" w:name="Tc_JcpQEhC5XkqLx-4Q4RbHMw_2_5"/>
      <w:bookmarkStart w:id="1860" w:name="Tc_uN99qdaDc0OC-cKiSb8aKQ_2_2"/>
      <w:bookmarkStart w:id="1861" w:name="Tc_leH13NeJCEaMMOGGOLM9PA_1_2"/>
      <w:bookmarkStart w:id="1862" w:name="_d219bfcb_a548_4f51_8a16_928ba46c8861"/>
      <w:bookmarkStart w:id="1863" w:name="Tc_siu7w4BoakaQnYudIJcGxQ_24_26"/>
      <w:bookmarkStart w:id="1864" w:name="Tc_hN1ChTLwc0evbcH1IC3Y6A_24_23"/>
      <w:bookmarkStart w:id="1865" w:name="Tc_zply7Jt4x02FYiBPQU0UfA_24_20"/>
      <w:bookmarkStart w:id="1866" w:name="Tc_ia9RxOOQ4E6FchZCx3-JPA_24_17"/>
      <w:bookmarkStart w:id="1867" w:name="Tc_qYKjsZ103kOuQlIrOKiKrw_24_14"/>
      <w:bookmarkStart w:id="1868" w:name="Tc_R7il5ELZqUyyBvLRYqU0gg_24_11"/>
      <w:bookmarkStart w:id="1869" w:name="Tc_PdVSiV6_nkuHka1A8cBz1w_24_8"/>
      <w:bookmarkStart w:id="1870" w:name="Tc_NQn3sb96k0GJwohDnbuURA_24_5"/>
      <w:bookmarkStart w:id="1871" w:name="Tc_Hat663dFNkW7UfsKqgEdaQ_24_2"/>
      <w:bookmarkStart w:id="1872" w:name="Tc_g3iM8Pwe6UeL-wUFhPcCww_24_0"/>
      <w:bookmarkStart w:id="1873" w:name="Tc_NVw0UM6QLkaGgcLfSVxCkg_23_0"/>
      <w:bookmarkStart w:id="1874" w:name="Tc_2tx7Yo2nsEeaK9L2urqjKA_22_24"/>
      <w:bookmarkStart w:id="1875" w:name="Tc_VJmd7MmSrUKEJn4nVzogjA_22_21"/>
      <w:bookmarkStart w:id="1876" w:name="Tc_tT8IFe1mx0-vt4ldlVkzqA_22_18"/>
      <w:bookmarkStart w:id="1877" w:name="Tc_qw8UcBXAAkCVozuYD5eoVw_22_15"/>
      <w:bookmarkStart w:id="1878" w:name="Tc_zhkgRdciA0SJ9WDrT8-4Ww_22_9"/>
      <w:bookmarkStart w:id="1879" w:name="Tc_quHeRjfUfUeyMQHNCoyrdw_22_0"/>
      <w:bookmarkStart w:id="1880" w:name="Tc_Lb_kBLyW2k6D2BOD583StQ_21_0"/>
      <w:bookmarkStart w:id="1881" w:name="Tc_1y2sPLMhzUefKSw4Z6vyUg_19_0"/>
      <w:bookmarkStart w:id="1882" w:name="Tc_mZnO7rtVpk25y8pOKxSaVw_18_21"/>
      <w:bookmarkStart w:id="1883" w:name="Tc_1hMoqtUhqEG0qweAgeLCfA_18_3"/>
      <w:bookmarkStart w:id="1884" w:name="Tc_UJ8K-D3KjESqhDtgkAA3LA_18_0"/>
      <w:bookmarkStart w:id="1885" w:name="Tc_8xCANjfDTUK4nchiOdkjuw_17_24"/>
      <w:bookmarkStart w:id="1886" w:name="Tc_lAzFGK_sbUGflpTI6vm8xg_17_21"/>
      <w:bookmarkStart w:id="1887" w:name="Tc_n_6ZT89P80OdGi3hF7EBCw_17_18"/>
      <w:bookmarkStart w:id="1888" w:name="Tc_cHA1zFR9SkS4nOUbwJQiRg_17_15"/>
      <w:bookmarkStart w:id="1889" w:name="Tc_FBFTNjWu10qgd9vsXwaZvA_17_12"/>
      <w:bookmarkStart w:id="1890" w:name="Tc_ZNJcAZeCPkOZYNWHdokf7g_17_9"/>
      <w:bookmarkStart w:id="1891" w:name="Tc_VTDcrOerDUeBGSTV69QE5Q_17_6"/>
      <w:bookmarkStart w:id="1892" w:name="Tc__mI51sNv2ECGnoLWcqwOog_17_0"/>
      <w:bookmarkStart w:id="1893" w:name="Tc_CDBRCS3UCUK8xUjVKJv58g_16_26"/>
      <w:bookmarkStart w:id="1894" w:name="Tc_0qrLGEzJdESF-9L8LtaPnQ_16_23"/>
      <w:bookmarkStart w:id="1895" w:name="Tc_NXLmaOWDSUSsDm5ezOPR-w_16_20"/>
      <w:bookmarkStart w:id="1896" w:name="Tc_kyA_MfLhEEOWP8jUqycG3w_16_17"/>
      <w:bookmarkStart w:id="1897" w:name="Tc_8vC1D0dnoka95SZhw7yW2g_16_14"/>
      <w:bookmarkStart w:id="1898" w:name="Tc_Qg9HLajeMUWHekulSvAZMA_16_11"/>
      <w:bookmarkStart w:id="1899" w:name="Tc_BVwOoT8De0ulvgMdosIYsQ_16_8"/>
      <w:bookmarkStart w:id="1900" w:name="Tc_ludYW8kJ1Eyl8h6-7qbaNA_16_5"/>
      <w:bookmarkStart w:id="1901" w:name="Tc_4wym1_sD00uiYrlc0mIsnA_16_2"/>
      <w:bookmarkStart w:id="1902" w:name="Tc_dAUegqeOqEmuGletuna66g_16_0"/>
      <w:bookmarkStart w:id="1903" w:name="Tc_0363Yg5N50KKEiwKb0WYmQ_15_0"/>
      <w:bookmarkStart w:id="1904" w:name="Tc_3Gg96SxVfkeNMy4WjtTC_A_14_26"/>
      <w:bookmarkStart w:id="1905" w:name="Tc_FAUEZtG-gUaf1tkAoCZ2Sg_14_23"/>
      <w:bookmarkStart w:id="1906" w:name="Tc_C7g3hVQscEaVEeuYQ9HW-A_14_20"/>
      <w:bookmarkStart w:id="1907" w:name="Tc__Ug_zdWFekiG4XJhYdtDaQ_14_17"/>
      <w:bookmarkStart w:id="1908" w:name="Tc_roy1C5bTnkeXaAlPEA025A_14_14"/>
      <w:bookmarkStart w:id="1909" w:name="Tc_u66MzqhhtUi3EIH2RNSwnw_14_11"/>
      <w:bookmarkStart w:id="1910" w:name="Tc_z-8ViNgwVk2omQIX8K-_UA_14_8"/>
      <w:bookmarkStart w:id="1911" w:name="Tc_LWzkB-Mq80yrDVzw1t8NOA_14_5"/>
      <w:bookmarkStart w:id="1912" w:name="Tc_7jUDzS5nYUWQQxLedNbHGw_14_2"/>
      <w:bookmarkStart w:id="1913" w:name="Tc_vopNtxiPIk6UxobDE2o2VQ_14_0"/>
      <w:bookmarkStart w:id="1914" w:name="Tc_NWnWK5IFdUCNI5zMrpwW8g_13_0"/>
      <w:bookmarkStart w:id="1915" w:name="Tc_mPp_jKdXaUieVkRAREzcaA_12_24"/>
      <w:bookmarkStart w:id="1916" w:name="Tc_vvK1RuwNskeOMjtwrB2eKw_12_15"/>
      <w:bookmarkStart w:id="1917" w:name="Tc_frTb3_L7rUi8R3Z1L3bxig_12_3"/>
      <w:bookmarkStart w:id="1918" w:name="Tc_T4XRbxb4pUG69QRSGqPDZw_12_0"/>
      <w:bookmarkStart w:id="1919" w:name="Tc_RN0Etd3j20-bSqKS5B18uA_11_21"/>
      <w:bookmarkStart w:id="1920" w:name="Tc_nNZnvBSnVkKyxMdWlV2Fgg_11_3"/>
      <w:bookmarkStart w:id="1921" w:name="Tc_8XkRTkaw2kGY-5oQryNpAw_11_0"/>
      <w:bookmarkStart w:id="1922" w:name="Tc_atVJao8HuUmlDS2BWUQ9mw_10_24"/>
      <w:bookmarkStart w:id="1923" w:name="Tc_tBiPY50I8Uu9NQJnacW_bA_10_15"/>
      <w:bookmarkStart w:id="1924" w:name="Tc_I3BEBX2GlUCrgpTOFx5tXg_10_3"/>
      <w:bookmarkStart w:id="1925" w:name="Tc_iUza9IV2pUOTOa_2w11ieQ_10_0"/>
      <w:bookmarkStart w:id="1926" w:name="Tc_0edvjQoE5EOGy9b-n8UJuA_9_24"/>
      <w:bookmarkStart w:id="1927" w:name="Tc_uFI6MZakeU6j5WtJ6M5y0A_9_21"/>
      <w:bookmarkStart w:id="1928" w:name="Tc_EDVibC4Ub0ilkLxdsqM3Rw_9_18"/>
      <w:bookmarkStart w:id="1929" w:name="Tc_xxhAKaH9qkChKyyXV0NhaA_9_12"/>
      <w:bookmarkStart w:id="1930" w:name="Tc_x5OlpkYqMkqCxcb0n3i3-A_9_9"/>
      <w:bookmarkStart w:id="1931" w:name="Tc_FAxCzyy8Y0i5MBouJGl_-w_9_6"/>
      <w:bookmarkStart w:id="1932" w:name="Tc_tAsh4EFtS0WauriU7K1H4w_9_3"/>
      <w:bookmarkStart w:id="1933" w:name="Tc_7ASnM_xH60uCDMas-QPqsA_9_0"/>
      <w:bookmarkStart w:id="1934" w:name="Tc_9ZlPS2DivUGR-GS7-0qOMw_8_24"/>
      <w:bookmarkStart w:id="1935" w:name="Tc_feIFd4xXZk-m_cXSJI5uzw_8_3"/>
      <w:bookmarkStart w:id="1936" w:name="Tc_GuyAD2haIES0TWoeSm6WaA_8_0"/>
      <w:bookmarkStart w:id="1937" w:name="Tc_Hfyu88z-ME666OLnxUW9UQ_7_24"/>
      <w:bookmarkStart w:id="1938" w:name="Tc_LHgsGmCkAkW3VWrGx0UaFA_7_21"/>
      <w:bookmarkStart w:id="1939" w:name="Tc_6DAzXTLeuESBPpRbQ6xlYg_7_18"/>
      <w:bookmarkStart w:id="1940" w:name="Tc_DH9ajUnCGkG6kSQpHkILWQ_7_12"/>
      <w:bookmarkStart w:id="1941" w:name="Tc_NTinHf0csk2DFfoiTFTZbA_7_9"/>
      <w:bookmarkStart w:id="1942" w:name="Tc_ZSZKIuH9B0ObqDxo1tNAQA_7_0"/>
      <w:bookmarkStart w:id="1943" w:name="Tc_xafuMZfk6ESifQED_Y9SVQ_6_21"/>
      <w:bookmarkStart w:id="1944" w:name="Tc_LqwmQaXczUqEBvBHFY8Jwg_6_12"/>
      <w:bookmarkStart w:id="1945" w:name="Tc_ZnKSSw7eQkejDf54UorCqQ_6_6"/>
      <w:bookmarkStart w:id="1946" w:name="Tc_zh2W4Hkw3kCV2ff8QC_RcQ_6_0"/>
      <w:bookmarkStart w:id="1947" w:name="Tc_3rQ466l-40-Blp6lnvQYwA_5_26"/>
      <w:bookmarkStart w:id="1948" w:name="Tc_KS0_9IrvHkCn_812V8oNjg_5_23"/>
      <w:bookmarkStart w:id="1949" w:name="Tc_IdplVJ_cC0WtZlWajkvPUQ_5_20"/>
      <w:bookmarkStart w:id="1950" w:name="Tc_yRE-woLD_EmymqKlphW04g_5_17"/>
      <w:bookmarkStart w:id="1951" w:name="Tc_Gc4pUHSZX0Ci2ct8qPHzyQ_5_14"/>
      <w:bookmarkStart w:id="1952" w:name="Tc_1IZHOPKvpEuMb2LRCaCWxg_5_11"/>
      <w:bookmarkStart w:id="1953" w:name="Tc_Z4jWzW1M7EOUFPdPgFWpjA_5_8"/>
      <w:bookmarkStart w:id="1954" w:name="Tc_nJ4WBUbleE6GYUPAuRx-9Q_5_5"/>
      <w:bookmarkStart w:id="1955" w:name="Tc_G0rqrZkk10O__V-9RA5pSQ_5_2"/>
      <w:bookmarkStart w:id="1956" w:name="Tc_T6TW_UdVLUWJ32alpFX-9A_5_0"/>
      <w:bookmarkStart w:id="1957" w:name="Tc_lR4ghPQD3EaQoaHGCsy2Pg_4_0"/>
      <w:bookmarkStart w:id="1958" w:name="Tc_nwLIdV7ahUm73c0X5VEcmw_3_2"/>
      <w:bookmarkStart w:id="1959" w:name="Tc_Db7Yx1Nwf0yl419PJN3TZg_2_26"/>
      <w:bookmarkStart w:id="1960" w:name="Tc_rj1aeuT_0E2JQDFpJj4STQ_2_23"/>
      <w:bookmarkStart w:id="1961" w:name="Tc_s54iV5byX02lMZ3v1ZQ2gQ_2_20"/>
      <w:bookmarkStart w:id="1962" w:name="Tc_LxAqo_jLFkqT423n9fPguQ_2_17"/>
      <w:bookmarkStart w:id="1963" w:name="Tc_0f3NYL1AK0-DewQPknCpLg_2_14"/>
      <w:bookmarkStart w:id="1964" w:name="Tc_A9zFysvkS0-lYKXrRHWm7Q_2_11"/>
      <w:bookmarkStart w:id="1965" w:name="Tc_1wutMe0O3E-RN-GovWp98A_2_8"/>
      <w:bookmarkStart w:id="1966" w:name="Tc_ncHUkpbSOkeIiMI48Pmatw_2_5"/>
      <w:bookmarkStart w:id="1967" w:name="Tc_JNdrfZB3PE2onI1JJ3SZQw_2_2"/>
      <w:bookmarkStart w:id="1968" w:name="Tc_pPThw42WqUCxuqDh-Zxh7w_1_2"/>
      <w:bookmarkStart w:id="1969" w:name="_f3388f2b_b566_4a3b_ab49_698c295644ff"/>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r>
        <w:rPr>
          <w:rFonts w:ascii="Times New Roman;Times;serif" w:hAnsi="Times New Roman;Times;serif"/>
          <w:b/>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93"/>
        <w:gridCol w:w="109"/>
        <w:gridCol w:w="224"/>
        <w:gridCol w:w="542"/>
        <w:gridCol w:w="109"/>
        <w:gridCol w:w="181"/>
        <w:gridCol w:w="436"/>
        <w:gridCol w:w="109"/>
        <w:gridCol w:w="233"/>
        <w:gridCol w:w="563"/>
        <w:gridCol w:w="109"/>
        <w:gridCol w:w="252"/>
        <w:gridCol w:w="484"/>
        <w:gridCol w:w="109"/>
        <w:gridCol w:w="181"/>
        <w:gridCol w:w="436"/>
        <w:gridCol w:w="109"/>
        <w:gridCol w:w="201"/>
        <w:gridCol w:w="385"/>
        <w:gridCol w:w="109"/>
        <w:gridCol w:w="196"/>
        <w:gridCol w:w="375"/>
        <w:gridCol w:w="109"/>
        <w:gridCol w:w="181"/>
        <w:gridCol w:w="514"/>
        <w:gridCol w:w="109"/>
        <w:gridCol w:w="218"/>
        <w:gridCol w:w="729"/>
      </w:tblGrid>
      <w:tr>
        <w:trPr/>
        <w:tc>
          <w:tcPr>
            <w:tcW w:w="2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837055" cy="175260"/>
                      <wp:effectExtent l="0" t="0" r="0" b="0"/>
                      <wp:wrapNone/>
                      <wp:docPr id="413" name="Frame413"/>
                      <a:graphic xmlns:a="http://schemas.openxmlformats.org/drawingml/2006/main">
                        <a:graphicData uri="http://schemas.microsoft.com/office/word/2010/wordprocessingShape">
                          <wps:wsp>
                            <wps:cNvSpPr txBox="1"/>
                            <wps:spPr>
                              <a:xfrm>
                                <a:off x="0" y="0"/>
                                <a:ext cx="183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4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42240" cy="175260"/>
                      <wp:effectExtent l="0" t="0" r="0" b="0"/>
                      <wp:wrapNone/>
                      <wp:docPr id="415" name="Frame415"/>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44170" cy="175260"/>
                      <wp:effectExtent l="0" t="0" r="0" b="0"/>
                      <wp:wrapNone/>
                      <wp:docPr id="416" name="Frame416"/>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7"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14935" cy="175260"/>
                      <wp:effectExtent l="0" t="0" r="0" b="0"/>
                      <wp:wrapNone/>
                      <wp:docPr id="418" name="Frame4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76860" cy="175260"/>
                      <wp:effectExtent l="0" t="0" r="0" b="0"/>
                      <wp:wrapNone/>
                      <wp:docPr id="419" name="Frame41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7955" cy="175260"/>
                      <wp:effectExtent l="0" t="0" r="0" b="0"/>
                      <wp:wrapNone/>
                      <wp:docPr id="421" name="Frame42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57505" cy="175260"/>
                      <wp:effectExtent l="0" t="0" r="0" b="0"/>
                      <wp:wrapNone/>
                      <wp:docPr id="422" name="Frame422"/>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60020" cy="175260"/>
                      <wp:effectExtent l="0" t="0" r="0" b="0"/>
                      <wp:wrapNone/>
                      <wp:docPr id="424" name="Frame42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07340" cy="175260"/>
                      <wp:effectExtent l="0" t="0" r="0" b="0"/>
                      <wp:wrapNone/>
                      <wp:docPr id="425" name="Frame425"/>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14935" cy="175260"/>
                      <wp:effectExtent l="0" t="0" r="0" b="0"/>
                      <wp:wrapNone/>
                      <wp:docPr id="427" name="Frame4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76860" cy="175260"/>
                      <wp:effectExtent l="0" t="0" r="0" b="0"/>
                      <wp:wrapNone/>
                      <wp:docPr id="428" name="Frame42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9215" cy="175260"/>
                      <wp:effectExtent l="0" t="0" r="0" b="0"/>
                      <wp:wrapNone/>
                      <wp:docPr id="429"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27635" cy="175260"/>
                      <wp:effectExtent l="0" t="0" r="0" b="0"/>
                      <wp:wrapNone/>
                      <wp:docPr id="430" name="Frame430"/>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44475" cy="175260"/>
                      <wp:effectExtent l="0" t="0" r="0" b="0"/>
                      <wp:wrapNone/>
                      <wp:docPr id="431" name="Frame43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9215" cy="175260"/>
                      <wp:effectExtent l="0" t="0" r="0" b="0"/>
                      <wp:wrapNone/>
                      <wp:docPr id="432"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24460" cy="175260"/>
                      <wp:effectExtent l="0" t="0" r="0" b="0"/>
                      <wp:wrapNone/>
                      <wp:docPr id="433" name="Frame4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38125" cy="175260"/>
                      <wp:effectExtent l="0" t="0" r="0" b="0"/>
                      <wp:wrapNone/>
                      <wp:docPr id="434" name="Frame43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215" cy="175260"/>
                      <wp:effectExtent l="0" t="0" r="0" b="0"/>
                      <wp:wrapNone/>
                      <wp:docPr id="435" name="Frame4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14935" cy="175260"/>
                      <wp:effectExtent l="0" t="0" r="0" b="0"/>
                      <wp:wrapNone/>
                      <wp:docPr id="436" name="Frame4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26390" cy="175260"/>
                      <wp:effectExtent l="0" t="0" r="0" b="0"/>
                      <wp:wrapNone/>
                      <wp:docPr id="437" name="Frame437"/>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4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8430" cy="175260"/>
                      <wp:effectExtent l="0" t="0" r="0" b="0"/>
                      <wp:wrapNone/>
                      <wp:docPr id="439" name="Frame43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62915" cy="175260"/>
                      <wp:effectExtent l="0" t="0" r="0" b="0"/>
                      <wp:wrapNone/>
                      <wp:docPr id="440" name="Frame440"/>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03"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109" w:type="dxa"/>
            <w:tcBorders/>
            <w:vAlign w:val="center"/>
          </w:tcPr>
          <w:p>
            <w:pPr>
              <w:pStyle w:val="TableContents"/>
              <w:bidi w:val="0"/>
              <w:spacing w:before="0" w:after="0"/>
              <w:ind w:left="0" w:right="0" w:hanging="0"/>
              <w:jc w:val="center"/>
              <w:rPr/>
            </w:pPr>
            <w:r>
              <w:rPr/>
              <w:t>​</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0"/>
              <w:ind w:left="0" w:right="0" w:hanging="0"/>
              <w:jc w:val="center"/>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03"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893"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center"/>
              <w:rPr/>
            </w:pPr>
            <w:r>
              <w:rPr/>
              <w:t>​</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737</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1,221</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1,971</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1,498</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Related party note receivable</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978</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366</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765</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3,616</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619</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2,363</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1,157</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12,890</w:t>
            </w:r>
          </w:p>
        </w:tc>
      </w:tr>
      <w:tr>
        <w:trPr/>
        <w:tc>
          <w:tcPr>
            <w:tcW w:w="289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1,578</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711</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3,355</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6,389</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1,752</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3,361</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736</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4,501</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10,744</w:t>
            </w:r>
          </w:p>
        </w:tc>
      </w:tr>
      <w:tr>
        <w:trPr/>
        <w:tc>
          <w:tcPr>
            <w:tcW w:w="28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575</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1,128</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(3,705)</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1,009</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1,137</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1,108</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554</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1,128</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(3,705)</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2,146</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1,157</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796</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12,890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93"/>
        <w:gridCol w:w="109"/>
        <w:gridCol w:w="224"/>
        <w:gridCol w:w="542"/>
        <w:gridCol w:w="109"/>
        <w:gridCol w:w="181"/>
        <w:gridCol w:w="436"/>
        <w:gridCol w:w="109"/>
        <w:gridCol w:w="233"/>
        <w:gridCol w:w="563"/>
        <w:gridCol w:w="109"/>
        <w:gridCol w:w="252"/>
        <w:gridCol w:w="484"/>
        <w:gridCol w:w="109"/>
        <w:gridCol w:w="181"/>
        <w:gridCol w:w="436"/>
        <w:gridCol w:w="109"/>
        <w:gridCol w:w="201"/>
        <w:gridCol w:w="385"/>
        <w:gridCol w:w="109"/>
        <w:gridCol w:w="196"/>
        <w:gridCol w:w="375"/>
        <w:gridCol w:w="109"/>
        <w:gridCol w:w="181"/>
        <w:gridCol w:w="514"/>
        <w:gridCol w:w="109"/>
        <w:gridCol w:w="218"/>
        <w:gridCol w:w="729"/>
      </w:tblGrid>
      <w:tr>
        <w:trPr/>
        <w:tc>
          <w:tcPr>
            <w:tcW w:w="2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837055" cy="175260"/>
                      <wp:effectExtent l="0" t="0" r="0" b="0"/>
                      <wp:wrapNone/>
                      <wp:docPr id="441" name="Frame441"/>
                      <a:graphic xmlns:a="http://schemas.openxmlformats.org/drawingml/2006/main">
                        <a:graphicData uri="http://schemas.microsoft.com/office/word/2010/wordprocessingShape">
                          <wps:wsp>
                            <wps:cNvSpPr txBox="1"/>
                            <wps:spPr>
                              <a:xfrm>
                                <a:off x="0" y="0"/>
                                <a:ext cx="183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9215" cy="175260"/>
                      <wp:effectExtent l="0" t="0" r="0" b="0"/>
                      <wp:wrapNone/>
                      <wp:docPr id="442" name="Frame4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42240" cy="175260"/>
                      <wp:effectExtent l="0" t="0" r="0" b="0"/>
                      <wp:wrapNone/>
                      <wp:docPr id="443" name="Frame44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44170" cy="175260"/>
                      <wp:effectExtent l="0" t="0" r="0" b="0"/>
                      <wp:wrapNone/>
                      <wp:docPr id="444" name="Frame444"/>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9215" cy="175260"/>
                      <wp:effectExtent l="0" t="0" r="0" b="0"/>
                      <wp:wrapNone/>
                      <wp:docPr id="445" name="Frame4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14935" cy="175260"/>
                      <wp:effectExtent l="0" t="0" r="0" b="0"/>
                      <wp:wrapNone/>
                      <wp:docPr id="446" name="Frame4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76860" cy="175260"/>
                      <wp:effectExtent l="0" t="0" r="0" b="0"/>
                      <wp:wrapNone/>
                      <wp:docPr id="447" name="Frame44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9215" cy="175260"/>
                      <wp:effectExtent l="0" t="0" r="0" b="0"/>
                      <wp:wrapNone/>
                      <wp:docPr id="448" name="Frame4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47955" cy="175260"/>
                      <wp:effectExtent l="0" t="0" r="0" b="0"/>
                      <wp:wrapNone/>
                      <wp:docPr id="449" name="Frame44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357505" cy="175260"/>
                      <wp:effectExtent l="0" t="0" r="0" b="0"/>
                      <wp:wrapNone/>
                      <wp:docPr id="450" name="Frame450"/>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9215" cy="175260"/>
                      <wp:effectExtent l="0" t="0" r="0" b="0"/>
                      <wp:wrapNone/>
                      <wp:docPr id="451" name="Frame4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60020" cy="175260"/>
                      <wp:effectExtent l="0" t="0" r="0" b="0"/>
                      <wp:wrapNone/>
                      <wp:docPr id="452" name="Frame45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07340" cy="175260"/>
                      <wp:effectExtent l="0" t="0" r="0" b="0"/>
                      <wp:wrapNone/>
                      <wp:docPr id="453" name="Frame453"/>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215" cy="175260"/>
                      <wp:effectExtent l="0" t="0" r="0" b="0"/>
                      <wp:wrapNone/>
                      <wp:docPr id="454" name="Frame4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14935" cy="175260"/>
                      <wp:effectExtent l="0" t="0" r="0" b="0"/>
                      <wp:wrapNone/>
                      <wp:docPr id="455" name="Frame4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76860" cy="175260"/>
                      <wp:effectExtent l="0" t="0" r="0" b="0"/>
                      <wp:wrapNone/>
                      <wp:docPr id="456" name="Frame45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9215" cy="175260"/>
                      <wp:effectExtent l="0" t="0" r="0" b="0"/>
                      <wp:wrapNone/>
                      <wp:docPr id="457" name="Frame4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27635" cy="175260"/>
                      <wp:effectExtent l="0" t="0" r="0" b="0"/>
                      <wp:wrapNone/>
                      <wp:docPr id="458" name="Frame45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44475" cy="175260"/>
                      <wp:effectExtent l="0" t="0" r="0" b="0"/>
                      <wp:wrapNone/>
                      <wp:docPr id="459" name="Frame459"/>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60" name="Frame4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24460" cy="175260"/>
                      <wp:effectExtent l="0" t="0" r="0" b="0"/>
                      <wp:wrapNone/>
                      <wp:docPr id="461" name="Frame4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38125" cy="175260"/>
                      <wp:effectExtent l="0" t="0" r="0" b="0"/>
                      <wp:wrapNone/>
                      <wp:docPr id="462" name="Frame46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14935" cy="175260"/>
                      <wp:effectExtent l="0" t="0" r="0" b="0"/>
                      <wp:wrapNone/>
                      <wp:docPr id="464" name="Frame4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26390" cy="175260"/>
                      <wp:effectExtent l="0" t="0" r="0" b="0"/>
                      <wp:wrapNone/>
                      <wp:docPr id="465" name="Frame465"/>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9215" cy="175260"/>
                      <wp:effectExtent l="0" t="0" r="0" b="0"/>
                      <wp:wrapNone/>
                      <wp:docPr id="466" name="Frame4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8430" cy="175260"/>
                      <wp:effectExtent l="0" t="0" r="0" b="0"/>
                      <wp:wrapNone/>
                      <wp:docPr id="467" name="Frame46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62915" cy="175260"/>
                      <wp:effectExtent l="0" t="0" r="0" b="0"/>
                      <wp:wrapNone/>
                      <wp:docPr id="468" name="Frame468"/>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03"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2025</w:t>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0"/>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0"/>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109" w:type="dxa"/>
            <w:tcBorders/>
            <w:vAlign w:val="center"/>
          </w:tcPr>
          <w:p>
            <w:pPr>
              <w:pStyle w:val="TableContents"/>
              <w:bidi w:val="0"/>
              <w:spacing w:before="0" w:after="0"/>
              <w:ind w:left="0" w:right="0" w:hanging="0"/>
              <w:jc w:val="center"/>
              <w:rPr/>
            </w:pPr>
            <w:r>
              <w:rPr/>
              <w:t>​</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0"/>
              <w:ind w:left="0" w:right="0" w:hanging="0"/>
              <w:jc w:val="center"/>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8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03"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893" w:type="dxa"/>
            <w:tcBorders/>
            <w:shd w:fill="CCEEFF" w:val="cle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center"/>
              <w:rPr/>
            </w:pPr>
            <w:r>
              <w:rPr/>
              <w:t>​</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511</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839</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1,450</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1,969</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2,251</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Related party notes receivable,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845</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2,333</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351</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787</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3,670</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422</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369</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2,869</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14,215</w:t>
            </w:r>
          </w:p>
        </w:tc>
      </w:tr>
      <w:tr>
        <w:trPr/>
        <w:tc>
          <w:tcPr>
            <w:tcW w:w="2893"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2,791</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1,382</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1,765</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4,664</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6,616</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2,844</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793</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4,748</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10,789</w:t>
            </w:r>
          </w:p>
        </w:tc>
      </w:tr>
      <w:tr>
        <w:trPr/>
        <w:tc>
          <w:tcPr>
            <w:tcW w:w="28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left"/>
              <w:rPr/>
            </w:pPr>
            <w:r>
              <w:rPr/>
              <w:t>​</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2,711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722</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1,091</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(3,500)</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1,942</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1,484</w:t>
            </w:r>
          </w:p>
        </w:tc>
      </w:tr>
      <w:tr>
        <w:trPr/>
        <w:tc>
          <w:tcPr>
            <w:tcW w:w="28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3,623</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1,285</w:t>
            </w:r>
          </w:p>
        </w:tc>
        <w:tc>
          <w:tcPr>
            <w:tcW w:w="109"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1,091</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(3,500)</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3,426</w:t>
            </w:r>
          </w:p>
        </w:tc>
      </w:tr>
      <w:tr>
        <w:trPr/>
        <w:tc>
          <w:tcPr>
            <w:tcW w:w="28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4,129</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1,124</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14,215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June 30, 2026, we recorded an income tax expense of $2 million on pre-tax loss of $386 million compared to an income tax benefit of $45 million on pre-tax loss of $246 million for the three months ended June 30, 2025. Our effective income tax rate was (0.5%) and 17.5% for the three 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2026, the effective tax rate was lower than the statutory federal rate of 21%, for corporations, primarily due to partnership loss for which there was no tax benefit as such loss is allocated to the partners, changes in pre-tax earnings attributable to noncontrolling interests and changes in valuation allowances. For the three months ended June 30, 2025, the effective tax rate was lower than the statutory federal rate of 21%, for corporations, primarily due to changes in the valuation allowance and from partnership loss for which there was no tax benefit as such loss is allocated to the partners. </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2026, we recorded an income tax benefit of $47 million on pre-tax loss of $998 million compared to an income tax benefit of $119 million on pre-tax loss of $900 million for the six months ended June 30, 2025. Our effective income tax rate was 4.7% and 13.0% for the six months ended June 30, 2026 and 2025,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2026, the effective tax rate was lower than the statutory federal rate of 21%, for corporations, primarily due to partnership loss for which there was no tax benefit as such loss is allocated to the partners, changes in pre-tax earnings attributable to noncontrolling interests and changes in valuation allowances. For the six months ended June 30, 2025, the effective tax rate was lower than the statutory federal rate of 21%, for corporations, primarily due to changes in the valuation allowance and from partnership loss for which there was no tax benefit as such loss is allocated to the partners. </w:t>
      </w:r>
    </w:p>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970" w:name="Tc_82MlDucGk0OpoCcvKp4lww_8_8"/>
      <w:bookmarkStart w:id="1971" w:name="Tc_qBUXI9yuREGBIY8jle7EeQ_8_5"/>
      <w:bookmarkStart w:id="1972" w:name="Tc_LTG0QdkyTUqcgAUuYvfXyQ_8_2"/>
      <w:bookmarkStart w:id="1973" w:name="Tc_Iw4wukvf2U2GzEq0V3Utwg_8_0"/>
      <w:bookmarkStart w:id="1974" w:name="Tc_qhfFtuZElEO3IxdBwz6fUA_7_6"/>
      <w:bookmarkStart w:id="1975" w:name="Tc_o5E_H-5ZnkqyhSX_H0csBw_7_0"/>
      <w:bookmarkStart w:id="1976" w:name="Tc_QCVTr_Wn7EGe8M80gvbIlg_6_6"/>
      <w:bookmarkStart w:id="1977" w:name="Tc_J5O7FbNIk0yWiPdGvD6GIg_6_0"/>
      <w:bookmarkStart w:id="1978" w:name="Tc_n2iqV0vh9UGhUFkWt7D5tw_5_8"/>
      <w:bookmarkStart w:id="1979" w:name="Tc_IcmQura4SkObTncc5lfDoQ_5_5"/>
      <w:bookmarkStart w:id="1980" w:name="Tc_BkoWyq4cYUyYcPq1cX9uuw_5_2"/>
      <w:bookmarkStart w:id="1981" w:name="Tc_QfqbK2aVJUqVku0ANpaYxg_5_0"/>
      <w:bookmarkStart w:id="1982" w:name="Tc_kjKoIt7cy0S0WQXUH96K0w_4_2"/>
      <w:bookmarkStart w:id="1983" w:name="Tc_HAgntLhsq0CmSFxPIyCDVg_3_8"/>
      <w:bookmarkStart w:id="1984" w:name="Tc_ETu0Fk2YWE64XBDJnlkm8w_3_5"/>
      <w:bookmarkStart w:id="1985" w:name="Tc_rO5JGeWIbECHFvXaQcqXAQ_3_2"/>
      <w:bookmarkStart w:id="1986" w:name="Tc_9AEt6Mc2RU-jld_w50eLXA_2_5"/>
      <w:bookmarkStart w:id="1987" w:name="Tc_EZQbdjKe7U-O_onGFqvwMQ_2_2"/>
      <w:bookmarkStart w:id="1988" w:name="Tc__E3D96U6h0S7jW7qQOHhdA_1_5"/>
      <w:bookmarkStart w:id="1989" w:name="Tc_VrFTeAzkR0-EiiONim-jBg_1_2"/>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r>
        <w:rPr>
          <w:rFonts w:ascii="Times New Roman;Times;serif" w:hAnsi="Times New Roman;Times;serif"/>
          <w:b/>
          <w:sz w:val="20"/>
        </w:rPr>
        <w:t>15.  Changes in 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accumulated other comprehensive loss consists of the following:</w:t>
      </w:r>
    </w:p>
    <w:p>
      <w:pPr>
        <w:pStyle w:val="TextBody"/>
        <w:bidi w:val="0"/>
        <w:spacing w:before="0" w:after="0"/>
        <w:ind w:left="0" w:right="0" w:hanging="0"/>
        <w:jc w:val="left"/>
        <w:rPr/>
      </w:pPr>
      <w:r>
        <w:rPr/>
        <w:t>​</w:t>
      </w:r>
    </w:p>
    <w:tbl>
      <w:tblPr>
        <w:tblW w:w="9682" w:type="dxa"/>
        <w:jc w:val="left"/>
        <w:tblInd w:w="0" w:type="dxa"/>
        <w:tblLayout w:type="fixed"/>
        <w:tblCellMar>
          <w:top w:w="0" w:type="dxa"/>
          <w:left w:w="0" w:type="dxa"/>
          <w:bottom w:w="0" w:type="dxa"/>
          <w:right w:w="0" w:type="dxa"/>
        </w:tblCellMar>
      </w:tblPr>
      <w:tblGrid>
        <w:gridCol w:w="4966"/>
        <w:gridCol w:w="346"/>
        <w:gridCol w:w="543"/>
        <w:gridCol w:w="972"/>
        <w:gridCol w:w="346"/>
        <w:gridCol w:w="528"/>
        <w:gridCol w:w="943"/>
        <w:gridCol w:w="346"/>
        <w:gridCol w:w="211"/>
        <w:gridCol w:w="481"/>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153410" cy="175260"/>
                      <wp:effectExtent l="0" t="0" r="0" b="0"/>
                      <wp:wrapNone/>
                      <wp:docPr id="469" name="Frame469"/>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44805" cy="175260"/>
                      <wp:effectExtent l="0" t="0" r="0" b="0"/>
                      <wp:wrapNone/>
                      <wp:docPr id="471" name="Frame471"/>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17220" cy="175260"/>
                      <wp:effectExtent l="0" t="0" r="0" b="0"/>
                      <wp:wrapNone/>
                      <wp:docPr id="472" name="Frame472"/>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35280" cy="175260"/>
                      <wp:effectExtent l="0" t="0" r="0" b="0"/>
                      <wp:wrapNone/>
                      <wp:docPr id="474" name="Frame474"/>
                      <a:graphic xmlns:a="http://schemas.openxmlformats.org/drawingml/2006/main">
                        <a:graphicData uri="http://schemas.microsoft.com/office/word/2010/wordprocessingShape">
                          <wps:wsp>
                            <wps:cNvSpPr txBox="1"/>
                            <wps:spPr>
                              <a:xfrm>
                                <a:off x="0" y="0"/>
                                <a:ext cx="335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98805" cy="175260"/>
                      <wp:effectExtent l="0" t="0" r="0" b="0"/>
                      <wp:wrapNone/>
                      <wp:docPr id="475" name="Frame475"/>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33985" cy="175260"/>
                      <wp:effectExtent l="0" t="0" r="0" b="0"/>
                      <wp:wrapNone/>
                      <wp:docPr id="477"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05435" cy="175260"/>
                      <wp:effectExtent l="0" t="0" r="0" b="0"/>
                      <wp:wrapNone/>
                      <wp:docPr id="478" name="Frame47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center"/>
              <w:rPr/>
            </w:pPr>
            <w:r>
              <w:rPr/>
              <w:t>​</w:t>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46" w:type="dxa"/>
            <w:tcBorders/>
            <w:vAlign w:val="center"/>
          </w:tcPr>
          <w:p>
            <w:pPr>
              <w:pStyle w:val="TableContents"/>
              <w:bidi w:val="0"/>
              <w:spacing w:before="0" w:after="1"/>
              <w:ind w:left="0" w:right="0" w:hanging="0"/>
              <w:jc w:val="left"/>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968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70"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before reclassifications, net of tax</w:t>
            </w:r>
          </w:p>
        </w:tc>
        <w:tc>
          <w:tcPr>
            <w:tcW w:w="346" w:type="dxa"/>
            <w:tcBorders/>
            <w:vAlign w:val="center"/>
          </w:tcPr>
          <w:p>
            <w:pPr>
              <w:pStyle w:val="TableContents"/>
              <w:bidi w:val="0"/>
              <w:spacing w:before="0" w:after="1"/>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5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5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346" w:type="dxa"/>
            <w:tcBorders/>
            <w:vAlign w:val="center"/>
          </w:tcPr>
          <w:p>
            <w:pPr>
              <w:pStyle w:val="TableContents"/>
              <w:bidi w:val="0"/>
              <w:spacing w:before="0" w:after="1"/>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pPr>
            <w:r>
              <w:rPr/>
              <w:t>​</w:t>
            </w:r>
          </w:p>
        </w:tc>
        <w:tc>
          <w:tcPr>
            <w:tcW w:w="5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90" w:name="Tc_0bn5L88ipkuNgaXvHjfBgA_8_11"/>
      <w:bookmarkStart w:id="1991" w:name="Tc_BeqxH8BTMEKWMKna57Qrhw_8_8"/>
      <w:bookmarkStart w:id="1992" w:name="Tc_v1fwCuCIXUi_nUbG26szWw_8_5"/>
      <w:bookmarkStart w:id="1993" w:name="Tc_eW7yUKuKEEuqTPVBu-4-pw_8_2"/>
      <w:bookmarkStart w:id="1994" w:name="Tc_AvkrRsOxYkCawVFXE6-Q1A_7_0"/>
      <w:bookmarkStart w:id="1995" w:name="Tc_0eA6dTLMt0CG3zK02bIzqA_6_3"/>
      <w:bookmarkStart w:id="1996" w:name="Tc_aQlNW1ZxW0GBsy1GIWagEw_6_0"/>
      <w:bookmarkStart w:id="1997" w:name="Tc_IKYuk1mgYEqpwWiAyFm4-g_5_0"/>
      <w:bookmarkStart w:id="1998" w:name="Tc_CVUIQVYw4ECyzfQNsXTU7Q_4_11"/>
      <w:bookmarkStart w:id="1999" w:name="Tc_n7Z0RAyxLkKodUOHzmi25Q_4_8"/>
      <w:bookmarkStart w:id="2000" w:name="Tc_iwVU2wMf-kqkIyAIeP5IiQ_4_5"/>
      <w:bookmarkStart w:id="2001" w:name="Tc_-_jbPljxK02M9l7SZ35sXg_4_2"/>
      <w:bookmarkStart w:id="2002" w:name="Tc_Sb2Xa7_O-0W6gHeTEC8PBg_4_0"/>
      <w:bookmarkStart w:id="2003" w:name="Tc_Jkqj-VtO6kiSSVaZXxLi6A_3_2"/>
      <w:bookmarkStart w:id="2004" w:name="Tc_1tHnaAXT60i0-egGV2AOLg_2_11"/>
      <w:bookmarkStart w:id="2005" w:name="Tc_dfgp4ftwcEilWdJx8CaT7g_2_8"/>
      <w:bookmarkStart w:id="2006" w:name="Tc_iyz8qP4UC02u9ivXWryXvg_2_5"/>
      <w:bookmarkStart w:id="2007" w:name="Tc_iceitdN-dki6EUU0_vXMnQ_2_2"/>
      <w:bookmarkStart w:id="2008" w:name="Tc_Yafk7o8lt0iI_EtMv8va8w_1_8"/>
      <w:bookmarkStart w:id="2009" w:name="Tc_9AqR6V0BVECDP2qR1IjmOQ_1_2"/>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r>
        <w:rPr>
          <w:rFonts w:ascii="Times New Roman;Times;serif" w:hAnsi="Times New Roman;Times;serif"/>
          <w:b/>
          <w:sz w:val="20"/>
        </w:rPr>
        <w:t>16.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net consists of the following:</w:t>
      </w:r>
    </w:p>
    <w:p>
      <w:pPr>
        <w:pStyle w:val="TextBody"/>
        <w:bidi w:val="0"/>
        <w:spacing w:before="0" w:after="0"/>
        <w:ind w:left="0" w:right="0" w:hanging="0"/>
        <w:jc w:val="left"/>
        <w:rPr/>
      </w:pPr>
      <w:r>
        <w:rPr/>
        <w:t>​</w:t>
      </w:r>
    </w:p>
    <w:tbl>
      <w:tblPr>
        <w:tblW w:w="9886" w:type="dxa"/>
        <w:jc w:val="left"/>
        <w:tblInd w:w="0" w:type="dxa"/>
        <w:tblLayout w:type="fixed"/>
        <w:tblCellMar>
          <w:top w:w="0" w:type="dxa"/>
          <w:left w:w="0" w:type="dxa"/>
          <w:bottom w:w="0" w:type="dxa"/>
          <w:right w:w="0" w:type="dxa"/>
        </w:tblCellMar>
      </w:tblPr>
      <w:tblGrid>
        <w:gridCol w:w="4051"/>
        <w:gridCol w:w="346"/>
        <w:gridCol w:w="390"/>
        <w:gridCol w:w="639"/>
        <w:gridCol w:w="639"/>
        <w:gridCol w:w="390"/>
        <w:gridCol w:w="611"/>
        <w:gridCol w:w="346"/>
        <w:gridCol w:w="321"/>
        <w:gridCol w:w="664"/>
        <w:gridCol w:w="527"/>
        <w:gridCol w:w="321"/>
        <w:gridCol w:w="64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572385" cy="175260"/>
                      <wp:effectExtent l="0" t="0" r="0" b="0"/>
                      <wp:wrapNone/>
                      <wp:docPr id="479" name="Frame479"/>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47650" cy="175260"/>
                      <wp:effectExtent l="0" t="0" r="0" b="0"/>
                      <wp:wrapNone/>
                      <wp:docPr id="481" name="Frame481"/>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05765" cy="175260"/>
                      <wp:effectExtent l="0" t="0" r="0" b="0"/>
                      <wp:wrapNone/>
                      <wp:docPr id="482" name="Frame482"/>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05765" cy="175260"/>
                      <wp:effectExtent l="0" t="0" r="0" b="0"/>
                      <wp:wrapNone/>
                      <wp:docPr id="483" name="Frame483"/>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47650" cy="175260"/>
                      <wp:effectExtent l="0" t="0" r="0" b="0"/>
                      <wp:wrapNone/>
                      <wp:docPr id="484" name="Frame484"/>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87985" cy="175260"/>
                      <wp:effectExtent l="0" t="0" r="0" b="0"/>
                      <wp:wrapNone/>
                      <wp:docPr id="485" name="Frame485"/>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3835" cy="175260"/>
                      <wp:effectExtent l="0" t="0" r="0" b="0"/>
                      <wp:wrapNone/>
                      <wp:docPr id="487" name="Frame487"/>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21640" cy="175260"/>
                      <wp:effectExtent l="0" t="0" r="0" b="0"/>
                      <wp:wrapNone/>
                      <wp:docPr id="488" name="Frame488"/>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34645" cy="175260"/>
                      <wp:effectExtent l="0" t="0" r="0" b="0"/>
                      <wp:wrapNone/>
                      <wp:docPr id="489" name="Frame489"/>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3835" cy="175260"/>
                      <wp:effectExtent l="0" t="0" r="0" b="0"/>
                      <wp:wrapNone/>
                      <wp:docPr id="490" name="Frame49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07035" cy="175260"/>
                      <wp:effectExtent l="0" t="0" r="0" b="0"/>
                      <wp:wrapNone/>
                      <wp:docPr id="491" name="Frame491"/>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639"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27"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988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89"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earnings from non-consolidated affiliates</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39"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2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transaction (loss) gain</w:t>
            </w:r>
          </w:p>
        </w:tc>
        <w:tc>
          <w:tcPr>
            <w:tcW w:w="346"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 </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39"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2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net</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639"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52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39" w:type="dxa"/>
            <w:tcBorders/>
            <w:vAlign w:val="center"/>
          </w:tcPr>
          <w:p>
            <w:pPr>
              <w:pStyle w:val="TableContents"/>
              <w:bidi w:val="0"/>
              <w:spacing w:before="0" w:after="0"/>
              <w:ind w:left="0" w:right="0" w:hanging="0"/>
              <w:jc w:val="left"/>
              <w:rPr/>
            </w:pPr>
            <w:r>
              <w:rPr/>
              <w:t>​</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27"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39" w:type="dxa"/>
            <w:tcBorders/>
            <w:shd w:fill="CCEEFF" w:val="clear"/>
            <w:vAlign w:val="center"/>
          </w:tcPr>
          <w:p>
            <w:pPr>
              <w:pStyle w:val="TableContents"/>
              <w:bidi w:val="0"/>
              <w:spacing w:before="0" w:after="0"/>
              <w:ind w:left="0" w:right="0" w:hanging="0"/>
              <w:jc w:val="left"/>
              <w:rPr/>
            </w:pPr>
            <w:r>
              <w:rPr/>
              <w:t>​</w:t>
            </w:r>
          </w:p>
        </w:tc>
        <w:tc>
          <w:tcPr>
            <w:tcW w:w="3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27"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Due to the nature of our business, certain of our subsidiaries’ operations are subject to numerous existing and proposed laws and governmental regulations designed to protect human health and safety and the environment,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particularly regarding plant wastes and emissions and solid waste disposal. We do not believe that environmental matters will have a material adverse impact on our consolidated results of operations and financial condition.</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Energy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Call Option Coverage Cases</w:t>
      </w:r>
      <w:r>
        <w:rPr>
          <w:rFonts w:ascii="Times New Roman;Times;serif" w:hAnsi="Times New Roman;Times;serif"/>
          <w:sz w:val="20"/>
        </w:rPr>
        <w:t xml:space="preserve"> – The appeal filed by CVR Energy and certain of its affiliates (the “Call Defendants”) of the summary judgment granted in Texas state court (the “Texas Suit”) in favor of certain of CVR Energy’s primary and excess insurers (the “Insurers”) relating to the August 2022 settlement (the “Settlement”) of the consolidated lawsuits filed by purported former unitholders of CVR Refining on behalf of themselves and an alleged class of similarly situated unitholders relating to CVR Energy’s exercise of the call option under the CVR Refining Amended and Restated Agreement of Limited Partnership, remains pending before an appellate court in Texas. In May 2026 in the action filed by the Call Defendants in Delaware against the Insurers seeking recovery of all amounts paid in connection with the Settlement (the “Delaware Suit”), the court lifted the previously issued stay for 60 days in advance of a hearing on the Call Defendants’ motion to amend its complaint and other motions. While both cases remain pending, CVR Energy does not expect the outcome of these lawsuits to have a material adverse impact on CVR Energy’s financial position, results of operations, or cash flows.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RFS Disputes</w:t>
      </w:r>
      <w:r>
        <w:rPr>
          <w:rFonts w:ascii="Times New Roman;Times;serif" w:hAnsi="Times New Roman;Times;serif"/>
          <w:sz w:val="20"/>
        </w:rPr>
        <w:t xml:space="preserve"> – In July 2026, Wynnewood Refining Company, LLC (“WRC”) along with multiple other parties filed opening briefs with the U.S. Court of Appeals for the District of Columbia Circuit (the “D.C. Circuit”) in the consolidated actions challenging the EPA’s August 2025 decision on multiple pending petitions for small refinery exemptions (“SREs”) including but not limited to those filed by WRC (the “August 2025 SRE Decisions”). Numerous refiners, including CRRN and WRC, biofuels groups and others filed petitions for review of the 2026/2027 RFS Final Rule in the D.C. Circuit, which petitions remain pending and in their early stages. The EPA has failed to rule on WRC’s SRE petition for the 2025 compliance period filed by WRC in July 2025, despite the EPA’s legal obligation to rule on such petition within ninety days. WRC continues to evaluate any actions WRC may take relating to its 2025 SRE petition should the EPA fail to rule, or adversely rule, on WRC’s 2025 SRE petition.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Given the early stage of these matters, CVR Energy is currently unable to estimate the potential impact on WRC’s past, current, and future obligations under the Renewable Fuel Standard (“RFS”) or on CVR Energy’s financial position, results of operations, or cash flows; however, such impact could be material.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costs to comply with the RFS obligations through the purchase of RINs, to the extent not otherwise reduced through the blending of ethanol, biodiesel, or renewable diesel, are included in cost of goods sold in the consolidated statements of operations. At each reporting period, to the extent RINs purchased or generated through blending are less than the RFS obligation (excluding the impact of exemptions or waivers to which CVR Energy’s obligated-party subsidiaries may be entitled), the remaining obligation is valued using period-end RIN market prices for the applicable or nearest vintage year. As of June 30, 2026 and December 31, 2025, CVR Energy’s obligated-party subsidiaries’ RFS liability was $408 million and $72 million, respectively, and is included in accrued expenses and other liabilities in the condensed consolidated balance sheets.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45Q Transaction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2023, CVR Energy and its obligated-party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 CVR Partners and certain of its subsidiaries are obligated to meet certain minimum quantities of carbon dioxide supply each year during the term of the agreement and is subject to fees of up to $15 million per year, with an overall cap at $45 million, should it fail to perform.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Litigation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and our subsidiaries are involved in various lawsuits arising in the normal course of business. We do not believe that such normal routine litigation will have a material effect on our financial condition or results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operations. See the matters described under the caption “Other” below. Recent developments since the last periodic report of the Company are discussed below. </w:t>
      </w:r>
    </w:p>
    <w:p>
      <w:pPr>
        <w:pStyle w:val="TextBody"/>
        <w:bidi w:val="0"/>
        <w:spacing w:lineRule="atLeast" w:line="220" w:before="0" w:after="18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Guaranty Dispute</w:t>
      </w:r>
      <w:r>
        <w:rPr>
          <w:rFonts w:ascii="Times New Roman;Times;serif" w:hAnsi="Times New Roman;Times;serif"/>
          <w:sz w:val="20"/>
        </w:rPr>
        <w:t xml:space="preserve"> – All deadlines in the 2024 and 2025 actions filed by one of CVR Energy’s subsidiaries in the Superior Court of the State of Delaware disputing the validity of an alleged 1993 guaranty (the “Guaranty Dispute”) asserted by Exxon Mobil Corporation (“XOM”) </w:t>
      </w:r>
      <w:r>
        <w:rPr>
          <w:rFonts w:ascii="TimesNewRoman" w:hAnsi="TimesNewRoman"/>
          <w:sz w:val="20"/>
        </w:rPr>
        <w:t>to obligate WRC to defend and indemnify XOM against multiple claims and lawsuits asserted against XOM between 2018 and 2025 arising from alleged contamination from historical oil wells and gas</w:t>
      </w:r>
      <w:r>
        <w:rPr>
          <w:rFonts w:ascii="Times New Roman;Times;serif" w:hAnsi="Times New Roman;Times;serif"/>
          <w:sz w:val="20"/>
        </w:rPr>
        <w:t xml:space="preserve"> </w:t>
      </w:r>
      <w:r>
        <w:rPr>
          <w:rFonts w:ascii="TimesNewRoman" w:hAnsi="TimesNewRoman"/>
          <w:sz w:val="20"/>
        </w:rPr>
        <w:t>operations in Louisiana have been stayed until September 2026 while the parties continue to engage in mediation activities. While WRC continues to dispute the validity of the guaranty, if these matters are ultimately concluded in a manner adverse to CVR Energy, they could have a material adverse effect on CVR Energy’s financial position, results of operations, or cash flows.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CRNF Ammonia Release</w:t>
      </w:r>
      <w:r>
        <w:rPr>
          <w:rFonts w:ascii="Times New Roman;Times;serif" w:hAnsi="Times New Roman;Times;serif"/>
          <w:sz w:val="20"/>
        </w:rPr>
        <w:t xml:space="preserve"> – Multiple lawsuits filed against CVR Energy, CVR Partners and certain of their subsidiaries (collectively, the “Ammonia Defendants”) alleging personal injury and related damages arising from an October 2025 ammonia release at the nitrogen fertilizer facility in Coffeyville, Kansas, have been consolidated in Texas state court in Fort Bend County, and discovery is ongoing. The Ammonia Defendants asserted counterclaims in the related declaratory judgment action filed in Kansas state court, in which an insurer seeks a determination that it has no duty to defend or indemnify the Ammonia Defendants in connection with certain of the underlying claims. As these matters are in the preliminary stages, CVR Energy cannot yet determine whether they will have a material adverse effect on its financial position, results of operations, or cash flows.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Kansas Environmental Claims –</w:t>
      </w:r>
      <w:r>
        <w:rPr>
          <w:rFonts w:ascii="Times New Roman;Times;serif" w:hAnsi="Times New Roman;Times;serif"/>
          <w:sz w:val="20"/>
        </w:rPr>
        <w:t xml:space="preserve"> In July 2026, the United States District Court for the District of Kansas dismissed the medical monitoring claim asserted against CVR Energy, CVR Partners and certain of their affiliates (collectively, the "Kansas Defendants") by three residents of Coffeyville and a purported class of similarly situated persons; discovery is ongoing with respect to the remaining claims seeking compensatory and punitive damages and a court-supervised medical monitoring program, arising from alleged emissions from operations at the Coffeyville Refinery and the Coffeyville Fertilizer Facility. While this matter is in its early stages, if ultimately concluded in a manner adverse to the Kansas Defendants, it could have a material adverse effect on CVR Energy’s financial position, results of operations, or cash flows.</w:t>
      </w:r>
    </w:p>
    <w:p>
      <w:pPr>
        <w:pStyle w:val="TextBody"/>
        <w:bidi w:val="0"/>
        <w:spacing w:before="0" w:after="240"/>
        <w:ind w:left="0" w:right="0" w:hanging="0"/>
        <w:jc w:val="left"/>
        <w:rPr/>
      </w:pPr>
      <w:r>
        <w:rPr/>
        <w:t>​</w:t>
      </w:r>
    </w:p>
    <w:p>
      <w:pPr>
        <w:pStyle w:val="TextBody"/>
        <w:bidi w:val="0"/>
        <w:spacing w:lineRule="atLeast" w:line="220" w:before="0" w:after="160"/>
        <w:ind w:left="0" w:right="0" w:hanging="0"/>
        <w:jc w:val="left"/>
        <w:rPr>
          <w:rFonts w:ascii="Times New Roman;Times;serif" w:hAnsi="Times New Roman;Times;serif"/>
          <w:b/>
          <w:i/>
          <w:sz w:val="20"/>
        </w:rPr>
      </w:pPr>
      <w:r>
        <w:rPr>
          <w:rFonts w:ascii="Times New Roman;Times;serif" w:hAnsi="Times New Roman;Times;serif"/>
          <w:b/>
          <w:i/>
          <w:sz w:val="20"/>
        </w:rPr>
        <w:t>Other Matters</w:t>
      </w:r>
    </w:p>
    <w:p>
      <w:pPr>
        <w:pStyle w:val="TextBody"/>
        <w:bidi w:val="0"/>
        <w:spacing w:lineRule="atLeast" w:line="220" w:before="0" w:after="160"/>
        <w:ind w:left="0" w:right="0" w:hanging="0"/>
        <w:jc w:val="left"/>
        <w:rPr>
          <w:rFonts w:ascii="Times New Roman;Times;serif" w:hAnsi="Times New Roman;Times;serif"/>
          <w:i/>
          <w:sz w:val="20"/>
        </w:rPr>
      </w:pPr>
      <w:r>
        <w:rPr>
          <w:rFonts w:ascii="Times New Roman;Times;serif" w:hAnsi="Times New Roman;Times;serif"/>
          <w:i/>
          <w:sz w:val="20"/>
        </w:rPr>
        <w:t>Pension Obligations</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87% of Icahn Enterprises’ outstanding depositary units as of June 30, 2026.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lineRule="atLeast" w:line="220"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a result of the more than 80% ownership interest in us by Mr. Icahn’s affiliates, we and our subsidiaries are subject to the pension liabilities of entities in which Mr. Icahn has a direct or indirect ownership interest of at least 80%, which include the liabilities of a pension plan sponsored by Viskase. All the minimum funding requirements of the Internal Revenue Code, as amended, and the Employee Retirement Income Security Act of 1974, as amended, for the Viskase plan have been met as of June 30, 2026. If the plan was voluntarily terminated, it would be underfunded by approximately $18 million as of June 30, 2026. These results are based on the most recent information provided by the plan’s actuary. This liability could increase or decrease, depending on a number of factors, including future changes in benefits, investment returns, and the assumptions used to calculate the liability. As members of the controlled group, we would be liable for any failure of Viskase to make ongoing pension contributions or to pay the unfunded liabilities upon a termination of the Viskase pension plan. In addition, other entities now or in the future within the controlled group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160"/>
        <w:ind w:left="0" w:right="0" w:hanging="0"/>
        <w:jc w:val="left"/>
        <w:rPr>
          <w:rFonts w:ascii="Times New Roman;Times;serif" w:hAnsi="Times New Roman;Times;serif"/>
          <w:sz w:val="20"/>
        </w:rPr>
      </w:pPr>
      <w:r>
        <w:rPr>
          <w:rFonts w:ascii="Times New Roman;Times;serif" w:hAnsi="Times New Roman;Times;serif"/>
          <w:sz w:val="20"/>
        </w:rPr>
        <w:t>which we are included may have pension plan obligations that are, or may become, underfunded and we would be liable for any failure of such entity to make ongoing pension contributions or to pay the unfunded liabilities upon termination of such plan.</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Viskase pension plan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pStyle w:val="TextBody"/>
        <w:bidi w:val="0"/>
        <w:spacing w:lineRule="atLeast" w:line="220" w:before="0" w:after="16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and his affiliates (excluding us and Brett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Icahn Enterprises L.P. was contacted on May 3, 2023 by the U.S. Attorney’s office for the Southern District of New York, seeking production of information relating to the Company and certain of its affiliates’ corporate governance, capitalization, securities offerings, disclosure, dividends, valuation, marketing materials, due diligence and other materials. The Company produced documents in response to that inquiry and has had no substantive communication with the U.S. Attorney’s office since the initial inquiry on May 3,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010" w:name="Tc_998S3EW0PUKpPsTf6yYoXQ_5_0"/>
      <w:bookmarkStart w:id="2011" w:name="Tc_4VI6kabjc0SisVcgzHor3g_4_5"/>
      <w:bookmarkStart w:id="2012" w:name="Tc_61DoMEcr6kme3gRjggGtVw_4_2"/>
      <w:bookmarkStart w:id="2013" w:name="Tc_zLmVV8U-mEuytIDCtJbZsQ_4_0"/>
      <w:bookmarkStart w:id="2014" w:name="Tc_txHSFPncTEOloB6dbORdQg_3_2"/>
      <w:bookmarkStart w:id="2015" w:name="Tc_sW6zjAFeKEub-vx1DGszBg_2_5"/>
      <w:bookmarkStart w:id="2016" w:name="Tc_Pdgf1_B1C0yxTfv5v4YSUg_2_2"/>
      <w:bookmarkStart w:id="2017" w:name="Tc_Yy55xdwjN0K0Enjr6E1vhw_1_2"/>
      <w:bookmarkEnd w:id="2010"/>
      <w:bookmarkEnd w:id="2011"/>
      <w:bookmarkEnd w:id="2012"/>
      <w:bookmarkEnd w:id="2013"/>
      <w:bookmarkEnd w:id="2014"/>
      <w:bookmarkEnd w:id="2015"/>
      <w:bookmarkEnd w:id="2016"/>
      <w:bookmarkEnd w:id="2017"/>
      <w:r>
        <w:rPr>
          <w:rFonts w:ascii="Times New Roman;Times;serif" w:hAnsi="Times New Roman;Times;serif"/>
          <w:b/>
          <w:sz w:val="20"/>
        </w:rPr>
        <w:t>18.  Supplemental Cash Flow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Supplemental cash flow information consists of the following: </w:t>
      </w:r>
    </w:p>
    <w:p>
      <w:pPr>
        <w:pStyle w:val="TextBody"/>
        <w:bidi w:val="0"/>
        <w:spacing w:before="0" w:after="0"/>
        <w:ind w:left="0" w:right="0" w:hanging="0"/>
        <w:jc w:val="left"/>
        <w:rPr/>
      </w:pPr>
      <w:r>
        <w:rPr/>
        <w:t>​</w:t>
      </w:r>
    </w:p>
    <w:tbl>
      <w:tblPr>
        <w:tblW w:w="6930" w:type="dxa"/>
        <w:jc w:val="left"/>
        <w:tblInd w:w="0" w:type="dxa"/>
        <w:tblLayout w:type="fixed"/>
        <w:tblCellMar>
          <w:top w:w="0" w:type="dxa"/>
          <w:left w:w="0" w:type="dxa"/>
          <w:bottom w:w="0" w:type="dxa"/>
          <w:right w:w="0" w:type="dxa"/>
        </w:tblCellMar>
      </w:tblPr>
      <w:tblGrid>
        <w:gridCol w:w="4111"/>
        <w:gridCol w:w="346"/>
        <w:gridCol w:w="275"/>
        <w:gridCol w:w="706"/>
        <w:gridCol w:w="452"/>
        <w:gridCol w:w="275"/>
        <w:gridCol w:w="765"/>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610485" cy="175260"/>
                      <wp:effectExtent l="0" t="0" r="0" b="0"/>
                      <wp:wrapNone/>
                      <wp:docPr id="492" name="Frame492"/>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93"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74625" cy="175260"/>
                      <wp:effectExtent l="0" t="0" r="0" b="0"/>
                      <wp:wrapNone/>
                      <wp:docPr id="494" name="Frame494"/>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48310" cy="175260"/>
                      <wp:effectExtent l="0" t="0" r="0" b="0"/>
                      <wp:wrapNone/>
                      <wp:docPr id="495" name="Frame49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87020" cy="175260"/>
                      <wp:effectExtent l="0" t="0" r="0" b="0"/>
                      <wp:wrapNone/>
                      <wp:docPr id="496" name="Frame496"/>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74625" cy="175260"/>
                      <wp:effectExtent l="0" t="0" r="0" b="0"/>
                      <wp:wrapNone/>
                      <wp:docPr id="497" name="Frame49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85775" cy="175260"/>
                      <wp:effectExtent l="0" t="0" r="0" b="0"/>
                      <wp:wrapNone/>
                      <wp:docPr id="498" name="Frame498"/>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52" w:type="dxa"/>
            <w:tcBorders/>
            <w:vAlign w:val="center"/>
          </w:tcPr>
          <w:p>
            <w:pPr>
              <w:pStyle w:val="TableContents"/>
              <w:bidi w:val="0"/>
              <w:spacing w:before="0" w:after="0"/>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93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3"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452"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income taxes, net of payments</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52"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Subsequent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Icahn Enterprises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LP Unit Distribution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3, 2026, the Board declared a quarterly distribution in the amount of $0.50 per depositary unit, which will be paid on or about September 23, 2026 to depositary unitholders of record at the close of business on August 17, 2026. Depositary unitholders will have until September 11, 2026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18, 2026.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Icahn Automotive Transaction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July 19, 2026, Icahn Enterprises, Icahn Automotive Group LLC (“Icahn Automotive”), Mavis Tire Supply, LLC (“Mavis” or “Buyer”), a Delaware limited liability company, and Metis HoldCo, Inc., a Delaware corporation, entered into a Stock Purchase Agreement (the “Pep Boys Purchase Agreement”). Pursuant to the terms of the Pep Boys Purchase Agreement, Icahn Automotive agreed to sell to Buyer, and Buyer agreed to purchase from Icahn Automotive, all of the issued and outstanding capital stock of The Pep Boys-Manny, Moe &amp; Jack Holding Corp., a Delaware corporation and wholly-owned subsidiary of Icahn Automotive (“Pep Boys”), for a base purchase price of $700.0 million, subject to adjustments to be finalized after closing of the transaction (the “Pep Boys Transaction”). In connection with the Pep Boys Purchase Agreement, Icahn Enterprises agreed to guarantee the payment and performance of Icahn Automotive’s obligations under the Agreement, subject to the limitations set forth in the Pep Boys Purchase Agreement. Certain excluded entities and businesses of Pep Boys will not be transferred to Buyer in connection with the transactions contemplated by the Purchase Agreement. The Company will retain the owned real estate previously transferred from Pep Boys, as well as the AAMCO Transmissions and Precision Tune Auto Care Businesses. The Pep Boys Transaction is expected to close in the coming months, subject to satisfaction or waiver of customary closing conditions.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Funds Redemption</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2026, Mr. Icahn and his affiliates (excluding us and Brett Icahn) notified the Investment Funds of his intention to redeem $275 million from his personal interest in the Investment Funds included in the Investment segment, which is expected to be completed in August of 2026.</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18" w:name="Item2ManagementsDiscussionandAnalysisofF"/>
      <w:bookmarkStart w:id="2019" w:name="_3f78660f_602c_4b9e_9901_f11bede981f3"/>
      <w:bookmarkEnd w:id="2018"/>
      <w:bookmarkEnd w:id="201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June 30, 2026 (this “Report”), as well as our Annual Report on Form 10-K for the year ended December 31, 2025 filed with the Securities and Exchange Commission on February 25,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June 30, 2026 representing an aggregate 1.99% general partner interest in Icahn Enterprises and Icahn Enterprises Holdings. Mr. Icahn and his affiliates owned approximately 87% of Icahn Enterprises’ outstanding depositary units as of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Icahn Automotive Transaction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19, 2026, Icahn Enterprises, Icahn Automotive Group LLC (“Icahn Automotive”), Mavis Tire Supply, LLC (“Mavis” or “Buyer”), a Delaware limited liability company, and Metis HoldCo, Inc., a Delaware corporation, entered into a Stock Purchase Agreement (the “Pep Boys Purchase Agreement”). Pursuant to the terms of the Pep Boys Purchase Agreement, Icahn Automotive agreed to sell to Buyer, and Buyer agreed to purchase from Icahn Automotive, all of the issued and outstanding capital stock of The Pep Boys-Manny, Moe &amp; Jack Holding Corp., a Delaware corporation and wholly-owned subsidiary of Icahn Automotive (“Pep Boys”), for a base purchase price of $700.0 million, subject to adjustments to be finalized after closing of the transaction (the “Pep Boys Transaction”). In connection with the Pep Boys Purchase Agreement, Icahn Enterprises agreed to guarantee the payment and performance of Icahn Automotive’s obligations under the Agreement, subject to the limitations set forth in the Pep Boys Purchase Agreement. Certain excluded entities and businesses of Pep Boys will not be transferred to Buyer in connection with the transactions contemplated by the Purchase Agreement. The Company will retain the owned real estate previously transferred from Pep Boys, as well as the AAMCO Transmissions and Precision Tune Auto Care Businesses. The Pep Boys Transaction is expected to close in the coming months, subject to satisfaction or waiver of customary closing conditions.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Energy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2026, CVR Energy, Inc. (“CVR Energy”) completed the issuance of $1 billion aggregate principal amount of senior notes, consisting of $600 million of 7.50% senior notes due February 2031 and $400 million of 7.875% senior notes due February 2034. The proceeds from the issuance of these notes were used to (i) fund the redemption in full of CVR Energy’s existing $600 million in aggregate principal amount of 8.50% senior unsecured notes due 2029 at a redemption price equal to 104.250% of the principal amount in February 2026, resulting in a $28 million loss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extinguishment of debt in the six months ended June 30, 2026, (ii) fund the partial redemption of $217 million of CVR Energy’s existing $400 million in aggregate principal amount of 5.75% senior unsecured notes due 2028 at par in February 2026, resulting in a less than $1 million loss on extinguishment of debt in the six months ended June 30, 2026, and (iii) repay the aggregate principal balance of CVR Energy’s senior secured term loan facility (the “Term Loan”), resulting in a $3 million loss on extinguishment of debt in the six months ended June 30, 2026.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Viskase Private Placement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2026, Viskase completed an equity private placement whereby we acquired an additional 25,862,069 shares of Viskase common stock for a purchase price of $15 million.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Viskase Merger</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bookmarkStart w:id="2020" w:name="_cp_change_856"/>
      <w:bookmarkEnd w:id="2020"/>
      <w:r>
        <w:rPr>
          <w:rFonts w:ascii="Times New Roman;Times;serif" w:hAnsi="Times New Roman;Times;serif"/>
          <w:sz w:val="20"/>
        </w:rPr>
        <w:t>On June 20, 2025, Viskase, our majority-owned subsidiary, entered into an Agreement and Plan of Merger (as amended, the “Merger Agreement”) with Enzon Pharmaceuticals, Inc. (“Enzon”), of which we owned approximately 49% of its outstanding shares of common stock, par value $0.01 per share (the “Enzon Common Stock”) and approximately 98% of its outstanding Series C Non-Convertible Redeemable Preferred Stock, $0.01 par value per share (“Enzon Preferred Stock”).  Pursuant to the terms of the Merger Agreement, (i) a wholly-owned subsidiary of Enzon agreed to merge with and into Viskase, with Viskase surviving the merger as a wholly-owned subsidiary of Enzon (the “Merger”) and (ii) upon consummation of the Merger, each share of Viskase’s common stock, par value $0.01 per share (the “Viskase Common Stock”) issued and outstanding immediately prior to the consummation of the Merger (other than certain specified shares) is automatically converted into the right to receive a number of shares of Enzon Common Stock equal to the exchange ratio set forth in the Merger Agreement.  In connection with execution of the Merger Agreement, we entered into a support agreement with Enzon and Viskase, pursuant to which we agreed to, among other things, convert our Enzon Preferred Stock into Enzon Common Stock  for a number of shares of Enzon Common Stock equal to the aggregate liquidation preference of such shares of Enzon Preferred Stock, divided by the volume-weighted average price of Enzon Common Stock on the “OTCQB” tier of the OTC for the 20 trading days preceding October 24, 2025. The Merger was consummated on March 26, 2026.  As a result of the Merger, the combined company now operates under the name “Viskase Holdings, Inc.” and as of June 30, 2026, we own approximately 94% of the outstanding common stock of the combined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Potential Strategic Transactions</w:t>
      </w:r>
    </w:p>
    <w:p>
      <w:pPr>
        <w:pStyle w:val="TextBody"/>
        <w:bidi w:val="0"/>
        <w:spacing w:before="0" w:after="0"/>
        <w:ind w:left="0" w:right="0" w:firstLine="360"/>
        <w:jc w:val="left"/>
        <w:rPr>
          <w:rFonts w:ascii="Times New Roman;Times;serif" w:hAnsi="Times New Roman;Times;serif"/>
          <w:sz w:val="20"/>
        </w:rPr>
      </w:pPr>
      <w:bookmarkStart w:id="2021" w:name="_Hlk196311725"/>
      <w:bookmarkEnd w:id="2021"/>
      <w:r>
        <w:rPr>
          <w:rFonts w:ascii="Times New Roman;Times;serif" w:hAnsi="Times New Roman;Times;serif"/>
          <w:sz w:val="20"/>
        </w:rPr>
        <w:t>As previously disclosed, we are considering, with CVR Energy, potential strategic transactions available to CVR Energy and its subsidiaries, which may include the acquisition of additional entities, assets or businesses, including the acquisition of material amounts of refining assets through negotiated mergers and/or stock or asset purchase agreements by CVR Energy or its subsidiaries, and/or strategic options involving CVR Partners, LP, a controlled subsidiary of CVR Energy (“CVR Partners”). There is no assurance that any of the aforementioned or previously disclosed or other transactions will develop or materialize, or if they do, as to their timing. As of June 30, 2026 we own approximately 71% of the total outstanding common stock of CVR Energy and approximately 3% of the total outstanding common units of CVR Partners. As of June 30, 2026, CVR Energy, through its subsidiaries, held approximately 37% of CVR Partners’ outstanding common units and 100% of CVR Partners’ general partner interests.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 Redemptions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See “Investment Funds Redemptions” below under “Liquidity and Capital Resources.”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Financial Results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operating businesses comprise consolidated subsidiaries which operate in various industries and are managed on a decentralized basis. In addition to our Investment segment’s revenues from investment transactions, revenues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13, “Segment Reporting,” to the condensed consolidated financial statements for a reconciliation of each of our reporting segment’s results of continuing operations to our consolidated results.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Potential supply chain disruptions, geopolitical and economic instability, volatility in energy prices, the impacts of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increasing electric vehicles and liquid natural gas and other improvements in fuel efficiencies and changes in regulatory policies could adversely affect operations, in particular in our Energy segment. Our ability to generate sufficient cash from our operating activities in the current commodity price environment, sell non-core assets, access capital markets, incur additional debt or take any other action to improve our liquidity is subject to the risks discussed in this Quarterly Report on Form 10-Q and elsewhere in our periodic reports and the other risks and uncertainties that exist in our industry, and depends on our future operational performance, which is subject to general economic, political, financial, competitive, and other factors, some of which may be beyond our control. Furthermore, shifts in demand and tightening credit market conditions could impact our financial stability. Fluctuating tariffs, both by the U.S. and globally, ongoing and future trade conflicts and changes in U.S. economic trade policy, and economic uncertainty has led to increased volatility. The impact of tariffs and associated impacts on global trade have not significantly affected our operating businesses as of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comparability of our summarized consolidated financial results presented below is affected primarily by the performance of the Investment Funds and the results of operations of our Energy segment, impacted by the demand and pricing for its products. Refer to our respective segment discussions and “Other Consolidated Results of Operations,” below for further discussion.</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971"/>
        <w:gridCol w:w="346"/>
        <w:gridCol w:w="255"/>
        <w:gridCol w:w="665"/>
        <w:gridCol w:w="451"/>
        <w:gridCol w:w="255"/>
        <w:gridCol w:w="665"/>
        <w:gridCol w:w="346"/>
        <w:gridCol w:w="259"/>
        <w:gridCol w:w="656"/>
        <w:gridCol w:w="459"/>
        <w:gridCol w:w="259"/>
        <w:gridCol w:w="656"/>
        <w:gridCol w:w="346"/>
        <w:gridCol w:w="288"/>
        <w:gridCol w:w="729"/>
        <w:gridCol w:w="509"/>
        <w:gridCol w:w="288"/>
        <w:gridCol w:w="802"/>
      </w:tblGrid>
      <w:tr>
        <w:trPr/>
        <w:tc>
          <w:tcPr>
            <w:tcW w:w="1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251585" cy="175260"/>
                      <wp:effectExtent l="0" t="0" r="0" b="0"/>
                      <wp:wrapNone/>
                      <wp:docPr id="499" name="Frame499"/>
                      <a:graphic xmlns:a="http://schemas.openxmlformats.org/drawingml/2006/main">
                        <a:graphicData uri="http://schemas.microsoft.com/office/word/2010/wordprocessingShape">
                          <wps:wsp>
                            <wps:cNvSpPr txBox="1"/>
                            <wps:spPr>
                              <a:xfrm>
                                <a:off x="0" y="0"/>
                                <a:ext cx="1251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175260"/>
                      <wp:effectExtent l="0" t="0" r="0" b="0"/>
                      <wp:wrapNone/>
                      <wp:docPr id="500"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61925" cy="175260"/>
                      <wp:effectExtent l="0" t="0" r="0" b="0"/>
                      <wp:wrapNone/>
                      <wp:docPr id="501" name="Frame50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22275" cy="175260"/>
                      <wp:effectExtent l="0" t="0" r="0" b="0"/>
                      <wp:wrapNone/>
                      <wp:docPr id="502" name="Frame502"/>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86385" cy="175260"/>
                      <wp:effectExtent l="0" t="0" r="0" b="0"/>
                      <wp:wrapNone/>
                      <wp:docPr id="503" name="Frame50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61925" cy="175260"/>
                      <wp:effectExtent l="0" t="0" r="0" b="0"/>
                      <wp:wrapNone/>
                      <wp:docPr id="504" name="Frame50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22275" cy="175260"/>
                      <wp:effectExtent l="0" t="0" r="0" b="0"/>
                      <wp:wrapNone/>
                      <wp:docPr id="505" name="Frame505"/>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64465" cy="175260"/>
                      <wp:effectExtent l="0" t="0" r="0" b="0"/>
                      <wp:wrapNone/>
                      <wp:docPr id="507" name="Frame50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16560" cy="175260"/>
                      <wp:effectExtent l="0" t="0" r="0" b="0"/>
                      <wp:wrapNone/>
                      <wp:docPr id="508" name="Frame508"/>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91465" cy="175260"/>
                      <wp:effectExtent l="0" t="0" r="0" b="0"/>
                      <wp:wrapNone/>
                      <wp:docPr id="509" name="Frame509"/>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64465" cy="175260"/>
                      <wp:effectExtent l="0" t="0" r="0" b="0"/>
                      <wp:wrapNone/>
                      <wp:docPr id="510" name="Frame51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16560" cy="175260"/>
                      <wp:effectExtent l="0" t="0" r="0" b="0"/>
                      <wp:wrapNone/>
                      <wp:docPr id="511" name="Frame511"/>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12"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82880" cy="175260"/>
                      <wp:effectExtent l="0" t="0" r="0" b="0"/>
                      <wp:wrapNone/>
                      <wp:docPr id="513" name="Frame513"/>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462915" cy="175260"/>
                      <wp:effectExtent l="0" t="0" r="0" b="0"/>
                      <wp:wrapNone/>
                      <wp:docPr id="514" name="Frame514"/>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323215" cy="175260"/>
                      <wp:effectExtent l="0" t="0" r="0" b="0"/>
                      <wp:wrapNone/>
                      <wp:docPr id="515" name="Frame515"/>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82880" cy="175260"/>
                      <wp:effectExtent l="0" t="0" r="0" b="0"/>
                      <wp:wrapNone/>
                      <wp:docPr id="516" name="Frame516"/>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09270" cy="175260"/>
                      <wp:effectExtent l="0" t="0" r="0" b="0"/>
                      <wp:wrapNone/>
                      <wp:docPr id="517" name="Frame517"/>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center"/>
              <w:rPr/>
            </w:pPr>
            <w:r>
              <w:rPr/>
              <w:t>​</w:t>
            </w:r>
          </w:p>
        </w:tc>
        <w:tc>
          <w:tcPr>
            <w:tcW w:w="45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1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w:t>
            </w:r>
          </w:p>
        </w:tc>
        <w:tc>
          <w:tcPr>
            <w:tcW w:w="22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c>
          <w:tcPr>
            <w:tcW w:w="346" w:type="dxa"/>
            <w:tcBorders/>
            <w:vAlign w:val="center"/>
          </w:tcPr>
          <w:p>
            <w:pPr>
              <w:pStyle w:val="TableContents"/>
              <w:bidi w:val="0"/>
              <w:spacing w:before="0" w:after="0"/>
              <w:ind w:left="0" w:right="0" w:hanging="0"/>
              <w:jc w:val="left"/>
              <w:rPr/>
            </w:pPr>
            <w:r>
              <w:rPr/>
              <w:t>​</w:t>
            </w:r>
          </w:p>
        </w:tc>
        <w:tc>
          <w:tcPr>
            <w:tcW w:w="26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Attributable to Icahn Enterprises</w:t>
            </w:r>
            <w:r>
              <w:rPr>
                <w:rFonts w:ascii="Times New Roman;Times;serif" w:hAnsi="Times New Roman;Times;serif"/>
                <w:sz w:val="16"/>
              </w:rPr>
              <w:t>  </w:t>
            </w:r>
          </w:p>
        </w:tc>
      </w:tr>
      <w:tr>
        <w:trPr/>
        <w:tc>
          <w:tcPr>
            <w:tcW w:w="1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2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6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1" w:type="dxa"/>
            <w:tcBorders/>
            <w:vAlign w:val="center"/>
          </w:tcPr>
          <w:p>
            <w:pPr>
              <w:pStyle w:val="TableContents"/>
              <w:bidi w:val="0"/>
              <w:spacing w:before="0" w:after="0"/>
              <w:ind w:left="0" w:right="0" w:hanging="0"/>
              <w:jc w:val="left"/>
              <w:rPr/>
            </w:pPr>
            <w:r>
              <w:rPr/>
              <w:t>  ​ ​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9"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9" w:type="dxa"/>
            <w:tcBorders/>
            <w:vAlign w:val="center"/>
          </w:tcPr>
          <w:p>
            <w:pPr>
              <w:pStyle w:val="TableContents"/>
              <w:bidi w:val="0"/>
              <w:spacing w:before="0" w:after="0"/>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88"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w:t>
            </w:r>
          </w:p>
        </w:tc>
        <w:tc>
          <w:tcPr>
            <w:tcW w:w="45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w:t>
            </w:r>
          </w:p>
        </w:tc>
        <w:tc>
          <w:tcPr>
            <w:tcW w:w="45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5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1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 Company</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45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45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5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r>
      <w:tr>
        <w:trPr/>
        <w:tc>
          <w:tcPr>
            <w:tcW w:w="19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left"/>
              <w:rPr/>
            </w:pPr>
            <w:r>
              <w:rPr/>
              <w:t>​</w:t>
            </w:r>
          </w:p>
        </w:tc>
        <w:tc>
          <w:tcPr>
            <w:tcW w:w="5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left"/>
              <w:rPr/>
            </w:pPr>
            <w:r>
              <w:rPr/>
              <w:t>​</w:t>
            </w:r>
          </w:p>
        </w:tc>
      </w:tr>
      <w:tr>
        <w:trPr/>
        <w:tc>
          <w:tcPr>
            <w:tcW w:w="1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5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pPr>
            <w:r>
              <w:rPr/>
              <w:t>​</w:t>
            </w:r>
          </w:p>
        </w:tc>
      </w:tr>
      <w:tr>
        <w:trPr/>
        <w:tc>
          <w:tcPr>
            <w:tcW w:w="1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2,745</w:t>
            </w:r>
          </w:p>
        </w:tc>
        <w:tc>
          <w:tcPr>
            <w:tcW w:w="45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1,769</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45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5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r>
      <w:tr>
        <w:trPr/>
        <w:tc>
          <w:tcPr>
            <w:tcW w:w="1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Automotive</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w:t>
            </w:r>
          </w:p>
        </w:tc>
        <w:tc>
          <w:tcPr>
            <w:tcW w:w="45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45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5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1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Food Packaging</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45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45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5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451"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45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5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1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Fashion</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451"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45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5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Pharma</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451"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45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509"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9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3,271</w:t>
            </w:r>
          </w:p>
        </w:tc>
        <w:tc>
          <w:tcPr>
            <w:tcW w:w="451"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2,371</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45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509"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r>
      <w:tr>
        <w:trPr/>
        <w:tc>
          <w:tcPr>
            <w:tcW w:w="19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2,975</w:t>
            </w:r>
          </w:p>
        </w:tc>
        <w:tc>
          <w:tcPr>
            <w:tcW w:w="451"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w:t>
            </w:r>
          </w:p>
        </w:tc>
        <w:tc>
          <w:tcPr>
            <w:tcW w:w="459"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w:t>
            </w:r>
          </w:p>
        </w:tc>
        <w:tc>
          <w:tcPr>
            <w:tcW w:w="509"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tbl>
      <w:tblPr>
        <w:tblW w:w="9897" w:type="dxa"/>
        <w:jc w:val="left"/>
        <w:tblInd w:w="0" w:type="dxa"/>
        <w:tblLayout w:type="fixed"/>
        <w:tblCellMar>
          <w:top w:w="0" w:type="dxa"/>
          <w:left w:w="0" w:type="dxa"/>
          <w:bottom w:w="0" w:type="dxa"/>
          <w:right w:w="0" w:type="dxa"/>
        </w:tblCellMar>
      </w:tblPr>
      <w:tblGrid>
        <w:gridCol w:w="1996"/>
        <w:gridCol w:w="346"/>
        <w:gridCol w:w="235"/>
        <w:gridCol w:w="614"/>
        <w:gridCol w:w="415"/>
        <w:gridCol w:w="235"/>
        <w:gridCol w:w="614"/>
        <w:gridCol w:w="346"/>
        <w:gridCol w:w="239"/>
        <w:gridCol w:w="606"/>
        <w:gridCol w:w="423"/>
        <w:gridCol w:w="239"/>
        <w:gridCol w:w="606"/>
        <w:gridCol w:w="346"/>
        <w:gridCol w:w="291"/>
        <w:gridCol w:w="737"/>
        <w:gridCol w:w="514"/>
        <w:gridCol w:w="291"/>
        <w:gridCol w:w="804"/>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267460" cy="175260"/>
                      <wp:effectExtent l="0" t="0" r="0" b="0"/>
                      <wp:wrapNone/>
                      <wp:docPr id="518" name="Frame518"/>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9"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49225" cy="175260"/>
                      <wp:effectExtent l="0" t="0" r="0" b="0"/>
                      <wp:wrapNone/>
                      <wp:docPr id="520" name="Frame52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89890" cy="175260"/>
                      <wp:effectExtent l="0" t="0" r="0" b="0"/>
                      <wp:wrapNone/>
                      <wp:docPr id="521" name="Frame521"/>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63525" cy="175260"/>
                      <wp:effectExtent l="0" t="0" r="0" b="0"/>
                      <wp:wrapNone/>
                      <wp:docPr id="522" name="Frame52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49225" cy="175260"/>
                      <wp:effectExtent l="0" t="0" r="0" b="0"/>
                      <wp:wrapNone/>
                      <wp:docPr id="523" name="Frame52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89890" cy="175260"/>
                      <wp:effectExtent l="0" t="0" r="0" b="0"/>
                      <wp:wrapNone/>
                      <wp:docPr id="524" name="Frame524"/>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51765" cy="175260"/>
                      <wp:effectExtent l="0" t="0" r="0" b="0"/>
                      <wp:wrapNone/>
                      <wp:docPr id="526" name="Frame52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84810" cy="175260"/>
                      <wp:effectExtent l="0" t="0" r="0" b="0"/>
                      <wp:wrapNone/>
                      <wp:docPr id="527" name="Frame527"/>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68605" cy="175260"/>
                      <wp:effectExtent l="0" t="0" r="0" b="0"/>
                      <wp:wrapNone/>
                      <wp:docPr id="528" name="Frame528"/>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51765" cy="175260"/>
                      <wp:effectExtent l="0" t="0" r="0" b="0"/>
                      <wp:wrapNone/>
                      <wp:docPr id="529" name="Frame5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84810" cy="175260"/>
                      <wp:effectExtent l="0" t="0" r="0" b="0"/>
                      <wp:wrapNone/>
                      <wp:docPr id="530" name="Frame530"/>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84785" cy="175260"/>
                      <wp:effectExtent l="0" t="0" r="0" b="0"/>
                      <wp:wrapNone/>
                      <wp:docPr id="532" name="Frame532"/>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67995" cy="175260"/>
                      <wp:effectExtent l="0" t="0" r="0" b="0"/>
                      <wp:wrapNone/>
                      <wp:docPr id="533" name="Frame533"/>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326390" cy="175260"/>
                      <wp:effectExtent l="0" t="0" r="0" b="0"/>
                      <wp:wrapNone/>
                      <wp:docPr id="534" name="Frame534"/>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84785" cy="175260"/>
                      <wp:effectExtent l="0" t="0" r="0" b="0"/>
                      <wp:wrapNone/>
                      <wp:docPr id="535" name="Frame535"/>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10540" cy="175260"/>
                      <wp:effectExtent l="0" t="0" r="0" b="0"/>
                      <wp:wrapNone/>
                      <wp:docPr id="536" name="Frame536"/>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center"/>
              <w:rPr/>
            </w:pPr>
            <w:r>
              <w:rPr/>
              <w:t>​</w:t>
            </w:r>
          </w:p>
        </w:tc>
        <w:tc>
          <w:tcPr>
            <w:tcW w:w="415"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center"/>
              <w:rPr/>
            </w:pPr>
            <w:r>
              <w:rPr/>
              <w:t>​</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6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4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c>
          <w:tcPr>
            <w:tcW w:w="346" w:type="dxa"/>
            <w:tcBorders/>
            <w:vAlign w:val="center"/>
          </w:tcPr>
          <w:p>
            <w:pPr>
              <w:pStyle w:val="TableContents"/>
              <w:bidi w:val="0"/>
              <w:spacing w:before="0" w:after="0"/>
              <w:ind w:left="0" w:right="0" w:hanging="0"/>
              <w:jc w:val="left"/>
              <w:rPr/>
            </w:pPr>
            <w:r>
              <w:rPr/>
              <w:t>​</w:t>
            </w:r>
          </w:p>
        </w:tc>
        <w:tc>
          <w:tcPr>
            <w:tcW w:w="26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Attributable to Icahn Enterprises</w:t>
            </w:r>
            <w:r>
              <w:rPr>
                <w:rFonts w:ascii="Times New Roman;Times;serif" w:hAnsi="Times New Roman;Times;serif"/>
                <w:sz w:val="16"/>
              </w:rPr>
              <w:t>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26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5" w:type="dxa"/>
            <w:tcBorders/>
            <w:vAlign w:val="center"/>
          </w:tcPr>
          <w:p>
            <w:pPr>
              <w:pStyle w:val="TableContents"/>
              <w:bidi w:val="0"/>
              <w:spacing w:before="0" w:after="0"/>
              <w:ind w:left="0" w:right="0" w:hanging="0"/>
              <w:jc w:val="left"/>
              <w:rPr/>
            </w:pPr>
            <w:r>
              <w:rPr/>
              <w:t>  ​ ​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3" w:type="dxa"/>
            <w:tcBorders/>
            <w:vAlign w:val="center"/>
          </w:tcPr>
          <w:p>
            <w:pPr>
              <w:pStyle w:val="TableContents"/>
              <w:bidi w:val="0"/>
              <w:spacing w:before="0" w:after="0"/>
              <w:ind w:left="0" w:right="0" w:hanging="0"/>
              <w:jc w:val="left"/>
              <w:rPr/>
            </w:pPr>
            <w:r>
              <w:rPr/>
              <w:t>  ​ ​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14"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897"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55" w:type="dxa"/>
            <w:gridSpan w:val="17"/>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w:t>
            </w:r>
          </w:p>
        </w:tc>
        <w:tc>
          <w:tcPr>
            <w:tcW w:w="415"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(591)</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w:t>
            </w:r>
          </w:p>
        </w:tc>
        <w:tc>
          <w:tcPr>
            <w:tcW w:w="514"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Holding Company</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415"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c>
          <w:tcPr>
            <w:tcW w:w="514"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pPr>
            <w:r>
              <w:rPr/>
              <w:t>​</w:t>
            </w:r>
          </w:p>
        </w:tc>
        <w:tc>
          <w:tcPr>
            <w:tcW w:w="415"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pPr>
            <w:r>
              <w:rPr/>
              <w:t>​</w:t>
            </w:r>
          </w:p>
        </w:tc>
        <w:tc>
          <w:tcPr>
            <w:tcW w:w="514"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Energy</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4,712</w:t>
            </w:r>
          </w:p>
        </w:tc>
        <w:tc>
          <w:tcPr>
            <w:tcW w:w="415"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w:t>
            </w:r>
          </w:p>
        </w:tc>
        <w:tc>
          <w:tcPr>
            <w:tcW w:w="514"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Automotive</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682</w:t>
            </w:r>
          </w:p>
        </w:tc>
        <w:tc>
          <w:tcPr>
            <w:tcW w:w="415"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514"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Food Packaging</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w:t>
            </w:r>
          </w:p>
        </w:tc>
        <w:tc>
          <w:tcPr>
            <w:tcW w:w="415"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514"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415"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34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514"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Fashion</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415"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514"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Pharma</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415"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423"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514"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5,741</w:t>
            </w:r>
          </w:p>
        </w:tc>
        <w:tc>
          <w:tcPr>
            <w:tcW w:w="415"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514"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Consolidated</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5,181</w:t>
            </w:r>
          </w:p>
        </w:tc>
        <w:tc>
          <w:tcPr>
            <w:tcW w:w="415"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4,236</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(951)</w:t>
            </w:r>
          </w:p>
        </w:tc>
        <w:tc>
          <w:tcPr>
            <w:tcW w:w="423"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(814)</w:t>
            </w:r>
          </w:p>
        </w:tc>
        <w:tc>
          <w:tcPr>
            <w:tcW w:w="514"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w:t>
            </w:r>
          </w:p>
        </w:tc>
      </w:tr>
    </w:tbl>
    <w:p>
      <w:pPr>
        <w:pStyle w:val="TextBody"/>
        <w:bidi w:val="0"/>
        <w:spacing w:before="0" w:after="0"/>
        <w:ind w:left="0" w:right="0" w:firstLine="360"/>
        <w:jc w:val="left"/>
        <w:rPr/>
      </w:pPr>
      <w:r>
        <w:rPr/>
        <w:t>​</w:t>
      </w:r>
    </w:p>
    <w:p>
      <w:pPr>
        <w:pStyle w:val="TextBody"/>
        <w:bidi w:val="0"/>
        <w:spacing w:lineRule="atLeast" w:line="220" w:before="0" w:after="20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lineRule="atLeast" w:line="220"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invest our proprietary capital through our private investment funds (“Investment Funds”). As of June 30, 2026 and December 31, 2025, we had investments with a fair market value of approximately $2.0 billion and $2.7 billion, respectively in the Investment Funds. As of June 30, 2026 and December 31, 2025, the total fair market value of investments in the Investment Funds made by Mr. Icahn and his affiliates (excluding us and Brett Icahn) was approximately $591 million and $908 million, respectively. As of June 30, 2026, Mr. Icahn and his affiliates have pledged approximately $330 million of interests in the Investment Funds. </w:t>
      </w:r>
    </w:p>
    <w:p>
      <w:pPr>
        <w:pStyle w:val="TextBody"/>
        <w:bidi w:val="0"/>
        <w:spacing w:lineRule="atLeast" w:line="220"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a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sz w:val="20"/>
        </w:rPr>
        <w:t>section of our “Liquidity and Capital Resources” discussion for additional information regarding our Investment segment’s exposure as of and subsequent to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June 30, 2026 and 2025, our Investment Funds’ returns were (10.9)% and (0.5)%, respectively. For the six months ended June 30, 2026 and 2025, our Investment Funds’ returns were (18.2)% and (8.8)%, respectively. Our Investment Funds’ returns represent a weighted-average composite of the average returns, net of expenses. The Other category is primarily comprised of interest income earned on cash balances, collateral posted to counterparties and short rebates.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performance attribution and net income (loss) for the Investment Funds’ returns for the three and six months ended June 30, 2026 and 2025, respectively, and includes performance of all investment and derivative position types including the impact of the use of leverage through options, short sales, swaps, forwards and other derivative instruments.</w:t>
      </w:r>
    </w:p>
    <w:tbl>
      <w:tblPr>
        <w:tblW w:w="7909" w:type="dxa"/>
        <w:jc w:val="left"/>
        <w:tblInd w:w="0" w:type="dxa"/>
        <w:tblLayout w:type="fixed"/>
        <w:tblCellMar>
          <w:top w:w="0" w:type="dxa"/>
          <w:left w:w="0" w:type="dxa"/>
          <w:bottom w:w="0" w:type="dxa"/>
          <w:right w:w="0" w:type="dxa"/>
        </w:tblCellMar>
      </w:tblPr>
      <w:tblGrid>
        <w:gridCol w:w="1351"/>
        <w:gridCol w:w="346"/>
        <w:gridCol w:w="1062"/>
        <w:gridCol w:w="654"/>
        <w:gridCol w:w="953"/>
        <w:gridCol w:w="361"/>
        <w:gridCol w:w="346"/>
        <w:gridCol w:w="967"/>
        <w:gridCol w:w="595"/>
        <w:gridCol w:w="868"/>
        <w:gridCol w:w="40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857885" cy="175260"/>
                      <wp:effectExtent l="0" t="0" r="0" b="0"/>
                      <wp:wrapNone/>
                      <wp:docPr id="537" name="Frame53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8"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74370" cy="175260"/>
                      <wp:effectExtent l="0" t="0" r="0" b="0"/>
                      <wp:wrapNone/>
                      <wp:docPr id="539" name="Frame539"/>
                      <a:graphic xmlns:a="http://schemas.openxmlformats.org/drawingml/2006/main">
                        <a:graphicData uri="http://schemas.microsoft.com/office/word/2010/wordprocessingShape">
                          <wps:wsp>
                            <wps:cNvSpPr txBox="1"/>
                            <wps:spPr>
                              <a:xfrm>
                                <a:off x="0" y="0"/>
                                <a:ext cx="674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15290" cy="175260"/>
                      <wp:effectExtent l="0" t="0" r="0" b="0"/>
                      <wp:wrapNone/>
                      <wp:docPr id="540" name="Frame540"/>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05155" cy="175260"/>
                      <wp:effectExtent l="0" t="0" r="0" b="0"/>
                      <wp:wrapNone/>
                      <wp:docPr id="541" name="Frame541"/>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29235" cy="175260"/>
                      <wp:effectExtent l="0" t="0" r="0" b="0"/>
                      <wp:wrapNone/>
                      <wp:docPr id="542" name="Frame5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19710" cy="175260"/>
                      <wp:effectExtent l="0" t="0" r="0" b="0"/>
                      <wp:wrapNone/>
                      <wp:docPr id="543" name="Frame5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14045" cy="175260"/>
                      <wp:effectExtent l="0" t="0" r="0" b="0"/>
                      <wp:wrapNone/>
                      <wp:docPr id="544" name="Frame544"/>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377825" cy="175260"/>
                      <wp:effectExtent l="0" t="0" r="0" b="0"/>
                      <wp:wrapNone/>
                      <wp:docPr id="545" name="Frame545"/>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551180" cy="175260"/>
                      <wp:effectExtent l="0" t="0" r="0" b="0"/>
                      <wp:wrapNone/>
                      <wp:docPr id="546" name="Frame546"/>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57810" cy="175260"/>
                      <wp:effectExtent l="0" t="0" r="0" b="0"/>
                      <wp:wrapNone/>
                      <wp:docPr id="547" name="Frame54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c>
          <w:tcPr>
            <w:tcW w:w="406"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654" w:type="dxa"/>
            <w:tcBorders/>
            <w:vAlign w:val="center"/>
          </w:tcPr>
          <w:p>
            <w:pPr>
              <w:pStyle w:val="TableContents"/>
              <w:bidi w:val="0"/>
              <w:spacing w:before="0" w:after="0"/>
              <w:ind w:left="0" w:right="0" w:hanging="0"/>
              <w:jc w:val="left"/>
              <w:rPr/>
            </w:pPr>
            <w:r>
              <w:rPr/>
              <w:t>  ​ ​ ​</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95" w:type="dxa"/>
            <w:tcBorders/>
            <w:vAlign w:val="center"/>
          </w:tcPr>
          <w:p>
            <w:pPr>
              <w:pStyle w:val="TableContents"/>
              <w:bidi w:val="0"/>
              <w:spacing w:before="0" w:after="0"/>
              <w:ind w:left="0" w:right="0" w:hanging="0"/>
              <w:jc w:val="left"/>
              <w:rPr/>
            </w:pPr>
            <w:r>
              <w:rPr/>
              <w:t>  ​ ​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06" w:type="dxa"/>
            <w:tcBorders/>
            <w:vAlign w:val="center"/>
          </w:tcPr>
          <w:p>
            <w:pPr>
              <w:pStyle w:val="TableContents"/>
              <w:bidi w:val="0"/>
              <w:spacing w:before="0" w:after="0"/>
              <w:ind w:left="0" w:right="0" w:hanging="0"/>
              <w:jc w:val="left"/>
              <w:rPr/>
            </w:pPr>
            <w:r>
              <w:rPr/>
              <w:t>  ​ ​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46" w:type="dxa"/>
            <w:tcBorders/>
            <w:shd w:fill="CCEEFF" w:val="clear"/>
            <w:vAlign w:val="center"/>
          </w:tcPr>
          <w:p>
            <w:pPr>
              <w:pStyle w:val="TableContents"/>
              <w:bidi w:val="0"/>
              <w:spacing w:before="0" w:after="0"/>
              <w:ind w:left="0" w:right="0" w:hanging="0"/>
              <w:jc w:val="left"/>
              <w:rPr/>
            </w:pPr>
            <w:r>
              <w:rPr/>
              <w:t> </w:t>
            </w:r>
          </w:p>
        </w:tc>
        <w:tc>
          <w:tcPr>
            <w:tcW w:w="10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6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46" w:type="dxa"/>
            <w:tcBorders/>
            <w:vAlign w:val="center"/>
          </w:tcPr>
          <w:p>
            <w:pPr>
              <w:pStyle w:val="TableContents"/>
              <w:bidi w:val="0"/>
              <w:spacing w:before="0" w:after="0"/>
              <w:ind w:left="0" w:right="0" w:hanging="0"/>
              <w:jc w:val="left"/>
              <w:rPr/>
            </w:pPr>
            <w:r>
              <w:rPr/>
              <w:t> </w:t>
            </w:r>
          </w:p>
        </w:tc>
        <w:tc>
          <w:tcPr>
            <w:tcW w:w="10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 </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5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6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6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left"/>
              <w:rPr/>
            </w:pPr>
            <w:r>
              <w:rPr/>
              <w:t> </w:t>
            </w:r>
          </w:p>
        </w:tc>
        <w:tc>
          <w:tcPr>
            <w:tcW w:w="9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5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pPr>
      <w:r>
        <w:rPr/>
        <w:t>​</w:t>
      </w:r>
    </w:p>
    <w:tbl>
      <w:tblPr>
        <w:tblW w:w="7185" w:type="dxa"/>
        <w:jc w:val="left"/>
        <w:tblInd w:w="0" w:type="dxa"/>
        <w:tblLayout w:type="fixed"/>
        <w:tblCellMar>
          <w:top w:w="0" w:type="dxa"/>
          <w:left w:w="0" w:type="dxa"/>
          <w:bottom w:w="0" w:type="dxa"/>
          <w:right w:w="0" w:type="dxa"/>
        </w:tblCellMar>
      </w:tblPr>
      <w:tblGrid>
        <w:gridCol w:w="1351"/>
        <w:gridCol w:w="346"/>
        <w:gridCol w:w="304"/>
        <w:gridCol w:w="781"/>
        <w:gridCol w:w="499"/>
        <w:gridCol w:w="304"/>
        <w:gridCol w:w="781"/>
        <w:gridCol w:w="346"/>
        <w:gridCol w:w="275"/>
        <w:gridCol w:w="706"/>
        <w:gridCol w:w="452"/>
        <w:gridCol w:w="275"/>
        <w:gridCol w:w="765"/>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857885" cy="175260"/>
                      <wp:effectExtent l="0" t="0" r="0" b="0"/>
                      <wp:wrapNone/>
                      <wp:docPr id="548" name="Frame54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9"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93040" cy="175260"/>
                      <wp:effectExtent l="0" t="0" r="0" b="0"/>
                      <wp:wrapNone/>
                      <wp:docPr id="550" name="Frame55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495935" cy="175260"/>
                      <wp:effectExtent l="0" t="0" r="0" b="0"/>
                      <wp:wrapNone/>
                      <wp:docPr id="551" name="Frame5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316865" cy="175260"/>
                      <wp:effectExtent l="0" t="0" r="0" b="0"/>
                      <wp:wrapNone/>
                      <wp:docPr id="552" name="Frame552"/>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93040" cy="175260"/>
                      <wp:effectExtent l="0" t="0" r="0" b="0"/>
                      <wp:wrapNone/>
                      <wp:docPr id="553" name="Frame553"/>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95935" cy="175260"/>
                      <wp:effectExtent l="0" t="0" r="0" b="0"/>
                      <wp:wrapNone/>
                      <wp:docPr id="554" name="Frame5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19710" cy="175260"/>
                      <wp:effectExtent l="0" t="0" r="0" b="0"/>
                      <wp:wrapNone/>
                      <wp:docPr id="555" name="Frame5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74625" cy="175260"/>
                      <wp:effectExtent l="0" t="0" r="0" b="0"/>
                      <wp:wrapNone/>
                      <wp:docPr id="556" name="Frame55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448310" cy="175260"/>
                      <wp:effectExtent l="0" t="0" r="0" b="0"/>
                      <wp:wrapNone/>
                      <wp:docPr id="557" name="Frame55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87020" cy="175260"/>
                      <wp:effectExtent l="0" t="0" r="0" b="0"/>
                      <wp:wrapNone/>
                      <wp:docPr id="558" name="Frame558"/>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74625" cy="175260"/>
                      <wp:effectExtent l="0" t="0" r="0" b="0"/>
                      <wp:wrapNone/>
                      <wp:docPr id="559" name="Frame55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85775" cy="175260"/>
                      <wp:effectExtent l="0" t="0" r="0" b="0"/>
                      <wp:wrapNone/>
                      <wp:docPr id="560" name="Frame560"/>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99" w:type="dxa"/>
            <w:tcBorders/>
            <w:vAlign w:val="center"/>
          </w:tcPr>
          <w:p>
            <w:pPr>
              <w:pStyle w:val="TableContents"/>
              <w:bidi w:val="0"/>
              <w:spacing w:before="0" w:after="0"/>
              <w:ind w:left="0" w:right="0" w:hanging="0"/>
              <w:jc w:val="left"/>
              <w:rPr/>
            </w:pPr>
            <w:r>
              <w:rPr/>
              <w:t>  ​ ​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52" w:type="dxa"/>
            <w:tcBorders/>
            <w:vAlign w:val="center"/>
          </w:tcPr>
          <w:p>
            <w:pPr>
              <w:pStyle w:val="TableContents"/>
              <w:bidi w:val="0"/>
              <w:spacing w:before="0" w:after="0"/>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18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88"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9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452"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49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452"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9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52"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499"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452"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2026, the Investment Funds’ performance was primarily driven by net losses in short positions, offset in part by net gains in long positions. The performance of our Investment segment’s short positions was primarily driven by net losses from broad market hedges of $332 million and net losses in the energy sector of $99 million related to losses on refining hedges, which represent certain equity and commodity derivative positions intended to serve as economic hedges against the value of CVR Energy. The performance of our Investment segment’s long positions was primarily driven by net gains from the consumer, cyclical and industrials sectors of $136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2025, the Investment Funds’ performance was primarily driven by net losses in short positions, offset in part by net gains in long positions. The performance of our Investment segment’s short positions was driven primarily by net losses from broad market hedges of $147 million and net losses in the energy sector of $81 million. The performance of our Investment segment’s long positions was primarily driven by net gains from the consumer cyclical sector of $144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2026, the Investment Funds’ performance was primarily driven by net losses in short positions, offset in part by net gains in long positions. The performance of our Investment segment’s short positions was primarily driven by net losses in the energy sector of $523 million related to losses on refining hedges, which represent certain equity and commodity derivative positions intended to serve as economic hedges against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value of CVR Energy, and net losses from broad market hedges of $292 million. The performance of our Investment segment’s long positions was primarily driven by net gains from the utilities and industrials sectors of $226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six months ended June 30, 2025, the Investment Funds’ performance was primarily driven by net losses in long and short positions. The performance of our Investment segment’s long positions was driven primarily by net losses from the healthcare and industrials sectors of $376 million, offset in part by net gains from the utilities sector of $116 million. The performance of our Investment segment’s short positions was primarily driven by net losses from the energy and utilities sectors of $144 million and net losses from broad market hedges of $63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Energy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 is primarily engaged in the petroleum refining and nitrogen fertilizer manufacturing businesses. The petroleum business accounted for approximately 92% and 89% of our Energy segment’s net sales for the six months ended June 30,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also influenced by the rate at which the processing of Refined Products adjusts to reflect these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geopolitical conditions, including ongoing conflicts and tensions in the Middle East and the Russia/Ukraine conflict, including continued political and economic uncertainty and sanctions-related constraints, long-term factors such as increased tariffs, ongoing and future trade conflicts and changes in U.S. trade policy may also impact the demand for and inventory of refined products. The recent escalation of conflicts in the Middle East has contributed to increased volatility in global energy, oil and fertilizer markets by disrupting supply chains, key trade routes, including the Strait of Hormuz, and commodity pricing, which may adversely affect the Energy segment’s results of operations. Additional factors that may impact the demand for and inventory of refined products include mandated renewable fuels standards, proposed and enacted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or, to the extent available, purchase renewable identification numbers (“RINs”)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transportation fuel and renewable diesel production levels and pricing, the availability of alternative or supportive credits for renewable fuel producers,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17, “Commitments and Contingencies,” to the condensed consolidated financial statements for further discussion of RINs.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Ongoing and recently proposed changes to the U.S. global trade policy, along with actual and potential international retaliatory measures, have continued to cause volatility in global markets and uncertainty around short and long-term economic impacts in the U.S. and around the globe, including concerns over inflation, recession and slowing growth.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 the ongoing Russian/Ukraine war and Middle East conflicts and tensions continue to present significant geopolitical risks with direct implications to the global oil, fertilizer, and agriculture markets. Such conflicts pose significant geopolitical risks to global markets, raise concerns of major implications, such as enforcement of sanctions, can contribute to further oil price and inventory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Energy business, operations, and cash flows in unforeseen ways.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our Energy segment’s net sales, cost of goods sold and gross profit:</w:t>
      </w:r>
    </w:p>
    <w:tbl>
      <w:tblPr>
        <w:tblW w:w="7472" w:type="dxa"/>
        <w:jc w:val="left"/>
        <w:tblInd w:w="0" w:type="dxa"/>
        <w:tblLayout w:type="fixed"/>
        <w:tblCellMar>
          <w:top w:w="0" w:type="dxa"/>
          <w:left w:w="0" w:type="dxa"/>
          <w:bottom w:w="0" w:type="dxa"/>
          <w:right w:w="0" w:type="dxa"/>
        </w:tblCellMar>
      </w:tblPr>
      <w:tblGrid>
        <w:gridCol w:w="1636"/>
        <w:gridCol w:w="346"/>
        <w:gridCol w:w="295"/>
        <w:gridCol w:w="798"/>
        <w:gridCol w:w="483"/>
        <w:gridCol w:w="295"/>
        <w:gridCol w:w="798"/>
        <w:gridCol w:w="346"/>
        <w:gridCol w:w="267"/>
        <w:gridCol w:w="723"/>
        <w:gridCol w:w="438"/>
        <w:gridCol w:w="267"/>
        <w:gridCol w:w="780"/>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038860" cy="175260"/>
                      <wp:effectExtent l="0" t="0" r="0" b="0"/>
                      <wp:wrapNone/>
                      <wp:docPr id="561" name="Frame56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62" name="Frame5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87325" cy="175260"/>
                      <wp:effectExtent l="0" t="0" r="0" b="0"/>
                      <wp:wrapNone/>
                      <wp:docPr id="563" name="Frame56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506730" cy="175260"/>
                      <wp:effectExtent l="0" t="0" r="0" b="0"/>
                      <wp:wrapNone/>
                      <wp:docPr id="564" name="Frame564"/>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06705" cy="175260"/>
                      <wp:effectExtent l="0" t="0" r="0" b="0"/>
                      <wp:wrapNone/>
                      <wp:docPr id="565" name="Frame565"/>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187325" cy="175260"/>
                      <wp:effectExtent l="0" t="0" r="0" b="0"/>
                      <wp:wrapNone/>
                      <wp:docPr id="566" name="Frame56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506730" cy="175260"/>
                      <wp:effectExtent l="0" t="0" r="0" b="0"/>
                      <wp:wrapNone/>
                      <wp:docPr id="567" name="Frame567"/>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8" name="Frame5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69545" cy="175260"/>
                      <wp:effectExtent l="0" t="0" r="0" b="0"/>
                      <wp:wrapNone/>
                      <wp:docPr id="569" name="Frame56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459105" cy="175260"/>
                      <wp:effectExtent l="0" t="0" r="0" b="0"/>
                      <wp:wrapNone/>
                      <wp:docPr id="570" name="Frame57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78130" cy="175260"/>
                      <wp:effectExtent l="0" t="0" r="0" b="0"/>
                      <wp:wrapNone/>
                      <wp:docPr id="571" name="Frame571"/>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69545" cy="175260"/>
                      <wp:effectExtent l="0" t="0" r="0" b="0"/>
                      <wp:wrapNone/>
                      <wp:docPr id="572" name="Frame57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495300" cy="175260"/>
                      <wp:effectExtent l="0" t="0" r="0" b="0"/>
                      <wp:wrapNone/>
                      <wp:docPr id="573" name="Frame573"/>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4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83" w:type="dxa"/>
            <w:tcBorders/>
            <w:vAlign w:val="center"/>
          </w:tcPr>
          <w:p>
            <w:pPr>
              <w:pStyle w:val="TableContents"/>
              <w:bidi w:val="0"/>
              <w:spacing w:before="0" w:after="1"/>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38" w:type="dxa"/>
            <w:tcBorders/>
            <w:vAlign w:val="center"/>
          </w:tcPr>
          <w:p>
            <w:pPr>
              <w:pStyle w:val="TableContents"/>
              <w:bidi w:val="0"/>
              <w:spacing w:before="0" w:after="1"/>
              <w:ind w:left="0" w:right="0" w:hanging="0"/>
              <w:jc w:val="left"/>
              <w:rPr/>
            </w:pPr>
            <w:r>
              <w:rPr/>
              <w:t>  ​ ​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47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90"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2,738</w:t>
            </w:r>
          </w:p>
        </w:tc>
        <w:tc>
          <w:tcPr>
            <w:tcW w:w="483"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w:t>
            </w:r>
          </w:p>
        </w:tc>
        <w:tc>
          <w:tcPr>
            <w:tcW w:w="438"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3,407</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w:t>
            </w:r>
          </w:p>
        </w:tc>
        <w:tc>
          <w:tcPr>
            <w:tcW w:w="483"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1,839</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4,727</w:t>
            </w:r>
          </w:p>
        </w:tc>
        <w:tc>
          <w:tcPr>
            <w:tcW w:w="438"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3,587</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483"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38"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83" w:type="dxa"/>
            <w:tcBorders/>
            <w:vAlign w:val="center"/>
          </w:tcPr>
          <w:p>
            <w:pPr>
              <w:pStyle w:val="TableContents"/>
              <w:bidi w:val="0"/>
              <w:spacing w:before="0" w:after="1"/>
              <w:ind w:left="0" w:right="0" w:hanging="0"/>
              <w:jc w:val="right"/>
              <w:rPr/>
            </w:pPr>
            <w:r>
              <w:rPr/>
              <w:t>​</w:t>
            </w:r>
          </w:p>
        </w:tc>
        <w:tc>
          <w:tcPr>
            <w:tcW w:w="295" w:type="dxa"/>
            <w:tcBorders/>
            <w:vAlign w:val="center"/>
          </w:tcPr>
          <w:p>
            <w:pPr>
              <w:pStyle w:val="TableContents"/>
              <w:bidi w:val="0"/>
              <w:spacing w:before="0" w:after="1"/>
              <w:ind w:left="0" w:right="0" w:hanging="0"/>
              <w:jc w:val="righ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38" w:type="dxa"/>
            <w:tcBorders/>
            <w:vAlign w:val="center"/>
          </w:tcPr>
          <w:p>
            <w:pPr>
              <w:pStyle w:val="TableContents"/>
              <w:bidi w:val="0"/>
              <w:spacing w:before="0" w:after="1"/>
              <w:ind w:left="0" w:right="0" w:hanging="0"/>
              <w:jc w:val="right"/>
              <w:rPr/>
            </w:pPr>
            <w:r>
              <w:rPr/>
              <w:t>​</w:t>
            </w:r>
          </w:p>
        </w:tc>
        <w:tc>
          <w:tcPr>
            <w:tcW w:w="267" w:type="dxa"/>
            <w:tcBorders/>
            <w:vAlign w:val="center"/>
          </w:tcPr>
          <w:p>
            <w:pPr>
              <w:pStyle w:val="TableContents"/>
              <w:bidi w:val="0"/>
              <w:spacing w:before="0" w:after="1"/>
              <w:ind w:left="0" w:right="0" w:hanging="0"/>
              <w:jc w:val="righ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and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sales for our Energy segment increased by $977 million (55%) for the three months ended June 30, 2026 as compared to the comparable prior year period primarily due to an increase in our petroleum business’ net sales of $978 million and an increase in our nitrogen fertilizer business’ net sales of $35 million. The increase in the petroleum business’ net sales was driven by higher throughput volumes in the current period as a result of the planned major maintenance turnaround at CVR Energy’s Coffeyville refinery (the “2025 Coffeyville Refinery Turnaround”) in the prior period combined with higher gasoline and distillate prices, offset in part by lower revenue from sales of crude oil in 2026 due to inventory management activities during the 2025 Coffeyville Refinery Turnaround. Our nitrogen fertilizer business’ net sales increased primarily due to favorable urea ammonium nitrate (“UAN”) and ammonia sales prices, offset in part by decreased UAN and ammonia sales volumes.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goods sold for our Energy segment increased by $793 million (43%) for the three months ended June 30, 2026 as compared to the comparable prior year period. The increase was primarily due to higher petroleum throughput volumes as a result of the 2025 Coffeyville Refinery Turnaround in the prior period, an increase in the cost of RFS compliance in the current period, and unfavorable derivatives impact of $80 million resulting primarily from losses on open crack swap positions in the current period, offset in part by favorable inventory valuation impacts of $19 million, primarily related to an increase in crude oil prices in the current period compared to a decrease in price in the previous period. Gross profit for our Energy segment increased by $184 million for the three months ended June 30, 2026 as compared to the comparable prior year period. Gross margin was 4% and (4)% for the three months ended June 30, 2026 and 2025,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sales for our Energy segment increased by $1.3 billion (38%) for the six months ended June 30, 2026 as compared to the comparable prior year period primarily due to an increase in our petroleum business’ net sales of $1.3 billion and an increase in our nitrogen fertilizer business’ net sales of $72 million. The increase in the petroleum business’ net sales was driven by higher throughput volumes in the current period as a result of the 2025 Coffeyville Refinery Turnaround in the prior period combined with higher gasoline and distillate prices in the current period, offset in part by lower revenue from sales of crude oil in 2026 due to inventory management activities during the 2025 Coffeyville Refinery Turnaround. Our nitrogen fertilizer business’ net sales increased primarily due to favorable UAN and ammonia sales prices combined with favorable ammonia sales volumes, offset in part by decreased UAN sales volumes.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goods sold for our Energy segment increased by $1.1 billion (32%) for the six months ended June 30, 2026 as compared to the comparable prior year period. The increase was primarily from our petroleum business, mainly due to higher throughput volumes as a result of the 2025 Coffeyville Refinery Turnaround in the prior period, an increase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RFS compliance in the current period,  and unfavorable derivatives impact of $275 million resulting primarily from losses on open crack swap positions in the current period, offset in part by favorable inventory valuation impacts of $138 million, primarily related to an increase in crude oil prices in the current period compared to a decrease in price in the previous period. Gross loss for our Energy segment decreased by $171 million for the six months ended June 30, 2026 as compared to the comparable prior year period. Gross margin was 0% and (5)% for the six months ended June 30, 2026 and 2025, respectively.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results of operations are generally driven by the demand for automotive service and maintenance, which is impacted by general economic factors, vehicle miles traveled, and the average age of vehicles on the road, among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has been in the process of a multi-year transformation plan. As part of this plan, our Automotive segment completed the separation of certain of its Automotive Services and Aftermarket Parts businesses into two separate operating companies. Auto Plus, which operated the majority of our Aftermarket Parts business, began operating in locations owned and leased by the Automotive Services business from 2021 until 2023. We exited the Aftermarket Parts business in the first quarter of 2025. In July of 2026, Icahn Automotive entered into the Pep Boys Purchase Agreement, pursuant to which we will sell Pep Boys to Mavis.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its transformation plan, the Automotive segment leases available and excess real estate in certain locations under long-term operating leases previously utilized by the Aftermarket Parts business. During this multi-year transformation plan, the Automotive segment has continued investing capital to repurpose these locations for future multi-tenant use. In October and November 2025, we executed on the next phase of the transformation plan in which the Automotive segment transferred the majority of its owned real estate to the Real Estate segment. The Real Estate segment also assumed the existing leases with third party tenants from the transferred properties. The Real Estate segment will continue to hold this real estate following the completion of the sale of Pep Boys pursuant to the Pep Boys Purchase Agreement, and lease the properties to Mavis.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Automotive Services business entered into fair market value lease agreements with the Real Estate segment, which will not impact consolidated cash flows or consolidated operating expenses but will result in increased cash outflows from the Automotive segment to the Real Estate segment. We believe this will reduce the Automotive Services business’s focus on real estate activities and allow it to focus on managing its core business and executing its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fourth quarter of 2024, the Automotive segment entered into an agreement with a tenant to terminate a group of leases, effective March 31, 2025. As a result of this termination, the segment received a lump sum termination fee and had additional excess real estate available to lease, which has resulted in reduced cash flows during the anticipated lease-up period. </w:t>
      </w:r>
    </w:p>
    <w:p>
      <w:pPr>
        <w:pStyle w:val="TextBody"/>
        <w:bidi w:val="0"/>
        <w:spacing w:before="0" w:after="0"/>
        <w:ind w:left="90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31"/>
        <w:gridCol w:w="346"/>
        <w:gridCol w:w="321"/>
        <w:gridCol w:w="731"/>
        <w:gridCol w:w="527"/>
        <w:gridCol w:w="321"/>
        <w:gridCol w:w="731"/>
        <w:gridCol w:w="346"/>
        <w:gridCol w:w="281"/>
        <w:gridCol w:w="641"/>
        <w:gridCol w:w="462"/>
        <w:gridCol w:w="281"/>
        <w:gridCol w:w="786"/>
      </w:tblGrid>
      <w:tr>
        <w:trPr/>
        <w:tc>
          <w:tcPr>
            <w:tcW w:w="4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813685" cy="175260"/>
                      <wp:effectExtent l="0" t="0" r="0" b="0"/>
                      <wp:wrapNone/>
                      <wp:docPr id="574" name="Frame574"/>
                      <a:graphic xmlns:a="http://schemas.openxmlformats.org/drawingml/2006/main">
                        <a:graphicData uri="http://schemas.microsoft.com/office/word/2010/wordprocessingShape">
                          <wps:wsp>
                            <wps:cNvSpPr txBox="1"/>
                            <wps:spPr>
                              <a:xfrm>
                                <a:off x="0" y="0"/>
                                <a:ext cx="281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75"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3835" cy="175260"/>
                      <wp:effectExtent l="0" t="0" r="0" b="0"/>
                      <wp:wrapNone/>
                      <wp:docPr id="576" name="Frame576"/>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64185" cy="175260"/>
                      <wp:effectExtent l="0" t="0" r="0" b="0"/>
                      <wp:wrapNone/>
                      <wp:docPr id="577" name="Frame577"/>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34645" cy="175260"/>
                      <wp:effectExtent l="0" t="0" r="0" b="0"/>
                      <wp:wrapNone/>
                      <wp:docPr id="578" name="Frame578"/>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3835" cy="175260"/>
                      <wp:effectExtent l="0" t="0" r="0" b="0"/>
                      <wp:wrapNone/>
                      <wp:docPr id="579" name="Frame579"/>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464185" cy="175260"/>
                      <wp:effectExtent l="0" t="0" r="0" b="0"/>
                      <wp:wrapNone/>
                      <wp:docPr id="580" name="Frame58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78435" cy="175260"/>
                      <wp:effectExtent l="0" t="0" r="0" b="0"/>
                      <wp:wrapNone/>
                      <wp:docPr id="582" name="Frame58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407035" cy="175260"/>
                      <wp:effectExtent l="0" t="0" r="0" b="0"/>
                      <wp:wrapNone/>
                      <wp:docPr id="583" name="Frame583"/>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93370" cy="175260"/>
                      <wp:effectExtent l="0" t="0" r="0" b="0"/>
                      <wp:wrapNone/>
                      <wp:docPr id="584" name="Frame584"/>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78435" cy="175260"/>
                      <wp:effectExtent l="0" t="0" r="0" b="0"/>
                      <wp:wrapNone/>
                      <wp:docPr id="585" name="Frame58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99110" cy="175260"/>
                      <wp:effectExtent l="0" t="0" r="0" b="0"/>
                      <wp:wrapNone/>
                      <wp:docPr id="586" name="Frame586"/>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4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27"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62"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8"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and other revenues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52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and other expenses from operations</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527"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4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527"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4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527"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righ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62"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bookmarkStart w:id="2022" w:name="_Hlk149058774"/>
      <w:bookmarkStart w:id="2023" w:name="_Hlk149058874"/>
      <w:bookmarkEnd w:id="2022"/>
      <w:bookmarkEnd w:id="2023"/>
      <w:r>
        <w:rPr>
          <w:rFonts w:ascii="Times New Roman;Times;serif" w:hAnsi="Times New Roman;Times;serif"/>
          <w:i/>
          <w:sz w:val="20"/>
        </w:rPr>
        <w:t>Three Months Ended June 30, 2026 and 2025</w:t>
      </w:r>
    </w:p>
    <w:p>
      <w:pPr>
        <w:pStyle w:val="TextBody"/>
        <w:bidi w:val="0"/>
        <w:spacing w:before="0" w:after="240"/>
        <w:ind w:left="0" w:right="0" w:firstLine="360"/>
        <w:jc w:val="left"/>
        <w:rPr>
          <w:rFonts w:ascii="Times New Roman;Times;serif" w:hAnsi="Times New Roman;Times;serif"/>
          <w:sz w:val="20"/>
        </w:rPr>
      </w:pPr>
      <w:bookmarkStart w:id="2024" w:name="_Hlk109386898"/>
      <w:bookmarkEnd w:id="2024"/>
      <w:r>
        <w:rPr>
          <w:rFonts w:ascii="Times New Roman;Times;serif" w:hAnsi="Times New Roman;Times;serif"/>
          <w:sz w:val="20"/>
        </w:rPr>
        <w:t>Net sales and other revenues from operations for our Automotive segment for the three months ended June 30, 2026 decreased by $14 million (4%) as compared to the comparable prior year period. The decrease was primarily due to the strategic closure of underperforming locations, which reduced revenues by $12 million in the current period.</w:t>
      </w:r>
      <w:r>
        <w:rPr>
          <w:rFonts w:ascii="Times New Roman;Times;serif" w:hAnsi="Times New Roman;Times;serif"/>
          <w:sz w:val="20"/>
          <w:shd w:fill="FFFF00" w:val="clear"/>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and other expenses from operations for the three months ended June 30, 2026 decreased by $16 million (6%) as compared to the comparable prior year period. The decrease was mostly attributable to reduced costs from closed stores of $8 million and decreased labor costs from closed stores of $5 million. Gross profit for the three months ended June 30, 2026 increased by $2 million (2%) from the comparable prior year period. Gross margin was 29% and 27% for the three months ended June 30, 2026 and 2025,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and other revenues from operations for our Automotive segment for the six months ended June 30, 2026 decreased by $25 million (4%) as compared to the comparable prior year period. The decrease was primarily due to the strategic closure of underperforming locations, which reduced revenues by $28 million in the current period, offset in part by price increases of $4 million.</w:t>
      </w:r>
      <w:r>
        <w:rPr>
          <w:rFonts w:ascii="Times New Roman;Times;serif" w:hAnsi="Times New Roman;Times;serif"/>
          <w:sz w:val="20"/>
          <w:shd w:fill="FFFF00" w:val="clear"/>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and other expenses from operations for the six months ended June 30, 2026 decreased by $42 million (8%) as compared to the comparable prior year period. The decrease was mostly attributable to reduced costs from closed stores of $16 million and decreased labor costs from closed stores of $10 million. Gross profit for the six months ended June 30, 2026 increased by $17 million (10%) from the comparable prior year period. Gross margin was 29% and 26% for the six months ended June 30, 2026 and 2025,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first quarter of 2025, the segment commenced implementation of a restructuring plan designed to enhance operational efficiency and margin performance. The plan includes the consolidation of our North American facilities into a single, centralized location, along with investments in upgraded equipment at that facility. These actions are intended to support increased production volumes while reducing costs and waste. Implementation of the plan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causing interim disruption, but its objective is to maintain global production capability while achieving improved cost structure. The restructuring activities were substantially completed during the first half of 2026. However, we do not expect the segment to realize the efficiency and performance gains from the restructuring until later in 2026, if at all.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2026 decreased $7 million (7%) as compared to the comparable prior year period. The decrease was primarily due to volume-related decreases of $11 million, offset in part by favorable effects of an increase in price and product mix of $3 million and favorable foreign exchange of $1 million. Cost of goods sold for the three months ended June 30, 2026 decreased $7 million (8%) as compared to the comparable prior year period primarily due to lower volumes of product sold due to temporary capacity constraints. Gross margin as a percentage of net sales was 13% and 12% for the three months ended June 30, 2026 and 2025,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2026 decreased $14 million (7%) as compared to the comparable prior year period. The decrease was primarily due to volume-related decreases of $23 million, offset in part by favorable effects of an increase in price and product mix of $4 million and favorable foreign exchange of $5 million. Cost of goods sold for the six months ended June 30, 2026 decreased $9 million (5%) as compared to the comparable prior year period primarily due to lower volumes of product sold due to temporary capacity constraints. Gross margin as a percentage of net sales was 12% and 14% for the six months ended June 30, 2026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Real Estate segment consists of investment properties which includes land, retail, office and industrial properties leased to commercial tenants, the development and sale of single-family homes, and the operations of a resort and a country club. Sales of single-family homes and investment properties are included in net sales in our consolidated statements of operations. Results from operations at investment properties and our country club are included in other revenues from operations in our consolidated statements of operations. Net sales and other revenues from operations for the three and six months ended June 30, 2026 was primarily derived from the sale of single-family homes, resort and country club operations.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the fourth quarter of 2025, our Automotive segment completed the transfer of a group of owned real estate properties to our Real Estate segment. Following the transfer, the Real Estate segment assumed control of the properties and will manage and lease them as part of its ongoing operations. The Real Estate segment will lease properties to the Automotive segment, which will not impact consolidated cash flows or other revenues from operations but will result in increased cash inflows to the Real Estate segment. The Real Estate segment also assumed the existing leases with third party tenants from the transferred properties. The Real Estate segment will continue to hold this real estate following the completion of the sale of Pep Boys pursuant to the Pep Boys Purchase Agreement, and lease the properties to Mavis.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2026 decreased $1 million (100%) as compared to the comparable prior year period due to a decrease in single-family home sales. Cost of goods sold for the three months ended June 30, 2026 decreased $1 million (100%) as compared to the prior year period due to a decrease in single-family home sales. Gross margin as a percentage of net sales was 0% and 0% for the three months ended June 30, 2026 and 2025,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revenues from operations for the three months ended June 30, 2026 increased $2 million (12%) as compared to the comparable prior year period due to higher rental revenues. Other expenses from operations for the three months ended June 30, 2026 increased by $6 million (35%) as compared to the comparable prior year period due to higher lease expenses related to the transfer of properties from the Automotive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2026 increased $2 million (200%) as compared to the comparable prior year period due to an increase in single-family home sales. Cost of goods sold for the six months ended June 30, 2026 increased $2 million (200%) as compared to the prior year period due to an increase in single-family home sales. Gross margin as a percentage of net sales was 0% for each of the 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revenues from operations for the six months ended June 30, 2026 increased $3 million (9%) as compared to the comparable prior year period due to higher rental revenues. Other expenses from operations for the six months ended June 30, 2026 increased by $9 million (27%) as compared to the comparable prior year period due to higher lease expenses related to the transfer of properties from the Automotive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Home Fashion segment is significantly influenced by the overall economic environment, including consumer spending, at the retail level, for home textile products.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and 2025</w:t>
      </w:r>
    </w:p>
    <w:p>
      <w:pPr>
        <w:pStyle w:val="TextBody"/>
        <w:bidi w:val="0"/>
        <w:spacing w:before="0" w:after="0"/>
        <w:ind w:left="0" w:right="0" w:firstLine="360"/>
        <w:jc w:val="left"/>
        <w:rPr>
          <w:rFonts w:ascii="Times New Roman;Times;serif" w:hAnsi="Times New Roman;Times;serif"/>
          <w:sz w:val="20"/>
        </w:rPr>
      </w:pPr>
      <w:bookmarkStart w:id="2025" w:name="_Hlk165651022"/>
      <w:bookmarkStart w:id="2026" w:name="_Hlk165650935"/>
      <w:bookmarkEnd w:id="2025"/>
      <w:bookmarkEnd w:id="2026"/>
      <w:r>
        <w:rPr>
          <w:rFonts w:ascii="Times New Roman;Times;serif" w:hAnsi="Times New Roman;Times;serif"/>
          <w:sz w:val="20"/>
        </w:rPr>
        <w:t>Net sales for the three months ended June 30, 2026 decreased by $3 million (7%) as compared to the comparable prior year period mostly due to lower demand from our retail business. Cost of goods sold for the three months ended June 30, 2026 decreased $4 million (12%). Cost of goods sold was negatively impacted by the Iran war which resulted in lower production and higher unabsorbed costs. These unfavorable impacts were largely offset by a $4 million refund related to tariffs imposed under the International Emergency Economic Powers Act (“ IEEPA”), which favorably reduced cost of goods sold during the period. Gross margin as a percentage of net sales was 26% and 21% for the three months ended June 30, 2026 and 2025, respectively.</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2026 decreased by $5 million (6%) as compared to the comparable prior year period mostly due to lower demand from our retail business. Cost of goods sold for the six months ended June 30, 2026 decreased $3 million (5%). Cost of goods sold was negatively impacted from the Iran war which resulted in lower production and higher unabsorbed costs. These unfavorable impacts were largely offset by a $4 million refund related to IEEPA tariffs, which favorably reduced cost of goods sold during the period. Gross margin as a percentage of net sales was 22% and 23% for the six months ended June 30, 2026 and 2025,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Pharma segment derives revenues primarily from the sale of its products directly to customers, wholesalers and pharmacies. Drugs in active clinical development may generate positive cash flow if successful, but there is also the risk that these drugs may not progress through clinical trials, resulting in no return. Additionally, we incur research and development costs associated with these drugs.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previously announced settlement agreements, in 2025, two competitors launched competing generic products to the patent protected weight loss treatment sold within our Pharma segment in the United States, which has caused, and we anticipate will continue to cause, a moderate reduction of prescription volume in the retail pharmacy market in the United States. The Pharma segment has launched its weight loss treatment in the UAE and in several EU countries including Poland, Denmark, Finland, Sweden and Iceland. Additionally, launches in twelve other European countries and six additional countries in the Middle East are planned. We anticipate these new launches will eventually offset the lost revenue in the United States.</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three months ended June 30, 2026 decreased $18 million (55%) as compared to the comparable prior year period primarily due to increased generic competition in the anti-obesity market resulting in decreased sales. Cost of goods sold for the three months ended June 30, 2026 decreased $7 million (44%) as compared to the comparable prior year period primarily due to decreased sales. Gross margin as a percentage of net sales was 40% and 52% for the three months ended June 30, 2026 and 2025,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six months ended June 30, 2026 decreased $26 million (46%) as compared to the comparable prior year period primarily due to increased generic competition in the anti-obesity market resulting in decreased sales. Cost of goods sold for the six months ended June 30, 2026 decreased $11 million (38%) as compared to the comparable prior year period primarily due to decreased sales. Gross margin as a percentage of net sales was 40% and 48% for the six months ended June 30, 2026 and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Holding Company’s results of operations primarily reflect the interest expense on its senior notes for each of the three and six months ended June 30, 2026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Consolidated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selling, general and administrative costs during the three months ended June 30, 2026 decreased by $4 million (2%) as compared to the comparable prior year period. The decrease was primarily due to lower costs in the Automotive segment of $4 million primarily related to lower marketing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selling, general and administrative costs during the six months ended June 30, 2026 increased by $4 million (1%) as compared to the comparable prior year period. The increase was primarily due to higher costs in the Holding Company segment of $3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interest expense during the three months ended June 30, 2026 decreased by $8 million (6%) as compared to the comparable prior year period. The decrease was primarily due to lower interest expense in our Energy segment of $4 million attributable to lower borrowing costs resulting from our Energy segment’s debt refinancing activities in the first quarter of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2026 and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interest expense during the six months ended June 30, 2026 decreased by $13 million (5%) as compared to the comparable prior year period. The decrease was primarily due to lower interest expense in our Energy segment of $8 million attributable to lower borrowing costs resulting from our Energy segment’s debt refinancing activities in the first quarter of 2026 and lower interest expense in our Investment segment of $7 million attributable to changes in short exposure composition.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14, “Income Taxes,” to the condensed consolidated financial statements for a discussion of income taxes.</w:t>
      </w:r>
    </w:p>
    <w:p>
      <w:pPr>
        <w:pStyle w:val="TextBody"/>
        <w:bidi w:val="0"/>
        <w:spacing w:before="0" w:after="240"/>
        <w:ind w:left="0" w:right="0" w:hanging="0"/>
        <w:jc w:val="left"/>
        <w:rPr>
          <w:rFonts w:ascii="Times New Roman;Times;serif" w:hAnsi="Times New Roman;Times;serif"/>
          <w:b/>
          <w:sz w:val="20"/>
        </w:rPr>
      </w:pPr>
      <w:bookmarkStart w:id="2027" w:name="_f4dade40_828b_4a97_9a7f_4380850c4b1f"/>
      <w:bookmarkEnd w:id="2027"/>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and other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our Holding Company had cash and cash equivalents of approximately $381 million and total debt of approximately $4.4 billion. The anticipated closing of the Pep Boys Transaction in the coming months is expected to provide additional cash to the Holding Company. As of June 30, 2026, our Holding Company had investments in the Investment Funds with a total fair market value of approximately $2.0 billion. Following the end of the second quarter, the value of our investments in the Investment Funds have declined to approximately $1.7 billion as of July 31, 2026. We may redeem our direct investment in the Investment Funds upon notice. See “Investment Segment Liquidity,” including under “Investment Funds Redemptions,” below for additional information with respect to our Investment segment liquidity. See “Consolidated Cash Flows” below for additional information with respect to our Holding Company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Holding Company aggregate outstanding face amount of senior notes consists of the following:</w:t>
      </w:r>
    </w:p>
    <w:tbl>
      <w:tblPr>
        <w:tblW w:w="7877" w:type="dxa"/>
        <w:jc w:val="left"/>
        <w:tblInd w:w="0" w:type="dxa"/>
        <w:tblLayout w:type="fixed"/>
        <w:tblCellMar>
          <w:top w:w="0" w:type="dxa"/>
          <w:left w:w="0" w:type="dxa"/>
          <w:bottom w:w="0" w:type="dxa"/>
          <w:right w:w="0" w:type="dxa"/>
        </w:tblCellMar>
      </w:tblPr>
      <w:tblGrid>
        <w:gridCol w:w="5326"/>
        <w:gridCol w:w="230"/>
        <w:gridCol w:w="625"/>
        <w:gridCol w:w="346"/>
        <w:gridCol w:w="320"/>
        <w:gridCol w:w="1030"/>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382010" cy="175260"/>
                      <wp:effectExtent l="0" t="0" r="0" b="0"/>
                      <wp:wrapNone/>
                      <wp:docPr id="587" name="Frame587"/>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46050" cy="175260"/>
                      <wp:effectExtent l="0" t="0" r="0" b="0"/>
                      <wp:wrapNone/>
                      <wp:docPr id="588" name="Frame58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396875" cy="175260"/>
                      <wp:effectExtent l="0" t="0" r="0" b="0"/>
                      <wp:wrapNone/>
                      <wp:docPr id="589" name="Frame589"/>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90" name="Frame5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3200" cy="175260"/>
                      <wp:effectExtent l="0" t="0" r="0" b="0"/>
                      <wp:wrapNone/>
                      <wp:docPr id="591" name="Frame59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54050" cy="175260"/>
                      <wp:effectExtent l="0" t="0" r="0" b="0"/>
                      <wp:wrapNone/>
                      <wp:docPr id="592" name="Frame592"/>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June 30, </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877"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5326" w:type="dxa"/>
            <w:tcBorders/>
            <w:vAlign w:val="center"/>
          </w:tcPr>
          <w:p>
            <w:pPr>
              <w:pStyle w:val="TableContents"/>
              <w:bidi w:val="0"/>
              <w:spacing w:before="0" w:after="0"/>
              <w:ind w:left="0" w:right="0" w:hanging="0"/>
              <w:jc w:val="left"/>
              <w:rPr/>
            </w:pPr>
            <w:r>
              <w:rPr/>
              <w:t>​</w:t>
            </w:r>
          </w:p>
        </w:tc>
        <w:tc>
          <w:tcPr>
            <w:tcW w:w="2551"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230"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outstanding face amount of senior notes</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4,655</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discounts, premiums, and debt issuance costs</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53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Notes held in treasury </w:t>
            </w:r>
            <w:r>
              <w:rPr>
                <w:rFonts w:ascii="Times New Roman;Times;serif" w:hAnsi="Times New Roman;Times;serif"/>
                <w:sz w:val="15"/>
              </w:rPr>
              <w:t>(1)</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4,664</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At June 30, 2026 total debt is net of notes held in treasury of $73 million aggregate principal amount of our 5.250% senior notes due 2027, $92 million aggregate principal amount of our 4.375% senior notes due 2029, and $50 million aggregate principal amount of our 9.000% senior notes due 2030. At December 31, 2025 total debt is net of notes held in treasury of $10 million aggregate principal amount of our 6.250% senior notes due 2026, $73 million aggregate principal amount of our 5.250% senior notes due 2027, $92 million aggregate principal amount of our 4.375% senior notes due 2029 and $50 million of 9.000% senior notes due 2030. </w:t>
            </w:r>
          </w:p>
        </w:tc>
      </w:tr>
    </w:tbl>
    <w:p>
      <w:pPr>
        <w:pStyle w:val="TextBody"/>
        <w:bidi w:val="0"/>
        <w:spacing w:before="0" w:after="0"/>
        <w:ind w:left="36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Holding Company debt consists of various issues of fixed-rate senior notes issued by Icahn Enterprises and Icahn Enterprises Finance Corp. (together, the “Issuers”) and guaranteed by Icahn Enterprises Holdings (the “Guarantor”). Interest on each tranche of senior notes is payable semi-annually.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2026, we redeemed all outstanding 6.250% senior notes due 2026, at par, using cash on hand.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bookmarkStart w:id="2028" w:name="_Hlk191140442"/>
      <w:bookmarkEnd w:id="2028"/>
      <w:r>
        <w:rPr>
          <w:rFonts w:ascii="Times New Roman;Times;serif" w:hAnsi="Times New Roman;Times;serif"/>
          <w:sz w:val="20"/>
        </w:rPr>
        <w:t xml:space="preserve">The indentures governing our senior notes described above restrict the payment of cash distributions, the purchase of equity interests or the purchase, redemption, defeasance or acquisition of debt subordinated to the senior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Upon the closing of our secured debt offering in November of 2024, all of our notes are now secured and, as a result, are excluded from the calculation of the ratio test under these covenants. As a result, we no longer have a material amount of unsecured indebtedness, and we and our subsidiaries have substantially more capacity under these covenants to incur additional unsecured indebtedness (but subject to the other covenants in the indentures governing our senior notes that restrict the ability of the Issuers and the Guarantor, as well as the ability of our non-guarantor subsidiaries, to incur incremental indebtedness). The indentures also restrict the creation of liens, mergers, consolidations and sales of substantially all of our assets, and transactions with affiliates. Additionally, each of the 5.250% senior notes due 2027 (the “2027 Notes”), the 4.375% senior notes due 2029, the 10.000% senior notes due 2029 and the 9.000% senior notes due 2030 are subject to optional redemption premiums in the event we redeem any of the notes prior to six months before maturity. The 9.750% senior notes due 2029 are subject to optional redemption premiums in the event we redeem these notes prior to three months before maturity. If we do not refinance the 2027 Notes prior to their maturity in May of 2027, we anticipate that we would be able to repay the balance of the 2027 Notes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by redeeming some or all of our interests in the Investment Funds along with using cash at the Holding Company. In addition, we could also seek additional financing sources.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2026 and December 31, 2025, we were in compliance with all covenants, including maintaining certain minimum financial ratios, as defined in the indentures. Additionally, as of June 30, 2026, based on covenants in the indentures governing our senior notes, we are not permitted to incur additional indebtedness; however, we are permitted to issue new notes in connection with debt refinancings of existing notes.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LP Unit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2026, we distributed 34,841,101 depositary units to unitholders who did not elect to receive cash, of which 32,536,774 depositary units were distributed to Mr. Icahn and his affiliates. In connection with these distributions, aggregate cash distributions to all depositary unitholders that made a timely election to receive cash was $51 million, of which $25 million was distributed to Mr. Icahn and his affiliates in April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2026, we distributed 38,864,540 depositary units to unitholders who did not elect to receive cash, of which 36,456,030 depositary units were distributed to Mr. Icahn and his affiliates. In connection with these distributions, aggregate cash distributions to all depositary unitholders that made a timely election to receive cash was $52 million, of which $25 million was distributed to Mr. Icahn and his affiliates in June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August 3, 2026, the Board of Directors of the Icahn Enterprises GP (the “Board”) declared a quarterly distribution in the amount of $0.50 per depositary unit, which will be paid on or about September 23, 2026 to depositary unitholders of record at the close of business on August 17, 2026. Depositary unitholders will have until September 11, 2026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September 18, 2026.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At-The-Market Offerings</w:t>
      </w:r>
    </w:p>
    <w:p>
      <w:pPr>
        <w:pStyle w:val="TextBody"/>
        <w:bidi w:val="0"/>
        <w:spacing w:before="0" w:after="240"/>
        <w:ind w:left="0" w:right="0" w:firstLine="360"/>
        <w:jc w:val="left"/>
        <w:rPr>
          <w:rFonts w:ascii="TimesNRMTPro" w:hAnsi="TimesNRMTPro"/>
          <w:sz w:val="20"/>
        </w:rPr>
      </w:pPr>
      <w:r>
        <w:rPr>
          <w:rFonts w:ascii="TimesNRMTPro" w:hAnsi="TimesNRMTPro"/>
          <w:sz w:val="20"/>
        </w:rPr>
        <w:t>From time to time Icahn Enterprises enters into open market sale agreements providing for the sale of depositary units under its ongoing “at-the-market” offering program. As of June 30, 2026, Icahn Enterprises may sell depositary units for up to an additional $363 million in aggregate gross proceeds pursuant to the open market sale agreement entered into on August 26, 2024 (the “2024 Open Market Sale Agreement”). No assurance can be made that any or all amounts will be sold during the term of the agreement, and we have no obligation to sell additional depositary units under the 2024 Open Market Sale Agreement. Depending on market conditions, we may continue to sell depositary units under the 2024 Open Market Sale Agreement, and, if appropriate, enter into a new open market sale agreement to continue our “at-the-market” sales program once we have sold the full amount of our existing 2024 Open Market Sale Agreement. Our ability to access remaining capital under our “at-the-market” program may be limited by market conditions at the time of any future potential sale. There can be no assurance that any future capital will be available on acceptable terms or at all under this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On November 6, 2024, the Board re-approved the Repurchase Program, and, pursuant to the reapproved Repurchase Program, we were reauthorized to repurchase up to $500 million worth of our outstanding fixed-rate senior notes, in addition to the $269 million we repurchased prior to the Board’s reapproval of the Repurchase Program. During the six months ended June 30, 2026, the Company did not repurchase any of the Company’s depositary units or fixed-rate senior notes under the Repurchase Program. Repurchased notes are extinguished but not retired when held in treasury. We remain authorized to repurchase up to $450 million of our senior notes and up to $500 million of our outstanding depositary units, in each case subject to restrictions on use of our cash contained in the indentures governing our indebtedness.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Segment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to investments by us and Mr. Icahn, the Investment Funds historically have access to significant amounts of cash available from prime brokerage lines of credit, subject to customary terms and market conditions.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$741 million and $746 million as of June 30, 2026 and December 31, 2025,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our Investment segment liquidity is driven by the investment activities and performance of the Investment Funds. As of June 30, 2026, the Investment Funds had a net short notional exposure of 30%. The Investment Funds’ long exposure was 87% (87% long equity) and its short exposure was 117% (99% short equity and 18% short commodity). The notional exposure represents the ratio of the notional exposure of the Investment Funds’ invested capital to the net asset value of the Investment Funds at June 30,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Of the Investment Funds’ 87% long exposure, 54% was comprised of the fair value of its long positions and 33% was comprised mostly of single name equity forward and swap contracts. Of the Investment Funds’ 117% short exposure, 39% was comprised of the fair value of its short positions and 78% was comprised mostly of short broad market index swap derivative contracts and short commodity contracts.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With respect to both our long positions that are not notionalized (54% long exposure) and our short positions that are not notionalized (39%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the notional value of our other long positions (33% long exposure) and short positions (78%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Funds Redemptions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2026, Mr. Icahn and his affiliates (excluding us and Brett Icahn) redeemed $175 million from his personal interest in the Investment Funds and the Holding Company redeemed $240 million. In addition, during the six months ended June 30, 2026, the Holding Company redeemed $40 million in securities from the Investment Funds. As of June 30, 2026 and December 31, 2025, the total fair market value of investments in the Investment Funds owned by the Company was approximately $2.0 billion and $2.7 billion, respectively, representing approximately 77% and 75% of the Investment Funds’ assets under management as of each respective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2026, Mr. Icahn and his affiliates (excluding us and Brett Icahn) notified the Investment Funds of his intention to redeem $275 million from his personal interest in the Investment Funds included in the Investment segment, which is expected to be completed in August of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Segment Liquidity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cash and cash equivalents (excluding our Investment segment) consists of the following:</w:t>
      </w:r>
    </w:p>
    <w:tbl>
      <w:tblPr>
        <w:tblW w:w="4338" w:type="dxa"/>
        <w:jc w:val="left"/>
        <w:tblInd w:w="0" w:type="dxa"/>
        <w:tblLayout w:type="fixed"/>
        <w:tblCellMar>
          <w:top w:w="0" w:type="dxa"/>
          <w:left w:w="0" w:type="dxa"/>
          <w:bottom w:w="0" w:type="dxa"/>
          <w:right w:w="0" w:type="dxa"/>
        </w:tblCellMar>
      </w:tblPr>
      <w:tblGrid>
        <w:gridCol w:w="1441"/>
        <w:gridCol w:w="346"/>
        <w:gridCol w:w="284"/>
        <w:gridCol w:w="571"/>
        <w:gridCol w:w="346"/>
        <w:gridCol w:w="386"/>
        <w:gridCol w:w="964"/>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915035" cy="175260"/>
                      <wp:effectExtent l="0" t="0" r="0" b="0"/>
                      <wp:wrapNone/>
                      <wp:docPr id="593" name="Frame593"/>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4"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80340" cy="175260"/>
                      <wp:effectExtent l="0" t="0" r="0" b="0"/>
                      <wp:wrapNone/>
                      <wp:docPr id="595" name="Frame59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362585" cy="175260"/>
                      <wp:effectExtent l="0" t="0" r="0" b="0"/>
                      <wp:wrapNone/>
                      <wp:docPr id="596" name="Frame5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45110" cy="175260"/>
                      <wp:effectExtent l="0" t="0" r="0" b="0"/>
                      <wp:wrapNone/>
                      <wp:docPr id="598" name="Frame5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12140" cy="175260"/>
                      <wp:effectExtent l="0" t="0" r="0" b="0"/>
                      <wp:wrapNone/>
                      <wp:docPr id="599" name="Frame599"/>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3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4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595</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debt consists of the following:</w:t>
      </w:r>
    </w:p>
    <w:tbl>
      <w:tblPr>
        <w:tblW w:w="4338" w:type="dxa"/>
        <w:jc w:val="left"/>
        <w:tblInd w:w="0" w:type="dxa"/>
        <w:tblLayout w:type="fixed"/>
        <w:tblCellMar>
          <w:top w:w="0" w:type="dxa"/>
          <w:left w:w="0" w:type="dxa"/>
          <w:bottom w:w="0" w:type="dxa"/>
          <w:right w:w="0" w:type="dxa"/>
        </w:tblCellMar>
      </w:tblPr>
      <w:tblGrid>
        <w:gridCol w:w="1441"/>
        <w:gridCol w:w="346"/>
        <w:gridCol w:w="230"/>
        <w:gridCol w:w="625"/>
        <w:gridCol w:w="346"/>
        <w:gridCol w:w="320"/>
        <w:gridCol w:w="1030"/>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915035" cy="175260"/>
                      <wp:effectExtent l="0" t="0" r="0" b="0"/>
                      <wp:wrapNone/>
                      <wp:docPr id="600" name="Frame60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19710" cy="175260"/>
                      <wp:effectExtent l="0" t="0" r="0" b="0"/>
                      <wp:wrapNone/>
                      <wp:docPr id="601" name="Frame6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46050" cy="175260"/>
                      <wp:effectExtent l="0" t="0" r="0" b="0"/>
                      <wp:wrapNone/>
                      <wp:docPr id="602" name="Frame60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396875" cy="175260"/>
                      <wp:effectExtent l="0" t="0" r="0" b="0"/>
                      <wp:wrapNone/>
                      <wp:docPr id="603" name="Frame60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4" name="Frame6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3200" cy="175260"/>
                      <wp:effectExtent l="0" t="0" r="0" b="0"/>
                      <wp:wrapNone/>
                      <wp:docPr id="605" name="Frame60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54050" cy="175260"/>
                      <wp:effectExtent l="0" t="0" r="0" b="0"/>
                      <wp:wrapNone/>
                      <wp:docPr id="606" name="Frame606"/>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3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5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1,765</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1,952</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2026, CVR Energy completed the issuance of $1 billion aggregate principal amount of senior notes, consisting of $600 million of 7.50% senior notes due February 2031 and $400 million of 7.875% senior notes due February 2034. The proceeds from the issuance of these notes were used to (i) fund the redemption in full of CVR Energy’s existing $600 million in aggregate principal amount of 8.50% senior unsecured notes due 2029 at a redemption price equal to 104.250% of the principal amount in February 2026, resulting in a $28 million loss on extinguishment of debt in the six months ended June 30, 2026, (ii) fund the partial redemption of $217 million of CVR Energy’s existing $400 million in aggregate principal amount of 5.75% senior unsecured notes due 2028 at par in February 2026, resulting in a less than $1 million loss on extinguishment of debt in the six months ended June 30, 2026, and (iii) repay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aggregate principal balance of CVR Energy’s Term Loan, resulting in a $3 million loss on extinguishment of debt in the six months ended June 30, 2026. </w:t>
      </w:r>
    </w:p>
    <w:p>
      <w:pPr>
        <w:pStyle w:val="TextBody"/>
        <w:bidi w:val="0"/>
        <w:spacing w:before="0" w:after="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In February 2026, CVR Energy and certain of its subsidiaries entered into Amendment No. 5 (the “CVR Energy ABL Amendment”) to the Amended and Restated ABL Credit Agreement (the “CVR Energy ABL”) with a group of lenders, including Wells Fargo Bank, National Association, a national banking association, as administrative agent, collateral agent and a lender. The CVR Energy ABL Amendment amended the CVR Energy ABL, dated December 20, 2012, to, among other things, (i) increase the aggregate principal amount available under the CVR Energy ABL from $345 million to $550 million, which commitments may be further increased up to $700 million in accordance with the CVR Energy ABL Amendment, (ii) extend the maturity date by an additional three years from June 30 2027, to February 12, 2031, and (iii) make certain amendments to the borrowing base calculation and negative covenants.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total availability under the CVR Energy ABL and CVR Partners’ ABL Credit Agreement (the “CVR Partners ABL”) aggregated to $590 million. The CVR Energy ABL had $10 million of letters of credit outstanding as of June 30, 2026. The CVR Energy ABL matures on February 12, 2031, and the CVR Partners ABL matures on September 26, 2028.</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our Annual Report on Form 10-K for the year ended December 31, 2025 for information concerning terms, restrictions and covenants pertaining to our subsidiaries’ debt. As of June 30, 2026, all of our subsidiaries were in compliance with all debt 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segments have additional borrowing availability under certain revolving credit facilities as summarized below:</w:t>
      </w:r>
    </w:p>
    <w:tbl>
      <w:tblPr>
        <w:tblW w:w="2792" w:type="dxa"/>
        <w:jc w:val="left"/>
        <w:tblInd w:w="0" w:type="dxa"/>
        <w:tblLayout w:type="fixed"/>
        <w:tblCellMar>
          <w:top w:w="0" w:type="dxa"/>
          <w:left w:w="0" w:type="dxa"/>
          <w:bottom w:w="0" w:type="dxa"/>
          <w:right w:w="0" w:type="dxa"/>
        </w:tblCellMar>
      </w:tblPr>
      <w:tblGrid>
        <w:gridCol w:w="1441"/>
        <w:gridCol w:w="346"/>
        <w:gridCol w:w="287"/>
        <w:gridCol w:w="718"/>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915035" cy="175260"/>
                      <wp:effectExtent l="0" t="0" r="0" b="0"/>
                      <wp:wrapNone/>
                      <wp:docPr id="607" name="Frame607"/>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9710" cy="175260"/>
                      <wp:effectExtent l="0" t="0" r="0" b="0"/>
                      <wp:wrapNone/>
                      <wp:docPr id="608"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82245" cy="175260"/>
                      <wp:effectExtent l="0" t="0" r="0" b="0"/>
                      <wp:wrapNone/>
                      <wp:docPr id="609" name="Frame609"/>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455930" cy="175260"/>
                      <wp:effectExtent l="0" t="0" r="0" b="0"/>
                      <wp:wrapNone/>
                      <wp:docPr id="610" name="Frame610"/>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1"/>
              <w:ind w:left="0" w:right="0" w:hanging="0"/>
              <w:jc w:val="left"/>
              <w:rPr/>
            </w:pPr>
            <w:r>
              <w:rPr/>
              <w:t> </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above outstanding debt and additional borrowing availability with respect to each of our continued operating segments reflects third-party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cash flow information for Icahn Enterprises’ reporting segments and our Holding Company: </w:t>
      </w:r>
    </w:p>
    <w:tbl>
      <w:tblPr>
        <w:tblW w:w="9358" w:type="dxa"/>
        <w:jc w:val="left"/>
        <w:tblInd w:w="0" w:type="dxa"/>
        <w:tblLayout w:type="fixed"/>
        <w:tblCellMar>
          <w:top w:w="0" w:type="dxa"/>
          <w:left w:w="0" w:type="dxa"/>
          <w:bottom w:w="0" w:type="dxa"/>
          <w:right w:w="0" w:type="dxa"/>
        </w:tblCellMar>
      </w:tblPr>
      <w:tblGrid>
        <w:gridCol w:w="2311"/>
        <w:gridCol w:w="346"/>
        <w:gridCol w:w="261"/>
        <w:gridCol w:w="595"/>
        <w:gridCol w:w="346"/>
        <w:gridCol w:w="237"/>
        <w:gridCol w:w="544"/>
        <w:gridCol w:w="346"/>
        <w:gridCol w:w="251"/>
        <w:gridCol w:w="575"/>
        <w:gridCol w:w="346"/>
        <w:gridCol w:w="261"/>
        <w:gridCol w:w="595"/>
        <w:gridCol w:w="346"/>
        <w:gridCol w:w="237"/>
        <w:gridCol w:w="544"/>
        <w:gridCol w:w="346"/>
        <w:gridCol w:w="249"/>
        <w:gridCol w:w="622"/>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467485" cy="175260"/>
                      <wp:effectExtent l="0" t="0" r="0" b="0"/>
                      <wp:wrapNone/>
                      <wp:docPr id="611" name="Frame61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2"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65735" cy="175260"/>
                      <wp:effectExtent l="0" t="0" r="0" b="0"/>
                      <wp:wrapNone/>
                      <wp:docPr id="613" name="Frame61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377825" cy="175260"/>
                      <wp:effectExtent l="0" t="0" r="0" b="0"/>
                      <wp:wrapNone/>
                      <wp:docPr id="614" name="Frame614"/>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5" name="Frame6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50495" cy="175260"/>
                      <wp:effectExtent l="0" t="0" r="0" b="0"/>
                      <wp:wrapNone/>
                      <wp:docPr id="616" name="Frame61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345440" cy="175260"/>
                      <wp:effectExtent l="0" t="0" r="0" b="0"/>
                      <wp:wrapNone/>
                      <wp:docPr id="617" name="Frame617"/>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8"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59385" cy="175260"/>
                      <wp:effectExtent l="0" t="0" r="0" b="0"/>
                      <wp:wrapNone/>
                      <wp:docPr id="619" name="Frame61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365125" cy="175260"/>
                      <wp:effectExtent l="0" t="0" r="0" b="0"/>
                      <wp:wrapNone/>
                      <wp:docPr id="620" name="Frame620"/>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21" name="Frame6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65735" cy="175260"/>
                      <wp:effectExtent l="0" t="0" r="0" b="0"/>
                      <wp:wrapNone/>
                      <wp:docPr id="622" name="Frame62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377825" cy="175260"/>
                      <wp:effectExtent l="0" t="0" r="0" b="0"/>
                      <wp:wrapNone/>
                      <wp:docPr id="623" name="Frame623"/>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24"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50495" cy="175260"/>
                      <wp:effectExtent l="0" t="0" r="0" b="0"/>
                      <wp:wrapNone/>
                      <wp:docPr id="625" name="Frame62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345440" cy="175260"/>
                      <wp:effectExtent l="0" t="0" r="0" b="0"/>
                      <wp:wrapNone/>
                      <wp:docPr id="626" name="Frame626"/>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27" name="Frame6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58115" cy="175260"/>
                      <wp:effectExtent l="0" t="0" r="0" b="0"/>
                      <wp:wrapNone/>
                      <wp:docPr id="628" name="Frame62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394970" cy="175260"/>
                      <wp:effectExtent l="0" t="0" r="0" b="0"/>
                      <wp:wrapNone/>
                      <wp:docPr id="629" name="Frame629"/>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5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c>
          <w:tcPr>
            <w:tcW w:w="346" w:type="dxa"/>
            <w:tcBorders/>
            <w:vAlign w:val="center"/>
          </w:tcPr>
          <w:p>
            <w:pPr>
              <w:pStyle w:val="TableContents"/>
              <w:bidi w:val="0"/>
              <w:spacing w:before="0" w:after="1"/>
              <w:ind w:left="0" w:right="0" w:hanging="0"/>
              <w:jc w:val="left"/>
              <w:rPr/>
            </w:pPr>
            <w:r>
              <w:rPr/>
              <w:t>​</w:t>
            </w:r>
          </w:p>
        </w:tc>
        <w:tc>
          <w:tcPr>
            <w:tcW w:w="320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5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c>
          <w:tcPr>
            <w:tcW w:w="346" w:type="dxa"/>
            <w:tcBorders/>
            <w:vAlign w:val="center"/>
          </w:tcPr>
          <w:p>
            <w:pPr>
              <w:pStyle w:val="TableContents"/>
              <w:bidi w:val="0"/>
              <w:spacing w:before="0" w:after="1"/>
              <w:ind w:left="0" w:right="0" w:hanging="0"/>
              <w:jc w:val="left"/>
              <w:rPr/>
            </w:pPr>
            <w:r>
              <w:rPr/>
              <w:t>​</w:t>
            </w:r>
          </w:p>
        </w:tc>
        <w:tc>
          <w:tcPr>
            <w:tcW w:w="320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4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4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4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r>
      <w:tr>
        <w:trPr/>
        <w:tc>
          <w:tcPr>
            <w:tcW w:w="9358"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01" w:type="dxa"/>
            <w:gridSpan w:val="17"/>
            <w:tcBorders/>
            <w:vAlign w:val="center"/>
          </w:tcPr>
          <w:p>
            <w:pPr>
              <w:pStyle w:val="TableContents"/>
              <w:bidi w:val="0"/>
              <w:spacing w:before="0" w:after="1"/>
              <w:ind w:left="0" w:right="0" w:hanging="0"/>
              <w:jc w:val="center"/>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Holding Company</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23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22"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before eliminations</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Eliminations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Eliminations in the table above relate to certain of our Holding Company’s transactions with our Investment and other operating segments. Our Holding Company’s net (investments in) distributions from the Investment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w:t>
      </w:r>
    </w:p>
    <w:tbl>
      <w:tblPr>
        <w:tblW w:w="10205" w:type="dxa"/>
        <w:jc w:val="left"/>
        <w:tblInd w:w="0" w:type="dxa"/>
        <w:tblLayout w:type="fixed"/>
        <w:tblCellMar>
          <w:top w:w="0" w:type="dxa"/>
          <w:left w:w="0" w:type="dxa"/>
          <w:bottom w:w="0" w:type="dxa"/>
          <w:right w:w="0" w:type="dxa"/>
        </w:tblCellMar>
      </w:tblPr>
      <w:tblGrid>
        <w:gridCol w:w="7337"/>
        <w:gridCol w:w="346"/>
        <w:gridCol w:w="211"/>
        <w:gridCol w:w="841"/>
        <w:gridCol w:w="228"/>
        <w:gridCol w:w="330"/>
        <w:gridCol w:w="912"/>
      </w:tblGrid>
      <w:tr>
        <w:trPr/>
        <w:tc>
          <w:tcPr>
            <w:tcW w:w="7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4658995" cy="175260"/>
                      <wp:effectExtent l="0" t="0" r="0" b="0"/>
                      <wp:wrapNone/>
                      <wp:docPr id="630" name="Frame630"/>
                      <a:graphic xmlns:a="http://schemas.openxmlformats.org/drawingml/2006/main">
                        <a:graphicData uri="http://schemas.microsoft.com/office/word/2010/wordprocessingShape">
                          <wps:wsp>
                            <wps:cNvSpPr txBox="1"/>
                            <wps:spPr>
                              <a:xfrm>
                                <a:off x="0" y="0"/>
                                <a:ext cx="4658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19710" cy="175260"/>
                      <wp:effectExtent l="0" t="0" r="0" b="0"/>
                      <wp:wrapNone/>
                      <wp:docPr id="631" name="Frame6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33985" cy="175260"/>
                      <wp:effectExtent l="0" t="0" r="0" b="0"/>
                      <wp:wrapNone/>
                      <wp:docPr id="632" name="Frame6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534035" cy="175260"/>
                      <wp:effectExtent l="0" t="0" r="0" b="0"/>
                      <wp:wrapNone/>
                      <wp:docPr id="633" name="Frame63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44780" cy="175260"/>
                      <wp:effectExtent l="0" t="0" r="0" b="0"/>
                      <wp:wrapNone/>
                      <wp:docPr id="634" name="Frame63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9550" cy="175260"/>
                      <wp:effectExtent l="0" t="0" r="0" b="0"/>
                      <wp:wrapNone/>
                      <wp:docPr id="635" name="Frame635"/>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579120" cy="175260"/>
                      <wp:effectExtent l="0" t="0" r="0" b="0"/>
                      <wp:wrapNone/>
                      <wp:docPr id="636" name="Frame63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r>
      <w:tr>
        <w:trPr/>
        <w:tc>
          <w:tcPr>
            <w:tcW w:w="7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31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w:t>
            </w:r>
          </w:p>
        </w:tc>
      </w:tr>
      <w:tr>
        <w:trPr/>
        <w:tc>
          <w:tcPr>
            <w:tcW w:w="7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2026</w:t>
            </w:r>
          </w:p>
        </w:tc>
        <w:tc>
          <w:tcPr>
            <w:tcW w:w="12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r>
      <w:tr>
        <w:trPr/>
        <w:tc>
          <w:tcPr>
            <w:tcW w:w="7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22" w:type="dxa"/>
            <w:gridSpan w:val="5"/>
            <w:tcBorders/>
            <w:vAlign w:val="center"/>
          </w:tcPr>
          <w:p>
            <w:pPr>
              <w:pStyle w:val="TableContents"/>
              <w:bidi w:val="0"/>
              <w:spacing w:before="0" w:after="1"/>
              <w:ind w:left="0" w:right="0" w:hanging="0"/>
              <w:jc w:val="center"/>
              <w:rPr/>
            </w:pPr>
            <w:r>
              <w:rPr/>
              <w:t>​</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  ​</w:t>
            </w:r>
          </w:p>
        </w:tc>
        <w:tc>
          <w:tcPr>
            <w:tcW w:w="228" w:type="dxa"/>
            <w:tcBorders/>
            <w:vAlign w:val="center"/>
          </w:tcPr>
          <w:p>
            <w:pPr>
              <w:pStyle w:val="TableContents"/>
              <w:bidi w:val="0"/>
              <w:spacing w:before="0" w:after="1"/>
              <w:ind w:left="0" w:right="0" w:hanging="0"/>
              <w:jc w:val="left"/>
              <w:rPr/>
            </w:pPr>
            <w:r>
              <w:rPr/>
              <w:t> </w:t>
            </w:r>
          </w:p>
        </w:tc>
        <w:tc>
          <w:tcPr>
            <w:tcW w:w="330"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pPr>
            <w:r>
              <w:rPr/>
              <w:t>  ​</w:t>
            </w:r>
          </w:p>
        </w:tc>
      </w:tr>
      <w:tr>
        <w:trPr/>
        <w:tc>
          <w:tcPr>
            <w:tcW w:w="7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interest on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receipts for income taxes, net of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pPr>
            <w:r>
              <w:rPr/>
              <w:t>—</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228" w:type="dxa"/>
            <w:tcBorders/>
            <w:vAlign w:val="center"/>
          </w:tcPr>
          <w:p>
            <w:pPr>
              <w:pStyle w:val="TableContents"/>
              <w:bidi w:val="0"/>
              <w:spacing w:before="0" w:after="1"/>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73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pPr>
            <w:r>
              <w:rPr/>
              <w:t>  ​</w:t>
            </w:r>
          </w:p>
        </w:tc>
      </w:tr>
      <w:tr>
        <w:trPr/>
        <w:tc>
          <w:tcPr>
            <w:tcW w:w="7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from the Investment Funds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1"/>
              <w:ind w:left="0" w:right="0" w:hanging="0"/>
              <w:jc w:val="right"/>
              <w:rPr/>
            </w:pPr>
            <w:r>
              <w:rPr/>
              <w:t>—</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operating segments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operating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8" w:type="dxa"/>
            <w:tcBorders/>
            <w:vAlign w:val="center"/>
          </w:tcPr>
          <w:p>
            <w:pPr>
              <w:pStyle w:val="TableContents"/>
              <w:bidi w:val="0"/>
              <w:spacing w:before="0" w:after="1"/>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pPr>
            <w:r>
              <w:rPr/>
              <w:t>  ​</w:t>
            </w:r>
          </w:p>
        </w:tc>
      </w:tr>
      <w:tr>
        <w:trPr/>
        <w:tc>
          <w:tcPr>
            <w:tcW w:w="7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7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senior notes held in treasury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and repurchases of Holding Company senior notes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228"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912" w:type="dxa"/>
            <w:tcBorders/>
            <w:shd w:fill="CCEEFF" w:val="clear"/>
            <w:vAlign w:val="center"/>
          </w:tcPr>
          <w:p>
            <w:pPr>
              <w:pStyle w:val="TableContents"/>
              <w:bidi w:val="0"/>
              <w:spacing w:before="0" w:after="1"/>
              <w:ind w:left="0" w:right="0" w:hanging="0"/>
              <w:jc w:val="right"/>
              <w:rPr/>
            </w:pPr>
            <w:r>
              <w:rPr/>
              <w:t>—</w:t>
            </w:r>
          </w:p>
        </w:tc>
      </w:tr>
      <w:tr>
        <w:trPr/>
        <w:tc>
          <w:tcPr>
            <w:tcW w:w="7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228" w:type="dxa"/>
            <w:tcBorders/>
            <w:vAlign w:val="center"/>
          </w:tcPr>
          <w:p>
            <w:pPr>
              <w:pStyle w:val="TableContents"/>
              <w:bidi w:val="0"/>
              <w:spacing w:before="0" w:after="1"/>
              <w:ind w:left="0" w:right="0" w:hanging="0"/>
              <w:jc w:val="left"/>
              <w:rPr/>
            </w:pPr>
            <w:r>
              <w:rPr/>
              <w:t>​</w:t>
            </w:r>
          </w:p>
        </w:tc>
        <w:tc>
          <w:tcPr>
            <w:tcW w:w="3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7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c>
          <w:tcPr>
            <w:tcW w:w="228" w:type="dxa"/>
            <w:tcBorders/>
            <w:shd w:fill="CCEEFF" w:val="clear"/>
            <w:vAlign w:val="center"/>
          </w:tcPr>
          <w:p>
            <w:pPr>
              <w:pStyle w:val="TableContents"/>
              <w:bidi w:val="0"/>
              <w:spacing w:before="0" w:after="1"/>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r>
    </w:tbl>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Operating transactions with subsidiaries includes the reimbursement of operating expenses to our Investment segment based on an expense-sharing agreement.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Distributions paid from the Investment Funds include a distribution paid, which includes payment to the Holding Company, and are eliminated in consolidation.</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from operating segments is made up of dividends, distributions, and repayments of intercompany loans that are eliminated in consolidation. During the six months ended June 30, 2026, this includes cash from our Real Estate segment of $13 million, cash from our Energy segment of $8 million, cash from our Investment segment of $5 million, cash from our Pharma segment of $2 million and cash from our Home Fashion segment of $1 million.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to operating segments is made up of intercompany loans and contributions to operating segments that are eliminated in consolidation. During the six months ended June 30, 2026, changes in cash to operating segments was mainly attributable to cash paid to our Automotive segment of $150 million and our Real Estate segment of $26 million.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Payments to acquire additional interests in subsidiaries represent payments to acquire additional interests in CVR Energy of $16 million and the private placement of Viskase of $15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Subsidiary Dividends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second quarter of 2026, CVR Energy declared a cash dividend of $0.10 per share, which is payable August 17, 2026, to shareholders of record as of August 10, 2026. Our portion of the dividend is estimated to be approximately $7 million in cash. Additionally, for the second quarter of 2026, CVR Partners declared a distribution of $6.08 per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common unit, or approximately $64 million, which is payable August 17, 2026 to unitholders of record as of August 10, 2026. Our portion of the dividend is estimated to be approximately $2 million in cash.</w:t>
      </w:r>
    </w:p>
    <w:p>
      <w:pPr>
        <w:pStyle w:val="TextBody"/>
        <w:bidi w:val="0"/>
        <w:spacing w:before="0" w:after="240"/>
        <w:ind w:left="0" w:right="0" w:hanging="0"/>
        <w:jc w:val="both"/>
        <w:rPr/>
      </w:pPr>
      <w:r>
        <w:rPr>
          <w:shd w:fill="FFFFFF" w:val="clear"/>
        </w:rPr>
        <w:t> </w:t>
      </w:r>
      <w:r>
        <w:rPr>
          <w:rFonts w:ascii="Times New Roman;Times;serif" w:hAnsi="Times New Roman;Times;serif"/>
          <w:i/>
          <w:sz w:val="20"/>
        </w:rPr>
        <w:t>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cash flows from operating activities for the comparable periods were attributable to its net investment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Other Operating Segments </w:t>
      </w:r>
    </w:p>
    <w:tbl>
      <w:tblPr>
        <w:tblW w:w="10205" w:type="dxa"/>
        <w:jc w:val="left"/>
        <w:tblInd w:w="0" w:type="dxa"/>
        <w:tblLayout w:type="fixed"/>
        <w:tblCellMar>
          <w:top w:w="0" w:type="dxa"/>
          <w:left w:w="0" w:type="dxa"/>
          <w:bottom w:w="0" w:type="dxa"/>
          <w:right w:w="0" w:type="dxa"/>
        </w:tblCellMar>
      </w:tblPr>
      <w:tblGrid>
        <w:gridCol w:w="7395"/>
        <w:gridCol w:w="346"/>
        <w:gridCol w:w="211"/>
        <w:gridCol w:w="754"/>
        <w:gridCol w:w="457"/>
        <w:gridCol w:w="278"/>
        <w:gridCol w:w="764"/>
      </w:tblGrid>
      <w:tr>
        <w:trPr/>
        <w:tc>
          <w:tcPr>
            <w:tcW w:w="7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4695825" cy="175260"/>
                      <wp:effectExtent l="0" t="0" r="0" b="0"/>
                      <wp:wrapNone/>
                      <wp:docPr id="637" name="Frame637"/>
                      <a:graphic xmlns:a="http://schemas.openxmlformats.org/drawingml/2006/main">
                        <a:graphicData uri="http://schemas.microsoft.com/office/word/2010/wordprocessingShape">
                          <wps:wsp>
                            <wps:cNvSpPr txBox="1"/>
                            <wps:spPr>
                              <a:xfrm>
                                <a:off x="0" y="0"/>
                                <a:ext cx="4695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19710" cy="175260"/>
                      <wp:effectExtent l="0" t="0" r="0" b="0"/>
                      <wp:wrapNone/>
                      <wp:docPr id="638" name="Frame6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33985" cy="175260"/>
                      <wp:effectExtent l="0" t="0" r="0" b="0"/>
                      <wp:wrapNone/>
                      <wp:docPr id="639" name="Frame6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478790" cy="175260"/>
                      <wp:effectExtent l="0" t="0" r="0" b="0"/>
                      <wp:wrapNone/>
                      <wp:docPr id="640" name="Frame640"/>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90195" cy="175260"/>
                      <wp:effectExtent l="0" t="0" r="0" b="0"/>
                      <wp:wrapNone/>
                      <wp:docPr id="641" name="Frame641"/>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76530" cy="175260"/>
                      <wp:effectExtent l="0" t="0" r="0" b="0"/>
                      <wp:wrapNone/>
                      <wp:docPr id="642" name="Frame64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85140" cy="175260"/>
                      <wp:effectExtent l="0" t="0" r="0" b="0"/>
                      <wp:wrapNone/>
                      <wp:docPr id="643" name="Frame643"/>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2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Six Months Ended June 30,</w:t>
            </w:r>
          </w:p>
        </w:tc>
      </w:tr>
      <w:tr>
        <w:trPr/>
        <w:tc>
          <w:tcPr>
            <w:tcW w:w="7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57" w:type="dxa"/>
            <w:tcBorders/>
            <w:vAlign w:val="center"/>
          </w:tcPr>
          <w:p>
            <w:pPr>
              <w:pStyle w:val="TableContents"/>
              <w:bidi w:val="0"/>
              <w:spacing w:before="0" w:after="1"/>
              <w:ind w:left="0" w:right="0" w:hanging="0"/>
              <w:jc w:val="left"/>
              <w:rPr/>
            </w:pPr>
            <w:r>
              <w:rPr/>
              <w:t>  ​ ​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4" w:type="dxa"/>
            <w:gridSpan w:val="5"/>
            <w:tcBorders/>
            <w:vAlign w:val="center"/>
          </w:tcPr>
          <w:p>
            <w:pPr>
              <w:pStyle w:val="TableContents"/>
              <w:bidi w:val="0"/>
              <w:spacing w:before="0" w:after="1"/>
              <w:ind w:left="0" w:right="0" w:hanging="0"/>
              <w:jc w:val="center"/>
              <w:rPr/>
            </w:pPr>
            <w:r>
              <w:rPr/>
              <w:t>​</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 </w:t>
            </w:r>
          </w:p>
        </w:tc>
        <w:tc>
          <w:tcPr>
            <w:tcW w:w="278"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pPr>
            <w:r>
              <w:rPr/>
              <w:t>  ​</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flow from operating activities before 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457"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73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pPr>
            <w:r>
              <w:rPr/>
              <w:t>  ​</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Turnaround expenditures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57"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equity method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pPr>
            <w:r>
              <w:rPr/>
              <w:t>—</w:t>
            </w:r>
          </w:p>
        </w:tc>
        <w:tc>
          <w:tcPr>
            <w:tcW w:w="457"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of equity method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57"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pPr>
            <w:r>
              <w:rPr/>
              <w:t>  ​</w:t>
            </w:r>
          </w:p>
        </w:tc>
        <w:tc>
          <w:tcPr>
            <w:tcW w:w="457"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pPr>
            <w:r>
              <w:rPr/>
              <w:t>  ​</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other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other borrowings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c>
          <w:tcPr>
            <w:tcW w:w="457"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reverse recapitalization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457"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pPr>
            <w:r>
              <w:rPr/>
              <w:t>—</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Holding Company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Holding Company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57"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consolidated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457"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7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 and restricted cash and restricted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57"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457"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other operating segments’ cash flows from operating activities before changes in operating assets and liabilities were primarily attributable to the results of our Energy segment during both periods. The change in cash flows from operating activities for the six months ended June 30, 2026 as compared to the comparable prior year was primarily due to an increase in the operating results of our Energy segment.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expenditures and turnaround expenditures are primarily from our Energy and Automotive segments and are primarily for maintenance and growth, including the planned maintenance of one of the Energy segment’s refineries in the comparable prior year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Proceeds from other borrowings are related to our Energy segment’s issuance of $1 billion aggregate principal amount of notes, consisting of $600 million of 7.50% senior notes due February 2031 and $400 million of 7.875% senior notes due February 2034.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Repayments of other borrowings are primarily related to our Energy segment’s principal payments of $817 million on its senior notes due 2029 and senior notes due 2028 and principal payments of $157 million on the Term Loan during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from Holding Company is made up of intercompany loans and contributions between our Holding Company and subsidiaries that are eliminated in consolidation.</w:t>
      </w:r>
      <w:r>
        <w:rPr>
          <w:rFonts w:ascii="Times New Roman;Times;serif" w:hAnsi="Times New Roman;Times;serif"/>
          <w:sz w:val="20"/>
          <w:shd w:fill="FFFFFF" w:val="clear"/>
        </w:rPr>
        <w:t xml:space="preserve"> During the six months ended June 30, 2026, changes in cash to operating segments was mainly attributable to cash paid to our Automotive segment of $150 million and our Real Estate segment of $26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Cash to Holding Company </w:t>
      </w:r>
      <w:r>
        <w:rPr>
          <w:rFonts w:ascii="Times New Roman;Times;serif" w:hAnsi="Times New Roman;Times;serif"/>
          <w:sz w:val="20"/>
          <w:shd w:fill="FFFFFF" w:val="clear"/>
        </w:rPr>
        <w:t>is made up of dividends, distributions, and repayments of intercompany loans that are eliminated in consolidation. During the six months ended June 30, 2026, this includes cash distributions paid from our Real Estate segment of $13 million, cash paid from our Energy segment of $8 million, cash paid from our Pharma segment of $2 million, and cash paid from our Home Fashion segment of $1 million.</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Proceeds from the acquisition of additional interests in consolidated subsidiaries are related to the Food Packaging private placement of $15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Consolidated Capital Expenditures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our planned capital expenditures as compared to the estimated capital expenditures for 2026 reported in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Standards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Refer to Note 2, “Basis of Presentation and Summary of Significant Accounting Policies,” to the condensed consolidated financial statements for a discussion of recent accounting pronouncements applicable to us.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29" w:name="Item3QuantitativeandQualitativeDisclosur"/>
      <w:bookmarkStart w:id="2030" w:name="_71b14b35_be3b_4996_9cf7_13c096d79b6d"/>
      <w:bookmarkEnd w:id="2029"/>
      <w:bookmarkEnd w:id="2030"/>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discussed below, information about our quantitative and qualitative disclosures about market risk did not differ materially from those disclosed in our Annual Report on Form 10-K for the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predominant exposure to market risk is related to our Investment segment and the sensitivities to movements in the fair value of the Investment Funds’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June 30, 2026, we estimate that in the event of a 10% adverse change in the fair value of these investments, the fair values of securities owned, securities sold, not yet purchased and derivatives would be negatively impacted by approximately $139 million, $100 million and $285 million, respectively. However, as of June 30, 2026, we estimate that the impact to our share of the net gain (loss) from investment activities reported in our condensed consolidated statement of operations would be less than the change in fair value since we have an interest of approximately 77% in the Investment Funds.</w:t>
      </w:r>
    </w:p>
    <w:p>
      <w:pPr>
        <w:pStyle w:val="TextBody"/>
        <w:bidi w:val="0"/>
        <w:spacing w:before="0" w:after="240"/>
        <w:ind w:left="0" w:right="0" w:hanging="0"/>
        <w:jc w:val="left"/>
        <w:rPr>
          <w:rFonts w:ascii="Times New Roman;Times;serif" w:hAnsi="Times New Roman;Times;serif"/>
          <w:b/>
          <w:sz w:val="20"/>
        </w:rPr>
      </w:pPr>
      <w:bookmarkStart w:id="2031" w:name="Item4ControlsandProcedures_867240"/>
      <w:bookmarkStart w:id="2032" w:name="_8a456a03_4f7b_4816_9340_6c0380aad1f8"/>
      <w:bookmarkEnd w:id="2031"/>
      <w:bookmarkEnd w:id="2032"/>
      <w:r>
        <w:rPr>
          <w:rFonts w:ascii="Times New Roman;Times;serif" w:hAnsi="Times New Roman;Times;serif"/>
          <w:b/>
          <w:sz w:val="20"/>
        </w:rPr>
        <w:t>Item 4.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33" w:name="_98a58cde_475f_4fa5_98df_0e726f1d98c4"/>
      <w:bookmarkEnd w:id="2033"/>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2034" w:name="Item1LegalProceedings_984640"/>
      <w:bookmarkEnd w:id="2034"/>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and will continue to be, subject to litigation from time to time in the ordinary course of business. Refer to Note 17, “Commitments and Contingencies” to the condensed consolidated financial statements, which is incorporated by reference into this Part II, Item 1 of this Report, for information regarding our lawsuits and proceedings. Except for the lawsuits and proceedings disclosed in Note 17, there were no material changes to our lawsuits and proceedings as compared to those reported in our Annual Report on Form 10-K for the year ended December 31, 2025.</w:t>
      </w:r>
    </w:p>
    <w:p>
      <w:pPr>
        <w:pStyle w:val="TextBody"/>
        <w:bidi w:val="0"/>
        <w:spacing w:before="0" w:after="240"/>
        <w:ind w:left="0" w:right="0" w:hanging="0"/>
        <w:jc w:val="left"/>
        <w:rPr>
          <w:rFonts w:ascii="Times New Roman;Times;serif" w:hAnsi="Times New Roman;Times;serif"/>
          <w:b/>
          <w:sz w:val="20"/>
        </w:rPr>
      </w:pPr>
      <w:bookmarkStart w:id="2035" w:name="Item1ARiskFactors_993647"/>
      <w:bookmarkStart w:id="2036" w:name="_3a141498_557b_47bd_97fd_916b4e0c1f5d"/>
      <w:bookmarkEnd w:id="2035"/>
      <w:bookmarkEnd w:id="2036"/>
      <w:r>
        <w:rPr>
          <w:rFonts w:ascii="Times New Roman;Times;serif" w:hAnsi="Times New Roman;Times;serif"/>
          <w:b/>
          <w:sz w:val="20"/>
        </w:rPr>
        <w:t xml:space="preserve">Item 1A. Risk Factors </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Investing in our securities involves certain risks. Before investing in any of our securities, you should carefully consider the following risks. If any of these risks actually occurs, it could have a material adverse effect on our business. The risks described below are not the only risks that affect our businesses. Additional risks that are unknown or not presently deemed significant may also have a material adverse effect on our businesses.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Our general</w:t>
      </w:r>
      <w:r>
        <w:rPr>
          <w:rFonts w:ascii="Times New Roman;Times;serif" w:hAnsi="Times New Roman;Times;serif"/>
          <w:sz w:val="20"/>
        </w:rPr>
        <w:t xml:space="preserve"> </w:t>
      </w:r>
      <w:r>
        <w:rPr>
          <w:rFonts w:ascii="Times New Roman;Times;serif" w:hAnsi="Times New Roman;Times;serif"/>
          <w:b/>
          <w:i/>
          <w:sz w:val="20"/>
        </w:rPr>
        <w:t>partner, and its control person, has significant influence over us, and sales by our controlling unitholder pursuant to a margin call or otherwise could cause our unit price or the value of our assets in the Investment Funds to decline or otherwise impact our liquidity.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Icahn, through affiliates, owns 100% of Icahn Enterprises GP, the general partner of Icahn Enterprises, and approximately 87% of Icahn Enterprises’ outstanding depositary units as of June 30, 2026, and, as a result, has the ability to influence many aspects of our operations and affairs.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Icahn’s estate plan has been designed to assure the stability and continuation of Icahn Enterprises and to minimize the need to monetize his interests for estate tax or other purposes. In the event of Mr. Icahn’s death, a substantial majority of Mr. Icahn’s interests in Icahn Enterprises and its general partner are expected to pass to trusts or charitable organizations that will be under the control of a group that will include Icahn family members and current or former senior Icahn Enterprises executives. However, there can be no assurance that such planning will be effective. Furthermore, if upon Mr. Icahn’s death control of Icahn Enterprises GP is not given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in past years through the present, Mr. Icahn from time to time has had and currently has borrowings from lenders and has pledged assets he owns personally, directly or through his affiliates, to secure these loans, which pledged assets include Icahn Enterprises depositary units and interests in the Investment Funds. The number of depositary units and the amount of interests in the Investment Funds owned personally by Mr. Icahn, directly or through his affiliates, pledged to secure these loans has been substantial and has fluctuated over time as a result of the amount of outstanding principal amount of the loans, the market price of the depositary units, the value of the Investment Fund interests, and other factors. As of June 30, 2026, Mr. Icahn and his affiliates have pledged 618,393,343 depositary units and approximately $330 million of interests in the Investment Funds. Mr. Icahn amended and restated his loan agreements in July of 2023 (as amended and restated, the “Loan Agreement”). On August 13, 2025, Mr. Icahn and his affiliates entered into Amendment No. 3 to the Loan Agreement (“Amendment No. 3”). Among other changes, Amendment No. 3 extended the maturity of the Loan Agreement to July 2028 and correspondingly extended the payment due dates under the Loan Agreement and amended certain covenants. In connection with Amendment No. 3, Mr. Icahn paid approximately $300 million to the principal of the loan. As of the date of Amendment No. 3, in connection with the Loan Agreement, Mr. Icahn has pledged (i) depositary units of IEP owned by Mr. Icahn, (ii) interests owned by Mr. Icahn in the Investment Funds, and (iii) certain other collateral unrelated to IEP or the Investment Funds. Neither IEP nor any of its subsidiaries is a party to the Loan Agreement or the amendments to the Loan Agreement. The terms of the Loan Agreement require that distributions paid upon, or proceeds from sales of, pledged depositary units be used to prepay the loans or be pledged as additional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collateral. Pursuant to the terms of the Loan Agreement, a margin call may only be triggered in the event that the loan-to-value ratio set forth in the Loan Agreement is not maintained.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purposes of the loan-to-value ratio set forth in the Loan Agreement, the value of the pledged depositary units is calculated based upon the Company’s indicative net asset value rather than the market price of the depositary units. As a result, a continued decline in the Company’s indicative net asset value, or the value of the interests in the Investment Funds, could result in margin calls. Declines in the trading price of the Company’s depositary units do not require Mr. Icahn to deposit additional funds or securities with the lenders or suffer foreclosure on or a forced sale of Mr. Icahn’s depositary units or other assets. While we are confident in our investment strategy and ability to continue to grow our investment portfolio through a refocused activist strategy, and in the effectiveness of our hedges, which are designed to avoid fluctuations in the value of our portfolio, successful execution of our activist investment activities and other aspects of our business involves many risks (including those set forth herein), some of which are out of our control, and our net asset value has declined significantly in recent periods.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Mr. Icahn may sell depositary units or make withdrawals from the Investment Funds in order to satisfy payment obligations under the Loan Agreement. Mr. Icahn has made withdrawals from the Investment Funds in recent months, and may make additional withdrawals in the future, in order to repay a portion of his loans and for other purposes. In the event Mr. Icahn makes withdrawal requests from the Investment Funds, the Investment Funds may satisfy such withdrawal requests with cash or cash equivalents on hand, proceeds from sales of assets held by the Investment Funds or capital contributions from the Company, which could adversely affect the value of the assets held by the Investment Funds as well as the liquidity available to the Company.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87% of 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engaged, and in the future may engage, in transactions with our affiliates.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the risk of becoming an investment company.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Transactions involving the sale of certain assets could result in our being considered an investment company. Following such events or transactions, an exemption under the Investment Company Act would provide us up to one year to take steps to avoid becoming classified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U.S. federal income tax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structure transactions in a less advantageous manner to avoid becoming subject to the Investment Company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may become taxable</w:t>
      </w:r>
      <w:r>
        <w:rPr>
          <w:rFonts w:ascii="Times New Roman;Times;serif" w:hAnsi="Times New Roman;Times;serif"/>
          <w:sz w:val="20"/>
        </w:rPr>
        <w:t xml:space="preserve"> </w:t>
      </w:r>
      <w:r>
        <w:rPr>
          <w:rFonts w:ascii="Times New Roman;Times;serif" w:hAnsi="Times New Roman;Times;serif"/>
          <w:b/>
          <w:i/>
          <w:sz w:val="20"/>
        </w:rPr>
        <w:t>as a corporation if we are no longer treated as a partnership for U.S. federal income tax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and certain other income from minerals, natural resources and specified energy resources,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We have repurchased certain of our outstanding senior notes, and the board of directors has approved the repurchase by the Company of up to an additional $500 million of our outstanding senior notes, and if such debt is repurchased at a discount, we may recognize cancellation of indebtedness (“COD”) income, which, in some circumstances, may not be considered “qualifying”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negatively impacted by the potential for changes in tax laws.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for us to meet the exception that allows publicly traded partnerships generating “qualifying” income to be treated as partnerships (rather than corporations) for U.S. federal income tax purposes. If certain proposals were enacted, Mr. Icahn or his estate could become subject to additional U.S. federal income tax. The imposition of such additional tax, or the potential for such additional tax to be implemented, may result in Mr. Icahn or his estate selling our depositary units. Further, the market may anticipate sales by Mr. Icahn or his estate even if Mr. Icahn or his estate is not selling, or has no plans to sell, our depositary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tax treatment for certain business provisions. As regulations in respect of OBBBA develop in the future, we will continue to assess the impact on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Organization for Economic Cooperation and Development (“OECD”) has published “Pillar Two” model rules, which adopt a 15% global corporate minimum tax for multinational enterprises with average revenues in excess of €750 million. Countries may implement the OECD Pillar Two model rules as issued, in a modified form or not at all. A number of countries have passed legislation enacting certain parts of the OECD’s Pillar Two model rules effective as of January 1, 2024 and January 1, 2025. OECD Pillar Two could have a material impact on our effective tax rate and result in higher cash tax liabilities depending on which countries enact minimum tax legislation and in what manner. We are continuing to evaluate the Pillar Two model rules and related developments and their potential impact on future periods, including the side-by-side safe harbor package for U.S.-based multinationals released by the OECD/G20 Inclusive Framework in January 2026, which offers a streamlined compliance pathway for large multinational enterprises.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Holders of depositary units may be required to pay tax on their share of our income even if they did not receive cash distributions from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we are treated as a partnership for income tax purposes, unitholders generally are required to pay U.S.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Tax gain or loss on the disposition of our depositary units could be more or less than expected.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our unitholders sell their units, they will recognize a gain or loss equal to the difference between the amount realized and their tax basis in those units. Any distributions to our unitholders that were in excess of the total net taxable income our unitholders were allocated for a unit will decrease their tax basis in that unit. As a result of the reduced basis, a unitholder will recognize a greater amount of income if the unit is later sold for an amount greater than such unit’s basis. A portion of the amount realized, whether or not representing gain, may be ordinary income to the selling unitholder due to potential recapture items. In addition, because the amount realized includes a unitholder’s share of our nonrecourse liabilities, a unitholder who sells units may incur a tax liability in excess of the amount of cash received from the sale.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Tax-exempt entities may recognize unrelated business taxable income they receive from holding our units, and may face other unique issues specific to their U.S. federal income tax classification.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 in units by tax-exempt entities, such as individual retirement accounts (known as IRAs), pension plans, and non-U.S. persons raises issues unique to them. For example, some portion of our income allocated to organizations exempt from U.S. federal income tax, particularly income arising from our debt-financed transactions, will likely be unrelated business taxable income and will be taxable to them.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Non-U.S. persons may be subject to withholding regimes and U.S. federal income tax on certain income they may earn from holding or disposing of our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Distributions to non-U.S. persons will be reduced by withholding taxes at the highest applicable effective tax rate, and non-U.S. persons will be required to file U.S. federal income tax returns and pay tax on their share of our taxable income. Withholding taxes may also apply to proceeds received from a sale, exchange or other disposition of our units.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liable for any underwithholding by nominees on our distributions or on transfers of our units made after January 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distributions made after January 1, 2023, a publicly traded partnership must post on its primary public website (and keep accessible for ten years), and deliver to any registered holder that is a nominee, a qualified notice that states the amount of a distribution that is attributable to each type of income group specified in the final regulations published by the IRS on November 30, 2020. If the qualified notice is incorrect such that it causes a broker to underwithhold with respect to an amount in excess of cumulative net income, the publicly traded partnership is liable for any underwithholding on such amount.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transfers, including a sale, exchange or other disposition of units, that occur on or after January 1, 2023, a publicly traded partnership may be liable for any underwithholding by a broker that relies on a qualified notice for which the publicly traded partnership failed to make a reasonable estimate of the amounts required for determining the applicability of the “10 percent exception.” The “10 percent exception” applies if, either (1) the publicly traded partnership was not engaged in a U.S. trade or business during a specified time period, or (2) upon a hypothetical sale of the publicly traded partnership’s assets at fair market value, (i) the amount of net gain that would have been effectively connected with the conduct of a U.S. trade or business would be less than 10% of the total net gain, or (ii) no gain would have been effectively connected with the conduct of a U.S. trade or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unitholders likely will be subject to state and local taxes and return filing or withholding requirements in states in which they do not live as a result of investing in our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U.S. federal income taxes, our unitholders will likely be subject to other taxes, such as state and local income taxes, unincorporated business taxes and estate, inheritance, or intangible taxes that are imposed by the various jurisdictions in which we do business or own property. Our unitholders may be required to file state and local income tax returns and pay state and local income taxes in certain of these various jurisdictions. Further, our unitholders may be subject to penalties for failure to comply with those requirements. We own property and conduct business in Florida, Massachusetts, Nevada and New York. It is each unitholder’s responsibility to file all federal, state and local tax returns. Our counsel has not rendered an opinion on the state and local tax consequences of an investment in our units.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prorate our items of income, gain, loss and deduction between transferors and transferees of our units based upon the ownership of our units on the first business day of each month, instead of on the basis of the date a particular unit is transferred. The IRS may challenge this treatment, which could change the allocation of items of income, gain, loss and deduction among our unitholders.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prorate our items of income, gain, loss and deduction between transferors and transferees of our units based upon the ownership of our units on the first business day of each month, instead of on the basis of the date a particular unit is transferred. The U.S. Treasury Department adopted final Treasury regulations that provide that publicly traded partnerships may use a similar monthly simplifying convention to allocate tax items among transferor and transferee unitholders. Nonetheless, the final regulations do not specifically authorize the use of the proration method we have adopted. If the IRS were to challenge this method, we may be required to change the allocation of items of income, gain, loss and deduction among our unitholders.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a unitholder whose units are loaned to a “short seller” to cover a short sale of units may be considered as having disposed of the loaned units, he or she may no longer be treated for U.S.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Our counsel has not rendered an opinion regarding the treatment of a unitholder where units are loaned to a short seller to cover a short sale of units; therefore, unitholders desiring to assure their status as partners and avoid the risk of gain recognition from a loan to a short seller are urged to modify any applicable brokerage account agreements to prohibit their brokers from borrowing their units.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could be substantially reduced.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respect to tax years beginning after December 31, 2017, if the IRS makes audit adjustments to our income tax returns, it (and some states) may assess and collect any resulting taxes (including any applicable penalties and interest) resulting from such audit adjustment directly from us. Generally, we will have the option to seek to collect tax liability from our unitholders in accordance with their percentage interests during the year under audit, but there can be no assurance that we will elect to do so or be able to do so under all circumstances. If we do not collect such tax liability from our unitholders in accordance with their percentage interests in the tax year under audit, our net income and the available cash for quarterly distributions to current unitholders may be substantially reduced. Accordingly, our current unitholders may bear some or all of the tax liability resulting from such audit adjustment, even if such unitholders did not own units during the tax year under audit. In particular, as a publicly traded partnership, our Partnership Representative (as defined below) may, in certain instances, request that any “imputed underpayment” resulting from an audit be adjusted by amounts of certain of our passive losses. If we successfully make such a request, we would have to reduce suspended passive loss carryovers in a manner which is binding on the partners.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required to and have designated a partner, or other person, with a substantial presence in the United States as the partnership representative (“Partnership Representative”). The Partnership Representative will have the sole authority to act on our behalf for purposes of, among other things, U.S. federal income tax audits and judicial review of administrative adjustments by the IRS. Any actions taken by us or by the Partnership Representative on our behalf with respect to, among other things, U.S. federal income tax audits and judicial review of administrative adjustments by the IRS, will be binding on us and our unitholders.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the pension liabilities of our affiliates.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87% of Icahn Enterprises’ outstanding depositary units as of June 30, 2026.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prior to their termination, of ACF Industries LLC (“ACF”), as further described below). All the minimum funding requirements of the Internal Revenue Code, as amended, and the Employee Retirement Income Security Act of 1974, as amended, for the Viskase plans have been met as of June 30, 2026. If the plans were voluntarily terminated, the Viskase plan would be underfunded by approximately $18 million as of June 30, 2026.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failure of Viskase to make ongoing pension contributions or to pay the unfunded liabilities upon a termination of the Viskase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current underfunded status of the pension plans of Viskase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Starfire Holding Corporation (“Starfire”), which is 99.6% owned by Mr. Icahn as of June 30, 2026,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respect to the ACF pension plans, on January 31, 2025, the Executive Committee of ACF approved a resolution to terminate its qualified pension plans, which were frozen and no longer accrued benefits. As of December 31, 2024, the fair value of this plan’s assets exceeded its benefit obligations. The termination of the plan was effective January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limited partnership and a “controlled company” within the meaning of the Nasdaq rules and as such are exempt from certain corporate governance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members of our management team may be involved in other business activities that may involve conflicts of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Holders of Icahn Enterprises’ depositary units have limited voting rights, including rights to participate in our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Holders of Icahn Enterprises’ depositary units may not have limited liability in certain circumstances and may be personally liable for the return of distributions that cause our liabilities to exceed our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Since we are a limited partnership, you may not be able to pursue legal claims against us in U.S. federal courts.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May 2, 2023, a firm published a report making allegations about the Company in an attempt to drive down the market price of our depositary units, and the price of our depositary units declined significantly after the publication of this report, has continued to trade at lower prices than before the report, and the market for our depositary units has been highly volatile since the publication of the report.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securities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securities in the market. Further, these short seller publications are not regulated by any governmental, self-regulatory organization or other official authority in the U.S. and they are not subject to certification requirements imposed by the SEC. Companies that are subject to unfavorable allegations, even if untrue,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may have to expend a significant amount of resources to investigate such allegations and/or defend themselves, including securityholder suits against the company that may be prompted by such allegations, and we have already expended significant resources and management time in response to the short seller report. As further described below, as a result of the short seller report, we have become the subject of suits and government inquiries prompted by the allegations made by the short seller, and future short seller reports could prompt additional lawsuits or investigations.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received previously, and may receive in the future securities class action lawsuits, derivative complaints, or inquiries from the SEC, the U.S. Attorney’s office, or other regulators. Such actions and investigations could result in administrative orders against us, the imposition of penalties and/or fines against us, damages awards against us, and/or the imposition of sanctions against certain of the Company’s current or former officers, directors and/or employees. Resolution of these types of matters can be prolonged and costly, and the ultimate results or judgments are uncertain due to the inherent uncertainty in the outcomes of litigation and other proceedings.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Liquidity and Capital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holding company and depend on the businesses of our subsidiaries to satisfy our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 including redemptions by us of assets from the Investment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 Further, redemptions by us of our interests in the Investment Funds may not be sufficient to meet our debt service and other cash obligations.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 service our indebtedness, we will require a significant amount of cash. Our ability to maintain our current cash position or generate cash depends on many factors beyond our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 The terms of any refinancing may be less favorable than the terms of our current indebtedness, including as a result of higher prevailing interest rates or reduced access to credit markets, which could increase our interest expense and reduce our cash available for operations, distributions and other purposes. If we are unable to refinance our outstanding indebtedness, we may be required to redeem some or all of our interests in the Investment Funds in order to meet our debt service and repayment obligations.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notes include a maintenance covenant that requires us to maintain a specified ratio of unencumbered assets compared to our total outstanding principal amount of unsecured indebtedness. However, all of our notes are secured and, as a result, are excluded from the calculation of the ratio test under these maintenance covenants, and we do not have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material amount of unsecured indebtedness. As a result, we and our subsidiaries have substantially more capacity under these maintenance covenants to incur additional unsecured indebtedness than we would if our notes were unsecured (but subject to the other covenants in the indentures governing our senior notes that restrict our ability and that of the guarantor of the notes, as well as the ability of our non-guarantor subsidiaries, to incur incremental indebtedness).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to comply with the covenants contained under any of our debt instruments, including the indentures governing our senior notes (including our failure to comply as a result of events beyond our control), could result in an event of default or a foreclosure upon the collateral securing the notes that would materially and adversely affect our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failure to comply with the covenants under any of our debt instruments, including our indentures governing our senior notes (including our failure to comply as a result of events beyond our control, including the change in the fair value of our investment in the Investment Funds) may trigger a default or event of default under such instruments, and the collateral agent for the noteholders may proceed against the collateral securing the notes. In addition, any event of default or declaration of acceleration under one debt instrument could result in an event of default and declaration of acceleration under one or more of our other debt instruments.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 or avoid a foreclosure against the assets securing the notes.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have sufficient funds necessary to finance a change of control offer that may be required by the indentures governing our senior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Icahn, through affiliates, as of June 30, 2026, owned 100% of Icahn Enterprises GP and approximately 87% of our outstanding depositary units. If Mr. Icahn were to sell, or otherwise transfer, some or all of his interests in us to an unrelated party or group, as a result of a merger, foreclosure, changes in tax laws, changes to his estate, or otherwise, a change of control could be deemed to have occurred under the terms of the indentures governing our senior notes, which would require us to offer to repurchase all outstanding senior notes at 101% of their principal amount plus accrued and unpaid interest, special interest, if any, and liquidated damages, if any, to the date of repurchase. However, it is possible that we will not have sufficient funds at the time of the change of control to make the required repurchase of notes.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made significant investments in the Investment Funds and negative performance of the Investment Funds may result in a significant decline in the value of our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we had investments in the Investment Funds with a fair market value of approximately $2.0 billion, which may be accessed on short notice to satisfy our liquidity needs. Following the end of the second quarter, the value of our investments have continued to decline. If the Investment Funds continue to experience negative performance, the value of these investments will continue to be negatively impacted, which could have a material adverse effect on our operating results, cash flows and financial position, including our ability to service or repay our debt obligations. In addition, our ability to redeem our interests in the Investment Funds on favorable terms may be limited during periods of market stress or volatility, and the Investment Funds may not be able to liquidate their positions quickly enough to satisfy redemption requests without incurring significant losses. Furthermore, to the extent we rely on redemptions from the Investment Funds as a primary source of liquidity to meet our debt service and other obligations, any impairment of our ability to effect such redemptions, or a decline in the value of the Investment Funds’ assets, could materially adversely affect our liquidity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cash distributions to Icahn Enterprises’ unitholders, if any, can be affected by numerous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made cash distributions to Icahn Enterprises’ unitholders in each of the four quarters of 2025 and the first two quarters of 2026,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pay distributions will depend on numerous factors, including the availability of adequate cash flow from operations; the proceeds, if any, from divestitures; our capital requirements and other obligations, including our obligations to service or repay our outstanding debt; restrictions contained in our financing arrangements, including the indentures governing our senior notes; and our issuances of additional equity and debt securities. As of June 30, 2026, Mr. Icahn and his affiliates owned approximately 87% of our outstanding depositary units, and he has generally elected to take his quarterly distribution in units instead of cash. For the quarterly distributions paid in April and June of 2026, Mr. Icahn elected to take his distributions in a mix of cash and units, and we anticipate that Mr. Icahn will elect to take his distributions in a mix of cash and units with respect to future distributions, which could further reduce the ability of the Company to maintain its current or historical cash distribution amounts.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Investment Segment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investments may be subject to significant uncertainties.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investments may not be successful for many reasons, including, but not limited to:</w:t>
      </w:r>
    </w:p>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or sustained increases in interest rates;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control in minority investments;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worsening of general economic and market conditions;</w:t>
            </w:r>
          </w:p>
        </w:tc>
      </w:tr>
    </w:tbl>
    <w:tbl>
      <w:tblPr>
        <w:tblW w:w="2376" w:type="dxa"/>
        <w:jc w:val="left"/>
        <w:tblInd w:w="0" w:type="dxa"/>
        <w:tblLayout w:type="fixed"/>
        <w:tblCellMar>
          <w:top w:w="28" w:type="dxa"/>
          <w:left w:w="28" w:type="dxa"/>
          <w:bottom w:w="28" w:type="dxa"/>
          <w:right w:w="28" w:type="dxa"/>
        </w:tblCellMar>
      </w:tblPr>
      <w:tblGrid>
        <w:gridCol w:w="124"/>
        <w:gridCol w:w="25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diversification;</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success of the Investment Funds’ activist or hedging strategies;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tariffs or other impacts on global trade;</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conditions;</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U.S. dollar exchange rates; and</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legal and regulatory developments that may affect particular businesses.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historical financial information for the Investment Funds is not necessarily indicative of its future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 segment’s revenue depends on the investments made by the Investment Funds. There are numerous and significant risks associated with these investments, certain of which are described in this risk factor and in other risk factors set forth herein and in our other filings with the SEC.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any given time, the Investment Funds’ assets may become highly concentrated within a particular company, industry, asset category, trading style or financial or economic market, and the level of concentration can be increased through the use of swaps or other derivative instruments.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Typically, our top holdings in the Investment Funds represent a significant percentage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or otherwise lower levels at a future time of valuation or at the time of sale.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tariffs, monetary and exchange control programs and policies of governments, and national and international political and economic events and policies. Pursuant to the terms of our swap and other derivative agreements, certain events, including a voluntary or involuntary bankruptcy filing involving the company issuing the securities referenced by such agreements or a delisting of such referenced securities, could give our derivative counterparties termination rights that would result in the closing of our swap positions and the realization of any and all losses, even if the referenced securities are not extinguished and thereafter appreciate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value. The Investment Funds are subject to the risk of failure of any of the exchanges on which their positions trade or of their clearinghouses.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identify suitable investments, and our investments may not result in favorable returns or may result in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have and may continue to engage in various investment techniques, including derivatives, options and futures transactions, foreign currency transactions, “short” sales and leveraging for either hedging or other purposes. We have reduced our market short positions in recent months, but may increase those positions in the future.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Successful execution of our activist investment activities involves many risks, certain of which are outside of our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Investment Funds make investments in companies we do not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use of leverage in investments by the Investment Funds may pose a significant degree of risk and may enhance the possibility of significant loss in the value of the investments in the Investment Funds.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Investment Funds may leverage their capital if their general partners believe that the use of leverage may enable the Investment Funds to achieve a higher rate of return. Accordingly, the Investment Funds may pledge their securities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and the value of derivatives or other instruments used to provide leverage may not always be correlated to the value of the reference equity security, which could lead to increased losses in circumstances when the value of the reference security remains higher than that of the derivative.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 The agreements governing our swap and other derivative transactions contain various covenants, maintenance obligations and events of default. If we fail to satisfy these requirements, or if specified events occur, including if the net asset value of one or more of our Investment Funds declines below specified thresholds, our derivative counterparties may have the right to terminate some or all of the applicable derivative transactions. Any such early termination could require the affected Investment Funds to close out derivative positions, realize losses, satisfy termination payment obligations or other liabilities, post additional collateral, or liquidate assets at unfavorable prices. These events could materially reduce the value of the assets of our Investment Funds, adversely affect their liquidity and investment performance, and have a material adverse effect on our business,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Investment Funds may enter into repurchase and reverse repurchase agreements. When the Investment Fund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possibility of increased regulation could result in additional burdens on our Investment segment.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Dodd-Frank Wall Street Reform and Consumer Protection Act (the “Reform Act”), enacted into law in July 2010, resulted in regulations affecting almost every part of the financial services industry.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The current U.S. presidential administration has different regulatory priorities than the prior administration, which could continue to lead to changes to the regulations impacting our business or the enforcement priorities of the agencies charged with enforcing those regulations.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ability to hedge investments successfully is subject to numerous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anticipates purchasing at a later date; or (vii) for any other reason that our Investment segment deems appropriate.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or result in increased risk and volatility.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foresee the occurrence of the risk or because they do not regard the probability of the risk occurring to be sufficiently high as to justify the cost of the hedge.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Investment Funds invest in distressed securities, as well as bank loans, asset backed securities and mortgage-backed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Investment Funds may invest in companies that are based outside of the United States, which may expose the Investment Funds to additional risks not typically associated with investing in companies that are based in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Investment Funds’ investments are subject to numerous additional risks including those described below.</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there are few limitations set forth in the governing documents of the Investment Funds on the execution of their investment activities, which are subject to the sole discretion of our Investment segment.</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Swaps and certain options and other custom instruments are subject to the risk of non-performance by the swap counterparty, including risks relating to the creditworthiness of the swap counterparty, market risk, liquidity risk and operations risk.</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818"/>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their transactions with a single or small group of their counterparties. The Investment Funds are not restricted from dealing with any particular counterparty or from concentrating any or all of the Investment Funds’ transactions with one counterparty.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swap and other derivative agreements contain certain covenants and maintenance obligations. If we fail to satisfy these requirements, or if specified events occur, our derivative counterparties may have the right to terminate some or all of the applicable derivative transactions. Because a significant portion of our derivative transactions are entered into with a limited number of counterparties, the exercise of termination rights by one or more of those counterparties could have a disproportionate impact on our liquidity and financial condition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Consolidated Operating Subsidiaries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regulations and regulatory actions can adversely affect our operating results and our ability to allocate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segment. Changes in regulation and regulatory actions, or the enforcement priorities of the government authorities charged with enforcing those regulations, may increase our compliance costs and may require changes to how our operating subsidiaries conduct their businesses. Any regulatory changes could have a significant negative impact on our financial condition, results of operations or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operating subsidiaries, particularly within our Energy segment, may become subject to catastrophic loss, which may cause operations to shut down or become significantly impaired. Our operating subsidiaries may also be subject to liability for hazards for which they cannot be insured, which could exceed policy limits or against which they may elect not to be insured due to high premium costs. Examples of such risks include but are not limited to industrial accidents, environmental hazards, power outages, equipment failures, structural failures, flooding, unusual or unexpected geological conditions and extreme weather conditions, among others. Such risks have become even more heightened in recent years as a result of the effects of climate change. These events may damage or destroy properties, production facilities, transport facilities and equipment, adversely impact our supply chain and lead to personal injury or death, environmental damage, including natural resource damage, waste from intermediary products or resources, production or transportation delays, increased production costs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Environmental laws and regulations could require our operating subsidiaries to make substantial capital expenditures to remain in compliance or to remediate current or future contamination that could give rise to material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Several of our subsidiaries are subject to a variety of federal, state and local environmental laws and regulations relating to the protection of the environment, including those governing the emission, release, discharge, use, generation, treatment, storage, transportation, disposal, investigation and remediation of hazardous or toxic substances, materials or wastes, solid wastes, petroleum, pollutants or contaminants into the environment, and product specifications and labeling. Violations of these laws and regulations or environmental permit conditions can result in substantial costs, including for penalties, cleanup, injunctive orders compelling installation of additional controls, and civil and criminal sanctions, as well as permit revocations and/or facility shutdowns.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new environmental laws and regulations, new interpretations of existing laws and regulations, increased governmental enforcement of laws and regulations or other developments could require our businesses to make additional unforeseen expenditures. Measures to address climate change and reduce greenhouse gases (“GHGs”) could affect our operations by requiring increased operating and capital costs, limiting GHG emissions and/or increasing taxes on GHG emissions. In addition, on the state level, in October 2023, California enacted the Climate Corporate Data Accountability Act and the Climate-Related Financial Risk Act that is being challenged in court but if the state prevails would impose broad climate-related disclosure obligations on certain companies doing business in California, starting in 2026. Other states, like New York, have started to take steps to promulgate similar climate-related disclosure laws.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is also increased regulatory interest in per- and polyfluoroalkyl substances (“PFAS”). In April 2024, the U.S. Environmental Protection Agency (“EPA”) finalized a rule designating two PFAS compounds as hazardous substances under CERCLA, which became effective on July 8, 2024, though it remains subject to challenge in the D.C. Circuit Court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Appeals by several industry groups. The outcome of that litigation is uncertain and could affect the scope or implementation of the rule. In addition, on February 8, 2024, EPA had proposed to amend RCRA to include nine PFAS, their salts and their structural isomers to its list of hazardous constituents. That proposal remains pending. As a result of the CERCLA designation, and if additional PFAS compounds are designated as hazardous substances under CERCLA or are listed as hazardous constituents or otherwise become regulated under RCRA, EPA may have expanded the authority to order the investigation and remediation of those compounds, and to reopen closed sites which are shown to be impacted by these PFAS compounds, which could result in increased investigation, remediation and monitoring obligations and potential related liabilities. If we are subject to those additional requirements and need to incur additional cost in connection therewith, if we are unable to maintain sales of our products at a price that reflects such increased costs, or if there is a reduced demand for our products, there could be a material adverse effect on our business, financial condition and results of operations. Certain of our subsidiaries’ facilities operate under a number of federal and state environmental permits, licenses and approvals with terms and conditions containing a significant number of prescriptive limits and performance standards in order to operate. These environmental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environmental permits, licenses and 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Many of these climate change and environmental laws and regulations and the terms and conditions of related permits, licenses, and approvals are becoming increasingly stringent, and new or revised laws and regulations or new interpretations of existing laws and regulations, such as those related to climate change and GHG emissions, could affect the operation of our properties or result in significant additional expense and restrictions on our business operations, including as a result of the cost of compliance with these requirements, which can be expected to increase over time. The requirements to be met, as well as the technology and length of time available to meet those requirements, continue to develop and change. These expenditures or costs for climate-related and environmental compliance could have a material adverse effect on our operating subsidiaries' results of operations, financial condition and profitability. Refer to Note 19, “Commitments and Contingencies,” to the consolidated financial statements included in our Annual Report on Form 10-K for the year ended December 31, 2025 for additional discussion of environmental matters affecting our businesses.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Energy segment’s businesses are, and commodity prices are, cyclical and highly volatile, which could have a material adverse effect on our results of operations, financial condition and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Energy segment’s petroleum business’ financial results are primarily affected by the margin between refined product prices and the prices for crude oil and other feedstocks. Historically, refining margins have been volatile and vary by region,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 Profitability of some of the products, like renewable diesel, are also dependent upon government subsidies including carbon and tax credits, which may be reduced or eliminated.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CVR Energy does not produce crude oil and must purchase all of the crude oil it refines long before it refines it and sells the refined products. Price level changes during the period between purchasing feedstocks and selling the refined products from these feedstocks could have a significant effect on our Energy segment’s financial results and a decline in market prices of these feedstocks and refined products may negatively impact the carrying value of its inventories.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Profitability is also impacted by the ability to purchase crude oil at a discount to benchmark crude oils, such as West Texas Intermediate (“WTI”). Crude oil differentials can fluctuate significantly based upon overall economic and crude oil market conditions. Adverse changes in crude oil differentials can adversely impact refining margins, earnings and cash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flows. In addition, the petroleum business’ purchases of crude oil, although based on WTI prices, have historically been at a discount to WTI because of the proximity of the refineries to the sources, existing logistics infrastructure and quality differences. Any changes to these factors could result in a reduction of the petroleum business’ historical discount to WTI and may result in a reduction of our Energy segment’s cost advantage.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Compliance with the U.S. Environmental Protection Agency Renewable Fuel Standard, with respect to our Energy segment, could have a material adverse effect on our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EPA promulgated the Renewable Fuel Standards (“RFS”), which requires refiners to either blend “renewable fuels,” such as ethanol and biofuel, into their transportation fuels or purchase renewable fuel credits, known as renewable identification numbers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or receive exemptions in order to comply with the RFS. The price of RINs became extremely volatile when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is blended into gasoline transportation fuel.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Recent regulatory developments, including EPA’s rescission of the GHG endangerment finding under the Clean Air Act and related actions affecting EPA’s authority to regulate GHG emissions, have introduced additional uncertainty regarding the scope of EPA’s authority and the manner in which it administers programs that rely in part on lifecycle GHG analyses, including the RFS. Although the RFS program remains in effect as a statutory mandate, changes in EPA’s interpretation of its authority, judicial decisions addressing EPA’s GHG regulatory authority, or future legislative or regulatory actions could affect the manner in which renewable volume obligations are established, fuel pathways are evaluated, or other aspects of the RFS are implemented. We cannot predict the ultimate outcome or the impact of these developments on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petroleum business cannot predict the future prices of RINs. The price of RINs has been extremely volatile in the past.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fluctuates and could be material, if the price for RINs and waiver credits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our Energy segment’s business could be material. If sufficient RINs are unavailable for purchase, if the petroleum business has to pay a significantly higher price for RINs or if the petroleum business is otherwise unable to meet the EPA’s RFS mandates, or if the RFS program is modified, curtailed or subject to further regulatory or judicial changes, our Energy segment’s business, financial condition and results of operations could be materially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Commodity derivative contracts, particularly with respect to our Energy segment, may limit our potential gains, exacerbate potential losses and involve other risks.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Energy segment’s petroleum business may enter into both short- and long-term commodity derivatives contracts to mitigate crack spread with respect to a portion of its expected refined products production. However, its hedging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arrangements, if it is able to procure them, may fail to fully achieve this objective for a variety of reasons, including its failure to have adequate hedging contracts, if any, in effect at any particular time and the failure of its hedging arrangements to produce the anticipated results. Moreover, such transactions may limit its ability to benefit from favorable changes in margins. In addition, the petroleum business’ hedging activities may expose it to the risk of financial loss in certain circumstances, including instances in which:</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volumes of its actual use of crude oil or production of the applicable refined products is less than the volumes subject to the hedging arrangement;</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accidents, interruptions in transportation, inclement weather or other events cause unscheduled shutdowns or otherwise adversely affect its refinery or suppliers or customers;</w:t>
            </w:r>
          </w:p>
        </w:tc>
        <w:tc>
          <w:tcPr>
            <w:tcW w:w="154" w:type="dxa"/>
            <w:tcBorders/>
            <w:vAlign w:val="center"/>
          </w:tcPr>
          <w:p>
            <w:pPr>
              <w:pStyle w:val="TableContents"/>
              <w:bidi w:val="0"/>
              <w:spacing w:before="0" w:after="283"/>
              <w:jc w:val="left"/>
              <w:rPr>
                <w:sz w:val="4"/>
                <w:szCs w:val="4"/>
              </w:rPr>
            </w:pPr>
            <w:r>
              <w:rPr>
                <w:sz w:val="4"/>
                <w:szCs w:val="4"/>
              </w:rPr>
            </w:r>
          </w:p>
        </w:tc>
      </w:tr>
    </w:tbl>
    <w:tbl>
      <w:tblPr>
        <w:tblW w:w="6985" w:type="dxa"/>
        <w:jc w:val="left"/>
        <w:tblInd w:w="0" w:type="dxa"/>
        <w:tblLayout w:type="fixed"/>
        <w:tblCellMar>
          <w:top w:w="28" w:type="dxa"/>
          <w:left w:w="28" w:type="dxa"/>
          <w:bottom w:w="28" w:type="dxa"/>
          <w:right w:w="28" w:type="dxa"/>
        </w:tblCellMar>
      </w:tblPr>
      <w:tblGrid>
        <w:gridCol w:w="124"/>
        <w:gridCol w:w="256"/>
        <w:gridCol w:w="64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counterparties to its futures contracts fail to perform under the contracts; or</w:t>
            </w:r>
          </w:p>
        </w:tc>
        <w:tc>
          <w:tcPr>
            <w:tcW w:w="154" w:type="dxa"/>
            <w:tcBorders/>
            <w:vAlign w:val="center"/>
          </w:tcPr>
          <w:p>
            <w:pPr>
              <w:pStyle w:val="TableContents"/>
              <w:bidi w:val="0"/>
              <w:spacing w:before="0" w:after="283"/>
              <w:jc w:val="left"/>
              <w:rPr>
                <w:sz w:val="4"/>
                <w:szCs w:val="4"/>
              </w:rPr>
            </w:pPr>
            <w:r>
              <w:rPr>
                <w:sz w:val="4"/>
                <w:szCs w:val="4"/>
              </w:rPr>
            </w:r>
          </w:p>
        </w:tc>
      </w:tr>
    </w:tbl>
    <w:tbl>
      <w:tblPr>
        <w:tblW w:w="9925" w:type="dxa"/>
        <w:jc w:val="left"/>
        <w:tblInd w:w="0" w:type="dxa"/>
        <w:tblLayout w:type="fixed"/>
        <w:tblCellMar>
          <w:top w:w="28" w:type="dxa"/>
          <w:left w:w="28" w:type="dxa"/>
          <w:bottom w:w="28" w:type="dxa"/>
          <w:right w:w="28" w:type="dxa"/>
        </w:tblCellMar>
      </w:tblPr>
      <w:tblGrid>
        <w:gridCol w:w="124"/>
        <w:gridCol w:w="256"/>
        <w:gridCol w:w="939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sudden, unexpected event materially impacts the commodity or crack spread subject to the hedging arrangement.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CVR Energy’s risk mitigation strategy and activities could have a material adverse impact on our Energy segment’s financial results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 and may become impaired.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and a decline in these businesses could result in an impairment charge. If we are unable to implement these initiatives efficiently and effectively, or if these initiatives are unsuccessful, our consolidated financial condition, results of operations and cash flows could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of our subsidiaries have operations in foreign countries which expose them to risks related to economic and political conditions, currency fluctuations, import/export restrictions, regulatory and other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subsidiaries are global businesses and have manufacturing and distribution facilities in many countries. International operations are subject to certain risks including:</w:t>
      </w:r>
    </w:p>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local economic conditions;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local political conditions (including the risk of seizure of assets by foreign governments);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(including, but not limited to, material exchange rate fluctuations, such as devaluations) and currency controls;</w:t>
            </w:r>
          </w:p>
        </w:tc>
        <w:tc>
          <w:tcPr>
            <w:tcW w:w="154" w:type="dxa"/>
            <w:tcBorders/>
            <w:vAlign w:val="center"/>
          </w:tcPr>
          <w:p>
            <w:pPr>
              <w:pStyle w:val="TableContents"/>
              <w:bidi w:val="0"/>
              <w:spacing w:before="0" w:after="283"/>
              <w:jc w:val="left"/>
              <w:rPr>
                <w:sz w:val="4"/>
                <w:szCs w:val="4"/>
              </w:rPr>
            </w:pPr>
            <w:r>
              <w:rPr>
                <w:sz w:val="4"/>
                <w:szCs w:val="4"/>
              </w:rPr>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tariffs or changes in tariff policies, or changes to trade agreements;</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import restrictions;</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ability to repatriate foreign earnings;</w:t>
            </w:r>
          </w:p>
        </w:tc>
      </w:tr>
    </w:tbl>
    <w:tbl>
      <w:tblPr>
        <w:tblW w:w="1896" w:type="dxa"/>
        <w:jc w:val="left"/>
        <w:tblInd w:w="0" w:type="dxa"/>
        <w:tblLayout w:type="fixed"/>
        <w:tblCellMar>
          <w:top w:w="28" w:type="dxa"/>
          <w:left w:w="28" w:type="dxa"/>
          <w:bottom w:w="28" w:type="dxa"/>
          <w:right w:w="28" w:type="dxa"/>
        </w:tblCellMar>
      </w:tblPr>
      <w:tblGrid>
        <w:gridCol w:w="124"/>
        <w:gridCol w:w="256"/>
        <w:gridCol w:w="1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unrest;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laws such as the Foreign Corrupt Practices Act, and local laws prohibiting inappropriate payments.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likelihood of such occurrences and their potential effect on our businesses are unpredictable and vary from country-to-country.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changes to U.S. trade policy, there may be changes to existing trade agreements, the imposition of new tariffs and greater restrictions on trade generally. A protracted and wide-ranging trade conflict between the United States and its trading partners, including China, Canada and Mexico, or the imposition of tariffs or other trade protection measures, could adversely affect global economic growth.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of our businesses have substantial indebtedness, which could restrict their business activities and/or could subject them to significant interest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subsidiaries’ indebtedness could:</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borrow money for working capital, capital expenditures, debt service requirements or other corporate purposes, guarantee additional debt or issue redeemable, convertible or preferred equity;</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make distributions or prepay their debt, incur liens, enter into agreements that restrict distributions from restricted subsidiaries, sell or otherwise dispose of assets (including capital stock of subsidiaries), enter into transactions with affiliates and merge, consolidate or sell substantially all of their assets;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them to dedicate a substantial portion of their cash flow to payments on indebtedness, which would reduce the amount of cash flow available to fund working capital, capital expenditures, product development, and other corporate requirements;</w:t>
            </w:r>
          </w:p>
        </w:tc>
        <w:tc>
          <w:tcPr>
            <w:tcW w:w="154" w:type="dxa"/>
            <w:tcBorders/>
            <w:vAlign w:val="center"/>
          </w:tcPr>
          <w:p>
            <w:pPr>
              <w:pStyle w:val="TableContents"/>
              <w:bidi w:val="0"/>
              <w:spacing w:before="0" w:after="283"/>
              <w:jc w:val="left"/>
              <w:rPr>
                <w:sz w:val="4"/>
                <w:szCs w:val="4"/>
              </w:rPr>
            </w:pPr>
            <w:r>
              <w:rPr>
                <w:sz w:val="4"/>
                <w:szCs w:val="4"/>
              </w:rPr>
            </w:r>
          </w:p>
        </w:tc>
      </w:tr>
    </w:tbl>
    <w:tbl>
      <w:tblPr>
        <w:tblW w:w="7570" w:type="dxa"/>
        <w:jc w:val="left"/>
        <w:tblInd w:w="0" w:type="dxa"/>
        <w:tblLayout w:type="fixed"/>
        <w:tblCellMar>
          <w:top w:w="28" w:type="dxa"/>
          <w:left w:w="28" w:type="dxa"/>
          <w:bottom w:w="28" w:type="dxa"/>
          <w:right w:w="28" w:type="dxa"/>
        </w:tblCellMar>
      </w:tblPr>
      <w:tblGrid>
        <w:gridCol w:w="124"/>
        <w:gridCol w:w="256"/>
        <w:gridCol w:w="703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their vulnerability to general adverse economic and industry conditions;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5065" w:type="dxa"/>
        <w:jc w:val="left"/>
        <w:tblInd w:w="0" w:type="dxa"/>
        <w:tblLayout w:type="fixed"/>
        <w:tblCellMar>
          <w:top w:w="28" w:type="dxa"/>
          <w:left w:w="28" w:type="dxa"/>
          <w:bottom w:w="28" w:type="dxa"/>
          <w:right w:w="28" w:type="dxa"/>
        </w:tblCellMar>
      </w:tblPr>
      <w:tblGrid>
        <w:gridCol w:w="124"/>
        <w:gridCol w:w="256"/>
        <w:gridCol w:w="453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respond to business opportunities.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subsidiaries’ indebtedness accrue interest at variable rates. To the extent market interest rates rise, the cost of their debt would increase, adversely affecting their financial condition, results of operations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significant labor dispute involving any of our businesses or one or more of their customers or suppliers or that could otherwise affect our operations could adversely affect our financial performance.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businesses are subject to the effects of the following:</w:t>
      </w:r>
    </w:p>
    <w:tbl>
      <w:tblPr>
        <w:tblW w:w="2871" w:type="dxa"/>
        <w:jc w:val="left"/>
        <w:tblInd w:w="0" w:type="dxa"/>
        <w:tblLayout w:type="fixed"/>
        <w:tblCellMar>
          <w:top w:w="28" w:type="dxa"/>
          <w:left w:w="28" w:type="dxa"/>
          <w:bottom w:w="28" w:type="dxa"/>
          <w:right w:w="28" w:type="dxa"/>
        </w:tblCellMar>
      </w:tblPr>
      <w:tblGrid>
        <w:gridCol w:w="124"/>
        <w:gridCol w:w="256"/>
        <w:gridCol w:w="2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terrorism or war;</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or pandemics (or expectations about them);</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of our or our subsidiaries’ key personnel;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as needed, of additional financing;</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inflationary conditions;</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or volatile interest rates;</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competition, varying by industry and geographic markets;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of insurance at acceptable rates; and</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not in the ordinary course of business (see Item 1 of Part II, “Legal Proceedings,” of this Report).</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need qualified personnel to manage and operate our various businesses.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 sufficient numbers of trained personnel, which could have a negative impact on our consolidated financial condition, results of operations or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pandemics may have a material adverse impact on our and our subsidiaries’ operations and financial performance, as well as on the operations and financial performance of many of the customers and suppliers in our operating segments. We are unable to predict the extent to which future pandemics and related impacts will adversely impact our business operations, financial performance, results of operations, and financial position.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pandemics may also have the effect of heightening many of the other risks described in the risk factors set forth herein. In particular, see the risk factors: “We are a holding company and depend 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extent to which any future pandemic may negatively impact our business and operations will depend on the severity, location, and duration of the effects and spread of such pandemic and the emergence of new variants, the actions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undertaken by national, regional, and local governments and health officials to contain such virus or remedy its effects, and if, how quickly and to what extent economic conditions recover and normal business and operating conditions resume. Further, future pandemics may affect our operating and financial results in a manner that is not presently known to us or that we currently do not expect to present significant risks to our operations or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Global economic conditions may have adverse impacts on our businesses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in economic conditions could adversely affect our financial condition and results of operations. A number of economic factors, including, but not limited to, consumer interest rates, tariffs and global trade policies,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and general inflationary pressures can have a material adverse impact on our businesses, and may adversely affect demand for sales of our businesses’ products, or the costs of materials and services utilized in their operations, and the performance of our Investment Funds. The conflicts in Ukraine and the Middle East including the ongoing U.S.-Iran war have exacerbated many of these issues, including leading to increased prices of gasoline and distillates as a result of the global increase in commodity prices, which for example, has impacted, and may continue to impact, the input costs for our Energy segment. These factors could have a material adverse effect on our revenues, income from operations and our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 increase in inflation could have adverse effects on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Inflation has fluctuated in recent years and remains subject to volatility, due to a range of macroeconomic and geopolitical factors. An increase in inflation as a result of these or other factors could adversely affect our operating costs, pricing, consumer demand, purchasing power, and overall cost structure, and could have a material adverse effect on our consolidated financial condition, results of operations or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and our subsidiaries are subject to cybersecurity and other technological risks that could disrupt our information technology systems and adversely affect our financial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Moreover, cyberattacks are expected to accelerate on a global basis in both frequency and magnitude as threat actors are becoming increasingly sophisticated in using techniques and tools (including artificial intelligence) that circumvent controls, evade detection and even remove forensic evidence of the infiltration. The United States government has warned of the potential risk of Russian cyberattacks stemming from the ongoing Russian/Ukraine conflict.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 Refer to “Item 1C. Cybersecurity” in our  Annual Report on Form 10-K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Software implementation and upgrades at certain of our subsidiaries may result in complications that adversely impact the timeliness, accuracy and reliability of internal and external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 resources. Failure to properly implement or upgrade software, including failure to recruit/retain appropriate experts, train employees, implement processes and properly bridge to legacy software, among other things, may negatively impact our subsidiaries’ ability to properly operate their businesses and to report internally and externally, including reporting to us. As a result, we may not adequately assess the performance of our subsidiaries, properly allocate resources or report timely and accurate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Investor and market sentiment towards climate change, fossil fuels, GHG emissions, environmental justice, and other Environmental, Social and Governance (“ESG”) matters could adversely affect our business and cost of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efforts in recent years aimed at the investment community, including investment advisors, sovereign wealth funds, public pension funds, universities, and other groups, to promote the divestment of securities of companies in the energy industry, as well as to pressure lenders and other financial services companies to limit or curtail activities with companies in the energy industry. As a result, some financial intermediaries, investors, and other capital markets participants have reduced or ceased lending to, or investing in, companies that operate in industries with higher perceived environmental exposure, such as the energy industry, although in recent years “anti-ESG” sentiment has gained momentum, with several states and Congress having proposed or enacted “anti-ESG” policies, legislation, or initiatives, and investors and investor groups changing their ESG priorities. If we and our Energy segment are unable to meet the ESG standards or investment, lending, ratings, or other policies set by these parties as they continue to fluctuate or change, we may lose investors, investors may allocate a portion of their capital away from us, our cost of capital may increase, the price of our securities may be negatively impacted and our reputation may also be negatively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existence of a material weakness in internal control over financial reporting of us or one of our consolidated subsidiaries or a recently acquired entity may adversely affect our ability to provide timely and reliable financial information necessary for the conduct of our business and satisfaction of our reporting obligations under the federal securities laws.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the extent that any material weakness or significant deficiency exists in internal control over financial reporting of us or one of our consolidated subsidiaries or a recently acquired entity, such material weakness or significant deficiency may adversely affect our ability to provide timely and reliable financial information necessary for the conduct of our business and satisfaction of our reporting obligations under the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2037" w:name="Item2UnregisteredSales_554313"/>
      <w:bookmarkStart w:id="2038" w:name="_6b69778c_57be_422f_b95b_e6a1a0071ba2"/>
      <w:bookmarkEnd w:id="2037"/>
      <w:bookmarkEnd w:id="2038"/>
      <w:r>
        <w:rPr>
          <w:rFonts w:ascii="Times New Roman;Times;serif" w:hAnsi="Times New Roman;Times;serif"/>
          <w:b/>
          <w:sz w:val="20"/>
        </w:rPr>
        <w:t>Item 2. Unregistered Sales of Equity Securities and Use of Proceeds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any depositary units pursuant to our approved repurchase program discussed above in the three months ended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39" w:name="_d7b2375b_71f7_4347_9f57_f4e977852d89"/>
      <w:bookmarkStart w:id="2040" w:name="Item5OtherInformation"/>
      <w:bookmarkEnd w:id="2039"/>
      <w:bookmarkEnd w:id="2040"/>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Rule 10b5-1 Trading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our last fiscal quarter, no director or officer, as defined in Rule 16a-1(f), adopted or terminated a “Rule 10b5-1 trading arrangement” or a “non-Rule 10b5-1 trading arrangement,” each as defined in Regulation S-K Item 408.</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Appointment of Chief Accounting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August 3, 2026, the Board of Directors of Icahn Enterprises G.P. Inc., the general partner of Icahn Enterprises L.P. (the “Company”), appointed Rowella (Ching) Asuncion-Gumabong, who currently serves as Senior Vice President of Finance and Accounting of Icahn Associates Holding LLC (“Icahn Associates”), a privately owned company indirectly controlled by the Company’s Chairman, Mr. Carl Icahn, as the Chief Accounting Officer of the Company and Icahn Enterprises G.P., Inc., effective August 6, 2026. Ms. Asuncion-Gumabong will serve as the Company’s principal accounting officer. Robert Flint, who has served as the Company’s Chief Financial Officer since May 2026 and as its Chief Accounting Officer since January 2024, will continue in his role as the Company’s Chief Financial Officer. In connection with Ms. Asuncion-Gumabong’s appointment to her new role, her base salary has been increased by $100,000 per annum. The Company will reimburse Icahn Associates for the portion of Ms. Asuncion-Gumabong’s annual base salary of $500,000 attributable to services she provides for the Company, based upon the relative amount of time spent on activities for both the Company and Icahn Associates. Ms. Asuncion-Gumabong is currently expected to spend approximately 60% of her business time on performing her duties for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Ms. Asuncion-Gumabong, age 47, has served as the Senior Vice President of Finance and Accounting at Icahn Associates since January 2022 and previously served in various other roles at Icahn Associates since January 2009. Prior to joining Icahn Associates, Ms. Asuncion-Gumabong served as an Audit Supervisor at McGladrey &amp; Pullen, LLP from January 2007 to January 2009 and as a Senior Auditor at Grant Thornton LLP from January 2005 to January 2007. Ms. Asuncion-Gumabong received her B.S. in Accountancy from the University of the Philippines.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than as described herein, there are no arrangements or understandings between Ms. Asuncion-Gumabong and any other persons pursuant to which she was selected as Chief Accounting Officer and principal accounting officer of the Company, and she has no family relationship with any director or executive officer of the Company and has no direct or indirect material interest in any transaction required to be disclosed pursuant to Item 404(a) of Regulation 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41" w:name="Item6Exhibits_832790"/>
      <w:bookmarkStart w:id="2042" w:name="_21e3836b_cb30_440e_a732_15c2f5c98bc2"/>
      <w:bookmarkEnd w:id="2041"/>
      <w:bookmarkEnd w:id="2042"/>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1081"/>
        <w:gridCol w:w="346"/>
        <w:gridCol w:w="8778"/>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778"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0"/>
              <w:ind w:left="0" w:right="0" w:hanging="0"/>
              <w:jc w:val="left"/>
              <w:rPr/>
            </w:pPr>
            <w:r>
              <w:rPr/>
              <w:t>  ​ ​ ​</w:t>
            </w:r>
          </w:p>
        </w:tc>
        <w:tc>
          <w:tcPr>
            <w:tcW w:w="8778"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30"/>
              <w:ind w:left="0" w:right="0" w:hanging="0"/>
              <w:jc w:val="left"/>
              <w:rPr/>
            </w:pPr>
            <w:hyperlink r:id="rId2">
              <w:r>
                <w:rPr>
                  <w:rStyle w:val="InternetLink"/>
                  <w:rFonts w:ascii="Times New Roman;Times;serif" w:hAnsi="Times New Roman;Times;serif"/>
                  <w:b w:val="false"/>
                  <w:i w:val="false"/>
                  <w:caps w:val="false"/>
                  <w:smallCaps w:val="false"/>
                  <w:sz w:val="20"/>
                </w:rPr>
                <w:t>Third Amended and Restated Agreement of Limited Partnership of Icahn Enterprises L.P., dated February 24, 2025 (incorporated by reference to Exhibit 3.3 to the Company’s Annual Report on Form 10-K filed on February 26, 2025).</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Agreement of Limited Partnership of Icahn Enterprises Holdings, dated as of February 24, 2025 (incorporated by reference to Exhibit 3.4 to the Company’s Annual Report on Form 10-K filed on February 26, 2025).</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7"/>
        <w:gridCol w:w="109"/>
        <w:gridCol w:w="9409"/>
      </w:tblGrid>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Andrew Teno Separation Agreement (incorporated by reference to Exhibit 10.1 to the Company’s Quarterly Report on Form 10-Q filed on May 6, 2026).</w:t>
              </w:r>
            </w:hyperlink>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pPr>
            <w:hyperlink r:id="rId5">
              <w:r>
                <w:rPr>
                  <w:rStyle w:val="InternetLink"/>
                  <w:rFonts w:ascii="Times New Roman;Times;serif" w:hAnsi="Times New Roman;Times;serif"/>
                  <w:b w:val="false"/>
                  <w:i w:val="false"/>
                  <w:caps w:val="false"/>
                  <w:smallCaps w:val="false"/>
                  <w:sz w:val="20"/>
                </w:rPr>
                <w:t>Ted Papapostolou Employment Letter (incorporated by reference to Exhibit 10.2 to the Company’s Quarterly Report on Form 10-Q filed on May 6, 2026).</w:t>
              </w:r>
            </w:hyperlink>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pPr>
            <w:hyperlink r:id="rId6">
              <w:r>
                <w:rPr>
                  <w:rStyle w:val="InternetLink"/>
                  <w:rFonts w:ascii="Times New Roman;Times;serif" w:hAnsi="Times New Roman;Times;serif"/>
                  <w:b w:val="false"/>
                  <w:i w:val="false"/>
                  <w:caps w:val="false"/>
                  <w:smallCaps w:val="false"/>
                  <w:sz w:val="20"/>
                </w:rPr>
                <w:t>Robert Flint Employment Letter (incorporated by reference to Exhibit 10.3 to the Company’s Quarterly Report on Form 10-Q filed on May 6, 2026).</w:t>
              </w:r>
            </w:hyperlink>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pPr>
            <w:hyperlink r:id="rId7">
              <w:r>
                <w:rPr>
                  <w:rStyle w:val="InternetLink"/>
                  <w:rFonts w:ascii="Times New Roman;Times;serif" w:hAnsi="Times New Roman;Times;serif"/>
                  <w:b w:val="false"/>
                  <w:i w:val="false"/>
                  <w:caps w:val="false"/>
                  <w:smallCaps w:val="false"/>
                  <w:sz w:val="20"/>
                </w:rPr>
                <w:t>Form of Deferred Unit Award Agreement (incorporated by reference to Exhibit 10.4 to the Company’s Quarterly Report on Form 10-Q filed on May 6, 2026).</w:t>
              </w:r>
            </w:hyperlink>
          </w:p>
        </w:tc>
      </w:tr>
      <w:tr>
        <w:trPr/>
        <w:tc>
          <w:tcPr>
            <w:tcW w:w="687" w:type="dxa"/>
            <w:tcBorders/>
            <w:vAlign w:val="center"/>
          </w:tcPr>
          <w:p>
            <w:pPr>
              <w:pStyle w:val="TableContents"/>
              <w:bidi w:val="0"/>
              <w:spacing w:lineRule="auto" w:line="240" w:before="0" w:after="30"/>
              <w:ind w:left="0" w:right="0" w:hanging="0"/>
              <w:jc w:val="center"/>
              <w:rPr>
                <w:rFonts w:ascii="Times New Roman;Times;serif" w:hAnsi="Times New Roman;Times;serif"/>
                <w:sz w:val="20"/>
              </w:rPr>
            </w:pPr>
            <w:r>
              <w:rPr>
                <w:rFonts w:ascii="Times New Roman;Times;serif" w:hAnsi="Times New Roman;Times;serif"/>
                <w:sz w:val="20"/>
              </w:rPr>
              <w:t>10.5†</w:t>
            </w:r>
            <w:r>
              <w:rPr>
                <w:rFonts w:ascii="Times New Roman;Times;serif" w:hAnsi="Times New Roman;Times;serif"/>
                <w:sz w:val="15"/>
              </w:rPr>
              <w:t>*</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pPr>
            <w:hyperlink w:anchor="tmb-20260630xex10d5.htm">
              <w:r>
                <w:rPr>
                  <w:rStyle w:val="InternetLink"/>
                  <w:rFonts w:ascii="Times New Roman;Times;serif" w:hAnsi="Times New Roman;Times;serif"/>
                  <w:b w:val="false"/>
                  <w:i w:val="false"/>
                  <w:caps w:val="false"/>
                  <w:smallCaps w:val="false"/>
                  <w:sz w:val="20"/>
                </w:rPr>
                <w:t>Stock Purchase Agreement dated July 19, 2026, by and among Metis HoldCo, Inc., Mavis Tire Supply, LLC, Icahn Automotive Group LLC, and Icahn Enterprises L.P., solely for the purposes of certain sections therein.</w:t>
              </w:r>
            </w:hyperlink>
          </w:p>
        </w:tc>
      </w:tr>
      <w:tr>
        <w:trPr/>
        <w:tc>
          <w:tcPr>
            <w:tcW w:w="68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0"/>
              <w:ind w:left="0" w:right="0" w:hanging="0"/>
              <w:jc w:val="left"/>
              <w:rPr/>
            </w:pPr>
            <w:hyperlink w:anchor="tmb-20260630xex31d1.htm">
              <w:r>
                <w:rPr>
                  <w:rStyle w:val="InternetLink"/>
                  <w:rFonts w:ascii="Times New Roman;Times;serif" w:hAnsi="Times New Roman;Times;serif"/>
                  <w:b w:val="false"/>
                  <w:i w:val="false"/>
                  <w:caps w:val="false"/>
                  <w:smallCaps w:val="false"/>
                  <w:sz w:val="20"/>
                </w:rPr>
                <w:t>Certification of Chief Executive Officer pursuant to Section 302(a) of the Sarbanes-Oxley Act of 2002 and Rule 13a-14(a) of the Securities Exchange Act of 1934.</w:t>
              </w:r>
            </w:hyperlink>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pPr>
            <w:hyperlink w:anchor="tmb-20260630xex31d2.htm">
              <w:r>
                <w:rPr>
                  <w:rStyle w:val="InternetLink"/>
                  <w:rFonts w:ascii="Times New Roman;Times;serif" w:hAnsi="Times New Roman;Times;serif"/>
                  <w:b w:val="false"/>
                  <w:i w:val="false"/>
                  <w:caps w:val="false"/>
                  <w:smallCaps w:val="false"/>
                  <w:sz w:val="20"/>
                </w:rPr>
                <w:t>Certification of Chief Financial Officer pursuant to Section 302(a) of the Sarbanes-Oxley Act of 2002 and Rule 13a-14(a) of the Securities Exchange Act of 1934.</w:t>
              </w:r>
            </w:hyperlink>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pPr>
            <w:hyperlink w:anchor="tmb-202606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Section 906 of the Sarbanes-Oxley Act of 2002 (18 U.S.C. 1350) and Rule 13a-14(b) of the Securities Exchange Act of 1934.</w:t>
              </w:r>
            </w:hyperlink>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87"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40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in Exhibit 101).</w:t>
            </w:r>
          </w:p>
        </w:tc>
      </w:tr>
    </w:tbl>
    <w:p>
      <w:pPr>
        <w:pStyle w:val="TextBody"/>
        <w:bidi w:val="0"/>
        <w:spacing w:before="120" w:after="0"/>
        <w:ind w:left="1296" w:right="0" w:hanging="0"/>
        <w:jc w:val="left"/>
        <w:rPr/>
      </w:pPr>
      <w:r>
        <w:rPr/>
        <w:t xml:space="preserve">† </w:t>
      </w:r>
      <w:r>
        <w:rPr>
          <w:rFonts w:ascii="Times New Roman;Times;serif" w:hAnsi="Times New Roman;Times;serif"/>
          <w:sz w:val="20"/>
        </w:rPr>
        <w:t>Certain confidential information has been redacted pursuant to Item 601(b)(10)(iv) of Regulation S-K.</w:t>
      </w:r>
    </w:p>
    <w:p>
      <w:pPr>
        <w:pStyle w:val="TextBody"/>
        <w:bidi w:val="0"/>
        <w:spacing w:before="0" w:after="0"/>
        <w:ind w:left="1296" w:right="0" w:hanging="0"/>
        <w:jc w:val="left"/>
        <w:rPr>
          <w:rFonts w:ascii="Times New Roman;Times;serif" w:hAnsi="Times New Roman;Times;serif"/>
          <w:sz w:val="20"/>
        </w:rPr>
      </w:pPr>
      <w:r>
        <w:rPr>
          <w:rFonts w:ascii="Times New Roman;Times;serif" w:hAnsi="Times New Roman;Times;serif"/>
          <w:sz w:val="20"/>
        </w:rPr>
        <w:t>* Certain schedules, exhibits and similar attachments have been omitted pursuant to Item 601(a)(5) of Regulation S-K and portions of this exhibit have been redacted pursuant to Item 601(a)(6) and Item 601(b)(10) of Regulation S-K. The Company will provide a copy of such omitted materials to the Securities and Exchange Commission or its staff upon request.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43" w:name="SIGNATURES_87486"/>
      <w:bookmarkStart w:id="2044" w:name="_dfa61988_4831_4b5d_9051_765fde4ed97b"/>
      <w:bookmarkEnd w:id="2043"/>
      <w:bookmarkEnd w:id="2044"/>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24"/>
        <w:gridCol w:w="443"/>
        <w:gridCol w:w="9638"/>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78740" cy="175260"/>
                      <wp:effectExtent l="0" t="0" r="0" b="0"/>
                      <wp:wrapNone/>
                      <wp:docPr id="644" name="Frame64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0"/>
              <w:ind w:left="0" w:right="0" w:hanging="0"/>
              <w:jc w:val="left"/>
              <w:rPr/>
            </w:pPr>
            <w:r>
              <w:rPr/>
              <w:t>​</w:t>
            </w:r>
          </w:p>
        </w:tc>
        <w:tc>
          <w:tcPr>
            <w:tcW w:w="9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120130" cy="350520"/>
                      <wp:effectExtent l="0" t="0" r="0" b="0"/>
                      <wp:wrapNone/>
                      <wp:docPr id="645" name="Frame645"/>
                      <a:graphic xmlns:a="http://schemas.openxmlformats.org/drawingml/2006/main">
                        <a:graphicData uri="http://schemas.microsoft.com/office/word/2010/wordprocessingShape">
                          <wps:wsp>
                            <wps:cNvSpPr txBox="1"/>
                            <wps:spPr>
                              <a:xfrm>
                                <a:off x="0" y="0"/>
                                <a:ext cx="6120130" cy="3505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Icahn Enterprises L.P.</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96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Icahn Enterprises G.P. Inc., its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partner </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963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963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96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Ted Papapostolou</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963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Ted Papapostolou</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 (Principal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963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963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96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Flint</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963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Flint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Chief Accounting Officer, and Director (Principal Financial Officer and Principal Accounting Officer)</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9638"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963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240"/>
        <w:ind w:left="0" w:right="0" w:hanging="0"/>
        <w:jc w:val="right"/>
        <w:rPr>
          <w:rFonts w:ascii="Times New Roman;Times;serif" w:hAnsi="Times New Roman;Times;serif"/>
          <w:b/>
          <w:sz w:val="24"/>
        </w:rPr>
      </w:pPr>
      <w:bookmarkStart w:id="2045" w:name="tmb-20260630xex10d5.htm"/>
      <w:bookmarkStart w:id="2046" w:name="kstmb20260630xex10d5"/>
      <w:bookmarkEnd w:id="2045"/>
      <w:bookmarkEnd w:id="2046"/>
      <w:r>
        <w:rPr>
          <w:rFonts w:ascii="Times New Roman;Times;serif" w:hAnsi="Times New Roman;Times;serif"/>
          <w:b/>
          <w:sz w:val="24"/>
        </w:rPr>
        <w:t>Exhibit 10.5</w:t>
      </w:r>
      <w:r>
        <w:br w:type="page"/>
      </w:r>
    </w:p>
    <w:p>
      <w:pPr>
        <w:pStyle w:val="TextBody"/>
        <w:pBdr>
          <w:top w:val="double" w:sz="6" w:space="1" w:color="000000"/>
        </w:pBdr>
        <w:bidi w:val="0"/>
        <w:spacing w:before="0" w:after="840"/>
        <w:ind w:left="0" w:right="0" w:hanging="0"/>
        <w:jc w:val="left"/>
        <w:rPr/>
      </w:pPr>
      <w:bookmarkStart w:id="2047" w:name="_Hlk224550918"/>
      <w:bookmarkEnd w:id="2047"/>
      <w:r>
        <w:rPr/>
        <w:t>​</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 xml:space="preserve">CERTAIN IDENTIFIED INFORMATION HAS BEEN EXCLUDED FROM THIS EXHIBIT BECAUSE IT IS BOTH NOT MATERIAL AND IS THE TYPE THAT THE REGISTRANT TREATS AS PRIVATE OR CONFIDENTIAL. THE OMITTED INFORMATION IS INDICATED BY [***]. </w:t>
      </w:r>
    </w:p>
    <w:p>
      <w:pPr>
        <w:pStyle w:val="TextBody"/>
        <w:bidi w:val="0"/>
        <w:spacing w:before="960" w:after="240"/>
        <w:ind w:left="0" w:right="0" w:hanging="0"/>
        <w:jc w:val="center"/>
        <w:rPr>
          <w:rFonts w:ascii="Times New Roman;Times;serif" w:hAnsi="Times New Roman;Times;serif"/>
          <w:sz w:val="24"/>
        </w:rPr>
      </w:pPr>
      <w:r>
        <w:rPr>
          <w:rFonts w:ascii="Times New Roman;Times;serif" w:hAnsi="Times New Roman;Times;serif"/>
          <w:sz w:val="24"/>
        </w:rPr>
        <w:t>STOCK PURCHASE AGREEMENT</w:t>
      </w:r>
    </w:p>
    <w:p>
      <w:pPr>
        <w:pStyle w:val="TextBody"/>
        <w:bidi w:val="0"/>
        <w:spacing w:before="960" w:after="240"/>
        <w:ind w:left="0" w:right="0" w:hanging="0"/>
        <w:jc w:val="center"/>
        <w:rPr>
          <w:rFonts w:ascii="Times New Roman;Times;serif" w:hAnsi="Times New Roman;Times;serif"/>
          <w:sz w:val="24"/>
        </w:rPr>
      </w:pPr>
      <w:r>
        <w:rPr>
          <w:rFonts w:ascii="Times New Roman;Times;serif" w:hAnsi="Times New Roman;Times;serif"/>
          <w:sz w:val="24"/>
        </w:rPr>
        <w:t>by and among</w:t>
      </w:r>
    </w:p>
    <w:p>
      <w:pPr>
        <w:pStyle w:val="TextBody"/>
        <w:bidi w:val="0"/>
        <w:spacing w:before="960" w:after="240"/>
        <w:ind w:left="0" w:right="0" w:hanging="0"/>
        <w:jc w:val="center"/>
        <w:rPr>
          <w:rFonts w:ascii="Times New Roman;Times;serif" w:hAnsi="Times New Roman;Times;serif"/>
          <w:sz w:val="24"/>
        </w:rPr>
      </w:pPr>
      <w:r>
        <w:rPr>
          <w:rFonts w:ascii="Times New Roman;Times;serif" w:hAnsi="Times New Roman;Times;serif"/>
          <w:sz w:val="24"/>
        </w:rPr>
        <w:t>MAVIS TIRE SUPPLY, LLC, as buyer,</w:t>
      </w:r>
    </w:p>
    <w:p>
      <w:pPr>
        <w:pStyle w:val="TextBody"/>
        <w:bidi w:val="0"/>
        <w:spacing w:before="960" w:after="240"/>
        <w:ind w:left="0" w:right="0" w:hanging="0"/>
        <w:jc w:val="center"/>
        <w:rPr>
          <w:rFonts w:ascii="Times New Roman;Times;serif" w:hAnsi="Times New Roman;Times;serif"/>
          <w:sz w:val="24"/>
        </w:rPr>
      </w:pPr>
      <w:r>
        <w:rPr>
          <w:rFonts w:ascii="Times New Roman;Times;serif" w:hAnsi="Times New Roman;Times;serif"/>
          <w:sz w:val="24"/>
        </w:rPr>
        <w:t xml:space="preserve">METIS HOLDCO, INC., as buyer guarantor and solely for purposes of </w:t>
      </w:r>
      <w:r>
        <w:rPr>
          <w:rFonts w:ascii="Times New Roman;Times;serif" w:hAnsi="Times New Roman;Times;serif"/>
          <w:sz w:val="24"/>
          <w:u w:val="single"/>
        </w:rPr>
        <w:t>Sections 6.25</w:t>
      </w:r>
      <w:r>
        <w:rPr>
          <w:rFonts w:ascii="Times New Roman;Times;serif" w:hAnsi="Times New Roman;Times;serif"/>
          <w:sz w:val="24"/>
        </w:rPr>
        <w:t xml:space="preserve"> and </w:t>
      </w:r>
      <w:bookmarkStart w:id="2048" w:name="_9kMHG5YVt4BEGJMPKPOI3xaYzxyvFR"/>
      <w:bookmarkEnd w:id="2048"/>
      <w:r>
        <w:rPr>
          <w:rFonts w:ascii="Times New Roman;Times;serif" w:hAnsi="Times New Roman;Times;serif"/>
          <w:sz w:val="24"/>
          <w:u w:val="single"/>
        </w:rPr>
        <w:t>9.3</w:t>
      </w:r>
      <w:r>
        <w:rPr>
          <w:rFonts w:ascii="Times New Roman;Times;serif" w:hAnsi="Times New Roman;Times;serif"/>
          <w:sz w:val="24"/>
        </w:rPr>
        <w:t>,</w:t>
      </w:r>
    </w:p>
    <w:p>
      <w:pPr>
        <w:pStyle w:val="TextBody"/>
        <w:bidi w:val="0"/>
        <w:spacing w:before="960" w:after="240"/>
        <w:ind w:left="0" w:right="0" w:hanging="0"/>
        <w:jc w:val="center"/>
        <w:rPr>
          <w:rFonts w:ascii="Times New Roman;Times;serif" w:hAnsi="Times New Roman;Times;serif"/>
          <w:sz w:val="24"/>
        </w:rPr>
      </w:pPr>
      <w:r>
        <w:rPr>
          <w:rFonts w:ascii="Times New Roman;Times;serif" w:hAnsi="Times New Roman;Times;serif"/>
          <w:sz w:val="24"/>
        </w:rPr>
        <w:t>ICAHN AUTOMOTIVE GROUP LLC, as seller</w:t>
      </w:r>
    </w:p>
    <w:p>
      <w:pPr>
        <w:pStyle w:val="TextBody"/>
        <w:bidi w:val="0"/>
        <w:spacing w:before="960" w:after="240"/>
        <w:ind w:left="0" w:right="0" w:hanging="0"/>
        <w:jc w:val="center"/>
        <w:rPr>
          <w:rFonts w:ascii="Times New Roman;Times;serif" w:hAnsi="Times New Roman;Times;serif"/>
          <w:sz w:val="24"/>
        </w:rPr>
      </w:pPr>
      <w:bookmarkStart w:id="2049" w:name="_cp_change_1"/>
      <w:bookmarkEnd w:id="2049"/>
      <w:r>
        <w:rPr>
          <w:rFonts w:ascii="Times New Roman;Times;serif" w:hAnsi="Times New Roman;Times;serif"/>
          <w:sz w:val="24"/>
        </w:rPr>
        <w:t>and</w:t>
      </w:r>
    </w:p>
    <w:p>
      <w:pPr>
        <w:pStyle w:val="TextBody"/>
        <w:bidi w:val="0"/>
        <w:spacing w:before="960" w:after="240"/>
        <w:ind w:left="0" w:right="0" w:hanging="0"/>
        <w:jc w:val="center"/>
        <w:rPr>
          <w:rFonts w:ascii="Times New Roman;Times;serif" w:hAnsi="Times New Roman;Times;serif"/>
          <w:sz w:val="24"/>
        </w:rPr>
      </w:pPr>
      <w:bookmarkStart w:id="2050" w:name="_cp_change_2"/>
      <w:bookmarkEnd w:id="2050"/>
      <w:r>
        <w:rPr>
          <w:rFonts w:ascii="Times New Roman;Times;serif" w:hAnsi="Times New Roman;Times;serif"/>
          <w:sz w:val="24"/>
        </w:rPr>
        <w:t xml:space="preserve">ICAHN ENTERPRISES L.P., as seller guarantor and solely for purposes of </w:t>
      </w:r>
      <w:r>
        <w:rPr>
          <w:rFonts w:ascii="Times New Roman;Times;serif" w:hAnsi="Times New Roman;Times;serif"/>
          <w:sz w:val="24"/>
          <w:u w:val="single"/>
        </w:rPr>
        <w:t xml:space="preserve">Sections </w:t>
      </w:r>
      <w:bookmarkStart w:id="2051" w:name="_9kMHG5YVt4BEGKFGHpVNyrWlw521PK87v457NT"/>
      <w:bookmarkEnd w:id="2051"/>
      <w:r>
        <w:rPr>
          <w:rFonts w:ascii="Times New Roman;Times;serif" w:hAnsi="Times New Roman;Times;serif"/>
          <w:sz w:val="24"/>
          <w:u w:val="single"/>
        </w:rPr>
        <w:t>6.1(d)</w:t>
      </w:r>
      <w:r>
        <w:rPr>
          <w:rFonts w:ascii="Times New Roman;Times;serif" w:hAnsi="Times New Roman;Times;serif"/>
          <w:sz w:val="24"/>
        </w:rPr>
        <w:t>,</w:t>
      </w:r>
      <w:r>
        <w:rPr>
          <w:rFonts w:ascii="Times New Roman;Times;serif" w:hAnsi="Times New Roman;Times;serif"/>
          <w:sz w:val="24"/>
          <w:u w:val="single"/>
        </w:rPr>
        <w:t xml:space="preserve"> </w:t>
      </w:r>
      <w:bookmarkStart w:id="2052" w:name="_9kMHG5YVt4BEGKJKJfOwCC2o07A7PUKB412MS"/>
      <w:bookmarkStart w:id="2053" w:name="_cp_change_3"/>
      <w:bookmarkEnd w:id="2052"/>
      <w:bookmarkEnd w:id="2053"/>
      <w:r>
        <w:rPr>
          <w:rFonts w:ascii="Times New Roman;Times;serif" w:hAnsi="Times New Roman;Times;serif"/>
          <w:sz w:val="24"/>
          <w:u w:val="single"/>
        </w:rPr>
        <w:t>6.3</w:t>
      </w:r>
      <w:bookmarkStart w:id="2054" w:name="_cp_change_4"/>
      <w:bookmarkEnd w:id="2054"/>
      <w:r>
        <w:rPr>
          <w:rFonts w:ascii="Times New Roman;Times;serif" w:hAnsi="Times New Roman;Times;serif"/>
          <w:sz w:val="24"/>
        </w:rPr>
        <w:t xml:space="preserve">, </w:t>
      </w:r>
      <w:bookmarkStart w:id="2055" w:name="_9kMHG5YVt4BEGKKLKRJ1tpolwC8qu3CT"/>
      <w:bookmarkStart w:id="2056" w:name="_cp_change_5"/>
      <w:bookmarkEnd w:id="2055"/>
      <w:bookmarkEnd w:id="2056"/>
      <w:r>
        <w:rPr>
          <w:rFonts w:ascii="Times New Roman;Times;serif" w:hAnsi="Times New Roman;Times;serif"/>
          <w:sz w:val="24"/>
          <w:u w:val="single"/>
        </w:rPr>
        <w:t>6.4</w:t>
      </w:r>
      <w:bookmarkStart w:id="2057" w:name="_cp_change_6"/>
      <w:bookmarkEnd w:id="2057"/>
      <w:r>
        <w:rPr>
          <w:rFonts w:ascii="Times New Roman;Times;serif" w:hAnsi="Times New Roman;Times;serif"/>
          <w:sz w:val="24"/>
        </w:rPr>
        <w:t xml:space="preserve">, </w:t>
      </w:r>
      <w:r>
        <w:rPr>
          <w:rFonts w:ascii="Times New Roman;Times;serif" w:hAnsi="Times New Roman;Times;serif"/>
          <w:sz w:val="24"/>
          <w:u w:val="single"/>
        </w:rPr>
        <w:t>6.5</w:t>
      </w:r>
      <w:r>
        <w:rPr>
          <w:rFonts w:ascii="Times New Roman;Times;serif" w:hAnsi="Times New Roman;Times;serif"/>
          <w:sz w:val="24"/>
        </w:rPr>
        <w:t xml:space="preserve">, </w:t>
      </w:r>
      <w:bookmarkStart w:id="2058" w:name="_9kMHG5YVt4BEGKLMMTJ02rqFqNtynx1bT5GI"/>
      <w:bookmarkStart w:id="2059" w:name="_cp_change_7"/>
      <w:bookmarkEnd w:id="2058"/>
      <w:bookmarkEnd w:id="2059"/>
      <w:r>
        <w:rPr>
          <w:rFonts w:ascii="Times New Roman;Times;serif" w:hAnsi="Times New Roman;Times;serif"/>
          <w:sz w:val="24"/>
          <w:u w:val="single"/>
        </w:rPr>
        <w:t>6.6</w:t>
      </w:r>
      <w:bookmarkStart w:id="2060" w:name="_cp_change_8"/>
      <w:bookmarkEnd w:id="2060"/>
      <w:r>
        <w:rPr>
          <w:rFonts w:ascii="Times New Roman;Times;serif" w:hAnsi="Times New Roman;Times;serif"/>
          <w:sz w:val="24"/>
        </w:rPr>
        <w:t xml:space="preserve">, </w:t>
      </w:r>
      <w:bookmarkStart w:id="2061" w:name="_9kMHG5YVt4BEGKMNNjOpqgv0"/>
      <w:bookmarkStart w:id="2062" w:name="_cp_change_9"/>
      <w:bookmarkEnd w:id="2061"/>
      <w:bookmarkEnd w:id="2062"/>
      <w:r>
        <w:rPr>
          <w:rFonts w:ascii="Times New Roman;Times;serif" w:hAnsi="Times New Roman;Times;serif"/>
          <w:sz w:val="24"/>
          <w:u w:val="single"/>
        </w:rPr>
        <w:t xml:space="preserve">6.7, </w:t>
      </w:r>
      <w:bookmarkStart w:id="2063" w:name="_9kMHG5YVt4BEGKIJHFXP6EEvsvnOTJA74uz"/>
      <w:bookmarkEnd w:id="2063"/>
      <w:r>
        <w:rPr>
          <w:rFonts w:ascii="Times New Roman;Times;serif" w:hAnsi="Times New Roman;Times;serif"/>
          <w:sz w:val="24"/>
          <w:u w:val="single"/>
        </w:rPr>
        <w:t>6.10</w:t>
      </w:r>
      <w:r>
        <w:rPr>
          <w:rFonts w:ascii="Times New Roman;Times;serif" w:hAnsi="Times New Roman;Times;serif"/>
          <w:sz w:val="24"/>
        </w:rPr>
        <w:t xml:space="preserve">, </w:t>
      </w:r>
      <w:r>
        <w:rPr>
          <w:rFonts w:ascii="Times New Roman;Times;serif" w:hAnsi="Times New Roman;Times;serif"/>
          <w:sz w:val="24"/>
          <w:u w:val="single"/>
        </w:rPr>
        <w:t>6.18</w:t>
      </w:r>
      <w:r>
        <w:rPr>
          <w:rFonts w:ascii="Times New Roman;Times;serif" w:hAnsi="Times New Roman;Times;serif"/>
          <w:sz w:val="24"/>
        </w:rPr>
        <w:t xml:space="preserve">, </w:t>
      </w:r>
      <w:r>
        <w:rPr>
          <w:rFonts w:ascii="Times New Roman;Times;serif" w:hAnsi="Times New Roman;Times;serif"/>
          <w:sz w:val="24"/>
          <w:u w:val="single"/>
        </w:rPr>
        <w:t>6.22</w:t>
      </w:r>
      <w:r>
        <w:rPr>
          <w:rFonts w:ascii="Times New Roman;Times;serif" w:hAnsi="Times New Roman;Times;serif"/>
          <w:sz w:val="24"/>
        </w:rPr>
        <w:t xml:space="preserve">, </w:t>
      </w:r>
      <w:r>
        <w:rPr>
          <w:rFonts w:ascii="Times New Roman;Times;serif" w:hAnsi="Times New Roman;Times;serif"/>
          <w:sz w:val="24"/>
          <w:u w:val="single"/>
        </w:rPr>
        <w:t>6.23</w:t>
      </w:r>
      <w:r>
        <w:rPr>
          <w:rFonts w:ascii="Times New Roman;Times;serif" w:hAnsi="Times New Roman;Times;serif"/>
          <w:sz w:val="24"/>
        </w:rPr>
        <w:t xml:space="preserve">, </w:t>
      </w:r>
      <w:r>
        <w:rPr>
          <w:rFonts w:ascii="Times New Roman;Times;serif" w:hAnsi="Times New Roman;Times;serif"/>
          <w:sz w:val="24"/>
          <w:u w:val="single"/>
        </w:rPr>
        <w:t>6.25</w:t>
      </w:r>
      <w:bookmarkStart w:id="2064" w:name="_cp_change_10"/>
      <w:bookmarkEnd w:id="2064"/>
      <w:r>
        <w:rPr>
          <w:rFonts w:ascii="Times New Roman;Times;serif" w:hAnsi="Times New Roman;Times;serif"/>
          <w:sz w:val="24"/>
        </w:rPr>
        <w:t xml:space="preserve"> and </w:t>
      </w:r>
      <w:bookmarkStart w:id="2065" w:name="_9kMHG5YVt4BEGKNPJfPpxrybZ0yzwGS"/>
      <w:bookmarkStart w:id="2066" w:name="_cp_change_11"/>
      <w:bookmarkEnd w:id="2065"/>
      <w:bookmarkEnd w:id="2066"/>
      <w:r>
        <w:rPr>
          <w:rFonts w:ascii="Times New Roman;Times;serif" w:hAnsi="Times New Roman;Times;serif"/>
          <w:sz w:val="24"/>
          <w:u w:val="single"/>
        </w:rPr>
        <w:t>9.2</w:t>
      </w:r>
    </w:p>
    <w:p>
      <w:pPr>
        <w:pStyle w:val="TextBody"/>
        <w:bidi w:val="0"/>
        <w:spacing w:before="960" w:after="0"/>
        <w:ind w:left="0" w:right="0" w:hanging="0"/>
        <w:jc w:val="center"/>
        <w:rPr>
          <w:rFonts w:ascii="Times New Roman;Times;serif" w:hAnsi="Times New Roman;Times;serif"/>
          <w:sz w:val="24"/>
        </w:rPr>
      </w:pPr>
      <w:r>
        <w:rPr>
          <w:rFonts w:ascii="Times New Roman;Times;serif" w:hAnsi="Times New Roman;Times;serif"/>
          <w:sz w:val="24"/>
        </w:rPr>
        <w:t>Dated as of July 19, 2026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Table of Contents</w:t>
      </w:r>
    </w:p>
    <w:p>
      <w:pPr>
        <w:pStyle w:val="TextBody"/>
        <w:pBdr/>
        <w:bidi w:val="0"/>
        <w:spacing w:before="0" w:after="0"/>
        <w:ind w:left="0" w:right="0" w:hanging="0"/>
        <w:jc w:val="both"/>
        <w:rPr/>
      </w:pPr>
      <w:hyperlink w:anchor="_Toc235366484">
        <w:r>
          <w:rPr>
            <w:rStyle w:val="InternetLink"/>
            <w:rFonts w:ascii="Times New Roman Bold" w:hAnsi="Times New Roman Bold"/>
            <w:b/>
            <w:i w:val="false"/>
            <w:caps/>
            <w:sz w:val="24"/>
            <w:shd w:fill="FFFFFF" w:val="clear"/>
          </w:rPr>
          <w:t>Article I</w:t>
        </w:r>
      </w:hyperlink>
      <w:hyperlink w:anchor="_Toc235366484">
        <w:r>
          <w:rPr>
            <w:webHidden/>
          </w:rPr>
          <w:fldChar w:fldCharType="begin"/>
        </w:r>
        <w:r>
          <w:rPr>
            <w:webHidden/>
          </w:rPr>
          <w:instrText xml:space="preserve">PAGEREF _Toc235366484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484">
        <w:r>
          <w:rPr>
            <w:webHidden/>
          </w:rPr>
          <w:fldChar w:fldCharType="begin"/>
        </w:r>
        <w:r>
          <w:rPr>
            <w:webHidden/>
          </w:rPr>
          <w:instrText xml:space="preserve">PAGEREF _Toc235366484 \h</w:instrText>
        </w:r>
        <w:r>
          <w:rPr>
            <w:webHidden/>
          </w:rPr>
          <w:fldChar w:fldCharType="separate"/>
        </w:r>
        <w:r>
          <w:rPr>
            <w:rStyle w:val="InternetLink"/>
            <w:rFonts w:ascii="Times New Roman Bold" w:hAnsi="Times New Roman Bold"/>
            <w:b/>
            <w:i w:val="false"/>
            <w:caps/>
            <w:sz w:val="24"/>
            <w:shd w:fill="FFFFFF" w:val="clear"/>
          </w:rPr>
          <w:t>Definitions</w:t>
        </w:r>
        <w:r>
          <w:rPr>
            <w:webHidden/>
          </w:rPr>
          <w:fldChar w:fldCharType="end"/>
        </w:r>
      </w:hyperlink>
      <w:hyperlink w:anchor="_Toc235366484">
        <w:r>
          <w:rPr>
            <w:webHidden/>
          </w:rPr>
          <w:fldChar w:fldCharType="begin"/>
        </w:r>
        <w:r>
          <w:rPr>
            <w:webHidden/>
          </w:rPr>
          <w:instrText xml:space="preserve">PAGEREF _Toc235366484 \h</w:instrText>
        </w:r>
        <w:r>
          <w:rPr>
            <w:webHidden/>
          </w:rPr>
          <w:fldChar w:fldCharType="separate"/>
        </w:r>
        <w:r>
          <w:rPr>
            <w:rStyle w:val="InternetLink"/>
            <w:rFonts w:ascii="Times New Roman Bold" w:hAnsi="Times New Roman Bold"/>
            <w:b/>
            <w:i w:val="false"/>
            <w:caps/>
            <w:sz w:val="24"/>
            <w:shd w:fill="FFFFFF" w:val="clear"/>
          </w:rPr>
          <w:t>1</w:t>
        </w:r>
        <w:r>
          <w:rPr>
            <w:webHidden/>
          </w:rPr>
          <w:fldChar w:fldCharType="end"/>
        </w:r>
      </w:hyperlink>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194310"/>
                <wp:effectExtent l="0" t="0" r="0" b="0"/>
                <wp:wrapNone/>
                <wp:docPr id="646" name="Frame64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12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both"/>
        <w:rPr/>
      </w:pPr>
      <w:hyperlink w:anchor="_Toc235366485">
        <w:r>
          <w:rPr>
            <w:rStyle w:val="InternetLink"/>
            <w:rFonts w:ascii="Times New Roman Bold" w:hAnsi="Times New Roman Bold"/>
            <w:b/>
            <w:i w:val="false"/>
            <w:caps/>
            <w:sz w:val="24"/>
            <w:shd w:fill="FFFFFF" w:val="clear"/>
          </w:rPr>
          <w:t>Article II</w:t>
        </w:r>
      </w:hyperlink>
      <w:hyperlink w:anchor="_Toc235366485">
        <w:r>
          <w:rPr>
            <w:webHidden/>
          </w:rPr>
          <w:fldChar w:fldCharType="begin"/>
        </w:r>
        <w:r>
          <w:rPr>
            <w:webHidden/>
          </w:rPr>
          <w:instrText xml:space="preserve">PAGEREF _Toc235366485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485">
        <w:r>
          <w:rPr>
            <w:webHidden/>
          </w:rPr>
          <w:fldChar w:fldCharType="begin"/>
        </w:r>
        <w:r>
          <w:rPr>
            <w:webHidden/>
          </w:rPr>
          <w:instrText xml:space="preserve">PAGEREF _Toc235366485 \h</w:instrText>
        </w:r>
        <w:r>
          <w:rPr>
            <w:webHidden/>
          </w:rPr>
          <w:fldChar w:fldCharType="separate"/>
        </w:r>
        <w:r>
          <w:rPr>
            <w:rStyle w:val="InternetLink"/>
            <w:rFonts w:ascii="Times New Roman Bold" w:hAnsi="Times New Roman Bold"/>
            <w:b/>
            <w:i w:val="false"/>
            <w:caps/>
            <w:sz w:val="24"/>
            <w:shd w:fill="FFFFFF" w:val="clear"/>
          </w:rPr>
          <w:t>Stock Purchase; Closing</w:t>
        </w:r>
        <w:r>
          <w:rPr>
            <w:webHidden/>
          </w:rPr>
          <w:fldChar w:fldCharType="end"/>
        </w:r>
      </w:hyperlink>
      <w:hyperlink w:anchor="_Toc235366485">
        <w:r>
          <w:rPr>
            <w:webHidden/>
          </w:rPr>
          <w:fldChar w:fldCharType="begin"/>
        </w:r>
        <w:r>
          <w:rPr>
            <w:webHidden/>
          </w:rPr>
          <w:instrText xml:space="preserve">PAGEREF _Toc235366485 \h</w:instrText>
        </w:r>
        <w:r>
          <w:rPr>
            <w:webHidden/>
          </w:rPr>
          <w:fldChar w:fldCharType="separate"/>
        </w:r>
        <w:r>
          <w:rPr>
            <w:rStyle w:val="InternetLink"/>
            <w:rFonts w:ascii="Times New Roman Bold" w:hAnsi="Times New Roman Bold"/>
            <w:b/>
            <w:i w:val="false"/>
            <w:caps/>
            <w:sz w:val="24"/>
            <w:shd w:fill="FFFFFF" w:val="clear"/>
          </w:rPr>
          <w:t>19</w:t>
        </w:r>
        <w:r>
          <w:rPr>
            <w:webHidden/>
          </w:rPr>
          <w:fldChar w:fldCharType="end"/>
        </w:r>
      </w:hyperlink>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194310"/>
                <wp:effectExtent l="0" t="0" r="0" b="0"/>
                <wp:wrapNone/>
                <wp:docPr id="647" name="Frame64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3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86">
        <w:r>
          <w:rPr>
            <w:rStyle w:val="InternetLink"/>
            <w:rFonts w:ascii="Times New Roman;Times;serif" w:hAnsi="Times New Roman;Times;serif"/>
            <w:b w:val="false"/>
            <w:i w:val="false"/>
            <w:caps w:val="false"/>
            <w:smallCaps w:val="false"/>
            <w:sz w:val="24"/>
            <w:shd w:fill="FFFFFF" w:val="clear"/>
          </w:rPr>
          <w:t>2.1</w:t>
        </w:r>
      </w:hyperlink>
      <w:r>
        <w:rPr>
          <w:rFonts w:ascii="Times New Roman;Times;serif" w:hAnsi="Times New Roman;Times;serif"/>
          <w:sz w:val="24"/>
          <w:shd w:fill="FFFFFF" w:val="clear"/>
        </w:rPr>
        <w:tab/>
      </w:r>
      <w:hyperlink w:anchor="_Toc235366486">
        <w:r>
          <w:rPr>
            <w:rStyle w:val="InternetLink"/>
            <w:rFonts w:ascii="Times New Roman;Times;serif" w:hAnsi="Times New Roman;Times;serif"/>
            <w:b w:val="false"/>
            <w:i w:val="false"/>
            <w:caps w:val="false"/>
            <w:smallCaps w:val="false"/>
            <w:sz w:val="24"/>
            <w:shd w:fill="FFFFFF" w:val="clear"/>
          </w:rPr>
          <w:t>Purchase and Sale</w:t>
        </w:r>
      </w:hyperlink>
      <w:hyperlink w:anchor="_Toc235366486">
        <w:r>
          <w:rPr>
            <w:webHidden/>
          </w:rPr>
          <w:fldChar w:fldCharType="begin"/>
        </w:r>
        <w:r>
          <w:rPr>
            <w:webHidden/>
          </w:rPr>
          <w:instrText xml:space="preserve">PAGEREF _Toc235366486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480175" cy="175895"/>
                <wp:effectExtent l="0" t="0" r="0" b="0"/>
                <wp:wrapNone/>
                <wp:docPr id="648" name="Frame6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87">
        <w:r>
          <w:rPr>
            <w:rStyle w:val="InternetLink"/>
            <w:rFonts w:ascii="Times New Roman;Times;serif" w:hAnsi="Times New Roman;Times;serif"/>
            <w:b w:val="false"/>
            <w:i w:val="false"/>
            <w:caps w:val="false"/>
            <w:smallCaps w:val="false"/>
            <w:sz w:val="24"/>
            <w:shd w:fill="FFFFFF" w:val="clear"/>
          </w:rPr>
          <w:t>2.2</w:t>
        </w:r>
      </w:hyperlink>
      <w:r>
        <w:rPr>
          <w:rFonts w:ascii="Times New Roman;Times;serif" w:hAnsi="Times New Roman;Times;serif"/>
          <w:sz w:val="24"/>
          <w:shd w:fill="FFFFFF" w:val="clear"/>
        </w:rPr>
        <w:tab/>
      </w:r>
      <w:hyperlink w:anchor="_Toc235366487">
        <w:r>
          <w:rPr>
            <w:rStyle w:val="InternetLink"/>
            <w:rFonts w:ascii="Times New Roman;Times;serif" w:hAnsi="Times New Roman;Times;serif"/>
            <w:b w:val="false"/>
            <w:i w:val="false"/>
            <w:caps w:val="false"/>
            <w:smallCaps w:val="false"/>
            <w:sz w:val="24"/>
            <w:shd w:fill="FFFFFF" w:val="clear"/>
          </w:rPr>
          <w:t>Closing</w:t>
        </w:r>
      </w:hyperlink>
      <w:hyperlink w:anchor="_Toc235366487">
        <w:r>
          <w:rPr>
            <w:webHidden/>
          </w:rPr>
          <w:fldChar w:fldCharType="begin"/>
        </w:r>
        <w:r>
          <w:rPr>
            <w:webHidden/>
          </w:rPr>
          <w:instrText xml:space="preserve">PAGEREF _Toc235366487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175895"/>
                <wp:effectExtent l="0" t="0" r="0" b="0"/>
                <wp:wrapNone/>
                <wp:docPr id="649" name="Frame6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88">
        <w:r>
          <w:rPr>
            <w:rStyle w:val="InternetLink"/>
            <w:rFonts w:ascii="Times New Roman;Times;serif" w:hAnsi="Times New Roman;Times;serif"/>
            <w:b w:val="false"/>
            <w:i w:val="false"/>
            <w:caps w:val="false"/>
            <w:smallCaps w:val="false"/>
            <w:sz w:val="24"/>
            <w:shd w:fill="FFFFFF" w:val="clear"/>
          </w:rPr>
          <w:t>2.3</w:t>
        </w:r>
      </w:hyperlink>
      <w:r>
        <w:rPr>
          <w:rFonts w:ascii="Times New Roman;Times;serif" w:hAnsi="Times New Roman;Times;serif"/>
          <w:sz w:val="24"/>
          <w:shd w:fill="FFFFFF" w:val="clear"/>
        </w:rPr>
        <w:tab/>
      </w:r>
      <w:hyperlink w:anchor="_Toc235366488">
        <w:r>
          <w:rPr>
            <w:rStyle w:val="InternetLink"/>
            <w:rFonts w:ascii="Times New Roman;Times;serif" w:hAnsi="Times New Roman;Times;serif"/>
            <w:b w:val="false"/>
            <w:i w:val="false"/>
            <w:caps w:val="false"/>
            <w:smallCaps w:val="false"/>
            <w:sz w:val="24"/>
            <w:shd w:fill="FFFFFF" w:val="clear"/>
          </w:rPr>
          <w:t>Purchase Price</w:t>
        </w:r>
      </w:hyperlink>
      <w:hyperlink w:anchor="_Toc235366488">
        <w:r>
          <w:rPr>
            <w:webHidden/>
          </w:rPr>
          <w:fldChar w:fldCharType="begin"/>
        </w:r>
        <w:r>
          <w:rPr>
            <w:webHidden/>
          </w:rPr>
          <w:instrText xml:space="preserve">PAGEREF _Toc235366488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480175" cy="175895"/>
                <wp:effectExtent l="0" t="0" r="0" b="0"/>
                <wp:wrapNone/>
                <wp:docPr id="650" name="Frame6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89">
        <w:r>
          <w:rPr>
            <w:rStyle w:val="InternetLink"/>
            <w:rFonts w:ascii="Times New Roman;Times;serif" w:hAnsi="Times New Roman;Times;serif"/>
            <w:b w:val="false"/>
            <w:i w:val="false"/>
            <w:caps w:val="false"/>
            <w:smallCaps w:val="false"/>
            <w:sz w:val="24"/>
            <w:shd w:fill="FFFFFF" w:val="clear"/>
          </w:rPr>
          <w:t>2.4</w:t>
        </w:r>
      </w:hyperlink>
      <w:r>
        <w:rPr>
          <w:rFonts w:ascii="Times New Roman;Times;serif" w:hAnsi="Times New Roman;Times;serif"/>
          <w:sz w:val="24"/>
          <w:shd w:fill="FFFFFF" w:val="clear"/>
        </w:rPr>
        <w:tab/>
      </w:r>
      <w:hyperlink w:anchor="_Toc235366489">
        <w:r>
          <w:rPr>
            <w:rStyle w:val="InternetLink"/>
            <w:rFonts w:ascii="Times New Roman;Times;serif" w:hAnsi="Times New Roman;Times;serif"/>
            <w:b w:val="false"/>
            <w:i w:val="false"/>
            <w:caps w:val="false"/>
            <w:smallCaps w:val="false"/>
            <w:sz w:val="24"/>
            <w:shd w:fill="FFFFFF" w:val="clear"/>
          </w:rPr>
          <w:t>Escrow</w:t>
        </w:r>
      </w:hyperlink>
      <w:hyperlink w:anchor="_Toc235366489">
        <w:r>
          <w:rPr>
            <w:webHidden/>
          </w:rPr>
          <w:fldChar w:fldCharType="begin"/>
        </w:r>
        <w:r>
          <w:rPr>
            <w:webHidden/>
          </w:rPr>
          <w:instrText xml:space="preserve">PAGEREF _Toc235366489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22</w:t>
        </w:r>
        <w:r>
          <w:rPr>
            <w:webHidden/>
          </w:rPr>
          <w:fldChar w:fldCharType="end"/>
        </w:r>
      </w:hyperlink>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0175" cy="175895"/>
                <wp:effectExtent l="0" t="0" r="0" b="0"/>
                <wp:wrapNone/>
                <wp:docPr id="651" name="Frame6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0">
        <w:r>
          <w:rPr>
            <w:rStyle w:val="InternetLink"/>
            <w:rFonts w:ascii="Times New Roman;Times;serif" w:hAnsi="Times New Roman;Times;serif"/>
            <w:b w:val="false"/>
            <w:i w:val="false"/>
            <w:caps w:val="false"/>
            <w:smallCaps w:val="false"/>
            <w:sz w:val="24"/>
            <w:shd w:fill="FFFFFF" w:val="clear"/>
          </w:rPr>
          <w:t>2.5</w:t>
        </w:r>
      </w:hyperlink>
      <w:r>
        <w:rPr>
          <w:rFonts w:ascii="Times New Roman;Times;serif" w:hAnsi="Times New Roman;Times;serif"/>
          <w:sz w:val="24"/>
          <w:shd w:fill="FFFFFF" w:val="clear"/>
        </w:rPr>
        <w:tab/>
      </w:r>
      <w:hyperlink w:anchor="_Toc235366490">
        <w:r>
          <w:rPr>
            <w:rStyle w:val="InternetLink"/>
            <w:rFonts w:ascii="Times New Roman;Times;serif" w:hAnsi="Times New Roman;Times;serif"/>
            <w:b w:val="false"/>
            <w:i w:val="false"/>
            <w:caps w:val="false"/>
            <w:smallCaps w:val="false"/>
            <w:sz w:val="24"/>
            <w:shd w:fill="FFFFFF" w:val="clear"/>
          </w:rPr>
          <w:t>Withholding</w:t>
        </w:r>
      </w:hyperlink>
      <w:hyperlink w:anchor="_Toc235366490">
        <w:r>
          <w:rPr>
            <w:webHidden/>
          </w:rPr>
          <w:fldChar w:fldCharType="begin"/>
        </w:r>
        <w:r>
          <w:rPr>
            <w:webHidden/>
          </w:rPr>
          <w:instrText xml:space="preserve">PAGEREF _Toc235366490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480175" cy="175895"/>
                <wp:effectExtent l="0" t="0" r="0" b="0"/>
                <wp:wrapNone/>
                <wp:docPr id="652" name="Frame6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both"/>
        <w:rPr/>
      </w:pPr>
      <w:hyperlink w:anchor="_Toc235366491">
        <w:r>
          <w:rPr>
            <w:rStyle w:val="InternetLink"/>
            <w:rFonts w:ascii="Times New Roman Bold" w:hAnsi="Times New Roman Bold"/>
            <w:b/>
            <w:i w:val="false"/>
            <w:caps/>
            <w:sz w:val="24"/>
            <w:shd w:fill="FFFFFF" w:val="clear"/>
          </w:rPr>
          <w:t>Article III</w:t>
        </w:r>
      </w:hyperlink>
      <w:hyperlink w:anchor="_Toc235366491">
        <w:r>
          <w:rPr>
            <w:webHidden/>
          </w:rPr>
          <w:fldChar w:fldCharType="begin"/>
        </w:r>
        <w:r>
          <w:rPr>
            <w:webHidden/>
          </w:rPr>
          <w:instrText xml:space="preserve">PAGEREF _Toc235366491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491">
        <w:r>
          <w:rPr>
            <w:webHidden/>
          </w:rPr>
          <w:fldChar w:fldCharType="begin"/>
        </w:r>
        <w:r>
          <w:rPr>
            <w:webHidden/>
          </w:rPr>
          <w:instrText xml:space="preserve">PAGEREF _Toc235366491 \h</w:instrText>
        </w:r>
        <w:r>
          <w:rPr>
            <w:webHidden/>
          </w:rPr>
          <w:fldChar w:fldCharType="separate"/>
        </w:r>
        <w:r>
          <w:rPr>
            <w:rStyle w:val="InternetLink"/>
            <w:rFonts w:ascii="Times New Roman Bold" w:hAnsi="Times New Roman Bold"/>
            <w:b/>
            <w:i w:val="false"/>
            <w:caps/>
            <w:sz w:val="24"/>
            <w:shd w:fill="FFFFFF" w:val="clear"/>
          </w:rPr>
          <w:t>Representations and Warranties of Seller on behalf of itself and of the Company and its Subsidiaries</w:t>
        </w:r>
        <w:r>
          <w:rPr>
            <w:webHidden/>
          </w:rPr>
          <w:fldChar w:fldCharType="end"/>
        </w:r>
      </w:hyperlink>
      <w:hyperlink w:anchor="_Toc235366491">
        <w:r>
          <w:rPr>
            <w:webHidden/>
          </w:rPr>
          <w:fldChar w:fldCharType="begin"/>
        </w:r>
        <w:r>
          <w:rPr>
            <w:webHidden/>
          </w:rPr>
          <w:instrText xml:space="preserve">PAGEREF _Toc235366491 \h</w:instrText>
        </w:r>
        <w:r>
          <w:rPr>
            <w:webHidden/>
          </w:rPr>
          <w:fldChar w:fldCharType="separate"/>
        </w:r>
        <w:r>
          <w:rPr>
            <w:rStyle w:val="InternetLink"/>
            <w:rFonts w:ascii="Times New Roman Bold" w:hAnsi="Times New Roman Bold"/>
            <w:b/>
            <w:i w:val="false"/>
            <w:caps/>
            <w:sz w:val="24"/>
            <w:shd w:fill="FFFFFF" w:val="clear"/>
          </w:rPr>
          <w:t>23</w:t>
        </w:r>
        <w:r>
          <w:rPr>
            <w:webHidden/>
          </w:rPr>
          <w:fldChar w:fldCharType="end"/>
        </w:r>
      </w:hyperlink>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480175" cy="194310"/>
                <wp:effectExtent l="0" t="0" r="0" b="0"/>
                <wp:wrapNone/>
                <wp:docPr id="653" name="Frame65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356.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2">
        <w:r>
          <w:rPr>
            <w:rStyle w:val="InternetLink"/>
            <w:rFonts w:ascii="Times New Roman;Times;serif" w:hAnsi="Times New Roman;Times;serif"/>
            <w:b w:val="false"/>
            <w:i w:val="false"/>
            <w:caps w:val="false"/>
            <w:smallCaps w:val="false"/>
            <w:sz w:val="24"/>
            <w:shd w:fill="FFFFFF" w:val="clear"/>
          </w:rPr>
          <w:t>3.1</w:t>
        </w:r>
      </w:hyperlink>
      <w:r>
        <w:rPr>
          <w:rFonts w:ascii="Times New Roman;Times;serif" w:hAnsi="Times New Roman;Times;serif"/>
          <w:sz w:val="24"/>
          <w:shd w:fill="FFFFFF" w:val="clear"/>
        </w:rPr>
        <w:tab/>
      </w:r>
      <w:hyperlink w:anchor="_Toc235366492">
        <w:r>
          <w:rPr>
            <w:rStyle w:val="InternetLink"/>
            <w:rFonts w:ascii="Times New Roman;Times;serif" w:hAnsi="Times New Roman;Times;serif"/>
            <w:b w:val="false"/>
            <w:i w:val="false"/>
            <w:caps w:val="false"/>
            <w:smallCaps w:val="false"/>
            <w:sz w:val="24"/>
            <w:shd w:fill="FFFFFF" w:val="clear"/>
          </w:rPr>
          <w:t>Organization; Good Standing; Power</w:t>
        </w:r>
      </w:hyperlink>
      <w:hyperlink w:anchor="_Toc235366492">
        <w:r>
          <w:rPr>
            <w:webHidden/>
          </w:rPr>
          <w:fldChar w:fldCharType="begin"/>
        </w:r>
        <w:r>
          <w:rPr>
            <w:webHidden/>
          </w:rPr>
          <w:instrText xml:space="preserve">PAGEREF _Toc235366492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480175" cy="175895"/>
                <wp:effectExtent l="0" t="0" r="0" b="0"/>
                <wp:wrapNone/>
                <wp:docPr id="654" name="Frame6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3">
        <w:r>
          <w:rPr>
            <w:rStyle w:val="InternetLink"/>
            <w:rFonts w:ascii="Times New Roman;Times;serif" w:hAnsi="Times New Roman;Times;serif"/>
            <w:b w:val="false"/>
            <w:i w:val="false"/>
            <w:caps w:val="false"/>
            <w:smallCaps w:val="false"/>
            <w:sz w:val="24"/>
            <w:shd w:fill="FFFFFF" w:val="clear"/>
          </w:rPr>
          <w:t>3.2</w:t>
        </w:r>
      </w:hyperlink>
      <w:r>
        <w:rPr>
          <w:rFonts w:ascii="Times New Roman;Times;serif" w:hAnsi="Times New Roman;Times;serif"/>
          <w:sz w:val="24"/>
          <w:shd w:fill="FFFFFF" w:val="clear"/>
        </w:rPr>
        <w:tab/>
      </w:r>
      <w:hyperlink w:anchor="_Toc235366493">
        <w:r>
          <w:rPr>
            <w:rStyle w:val="InternetLink"/>
            <w:rFonts w:ascii="Times New Roman;Times;serif" w:hAnsi="Times New Roman;Times;serif"/>
            <w:b w:val="false"/>
            <w:i w:val="false"/>
            <w:caps w:val="false"/>
            <w:smallCaps w:val="false"/>
            <w:sz w:val="24"/>
            <w:shd w:fill="FFFFFF" w:val="clear"/>
          </w:rPr>
          <w:t>Authorization; Execution and Enforceability; No Breach</w:t>
        </w:r>
      </w:hyperlink>
      <w:hyperlink w:anchor="_Toc235366493">
        <w:r>
          <w:rPr>
            <w:webHidden/>
          </w:rPr>
          <w:fldChar w:fldCharType="begin"/>
        </w:r>
        <w:r>
          <w:rPr>
            <w:webHidden/>
          </w:rPr>
          <w:instrText xml:space="preserve">PAGEREF _Toc235366493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175895"/>
                <wp:effectExtent l="0" t="0" r="0" b="0"/>
                <wp:wrapNone/>
                <wp:docPr id="655" name="Frame6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4">
        <w:r>
          <w:rPr>
            <w:rStyle w:val="InternetLink"/>
            <w:rFonts w:ascii="Times New Roman;Times;serif" w:hAnsi="Times New Roman;Times;serif"/>
            <w:b w:val="false"/>
            <w:i w:val="false"/>
            <w:caps w:val="false"/>
            <w:smallCaps w:val="false"/>
            <w:sz w:val="24"/>
            <w:shd w:fill="FFFFFF" w:val="clear"/>
          </w:rPr>
          <w:t>3.3</w:t>
        </w:r>
      </w:hyperlink>
      <w:r>
        <w:rPr>
          <w:rFonts w:ascii="Times New Roman;Times;serif" w:hAnsi="Times New Roman;Times;serif"/>
          <w:sz w:val="24"/>
          <w:shd w:fill="FFFFFF" w:val="clear"/>
        </w:rPr>
        <w:tab/>
      </w:r>
      <w:hyperlink w:anchor="_Toc235366494">
        <w:r>
          <w:rPr>
            <w:rStyle w:val="InternetLink"/>
            <w:rFonts w:ascii="Times New Roman;Times;serif" w:hAnsi="Times New Roman;Times;serif"/>
            <w:b w:val="false"/>
            <w:i w:val="false"/>
            <w:caps w:val="false"/>
            <w:smallCaps w:val="false"/>
            <w:sz w:val="24"/>
            <w:shd w:fill="FFFFFF" w:val="clear"/>
          </w:rPr>
          <w:t>Title to Company Shares</w:t>
        </w:r>
      </w:hyperlink>
      <w:hyperlink w:anchor="_Toc235366494">
        <w:r>
          <w:rPr>
            <w:webHidden/>
          </w:rPr>
          <w:fldChar w:fldCharType="begin"/>
        </w:r>
        <w:r>
          <w:rPr>
            <w:webHidden/>
          </w:rPr>
          <w:instrText xml:space="preserve">PAGEREF _Toc235366494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480175" cy="175895"/>
                <wp:effectExtent l="0" t="0" r="0" b="0"/>
                <wp:wrapNone/>
                <wp:docPr id="656" name="Frame6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5">
        <w:r>
          <w:rPr>
            <w:rStyle w:val="InternetLink"/>
            <w:rFonts w:ascii="Times New Roman;Times;serif" w:hAnsi="Times New Roman;Times;serif"/>
            <w:b w:val="false"/>
            <w:i w:val="false"/>
            <w:caps w:val="false"/>
            <w:smallCaps w:val="false"/>
            <w:sz w:val="24"/>
            <w:shd w:fill="FFFFFF" w:val="clear"/>
          </w:rPr>
          <w:t>3.4</w:t>
        </w:r>
      </w:hyperlink>
      <w:r>
        <w:rPr>
          <w:rFonts w:ascii="Times New Roman;Times;serif" w:hAnsi="Times New Roman;Times;serif"/>
          <w:sz w:val="24"/>
          <w:shd w:fill="FFFFFF" w:val="clear"/>
        </w:rPr>
        <w:tab/>
      </w:r>
      <w:hyperlink w:anchor="_Toc235366495">
        <w:r>
          <w:rPr>
            <w:rStyle w:val="InternetLink"/>
            <w:rFonts w:ascii="Times New Roman;Times;serif" w:hAnsi="Times New Roman;Times;serif"/>
            <w:b w:val="false"/>
            <w:i w:val="false"/>
            <w:caps w:val="false"/>
            <w:smallCaps w:val="false"/>
            <w:sz w:val="24"/>
            <w:shd w:fill="FFFFFF" w:val="clear"/>
          </w:rPr>
          <w:t>Capitalization</w:t>
        </w:r>
      </w:hyperlink>
      <w:hyperlink w:anchor="_Toc235366495">
        <w:r>
          <w:rPr>
            <w:webHidden/>
          </w:rPr>
          <w:fldChar w:fldCharType="begin"/>
        </w:r>
        <w:r>
          <w:rPr>
            <w:webHidden/>
          </w:rPr>
          <w:instrText xml:space="preserve">PAGEREF _Toc235366495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0175" cy="175895"/>
                <wp:effectExtent l="0" t="0" r="0" b="0"/>
                <wp:wrapNone/>
                <wp:docPr id="657" name="Frame6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6">
        <w:r>
          <w:rPr>
            <w:rStyle w:val="InternetLink"/>
            <w:rFonts w:ascii="Times New Roman;Times;serif" w:hAnsi="Times New Roman;Times;serif"/>
            <w:b w:val="false"/>
            <w:i w:val="false"/>
            <w:caps w:val="false"/>
            <w:smallCaps w:val="false"/>
            <w:sz w:val="24"/>
            <w:shd w:fill="FFFFFF" w:val="clear"/>
          </w:rPr>
          <w:t>3.5</w:t>
        </w:r>
      </w:hyperlink>
      <w:r>
        <w:rPr>
          <w:rFonts w:ascii="Times New Roman;Times;serif" w:hAnsi="Times New Roman;Times;serif"/>
          <w:sz w:val="24"/>
          <w:shd w:fill="FFFFFF" w:val="clear"/>
        </w:rPr>
        <w:tab/>
      </w:r>
      <w:hyperlink w:anchor="_Toc235366496">
        <w:r>
          <w:rPr>
            <w:rStyle w:val="InternetLink"/>
            <w:rFonts w:ascii="Times New Roman;Times;serif" w:hAnsi="Times New Roman;Times;serif"/>
            <w:b w:val="false"/>
            <w:i w:val="false"/>
            <w:caps w:val="false"/>
            <w:smallCaps w:val="false"/>
            <w:sz w:val="24"/>
            <w:shd w:fill="FFFFFF" w:val="clear"/>
          </w:rPr>
          <w:t>Financial Statements; Indebtedness</w:t>
        </w:r>
      </w:hyperlink>
      <w:hyperlink w:anchor="_Toc235366496">
        <w:r>
          <w:rPr>
            <w:webHidden/>
          </w:rPr>
          <w:fldChar w:fldCharType="begin"/>
        </w:r>
        <w:r>
          <w:rPr>
            <w:webHidden/>
          </w:rPr>
          <w:instrText xml:space="preserve">PAGEREF _Toc235366496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26</w:t>
        </w:r>
        <w:r>
          <w:rPr>
            <w:webHidden/>
          </w:rPr>
          <w:fldChar w:fldCharType="end"/>
        </w:r>
      </w:hyperlink>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480175" cy="175895"/>
                <wp:effectExtent l="0" t="0" r="0" b="0"/>
                <wp:wrapNone/>
                <wp:docPr id="658" name="Frame6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7">
        <w:r>
          <w:rPr>
            <w:rStyle w:val="InternetLink"/>
            <w:rFonts w:ascii="Times New Roman;Times;serif" w:hAnsi="Times New Roman;Times;serif"/>
            <w:b w:val="false"/>
            <w:i w:val="false"/>
            <w:caps w:val="false"/>
            <w:smallCaps w:val="false"/>
            <w:sz w:val="24"/>
            <w:shd w:fill="FFFFFF" w:val="clear"/>
          </w:rPr>
          <w:t>3.6</w:t>
        </w:r>
      </w:hyperlink>
      <w:r>
        <w:rPr>
          <w:rFonts w:ascii="Times New Roman;Times;serif" w:hAnsi="Times New Roman;Times;serif"/>
          <w:sz w:val="24"/>
          <w:shd w:fill="FFFFFF" w:val="clear"/>
        </w:rPr>
        <w:tab/>
      </w:r>
      <w:hyperlink w:anchor="_Toc235366497">
        <w:r>
          <w:rPr>
            <w:rStyle w:val="InternetLink"/>
            <w:rFonts w:ascii="Times New Roman;Times;serif" w:hAnsi="Times New Roman;Times;serif"/>
            <w:b w:val="false"/>
            <w:i w:val="false"/>
            <w:caps w:val="false"/>
            <w:smallCaps w:val="false"/>
            <w:sz w:val="24"/>
            <w:shd w:fill="FFFFFF" w:val="clear"/>
          </w:rPr>
          <w:t>Absence of Undisclosed Liabilities</w:t>
        </w:r>
      </w:hyperlink>
      <w:hyperlink w:anchor="_Toc235366497">
        <w:r>
          <w:rPr>
            <w:webHidden/>
          </w:rPr>
          <w:fldChar w:fldCharType="begin"/>
        </w:r>
        <w:r>
          <w:rPr>
            <w:webHidden/>
          </w:rPr>
          <w:instrText xml:space="preserve">PAGEREF _Toc235366497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27</w:t>
        </w:r>
        <w:r>
          <w:rPr>
            <w:webHidden/>
          </w:rPr>
          <w:fldChar w:fldCharType="end"/>
        </w:r>
      </w:hyperlink>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80175" cy="175895"/>
                <wp:effectExtent l="0" t="0" r="0" b="0"/>
                <wp:wrapNone/>
                <wp:docPr id="659" name="Frame6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8">
        <w:r>
          <w:rPr>
            <w:rStyle w:val="InternetLink"/>
            <w:rFonts w:ascii="Times New Roman;Times;serif" w:hAnsi="Times New Roman;Times;serif"/>
            <w:b w:val="false"/>
            <w:i w:val="false"/>
            <w:caps w:val="false"/>
            <w:smallCaps w:val="false"/>
            <w:sz w:val="24"/>
            <w:shd w:fill="FFFFFF" w:val="clear"/>
          </w:rPr>
          <w:t>3.7</w:t>
        </w:r>
      </w:hyperlink>
      <w:r>
        <w:rPr>
          <w:rFonts w:ascii="Times New Roman;Times;serif" w:hAnsi="Times New Roman;Times;serif"/>
          <w:sz w:val="24"/>
          <w:shd w:fill="FFFFFF" w:val="clear"/>
        </w:rPr>
        <w:tab/>
      </w:r>
      <w:hyperlink w:anchor="_Toc235366498">
        <w:r>
          <w:rPr>
            <w:rStyle w:val="InternetLink"/>
            <w:rFonts w:ascii="Times New Roman;Times;serif" w:hAnsi="Times New Roman;Times;serif"/>
            <w:b w:val="false"/>
            <w:i w:val="false"/>
            <w:caps w:val="false"/>
            <w:smallCaps w:val="false"/>
            <w:sz w:val="24"/>
            <w:shd w:fill="FFFFFF" w:val="clear"/>
          </w:rPr>
          <w:t>Absence of Changes</w:t>
        </w:r>
      </w:hyperlink>
      <w:hyperlink w:anchor="_Toc235366498">
        <w:r>
          <w:rPr>
            <w:webHidden/>
          </w:rPr>
          <w:fldChar w:fldCharType="begin"/>
        </w:r>
        <w:r>
          <w:rPr>
            <w:webHidden/>
          </w:rPr>
          <w:instrText xml:space="preserve">PAGEREF _Toc235366498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27</w:t>
        </w:r>
        <w:r>
          <w:rPr>
            <w:webHidden/>
          </w:rPr>
          <w:fldChar w:fldCharType="end"/>
        </w:r>
      </w:hyperlink>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480175" cy="175895"/>
                <wp:effectExtent l="0" t="0" r="0" b="0"/>
                <wp:wrapNone/>
                <wp:docPr id="660" name="Frame6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499">
        <w:r>
          <w:rPr>
            <w:rStyle w:val="InternetLink"/>
            <w:rFonts w:ascii="Times New Roman;Times;serif" w:hAnsi="Times New Roman;Times;serif"/>
            <w:b w:val="false"/>
            <w:i w:val="false"/>
            <w:caps w:val="false"/>
            <w:smallCaps w:val="false"/>
            <w:sz w:val="24"/>
            <w:shd w:fill="FFFFFF" w:val="clear"/>
          </w:rPr>
          <w:t>3.8</w:t>
        </w:r>
      </w:hyperlink>
      <w:r>
        <w:rPr>
          <w:rFonts w:ascii="Times New Roman;Times;serif" w:hAnsi="Times New Roman;Times;serif"/>
          <w:sz w:val="24"/>
          <w:shd w:fill="FFFFFF" w:val="clear"/>
        </w:rPr>
        <w:tab/>
      </w:r>
      <w:hyperlink w:anchor="_Toc235366499">
        <w:r>
          <w:rPr>
            <w:rStyle w:val="InternetLink"/>
            <w:rFonts w:ascii="Times New Roman;Times;serif" w:hAnsi="Times New Roman;Times;serif"/>
            <w:b w:val="false"/>
            <w:i w:val="false"/>
            <w:caps w:val="false"/>
            <w:smallCaps w:val="false"/>
            <w:sz w:val="24"/>
            <w:shd w:fill="FFFFFF" w:val="clear"/>
          </w:rPr>
          <w:t>Assets</w:t>
        </w:r>
      </w:hyperlink>
      <w:hyperlink w:anchor="_Toc235366499">
        <w:r>
          <w:rPr>
            <w:webHidden/>
          </w:rPr>
          <w:fldChar w:fldCharType="begin"/>
        </w:r>
        <w:r>
          <w:rPr>
            <w:webHidden/>
          </w:rPr>
          <w:instrText xml:space="preserve">PAGEREF _Toc235366499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29</w:t>
        </w:r>
        <w:r>
          <w:rPr>
            <w:webHidden/>
          </w:rPr>
          <w:fldChar w:fldCharType="end"/>
        </w:r>
      </w:hyperlink>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480175" cy="175895"/>
                <wp:effectExtent l="0" t="0" r="0" b="0"/>
                <wp:wrapNone/>
                <wp:docPr id="661" name="Frame6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5.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0">
        <w:r>
          <w:rPr>
            <w:rStyle w:val="InternetLink"/>
            <w:rFonts w:ascii="Times New Roman;Times;serif" w:hAnsi="Times New Roman;Times;serif"/>
            <w:b w:val="false"/>
            <w:i w:val="false"/>
            <w:caps w:val="false"/>
            <w:smallCaps w:val="false"/>
            <w:sz w:val="24"/>
            <w:shd w:fill="FFFFFF" w:val="clear"/>
          </w:rPr>
          <w:t>3.9</w:t>
        </w:r>
      </w:hyperlink>
      <w:r>
        <w:rPr>
          <w:rFonts w:ascii="Times New Roman;Times;serif" w:hAnsi="Times New Roman;Times;serif"/>
          <w:sz w:val="24"/>
          <w:shd w:fill="FFFFFF" w:val="clear"/>
        </w:rPr>
        <w:tab/>
      </w:r>
      <w:hyperlink w:anchor="_Toc235366500">
        <w:r>
          <w:rPr>
            <w:rStyle w:val="InternetLink"/>
            <w:rFonts w:ascii="Times New Roman;Times;serif" w:hAnsi="Times New Roman;Times;serif"/>
            <w:b w:val="false"/>
            <w:i w:val="false"/>
            <w:caps w:val="false"/>
            <w:smallCaps w:val="false"/>
            <w:sz w:val="24"/>
            <w:shd w:fill="FFFFFF" w:val="clear"/>
          </w:rPr>
          <w:t>Taxes</w:t>
        </w:r>
      </w:hyperlink>
      <w:hyperlink w:anchor="_Toc235366500">
        <w:r>
          <w:rPr>
            <w:webHidden/>
          </w:rPr>
          <w:fldChar w:fldCharType="begin"/>
        </w:r>
        <w:r>
          <w:rPr>
            <w:webHidden/>
          </w:rPr>
          <w:instrText xml:space="preserve">PAGEREF _Toc235366500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30</w:t>
        </w:r>
        <w:r>
          <w:rPr>
            <w:webHidden/>
          </w:rPr>
          <w:fldChar w:fldCharType="end"/>
        </w:r>
      </w:hyperlink>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480175" cy="175895"/>
                <wp:effectExtent l="0" t="0" r="0" b="0"/>
                <wp:wrapNone/>
                <wp:docPr id="662" name="Frame6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1">
        <w:r>
          <w:rPr>
            <w:rStyle w:val="InternetLink"/>
            <w:rFonts w:ascii="Times New Roman;Times;serif" w:hAnsi="Times New Roman;Times;serif"/>
            <w:b w:val="false"/>
            <w:i w:val="false"/>
            <w:caps w:val="false"/>
            <w:smallCaps w:val="false"/>
            <w:sz w:val="24"/>
            <w:shd w:fill="FFFFFF" w:val="clear"/>
          </w:rPr>
          <w:t>3.10</w:t>
        </w:r>
      </w:hyperlink>
      <w:r>
        <w:rPr>
          <w:rFonts w:ascii="Times New Roman;Times;serif" w:hAnsi="Times New Roman;Times;serif"/>
          <w:sz w:val="24"/>
          <w:shd w:fill="FFFFFF" w:val="clear"/>
        </w:rPr>
        <w:tab/>
      </w:r>
      <w:hyperlink w:anchor="_Toc235366501">
        <w:r>
          <w:rPr>
            <w:rStyle w:val="InternetLink"/>
            <w:rFonts w:ascii="Times New Roman;Times;serif" w:hAnsi="Times New Roman;Times;serif"/>
            <w:b w:val="false"/>
            <w:i w:val="false"/>
            <w:caps w:val="false"/>
            <w:smallCaps w:val="false"/>
            <w:sz w:val="24"/>
            <w:shd w:fill="FFFFFF" w:val="clear"/>
          </w:rPr>
          <w:t>Contracts</w:t>
        </w:r>
      </w:hyperlink>
      <w:hyperlink w:anchor="_Toc235366501">
        <w:r>
          <w:rPr>
            <w:webHidden/>
          </w:rPr>
          <w:fldChar w:fldCharType="begin"/>
        </w:r>
        <w:r>
          <w:rPr>
            <w:webHidden/>
          </w:rPr>
          <w:instrText xml:space="preserve">PAGEREF _Toc235366501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33</w:t>
        </w:r>
        <w:r>
          <w:rPr>
            <w:webHidden/>
          </w:rPr>
          <w:fldChar w:fldCharType="end"/>
        </w:r>
      </w:hyperlink>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480175" cy="175895"/>
                <wp:effectExtent l="0" t="0" r="0" b="0"/>
                <wp:wrapNone/>
                <wp:docPr id="663" name="Frame6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2">
        <w:r>
          <w:rPr>
            <w:rStyle w:val="InternetLink"/>
            <w:rFonts w:ascii="Times New Roman;Times;serif" w:hAnsi="Times New Roman;Times;serif"/>
            <w:b w:val="false"/>
            <w:i w:val="false"/>
            <w:caps w:val="false"/>
            <w:smallCaps w:val="false"/>
            <w:sz w:val="24"/>
            <w:shd w:fill="FFFFFF" w:val="clear"/>
          </w:rPr>
          <w:t>3.11</w:t>
        </w:r>
      </w:hyperlink>
      <w:r>
        <w:rPr>
          <w:rFonts w:ascii="Times New Roman;Times;serif" w:hAnsi="Times New Roman;Times;serif"/>
          <w:sz w:val="24"/>
          <w:shd w:fill="FFFFFF" w:val="clear"/>
        </w:rPr>
        <w:tab/>
      </w:r>
      <w:hyperlink w:anchor="_Toc235366502">
        <w:r>
          <w:rPr>
            <w:rStyle w:val="InternetLink"/>
            <w:rFonts w:ascii="Times New Roman;Times;serif" w:hAnsi="Times New Roman;Times;serif"/>
            <w:b w:val="false"/>
            <w:i w:val="false"/>
            <w:caps w:val="false"/>
            <w:smallCaps w:val="false"/>
            <w:sz w:val="24"/>
            <w:shd w:fill="FFFFFF" w:val="clear"/>
          </w:rPr>
          <w:t>Intellectual Property Rights; Information Technology</w:t>
        </w:r>
      </w:hyperlink>
      <w:hyperlink w:anchor="_Toc235366502">
        <w:r>
          <w:rPr>
            <w:webHidden/>
          </w:rPr>
          <w:fldChar w:fldCharType="begin"/>
        </w:r>
        <w:r>
          <w:rPr>
            <w:webHidden/>
          </w:rPr>
          <w:instrText xml:space="preserve">PAGEREF _Toc235366502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36</w:t>
        </w:r>
        <w:r>
          <w:rPr>
            <w:webHidden/>
          </w:rPr>
          <w:fldChar w:fldCharType="end"/>
        </w:r>
      </w:hyperlink>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80175" cy="175895"/>
                <wp:effectExtent l="0" t="0" r="0" b="0"/>
                <wp:wrapNone/>
                <wp:docPr id="664" name="Frame6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3">
        <w:r>
          <w:rPr>
            <w:rStyle w:val="InternetLink"/>
            <w:rFonts w:ascii="Times New Roman;Times;serif" w:hAnsi="Times New Roman;Times;serif"/>
            <w:b w:val="false"/>
            <w:i w:val="false"/>
            <w:caps w:val="false"/>
            <w:smallCaps w:val="false"/>
            <w:sz w:val="24"/>
            <w:shd w:fill="FFFFFF" w:val="clear"/>
          </w:rPr>
          <w:t>3.12</w:t>
        </w:r>
      </w:hyperlink>
      <w:r>
        <w:rPr>
          <w:rFonts w:ascii="Times New Roman;Times;serif" w:hAnsi="Times New Roman;Times;serif"/>
          <w:sz w:val="24"/>
          <w:shd w:fill="FFFFFF" w:val="clear"/>
        </w:rPr>
        <w:tab/>
      </w:r>
      <w:hyperlink w:anchor="_Toc235366503">
        <w:r>
          <w:rPr>
            <w:rStyle w:val="InternetLink"/>
            <w:rFonts w:ascii="Times New Roman;Times;serif" w:hAnsi="Times New Roman;Times;serif"/>
            <w:b w:val="false"/>
            <w:i w:val="false"/>
            <w:caps w:val="false"/>
            <w:smallCaps w:val="false"/>
            <w:sz w:val="24"/>
            <w:shd w:fill="FFFFFF" w:val="clear"/>
          </w:rPr>
          <w:t>Data Privacy</w:t>
        </w:r>
      </w:hyperlink>
      <w:hyperlink w:anchor="_Toc235366503">
        <w:r>
          <w:rPr>
            <w:webHidden/>
          </w:rPr>
          <w:fldChar w:fldCharType="begin"/>
        </w:r>
        <w:r>
          <w:rPr>
            <w:webHidden/>
          </w:rPr>
          <w:instrText xml:space="preserve">PAGEREF _Toc235366503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38</w:t>
        </w:r>
        <w:r>
          <w:rPr>
            <w:webHidden/>
          </w:rPr>
          <w:fldChar w:fldCharType="end"/>
        </w:r>
      </w:hyperlink>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175895"/>
                <wp:effectExtent l="0" t="0" r="0" b="0"/>
                <wp:wrapNone/>
                <wp:docPr id="665" name="Frame6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4">
        <w:r>
          <w:rPr>
            <w:rStyle w:val="InternetLink"/>
            <w:rFonts w:ascii="Times New Roman;Times;serif" w:hAnsi="Times New Roman;Times;serif"/>
            <w:b w:val="false"/>
            <w:i w:val="false"/>
            <w:caps w:val="false"/>
            <w:smallCaps w:val="false"/>
            <w:sz w:val="24"/>
            <w:shd w:fill="FFFFFF" w:val="clear"/>
          </w:rPr>
          <w:t>3.13</w:t>
        </w:r>
      </w:hyperlink>
      <w:r>
        <w:rPr>
          <w:rFonts w:ascii="Times New Roman;Times;serif" w:hAnsi="Times New Roman;Times;serif"/>
          <w:sz w:val="24"/>
          <w:shd w:fill="FFFFFF" w:val="clear"/>
        </w:rPr>
        <w:tab/>
      </w:r>
      <w:hyperlink w:anchor="_Toc235366504">
        <w:r>
          <w:rPr>
            <w:rStyle w:val="InternetLink"/>
            <w:rFonts w:ascii="Times New Roman;Times;serif" w:hAnsi="Times New Roman;Times;serif"/>
            <w:b w:val="false"/>
            <w:i w:val="false"/>
            <w:caps w:val="false"/>
            <w:smallCaps w:val="false"/>
            <w:sz w:val="24"/>
            <w:shd w:fill="FFFFFF" w:val="clear"/>
          </w:rPr>
          <w:t>Litigation</w:t>
        </w:r>
      </w:hyperlink>
      <w:hyperlink w:anchor="_Toc235366504">
        <w:r>
          <w:rPr>
            <w:webHidden/>
          </w:rPr>
          <w:fldChar w:fldCharType="begin"/>
        </w:r>
        <w:r>
          <w:rPr>
            <w:webHidden/>
          </w:rPr>
          <w:instrText xml:space="preserve">PAGEREF _Toc235366504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39</w:t>
        </w:r>
        <w:r>
          <w:rPr>
            <w:webHidden/>
          </w:rPr>
          <w:fldChar w:fldCharType="end"/>
        </w:r>
      </w:hyperlink>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0175" cy="175895"/>
                <wp:effectExtent l="0" t="0" r="0" b="0"/>
                <wp:wrapNone/>
                <wp:docPr id="666" name="Frame6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5">
        <w:r>
          <w:rPr>
            <w:rStyle w:val="InternetLink"/>
            <w:rFonts w:ascii="Times New Roman;Times;serif" w:hAnsi="Times New Roman;Times;serif"/>
            <w:b w:val="false"/>
            <w:i w:val="false"/>
            <w:caps w:val="false"/>
            <w:smallCaps w:val="false"/>
            <w:sz w:val="24"/>
            <w:shd w:fill="FFFFFF" w:val="clear"/>
          </w:rPr>
          <w:t>3.14</w:t>
        </w:r>
      </w:hyperlink>
      <w:r>
        <w:rPr>
          <w:rFonts w:ascii="Times New Roman;Times;serif" w:hAnsi="Times New Roman;Times;serif"/>
          <w:sz w:val="24"/>
          <w:shd w:fill="FFFFFF" w:val="clear"/>
        </w:rPr>
        <w:tab/>
      </w:r>
      <w:hyperlink w:anchor="_Toc235366505">
        <w:r>
          <w:rPr>
            <w:rStyle w:val="InternetLink"/>
            <w:rFonts w:ascii="Times New Roman;Times;serif" w:hAnsi="Times New Roman;Times;serif"/>
            <w:b w:val="false"/>
            <w:i w:val="false"/>
            <w:caps w:val="false"/>
            <w:smallCaps w:val="false"/>
            <w:sz w:val="24"/>
            <w:shd w:fill="FFFFFF" w:val="clear"/>
          </w:rPr>
          <w:t>Labor Matters</w:t>
        </w:r>
      </w:hyperlink>
      <w:hyperlink w:anchor="_Toc235366505">
        <w:r>
          <w:rPr>
            <w:webHidden/>
          </w:rPr>
          <w:fldChar w:fldCharType="begin"/>
        </w:r>
        <w:r>
          <w:rPr>
            <w:webHidden/>
          </w:rPr>
          <w:instrText xml:space="preserve">PAGEREF _Toc235366505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40</w:t>
        </w:r>
        <w:r>
          <w:rPr>
            <w:webHidden/>
          </w:rPr>
          <w:fldChar w:fldCharType="end"/>
        </w:r>
      </w:hyperlink>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480175" cy="175895"/>
                <wp:effectExtent l="0" t="0" r="0" b="0"/>
                <wp:wrapNone/>
                <wp:docPr id="667" name="Frame6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6">
        <w:r>
          <w:rPr>
            <w:rStyle w:val="InternetLink"/>
            <w:rFonts w:ascii="Times New Roman;Times;serif" w:hAnsi="Times New Roman;Times;serif"/>
            <w:b w:val="false"/>
            <w:i w:val="false"/>
            <w:caps w:val="false"/>
            <w:smallCaps w:val="false"/>
            <w:sz w:val="24"/>
            <w:shd w:fill="FFFFFF" w:val="clear"/>
          </w:rPr>
          <w:t>3.15</w:t>
        </w:r>
      </w:hyperlink>
      <w:r>
        <w:rPr>
          <w:rFonts w:ascii="Times New Roman;Times;serif" w:hAnsi="Times New Roman;Times;serif"/>
          <w:sz w:val="24"/>
          <w:shd w:fill="FFFFFF" w:val="clear"/>
        </w:rPr>
        <w:tab/>
      </w:r>
      <w:hyperlink w:anchor="_Toc235366506">
        <w:r>
          <w:rPr>
            <w:rStyle w:val="InternetLink"/>
            <w:rFonts w:ascii="Times New Roman;Times;serif" w:hAnsi="Times New Roman;Times;serif"/>
            <w:b w:val="false"/>
            <w:i w:val="false"/>
            <w:caps w:val="false"/>
            <w:smallCaps w:val="false"/>
            <w:sz w:val="24"/>
            <w:shd w:fill="FFFFFF" w:val="clear"/>
          </w:rPr>
          <w:t>Employee Benefits</w:t>
        </w:r>
      </w:hyperlink>
      <w:hyperlink w:anchor="_Toc235366506">
        <w:r>
          <w:rPr>
            <w:webHidden/>
          </w:rPr>
          <w:fldChar w:fldCharType="begin"/>
        </w:r>
        <w:r>
          <w:rPr>
            <w:webHidden/>
          </w:rPr>
          <w:instrText xml:space="preserve">PAGEREF _Toc235366506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42</w:t>
        </w:r>
        <w:r>
          <w:rPr>
            <w:webHidden/>
          </w:rPr>
          <w:fldChar w:fldCharType="end"/>
        </w:r>
      </w:hyperlink>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480175" cy="175895"/>
                <wp:effectExtent l="0" t="0" r="0" b="0"/>
                <wp:wrapNone/>
                <wp:docPr id="668" name="Frame6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7">
        <w:r>
          <w:rPr>
            <w:rStyle w:val="InternetLink"/>
            <w:rFonts w:ascii="Times New Roman;Times;serif" w:hAnsi="Times New Roman;Times;serif"/>
            <w:b w:val="false"/>
            <w:i w:val="false"/>
            <w:caps w:val="false"/>
            <w:smallCaps w:val="false"/>
            <w:sz w:val="24"/>
            <w:shd w:fill="FFFFFF" w:val="clear"/>
          </w:rPr>
          <w:t>3.16</w:t>
        </w:r>
      </w:hyperlink>
      <w:r>
        <w:rPr>
          <w:rFonts w:ascii="Times New Roman;Times;serif" w:hAnsi="Times New Roman;Times;serif"/>
          <w:sz w:val="24"/>
          <w:shd w:fill="FFFFFF" w:val="clear"/>
        </w:rPr>
        <w:tab/>
      </w:r>
      <w:hyperlink w:anchor="_Toc235366507">
        <w:r>
          <w:rPr>
            <w:rStyle w:val="InternetLink"/>
            <w:rFonts w:ascii="Times New Roman;Times;serif" w:hAnsi="Times New Roman;Times;serif"/>
            <w:b w:val="false"/>
            <w:i w:val="false"/>
            <w:caps w:val="false"/>
            <w:smallCaps w:val="false"/>
            <w:sz w:val="24"/>
            <w:shd w:fill="FFFFFF" w:val="clear"/>
          </w:rPr>
          <w:t>Compliance with Laws; Licenses</w:t>
        </w:r>
      </w:hyperlink>
      <w:hyperlink w:anchor="_Toc235366507">
        <w:r>
          <w:rPr>
            <w:webHidden/>
          </w:rPr>
          <w:fldChar w:fldCharType="begin"/>
        </w:r>
        <w:r>
          <w:rPr>
            <w:webHidden/>
          </w:rPr>
          <w:instrText xml:space="preserve">PAGEREF _Toc235366507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44</w:t>
        </w:r>
        <w:r>
          <w:rPr>
            <w:webHidden/>
          </w:rPr>
          <w:fldChar w:fldCharType="end"/>
        </w:r>
      </w:hyperlink>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480175" cy="175895"/>
                <wp:effectExtent l="0" t="0" r="0" b="0"/>
                <wp:wrapNone/>
                <wp:docPr id="669" name="Frame6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8">
        <w:r>
          <w:rPr>
            <w:rStyle w:val="InternetLink"/>
            <w:rFonts w:ascii="Times New Roman;Times;serif" w:hAnsi="Times New Roman;Times;serif"/>
            <w:b w:val="false"/>
            <w:i w:val="false"/>
            <w:caps w:val="false"/>
            <w:smallCaps w:val="false"/>
            <w:sz w:val="24"/>
            <w:shd w:fill="FFFFFF" w:val="clear"/>
          </w:rPr>
          <w:t>3.17</w:t>
        </w:r>
      </w:hyperlink>
      <w:r>
        <w:rPr>
          <w:rFonts w:ascii="Times New Roman;Times;serif" w:hAnsi="Times New Roman;Times;serif"/>
          <w:sz w:val="24"/>
          <w:shd w:fill="FFFFFF" w:val="clear"/>
        </w:rPr>
        <w:tab/>
      </w:r>
      <w:hyperlink w:anchor="_Toc235366508">
        <w:r>
          <w:rPr>
            <w:rStyle w:val="InternetLink"/>
            <w:rFonts w:ascii="Times New Roman;Times;serif" w:hAnsi="Times New Roman;Times;serif"/>
            <w:b w:val="false"/>
            <w:i w:val="false"/>
            <w:caps w:val="false"/>
            <w:smallCaps w:val="false"/>
            <w:sz w:val="24"/>
            <w:shd w:fill="FFFFFF" w:val="clear"/>
          </w:rPr>
          <w:t>Government Contracting</w:t>
        </w:r>
      </w:hyperlink>
      <w:hyperlink w:anchor="_Toc235366508">
        <w:r>
          <w:rPr>
            <w:webHidden/>
          </w:rPr>
          <w:fldChar w:fldCharType="begin"/>
        </w:r>
        <w:r>
          <w:rPr>
            <w:webHidden/>
          </w:rPr>
          <w:instrText xml:space="preserve">PAGEREF _Toc235366508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45</w:t>
        </w:r>
        <w:r>
          <w:rPr>
            <w:webHidden/>
          </w:rPr>
          <w:fldChar w:fldCharType="end"/>
        </w:r>
      </w:hyperlink>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80175" cy="175895"/>
                <wp:effectExtent l="0" t="0" r="0" b="0"/>
                <wp:wrapNone/>
                <wp:docPr id="670" name="Frame6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09">
        <w:r>
          <w:rPr>
            <w:rStyle w:val="InternetLink"/>
            <w:rFonts w:ascii="Times New Roman;Times;serif" w:hAnsi="Times New Roman;Times;serif"/>
            <w:b w:val="false"/>
            <w:i w:val="false"/>
            <w:caps w:val="false"/>
            <w:smallCaps w:val="false"/>
            <w:sz w:val="24"/>
            <w:shd w:fill="FFFFFF" w:val="clear"/>
          </w:rPr>
          <w:t>3.18</w:t>
        </w:r>
      </w:hyperlink>
      <w:r>
        <w:rPr>
          <w:rFonts w:ascii="Times New Roman;Times;serif" w:hAnsi="Times New Roman;Times;serif"/>
          <w:sz w:val="24"/>
          <w:shd w:fill="FFFFFF" w:val="clear"/>
        </w:rPr>
        <w:tab/>
      </w:r>
      <w:hyperlink w:anchor="_Toc235366509">
        <w:r>
          <w:rPr>
            <w:rStyle w:val="InternetLink"/>
            <w:rFonts w:ascii="Times New Roman;Times;serif" w:hAnsi="Times New Roman;Times;serif"/>
            <w:b w:val="false"/>
            <w:i w:val="false"/>
            <w:caps w:val="false"/>
            <w:smallCaps w:val="false"/>
            <w:sz w:val="24"/>
            <w:shd w:fill="FFFFFF" w:val="clear"/>
          </w:rPr>
          <w:t>Inventory</w:t>
        </w:r>
      </w:hyperlink>
      <w:hyperlink w:anchor="_Toc235366509">
        <w:r>
          <w:rPr>
            <w:webHidden/>
          </w:rPr>
          <w:fldChar w:fldCharType="begin"/>
        </w:r>
        <w:r>
          <w:rPr>
            <w:webHidden/>
          </w:rPr>
          <w:instrText xml:space="preserve">PAGEREF _Toc235366509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45</w:t>
        </w:r>
        <w:r>
          <w:rPr>
            <w:webHidden/>
          </w:rPr>
          <w:fldChar w:fldCharType="end"/>
        </w:r>
      </w:hyperlink>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480175" cy="175895"/>
                <wp:effectExtent l="0" t="0" r="0" b="0"/>
                <wp:wrapNone/>
                <wp:docPr id="671" name="Frame6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0">
        <w:r>
          <w:rPr>
            <w:rStyle w:val="InternetLink"/>
            <w:rFonts w:ascii="Times New Roman;Times;serif" w:hAnsi="Times New Roman;Times;serif"/>
            <w:b w:val="false"/>
            <w:i w:val="false"/>
            <w:caps w:val="false"/>
            <w:smallCaps w:val="false"/>
            <w:sz w:val="24"/>
            <w:shd w:fill="FFFFFF" w:val="clear"/>
          </w:rPr>
          <w:t>3.19</w:t>
        </w:r>
      </w:hyperlink>
      <w:r>
        <w:rPr>
          <w:rFonts w:ascii="Times New Roman;Times;serif" w:hAnsi="Times New Roman;Times;serif"/>
          <w:sz w:val="24"/>
          <w:shd w:fill="FFFFFF" w:val="clear"/>
        </w:rPr>
        <w:tab/>
      </w:r>
      <w:hyperlink w:anchor="_Toc235366510">
        <w:r>
          <w:rPr>
            <w:rStyle w:val="InternetLink"/>
            <w:rFonts w:ascii="Times New Roman;Times;serif" w:hAnsi="Times New Roman;Times;serif"/>
            <w:b w:val="false"/>
            <w:i w:val="false"/>
            <w:caps w:val="false"/>
            <w:smallCaps w:val="false"/>
            <w:sz w:val="24"/>
            <w:shd w:fill="FFFFFF" w:val="clear"/>
          </w:rPr>
          <w:t>Real Property</w:t>
        </w:r>
      </w:hyperlink>
      <w:hyperlink w:anchor="_Toc235366510">
        <w:r>
          <w:rPr>
            <w:webHidden/>
          </w:rPr>
          <w:fldChar w:fldCharType="begin"/>
        </w:r>
        <w:r>
          <w:rPr>
            <w:webHidden/>
          </w:rPr>
          <w:instrText xml:space="preserve">PAGEREF _Toc235366510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45</w:t>
        </w:r>
        <w:r>
          <w:rPr>
            <w:webHidden/>
          </w:rPr>
          <w:fldChar w:fldCharType="end"/>
        </w:r>
      </w:hyperlink>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480175" cy="175895"/>
                <wp:effectExtent l="0" t="0" r="0" b="0"/>
                <wp:wrapNone/>
                <wp:docPr id="672" name="Frame6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1">
        <w:r>
          <w:rPr>
            <w:rStyle w:val="InternetLink"/>
            <w:rFonts w:ascii="Times New Roman;Times;serif" w:hAnsi="Times New Roman;Times;serif"/>
            <w:b w:val="false"/>
            <w:i w:val="false"/>
            <w:caps w:val="false"/>
            <w:smallCaps w:val="false"/>
            <w:sz w:val="24"/>
            <w:shd w:fill="FFFFFF" w:val="clear"/>
          </w:rPr>
          <w:t>3.20</w:t>
        </w:r>
      </w:hyperlink>
      <w:r>
        <w:rPr>
          <w:rFonts w:ascii="Times New Roman;Times;serif" w:hAnsi="Times New Roman;Times;serif"/>
          <w:sz w:val="24"/>
          <w:shd w:fill="FFFFFF" w:val="clear"/>
        </w:rPr>
        <w:tab/>
      </w:r>
      <w:hyperlink w:anchor="_Toc235366511">
        <w:r>
          <w:rPr>
            <w:rStyle w:val="InternetLink"/>
            <w:rFonts w:ascii="Times New Roman;Times;serif" w:hAnsi="Times New Roman;Times;serif"/>
            <w:b w:val="false"/>
            <w:i w:val="false"/>
            <w:caps w:val="false"/>
            <w:smallCaps w:val="false"/>
            <w:sz w:val="24"/>
            <w:shd w:fill="FFFFFF" w:val="clear"/>
          </w:rPr>
          <w:t>Environmental Matters</w:t>
        </w:r>
      </w:hyperlink>
      <w:hyperlink w:anchor="_Toc235366511">
        <w:r>
          <w:rPr>
            <w:webHidden/>
          </w:rPr>
          <w:fldChar w:fldCharType="begin"/>
        </w:r>
        <w:r>
          <w:rPr>
            <w:webHidden/>
          </w:rPr>
          <w:instrText xml:space="preserve">PAGEREF _Toc235366511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48</w:t>
        </w:r>
        <w:r>
          <w:rPr>
            <w:webHidden/>
          </w:rPr>
          <w:fldChar w:fldCharType="end"/>
        </w:r>
      </w:hyperlink>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175895"/>
                <wp:effectExtent l="0" t="0" r="0" b="0"/>
                <wp:wrapNone/>
                <wp:docPr id="673" name="Frame6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2">
        <w:r>
          <w:rPr>
            <w:rStyle w:val="InternetLink"/>
            <w:rFonts w:ascii="Times New Roman;Times;serif" w:hAnsi="Times New Roman;Times;serif"/>
            <w:b w:val="false"/>
            <w:i w:val="false"/>
            <w:caps w:val="false"/>
            <w:smallCaps w:val="false"/>
            <w:sz w:val="24"/>
            <w:shd w:fill="FFFFFF" w:val="clear"/>
          </w:rPr>
          <w:t>3.21</w:t>
        </w:r>
      </w:hyperlink>
      <w:r>
        <w:rPr>
          <w:rFonts w:ascii="Times New Roman;Times;serif" w:hAnsi="Times New Roman;Times;serif"/>
          <w:sz w:val="24"/>
          <w:shd w:fill="FFFFFF" w:val="clear"/>
        </w:rPr>
        <w:tab/>
      </w:r>
      <w:hyperlink w:anchor="_Toc235366512">
        <w:r>
          <w:rPr>
            <w:rStyle w:val="InternetLink"/>
            <w:rFonts w:ascii="Times New Roman;Times;serif" w:hAnsi="Times New Roman;Times;serif"/>
            <w:b w:val="false"/>
            <w:i w:val="false"/>
            <w:caps w:val="false"/>
            <w:smallCaps w:val="false"/>
            <w:sz w:val="24"/>
            <w:shd w:fill="FFFFFF" w:val="clear"/>
          </w:rPr>
          <w:t>Affiliate Transactions</w:t>
        </w:r>
      </w:hyperlink>
      <w:hyperlink w:anchor="_Toc235366512">
        <w:r>
          <w:rPr>
            <w:webHidden/>
          </w:rPr>
          <w:fldChar w:fldCharType="begin"/>
        </w:r>
        <w:r>
          <w:rPr>
            <w:webHidden/>
          </w:rPr>
          <w:instrText xml:space="preserve">PAGEREF _Toc235366512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48</w:t>
        </w:r>
        <w:r>
          <w:rPr>
            <w:webHidden/>
          </w:rPr>
          <w:fldChar w:fldCharType="end"/>
        </w:r>
      </w:hyperlink>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480175" cy="175895"/>
                <wp:effectExtent l="0" t="0" r="0" b="0"/>
                <wp:wrapNone/>
                <wp:docPr id="674" name="Frame6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3">
        <w:r>
          <w:rPr>
            <w:rStyle w:val="InternetLink"/>
            <w:rFonts w:ascii="Times New Roman;Times;serif" w:hAnsi="Times New Roman;Times;serif"/>
            <w:b w:val="false"/>
            <w:i w:val="false"/>
            <w:caps w:val="false"/>
            <w:smallCaps w:val="false"/>
            <w:sz w:val="24"/>
            <w:shd w:fill="FFFFFF" w:val="clear"/>
          </w:rPr>
          <w:t>3.22</w:t>
        </w:r>
      </w:hyperlink>
      <w:r>
        <w:rPr>
          <w:rFonts w:ascii="Times New Roman;Times;serif" w:hAnsi="Times New Roman;Times;serif"/>
          <w:sz w:val="24"/>
          <w:shd w:fill="FFFFFF" w:val="clear"/>
        </w:rPr>
        <w:tab/>
      </w:r>
      <w:hyperlink w:anchor="_Toc235366513">
        <w:r>
          <w:rPr>
            <w:rStyle w:val="InternetLink"/>
            <w:rFonts w:ascii="Times New Roman;Times;serif" w:hAnsi="Times New Roman;Times;serif"/>
            <w:b w:val="false"/>
            <w:i w:val="false"/>
            <w:caps w:val="false"/>
            <w:smallCaps w:val="false"/>
            <w:sz w:val="24"/>
            <w:shd w:fill="FFFFFF" w:val="clear"/>
          </w:rPr>
          <w:t>Insurance</w:t>
        </w:r>
      </w:hyperlink>
      <w:hyperlink w:anchor="_Toc235366513">
        <w:r>
          <w:rPr>
            <w:webHidden/>
          </w:rPr>
          <w:fldChar w:fldCharType="begin"/>
        </w:r>
        <w:r>
          <w:rPr>
            <w:webHidden/>
          </w:rPr>
          <w:instrText xml:space="preserve">PAGEREF _Toc235366513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49</w:t>
        </w:r>
        <w:r>
          <w:rPr>
            <w:webHidden/>
          </w:rPr>
          <w:fldChar w:fldCharType="end"/>
        </w:r>
      </w:hyperlink>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480175" cy="175895"/>
                <wp:effectExtent l="0" t="0" r="0" b="0"/>
                <wp:wrapNone/>
                <wp:docPr id="675" name="Frame6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4">
        <w:r>
          <w:rPr>
            <w:rStyle w:val="InternetLink"/>
            <w:rFonts w:ascii="Times New Roman;Times;serif" w:hAnsi="Times New Roman;Times;serif"/>
            <w:b w:val="false"/>
            <w:i w:val="false"/>
            <w:caps w:val="false"/>
            <w:smallCaps w:val="false"/>
            <w:sz w:val="24"/>
            <w:shd w:fill="FFFFFF" w:val="clear"/>
          </w:rPr>
          <w:t>3.23</w:t>
        </w:r>
      </w:hyperlink>
      <w:r>
        <w:rPr>
          <w:rFonts w:ascii="Times New Roman;Times;serif" w:hAnsi="Times New Roman;Times;serif"/>
          <w:sz w:val="24"/>
          <w:shd w:fill="FFFFFF" w:val="clear"/>
        </w:rPr>
        <w:tab/>
      </w:r>
      <w:hyperlink w:anchor="_Toc235366514">
        <w:r>
          <w:rPr>
            <w:rStyle w:val="InternetLink"/>
            <w:rFonts w:ascii="Times New Roman;Times;serif" w:hAnsi="Times New Roman;Times;serif"/>
            <w:b w:val="false"/>
            <w:i w:val="false"/>
            <w:caps w:val="false"/>
            <w:smallCaps w:val="false"/>
            <w:sz w:val="24"/>
            <w:shd w:fill="FFFFFF" w:val="clear"/>
          </w:rPr>
          <w:t>Customers and Vendors</w:t>
        </w:r>
      </w:hyperlink>
      <w:hyperlink w:anchor="_Toc235366514">
        <w:r>
          <w:rPr>
            <w:webHidden/>
          </w:rPr>
          <w:fldChar w:fldCharType="begin"/>
        </w:r>
        <w:r>
          <w:rPr>
            <w:webHidden/>
          </w:rPr>
          <w:instrText xml:space="preserve">PAGEREF _Toc235366514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51</w:t>
        </w:r>
        <w:r>
          <w:rPr>
            <w:webHidden/>
          </w:rPr>
          <w:fldChar w:fldCharType="end"/>
        </w:r>
      </w:hyperlink>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480175" cy="175895"/>
                <wp:effectExtent l="0" t="0" r="0" b="0"/>
                <wp:wrapNone/>
                <wp:docPr id="676" name="Frame6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5">
        <w:r>
          <w:rPr>
            <w:rStyle w:val="InternetLink"/>
            <w:rFonts w:ascii="Times New Roman;Times;serif" w:hAnsi="Times New Roman;Times;serif"/>
            <w:b w:val="false"/>
            <w:i w:val="false"/>
            <w:caps w:val="false"/>
            <w:smallCaps w:val="false"/>
            <w:sz w:val="24"/>
            <w:shd w:fill="FFFFFF" w:val="clear"/>
          </w:rPr>
          <w:t>3.24</w:t>
        </w:r>
      </w:hyperlink>
      <w:r>
        <w:rPr>
          <w:rFonts w:ascii="Times New Roman;Times;serif" w:hAnsi="Times New Roman;Times;serif"/>
          <w:sz w:val="24"/>
          <w:shd w:fill="FFFFFF" w:val="clear"/>
        </w:rPr>
        <w:tab/>
      </w:r>
      <w:hyperlink w:anchor="_Toc235366515">
        <w:r>
          <w:rPr>
            <w:rStyle w:val="InternetLink"/>
            <w:rFonts w:ascii="Times New Roman;Times;serif" w:hAnsi="Times New Roman;Times;serif"/>
            <w:b w:val="false"/>
            <w:i w:val="false"/>
            <w:caps w:val="false"/>
            <w:smallCaps w:val="false"/>
            <w:sz w:val="24"/>
            <w:shd w:fill="FFFFFF" w:val="clear"/>
          </w:rPr>
          <w:t>Accounts Receivable</w:t>
        </w:r>
      </w:hyperlink>
      <w:hyperlink w:anchor="_Toc235366515">
        <w:r>
          <w:rPr>
            <w:webHidden/>
          </w:rPr>
          <w:fldChar w:fldCharType="begin"/>
        </w:r>
        <w:r>
          <w:rPr>
            <w:webHidden/>
          </w:rPr>
          <w:instrText xml:space="preserve">PAGEREF _Toc235366515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52</w:t>
        </w:r>
        <w:r>
          <w:rPr>
            <w:webHidden/>
          </w:rPr>
          <w:fldChar w:fldCharType="end"/>
        </w:r>
      </w:hyperlink>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480175" cy="175895"/>
                <wp:effectExtent l="0" t="0" r="0" b="0"/>
                <wp:wrapNone/>
                <wp:docPr id="677" name="Frame6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6">
        <w:r>
          <w:rPr>
            <w:rStyle w:val="InternetLink"/>
            <w:rFonts w:ascii="Times New Roman;Times;serif" w:hAnsi="Times New Roman;Times;serif"/>
            <w:b w:val="false"/>
            <w:i w:val="false"/>
            <w:caps w:val="false"/>
            <w:smallCaps w:val="false"/>
            <w:sz w:val="24"/>
            <w:shd w:fill="FFFFFF" w:val="clear"/>
          </w:rPr>
          <w:t>3.25</w:t>
        </w:r>
      </w:hyperlink>
      <w:r>
        <w:rPr>
          <w:rFonts w:ascii="Times New Roman;Times;serif" w:hAnsi="Times New Roman;Times;serif"/>
          <w:sz w:val="24"/>
          <w:shd w:fill="FFFFFF" w:val="clear"/>
        </w:rPr>
        <w:tab/>
      </w:r>
      <w:hyperlink w:anchor="_Toc235366516">
        <w:r>
          <w:rPr>
            <w:rStyle w:val="InternetLink"/>
            <w:rFonts w:ascii="Times New Roman;Times;serif" w:hAnsi="Times New Roman;Times;serif"/>
            <w:b w:val="false"/>
            <w:i w:val="false"/>
            <w:caps w:val="false"/>
            <w:smallCaps w:val="false"/>
            <w:sz w:val="24"/>
            <w:shd w:fill="FFFFFF" w:val="clear"/>
          </w:rPr>
          <w:t>Bank Accounts</w:t>
        </w:r>
      </w:hyperlink>
      <w:hyperlink w:anchor="_Toc235366516">
        <w:r>
          <w:rPr>
            <w:webHidden/>
          </w:rPr>
          <w:fldChar w:fldCharType="begin"/>
        </w:r>
        <w:r>
          <w:rPr>
            <w:webHidden/>
          </w:rPr>
          <w:instrText xml:space="preserve">PAGEREF _Toc235366516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52</w:t>
        </w:r>
        <w:r>
          <w:rPr>
            <w:webHidden/>
          </w:rPr>
          <w:fldChar w:fldCharType="end"/>
        </w:r>
      </w:hyperlink>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480175" cy="175895"/>
                <wp:effectExtent l="0" t="0" r="0" b="0"/>
                <wp:wrapNone/>
                <wp:docPr id="678" name="Frame6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7">
        <w:r>
          <w:rPr>
            <w:rStyle w:val="InternetLink"/>
            <w:rFonts w:ascii="Times New Roman;Times;serif" w:hAnsi="Times New Roman;Times;serif"/>
            <w:b w:val="false"/>
            <w:i w:val="false"/>
            <w:caps w:val="false"/>
            <w:smallCaps w:val="false"/>
            <w:sz w:val="24"/>
            <w:shd w:fill="FFFFFF" w:val="clear"/>
          </w:rPr>
          <w:t>3.26</w:t>
        </w:r>
      </w:hyperlink>
      <w:r>
        <w:rPr>
          <w:rFonts w:ascii="Times New Roman;Times;serif" w:hAnsi="Times New Roman;Times;serif"/>
          <w:sz w:val="24"/>
          <w:shd w:fill="FFFFFF" w:val="clear"/>
        </w:rPr>
        <w:tab/>
      </w:r>
      <w:hyperlink w:anchor="_Toc235366517">
        <w:r>
          <w:rPr>
            <w:rStyle w:val="InternetLink"/>
            <w:rFonts w:ascii="Times New Roman;Times;serif" w:hAnsi="Times New Roman;Times;serif"/>
            <w:b w:val="false"/>
            <w:i w:val="false"/>
            <w:caps w:val="false"/>
            <w:smallCaps w:val="false"/>
            <w:sz w:val="24"/>
            <w:shd w:fill="FFFFFF" w:val="clear"/>
          </w:rPr>
          <w:t>No Broker</w:t>
        </w:r>
      </w:hyperlink>
      <w:hyperlink w:anchor="_Toc235366517">
        <w:r>
          <w:rPr>
            <w:webHidden/>
          </w:rPr>
          <w:fldChar w:fldCharType="begin"/>
        </w:r>
        <w:r>
          <w:rPr>
            <w:webHidden/>
          </w:rPr>
          <w:instrText xml:space="preserve">PAGEREF _Toc235366517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52</w:t>
        </w:r>
        <w:r>
          <w:rPr>
            <w:webHidden/>
          </w:rPr>
          <w:fldChar w:fldCharType="end"/>
        </w:r>
      </w:hyperlink>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480175" cy="175895"/>
                <wp:effectExtent l="0" t="0" r="0" b="0"/>
                <wp:wrapNone/>
                <wp:docPr id="679" name="Frame6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18">
        <w:r>
          <w:rPr>
            <w:rStyle w:val="InternetLink"/>
            <w:rFonts w:ascii="Times New Roman;Times;serif" w:hAnsi="Times New Roman;Times;serif"/>
            <w:b w:val="false"/>
            <w:i w:val="false"/>
            <w:caps w:val="false"/>
            <w:smallCaps w:val="false"/>
            <w:sz w:val="24"/>
            <w:shd w:fill="FFFFFF" w:val="clear"/>
          </w:rPr>
          <w:t>3.27</w:t>
        </w:r>
      </w:hyperlink>
      <w:r>
        <w:rPr>
          <w:rFonts w:ascii="Times New Roman;Times;serif" w:hAnsi="Times New Roman;Times;serif"/>
          <w:sz w:val="24"/>
          <w:shd w:fill="FFFFFF" w:val="clear"/>
        </w:rPr>
        <w:tab/>
      </w:r>
      <w:hyperlink w:anchor="_Toc235366518">
        <w:r>
          <w:rPr>
            <w:rStyle w:val="InternetLink"/>
            <w:rFonts w:ascii="Times New Roman;Times;serif" w:hAnsi="Times New Roman;Times;serif"/>
            <w:b w:val="false"/>
            <w:i w:val="false"/>
            <w:caps w:val="false"/>
            <w:smallCaps w:val="false"/>
            <w:sz w:val="24"/>
            <w:shd w:fill="FFFFFF" w:val="clear"/>
          </w:rPr>
          <w:t>No Other Representations and Warranties</w:t>
        </w:r>
      </w:hyperlink>
      <w:hyperlink w:anchor="_Toc235366518">
        <w:r>
          <w:rPr>
            <w:webHidden/>
          </w:rPr>
          <w:fldChar w:fldCharType="begin"/>
        </w:r>
        <w:r>
          <w:rPr>
            <w:webHidden/>
          </w:rPr>
          <w:instrText xml:space="preserve">PAGEREF _Toc235366518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52</w:t>
        </w:r>
        <w:r>
          <w:rPr>
            <w:webHidden/>
          </w:rPr>
          <w:fldChar w:fldCharType="end"/>
        </w:r>
      </w:hyperlink>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480175" cy="175895"/>
                <wp:effectExtent l="0" t="0" r="0" b="0"/>
                <wp:wrapNone/>
                <wp:docPr id="680" name="Frame6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both"/>
        <w:rPr/>
      </w:pPr>
      <w:hyperlink w:anchor="_Toc235366519">
        <w:r>
          <w:rPr>
            <w:rStyle w:val="InternetLink"/>
            <w:rFonts w:ascii="Times New Roman Bold" w:hAnsi="Times New Roman Bold"/>
            <w:b/>
            <w:i w:val="false"/>
            <w:caps/>
            <w:sz w:val="24"/>
            <w:shd w:fill="FFFFFF" w:val="clear"/>
          </w:rPr>
          <w:t>Article IV</w:t>
        </w:r>
      </w:hyperlink>
      <w:hyperlink w:anchor="_Toc235366519">
        <w:r>
          <w:rPr>
            <w:webHidden/>
          </w:rPr>
          <w:fldChar w:fldCharType="begin"/>
        </w:r>
        <w:r>
          <w:rPr>
            <w:webHidden/>
          </w:rPr>
          <w:instrText xml:space="preserve">PAGEREF _Toc235366519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519">
        <w:r>
          <w:rPr>
            <w:webHidden/>
          </w:rPr>
          <w:fldChar w:fldCharType="begin"/>
        </w:r>
        <w:r>
          <w:rPr>
            <w:webHidden/>
          </w:rPr>
          <w:instrText xml:space="preserve">PAGEREF _Toc235366519 \h</w:instrText>
        </w:r>
        <w:r>
          <w:rPr>
            <w:webHidden/>
          </w:rPr>
          <w:fldChar w:fldCharType="separate"/>
        </w:r>
        <w:r>
          <w:rPr>
            <w:rStyle w:val="InternetLink"/>
            <w:rFonts w:ascii="Times New Roman Bold" w:hAnsi="Times New Roman Bold"/>
            <w:b/>
            <w:i w:val="false"/>
            <w:caps/>
            <w:sz w:val="24"/>
            <w:shd w:fill="FFFFFF" w:val="clear"/>
          </w:rPr>
          <w:t>Representations and Warranties of Buyer</w:t>
        </w:r>
        <w:r>
          <w:rPr>
            <w:webHidden/>
          </w:rPr>
          <w:fldChar w:fldCharType="end"/>
        </w:r>
      </w:hyperlink>
      <w:hyperlink w:anchor="_Toc235366519">
        <w:r>
          <w:rPr>
            <w:webHidden/>
          </w:rPr>
          <w:fldChar w:fldCharType="begin"/>
        </w:r>
        <w:r>
          <w:rPr>
            <w:webHidden/>
          </w:rPr>
          <w:instrText xml:space="preserve">PAGEREF _Toc235366519 \h</w:instrText>
        </w:r>
        <w:r>
          <w:rPr>
            <w:webHidden/>
          </w:rPr>
          <w:fldChar w:fldCharType="separate"/>
        </w:r>
        <w:r>
          <w:rPr>
            <w:rStyle w:val="InternetLink"/>
            <w:rFonts w:ascii="Times New Roman Bold" w:hAnsi="Times New Roman Bold"/>
            <w:b/>
            <w:i w:val="false"/>
            <w:caps/>
            <w:sz w:val="24"/>
            <w:shd w:fill="FFFFFF" w:val="clear"/>
          </w:rPr>
          <w:t>53</w:t>
        </w:r>
        <w:r>
          <w:rPr>
            <w:webHidden/>
          </w:rPr>
          <w:fldChar w:fldCharType="end"/>
        </w:r>
      </w:hyperlink>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480175" cy="194310"/>
                <wp:effectExtent l="0" t="0" r="0" b="0"/>
                <wp:wrapNone/>
                <wp:docPr id="681" name="Frame68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377.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20">
        <w:r>
          <w:rPr>
            <w:rStyle w:val="InternetLink"/>
            <w:rFonts w:ascii="Times New Roman;Times;serif" w:hAnsi="Times New Roman;Times;serif"/>
            <w:b w:val="false"/>
            <w:i w:val="false"/>
            <w:caps w:val="false"/>
            <w:smallCaps w:val="false"/>
            <w:sz w:val="24"/>
            <w:shd w:fill="FFFFFF" w:val="clear"/>
          </w:rPr>
          <w:t>4.1</w:t>
        </w:r>
      </w:hyperlink>
      <w:r>
        <w:rPr>
          <w:rFonts w:ascii="Times New Roman;Times;serif" w:hAnsi="Times New Roman;Times;serif"/>
          <w:sz w:val="24"/>
          <w:shd w:fill="FFFFFF" w:val="clear"/>
        </w:rPr>
        <w:tab/>
      </w:r>
      <w:hyperlink w:anchor="_Toc235366520">
        <w:r>
          <w:rPr>
            <w:rStyle w:val="InternetLink"/>
            <w:rFonts w:ascii="Times New Roman;Times;serif" w:hAnsi="Times New Roman;Times;serif"/>
            <w:b w:val="false"/>
            <w:i w:val="false"/>
            <w:caps w:val="false"/>
            <w:smallCaps w:val="false"/>
            <w:sz w:val="24"/>
            <w:shd w:fill="FFFFFF" w:val="clear"/>
          </w:rPr>
          <w:t>Organization; Good Standing; Power</w:t>
        </w:r>
      </w:hyperlink>
      <w:hyperlink w:anchor="_Toc235366520">
        <w:r>
          <w:rPr>
            <w:webHidden/>
          </w:rPr>
          <w:fldChar w:fldCharType="begin"/>
        </w:r>
        <w:r>
          <w:rPr>
            <w:webHidden/>
          </w:rPr>
          <w:instrText xml:space="preserve">PAGEREF _Toc235366520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53</w:t>
        </w:r>
        <w:r>
          <w:rPr>
            <w:webHidden/>
          </w:rPr>
          <w:fldChar w:fldCharType="end"/>
        </w:r>
      </w:hyperlink>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480175" cy="175895"/>
                <wp:effectExtent l="0" t="0" r="0" b="0"/>
                <wp:wrapNone/>
                <wp:docPr id="682" name="Frame6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21">
        <w:r>
          <w:rPr>
            <w:rStyle w:val="InternetLink"/>
            <w:rFonts w:ascii="Times New Roman;Times;serif" w:hAnsi="Times New Roman;Times;serif"/>
            <w:b w:val="false"/>
            <w:i w:val="false"/>
            <w:caps w:val="false"/>
            <w:smallCaps w:val="false"/>
            <w:sz w:val="24"/>
            <w:shd w:fill="FFFFFF" w:val="clear"/>
          </w:rPr>
          <w:t>4.2</w:t>
        </w:r>
      </w:hyperlink>
      <w:r>
        <w:rPr>
          <w:rFonts w:ascii="Times New Roman;Times;serif" w:hAnsi="Times New Roman;Times;serif"/>
          <w:sz w:val="24"/>
          <w:shd w:fill="FFFFFF" w:val="clear"/>
        </w:rPr>
        <w:tab/>
      </w:r>
      <w:hyperlink w:anchor="_Toc235366521">
        <w:r>
          <w:rPr>
            <w:rStyle w:val="InternetLink"/>
            <w:rFonts w:ascii="Times New Roman;Times;serif" w:hAnsi="Times New Roman;Times;serif"/>
            <w:b w:val="false"/>
            <w:i w:val="false"/>
            <w:caps w:val="false"/>
            <w:smallCaps w:val="false"/>
            <w:sz w:val="24"/>
            <w:shd w:fill="FFFFFF" w:val="clear"/>
          </w:rPr>
          <w:t>Authorization; Execution and Enforceability; No Breach</w:t>
        </w:r>
      </w:hyperlink>
      <w:hyperlink w:anchor="_Toc235366521">
        <w:r>
          <w:rPr>
            <w:webHidden/>
          </w:rPr>
          <w:fldChar w:fldCharType="begin"/>
        </w:r>
        <w:r>
          <w:rPr>
            <w:webHidden/>
          </w:rPr>
          <w:instrText xml:space="preserve">PAGEREF _Toc235366521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53</w:t>
        </w:r>
        <w:r>
          <w:rPr>
            <w:webHidden/>
          </w:rPr>
          <w:fldChar w:fldCharType="end"/>
        </w:r>
      </w:hyperlink>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480175" cy="175895"/>
                <wp:effectExtent l="0" t="0" r="0" b="0"/>
                <wp:wrapNone/>
                <wp:docPr id="683" name="Frame6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22">
        <w:r>
          <w:rPr>
            <w:rStyle w:val="InternetLink"/>
            <w:rFonts w:ascii="Times New Roman;Times;serif" w:hAnsi="Times New Roman;Times;serif"/>
            <w:b w:val="false"/>
            <w:i w:val="false"/>
            <w:caps w:val="false"/>
            <w:smallCaps w:val="false"/>
            <w:sz w:val="24"/>
            <w:shd w:fill="FFFFFF" w:val="clear"/>
          </w:rPr>
          <w:t>4.3</w:t>
        </w:r>
      </w:hyperlink>
      <w:r>
        <w:rPr>
          <w:rFonts w:ascii="Times New Roman;Times;serif" w:hAnsi="Times New Roman;Times;serif"/>
          <w:sz w:val="24"/>
          <w:shd w:fill="FFFFFF" w:val="clear"/>
        </w:rPr>
        <w:tab/>
      </w:r>
      <w:hyperlink w:anchor="_Toc235366522">
        <w:r>
          <w:rPr>
            <w:rStyle w:val="InternetLink"/>
            <w:rFonts w:ascii="Times New Roman;Times;serif" w:hAnsi="Times New Roman;Times;serif"/>
            <w:b w:val="false"/>
            <w:i w:val="false"/>
            <w:caps w:val="false"/>
            <w:smallCaps w:val="false"/>
            <w:sz w:val="24"/>
            <w:shd w:fill="FFFFFF" w:val="clear"/>
          </w:rPr>
          <w:t>Brokerage</w:t>
        </w:r>
      </w:hyperlink>
      <w:hyperlink w:anchor="_Toc235366522">
        <w:r>
          <w:rPr>
            <w:webHidden/>
          </w:rPr>
          <w:fldChar w:fldCharType="begin"/>
        </w:r>
        <w:r>
          <w:rPr>
            <w:webHidden/>
          </w:rPr>
          <w:instrText xml:space="preserve">PAGEREF _Toc235366522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54</w:t>
        </w:r>
        <w:r>
          <w:rPr>
            <w:webHidden/>
          </w:rPr>
          <w:fldChar w:fldCharType="end"/>
        </w:r>
      </w:hyperlink>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480175" cy="175895"/>
                <wp:effectExtent l="0" t="0" r="0" b="0"/>
                <wp:wrapNone/>
                <wp:docPr id="684" name="Frame6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23">
        <w:r>
          <w:rPr>
            <w:rStyle w:val="InternetLink"/>
            <w:rFonts w:ascii="Times New Roman;Times;serif" w:hAnsi="Times New Roman;Times;serif"/>
            <w:b w:val="false"/>
            <w:i w:val="false"/>
            <w:caps w:val="false"/>
            <w:smallCaps w:val="false"/>
            <w:sz w:val="24"/>
            <w:shd w:fill="FFFFFF" w:val="clear"/>
          </w:rPr>
          <w:t>4.4</w:t>
        </w:r>
      </w:hyperlink>
      <w:r>
        <w:rPr>
          <w:rFonts w:ascii="Times New Roman;Times;serif" w:hAnsi="Times New Roman;Times;serif"/>
          <w:sz w:val="24"/>
          <w:shd w:fill="FFFFFF" w:val="clear"/>
        </w:rPr>
        <w:tab/>
      </w:r>
      <w:hyperlink w:anchor="_Toc235366523">
        <w:r>
          <w:rPr>
            <w:rStyle w:val="InternetLink"/>
            <w:rFonts w:ascii="Times New Roman;Times;serif" w:hAnsi="Times New Roman;Times;serif"/>
            <w:b w:val="false"/>
            <w:i w:val="false"/>
            <w:caps w:val="false"/>
            <w:smallCaps w:val="false"/>
            <w:sz w:val="24"/>
            <w:shd w:fill="FFFFFF" w:val="clear"/>
          </w:rPr>
          <w:t>Litigation</w:t>
        </w:r>
      </w:hyperlink>
      <w:hyperlink w:anchor="_Toc235366523">
        <w:r>
          <w:rPr>
            <w:webHidden/>
          </w:rPr>
          <w:fldChar w:fldCharType="begin"/>
        </w:r>
        <w:r>
          <w:rPr>
            <w:webHidden/>
          </w:rPr>
          <w:instrText xml:space="preserve">PAGEREF _Toc235366523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54</w:t>
        </w:r>
        <w:r>
          <w:rPr>
            <w:webHidden/>
          </w:rPr>
          <w:fldChar w:fldCharType="end"/>
        </w:r>
      </w:hyperlink>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480175" cy="175895"/>
                <wp:effectExtent l="0" t="0" r="0" b="0"/>
                <wp:wrapNone/>
                <wp:docPr id="685" name="Frame6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24">
        <w:r>
          <w:rPr>
            <w:rStyle w:val="InternetLink"/>
            <w:rFonts w:ascii="Times New Roman;Times;serif" w:hAnsi="Times New Roman;Times;serif"/>
            <w:b w:val="false"/>
            <w:i w:val="false"/>
            <w:caps w:val="false"/>
            <w:smallCaps w:val="false"/>
            <w:sz w:val="24"/>
            <w:shd w:fill="FFFFFF" w:val="clear"/>
          </w:rPr>
          <w:t>4.5</w:t>
        </w:r>
      </w:hyperlink>
      <w:r>
        <w:rPr>
          <w:rFonts w:ascii="Times New Roman;Times;serif" w:hAnsi="Times New Roman;Times;serif"/>
          <w:sz w:val="24"/>
          <w:shd w:fill="FFFFFF" w:val="clear"/>
        </w:rPr>
        <w:tab/>
      </w:r>
      <w:hyperlink w:anchor="_Toc235366524">
        <w:r>
          <w:rPr>
            <w:rStyle w:val="InternetLink"/>
            <w:rFonts w:ascii="Times New Roman;Times;serif" w:hAnsi="Times New Roman;Times;serif"/>
            <w:b w:val="false"/>
            <w:i w:val="false"/>
            <w:caps w:val="false"/>
            <w:smallCaps w:val="false"/>
            <w:sz w:val="24"/>
            <w:shd w:fill="FFFFFF" w:val="clear"/>
          </w:rPr>
          <w:t>Financing</w:t>
        </w:r>
      </w:hyperlink>
      <w:hyperlink w:anchor="_Toc235366524">
        <w:r>
          <w:rPr>
            <w:webHidden/>
          </w:rPr>
          <w:fldChar w:fldCharType="begin"/>
        </w:r>
        <w:r>
          <w:rPr>
            <w:webHidden/>
          </w:rPr>
          <w:instrText xml:space="preserve">PAGEREF _Toc235366524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54</w:t>
        </w:r>
        <w:r>
          <w:rPr>
            <w:webHidden/>
          </w:rPr>
          <w:fldChar w:fldCharType="end"/>
        </w:r>
      </w:hyperlink>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480175" cy="175895"/>
                <wp:effectExtent l="0" t="0" r="0" b="0"/>
                <wp:wrapNone/>
                <wp:docPr id="686" name="Frame6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720" w:right="0" w:hanging="0"/>
        <w:jc w:val="both"/>
        <w:rPr/>
      </w:pPr>
      <w:hyperlink w:anchor="_Toc235366525">
        <w:r>
          <w:rPr>
            <w:rStyle w:val="InternetLink"/>
            <w:rFonts w:ascii="Times New Roman;Times;serif" w:hAnsi="Times New Roman;Times;serif"/>
            <w:b w:val="false"/>
            <w:i w:val="false"/>
            <w:caps w:val="false"/>
            <w:smallCaps w:val="false"/>
            <w:sz w:val="24"/>
            <w:shd w:fill="FFFFFF" w:val="clear"/>
          </w:rPr>
          <w:t>4.6</w:t>
        </w:r>
      </w:hyperlink>
      <w:r>
        <w:rPr>
          <w:rFonts w:ascii="Times New Roman;Times;serif" w:hAnsi="Times New Roman;Times;serif"/>
          <w:sz w:val="24"/>
          <w:shd w:fill="FFFFFF" w:val="clear"/>
        </w:rPr>
        <w:tab/>
      </w:r>
      <w:hyperlink w:anchor="_Toc235366525">
        <w:r>
          <w:rPr>
            <w:rStyle w:val="InternetLink"/>
            <w:rFonts w:ascii="Times New Roman;Times;serif" w:hAnsi="Times New Roman;Times;serif"/>
            <w:b w:val="false"/>
            <w:i w:val="false"/>
            <w:caps w:val="false"/>
            <w:smallCaps w:val="false"/>
            <w:sz w:val="24"/>
            <w:shd w:fill="FFFFFF" w:val="clear"/>
          </w:rPr>
          <w:t>Independent Investigation</w:t>
        </w:r>
      </w:hyperlink>
      <w:hyperlink w:anchor="_Toc235366525">
        <w:r>
          <w:rPr>
            <w:webHidden/>
          </w:rPr>
          <w:fldChar w:fldCharType="begin"/>
        </w:r>
        <w:r>
          <w:rPr>
            <w:webHidden/>
          </w:rPr>
          <w:instrText xml:space="preserve">PAGEREF _Toc235366525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54</w:t>
        </w:r>
        <w:r>
          <w:rPr>
            <w:webHidden/>
          </w:rPr>
          <w:fldChar w:fldCharType="end"/>
        </w:r>
      </w:hyperlink>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480175" cy="175895"/>
                <wp:effectExtent l="0" t="0" r="0" b="0"/>
                <wp:wrapNone/>
                <wp:docPr id="687" name="Frame6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both"/>
        <w:rPr/>
      </w:pPr>
      <w:hyperlink w:anchor="_Toc235366526">
        <w:r>
          <w:rPr>
            <w:rStyle w:val="InternetLink"/>
            <w:rFonts w:ascii="Times New Roman Bold" w:hAnsi="Times New Roman Bold"/>
            <w:b/>
            <w:i w:val="false"/>
            <w:caps/>
            <w:sz w:val="24"/>
            <w:shd w:fill="FFFFFF" w:val="clear"/>
          </w:rPr>
          <w:t>Article V</w:t>
        </w:r>
      </w:hyperlink>
      <w:hyperlink w:anchor="_Toc235366526">
        <w:r>
          <w:rPr>
            <w:webHidden/>
          </w:rPr>
          <w:fldChar w:fldCharType="begin"/>
        </w:r>
        <w:r>
          <w:rPr>
            <w:webHidden/>
          </w:rPr>
          <w:instrText xml:space="preserve">PAGEREF _Toc235366526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526">
        <w:r>
          <w:rPr>
            <w:webHidden/>
          </w:rPr>
          <w:fldChar w:fldCharType="begin"/>
        </w:r>
        <w:r>
          <w:rPr>
            <w:webHidden/>
          </w:rPr>
          <w:instrText xml:space="preserve">PAGEREF _Toc235366526 \h</w:instrText>
        </w:r>
        <w:r>
          <w:rPr>
            <w:webHidden/>
          </w:rPr>
          <w:fldChar w:fldCharType="separate"/>
        </w:r>
        <w:r>
          <w:rPr>
            <w:rStyle w:val="InternetLink"/>
            <w:rFonts w:ascii="Times New Roman Bold" w:hAnsi="Times New Roman Bold"/>
            <w:b/>
            <w:i w:val="false"/>
            <w:caps/>
            <w:sz w:val="24"/>
            <w:shd w:fill="FFFFFF" w:val="clear"/>
          </w:rPr>
          <w:t>Survival; Indemnification</w:t>
        </w:r>
        <w:r>
          <w:rPr>
            <w:webHidden/>
          </w:rPr>
          <w:fldChar w:fldCharType="end"/>
        </w:r>
      </w:hyperlink>
      <w:hyperlink w:anchor="_Toc235366526">
        <w:r>
          <w:rPr>
            <w:webHidden/>
          </w:rPr>
          <w:fldChar w:fldCharType="begin"/>
        </w:r>
        <w:r>
          <w:rPr>
            <w:webHidden/>
          </w:rPr>
          <w:instrText xml:space="preserve">PAGEREF _Toc235366526 \h</w:instrText>
        </w:r>
        <w:r>
          <w:rPr>
            <w:webHidden/>
          </w:rPr>
          <w:fldChar w:fldCharType="separate"/>
        </w:r>
        <w:r>
          <w:rPr>
            <w:rStyle w:val="InternetLink"/>
            <w:rFonts w:ascii="Times New Roman Bold" w:hAnsi="Times New Roman Bold"/>
            <w:b/>
            <w:i w:val="false"/>
            <w:caps/>
            <w:sz w:val="24"/>
            <w:shd w:fill="FFFFFF" w:val="clear"/>
          </w:rPr>
          <w:t>55</w:t>
        </w:r>
        <w:r>
          <w:rPr>
            <w:webHidden/>
          </w:rPr>
          <w:fldChar w:fldCharType="end"/>
        </w:r>
      </w:hyperlink>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480175" cy="194310"/>
                <wp:effectExtent l="0" t="0" r="0" b="0"/>
                <wp:wrapNone/>
                <wp:docPr id="688" name="Frame68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4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27">
        <w:r>
          <w:rPr>
            <w:rStyle w:val="InternetLink"/>
            <w:rFonts w:ascii="Times New Roman;Times;serif" w:hAnsi="Times New Roman;Times;serif"/>
            <w:b w:val="false"/>
            <w:i w:val="false"/>
            <w:caps w:val="false"/>
            <w:smallCaps w:val="false"/>
            <w:sz w:val="24"/>
            <w:shd w:fill="FFFFFF" w:val="clear"/>
          </w:rPr>
          <w:t>5.1</w:t>
        </w:r>
      </w:hyperlink>
      <w:r>
        <w:rPr>
          <w:rFonts w:ascii="Times New Roman;Times;serif" w:hAnsi="Times New Roman;Times;serif"/>
          <w:sz w:val="24"/>
          <w:shd w:fill="FFFFFF" w:val="clear"/>
        </w:rPr>
        <w:tab/>
      </w:r>
      <w:hyperlink w:anchor="_Toc235366527">
        <w:r>
          <w:rPr>
            <w:rStyle w:val="InternetLink"/>
            <w:rFonts w:ascii="Times New Roman;Times;serif" w:hAnsi="Times New Roman;Times;serif"/>
            <w:b w:val="false"/>
            <w:i w:val="false"/>
            <w:caps w:val="false"/>
            <w:smallCaps w:val="false"/>
            <w:sz w:val="24"/>
            <w:shd w:fill="FFFFFF" w:val="clear"/>
          </w:rPr>
          <w:t>Survival</w:t>
        </w:r>
      </w:hyperlink>
      <w:hyperlink w:anchor="_Toc235366527">
        <w:r>
          <w:rPr>
            <w:webHidden/>
          </w:rPr>
          <w:fldChar w:fldCharType="begin"/>
        </w:r>
        <w:r>
          <w:rPr>
            <w:webHidden/>
          </w:rPr>
          <w:instrText xml:space="preserve">PAGEREF _Toc235366527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55</w:t>
        </w:r>
        <w:r>
          <w:rPr>
            <w:webHidden/>
          </w:rPr>
          <w:fldChar w:fldCharType="end"/>
        </w:r>
      </w:hyperlink>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6480175" cy="175895"/>
                <wp:effectExtent l="0" t="0" r="0" b="0"/>
                <wp:wrapNone/>
                <wp:docPr id="689" name="Frame6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28">
        <w:r>
          <w:rPr>
            <w:rStyle w:val="InternetLink"/>
            <w:rFonts w:ascii="Times New Roman;Times;serif" w:hAnsi="Times New Roman;Times;serif"/>
            <w:b w:val="false"/>
            <w:i w:val="false"/>
            <w:caps w:val="false"/>
            <w:smallCaps w:val="false"/>
            <w:sz w:val="24"/>
            <w:shd w:fill="FFFFFF" w:val="clear"/>
          </w:rPr>
          <w:t>5.2</w:t>
        </w:r>
      </w:hyperlink>
      <w:r>
        <w:rPr>
          <w:rFonts w:ascii="Times New Roman;Times;serif" w:hAnsi="Times New Roman;Times;serif"/>
          <w:sz w:val="24"/>
          <w:shd w:fill="FFFFFF" w:val="clear"/>
        </w:rPr>
        <w:tab/>
      </w:r>
      <w:hyperlink w:anchor="_Toc235366528">
        <w:r>
          <w:rPr>
            <w:rStyle w:val="InternetLink"/>
            <w:rFonts w:ascii="Times New Roman;Times;serif" w:hAnsi="Times New Roman;Times;serif"/>
            <w:b w:val="false"/>
            <w:i w:val="false"/>
            <w:caps w:val="false"/>
            <w:smallCaps w:val="false"/>
            <w:sz w:val="24"/>
            <w:shd w:fill="FFFFFF" w:val="clear"/>
          </w:rPr>
          <w:t>Indemnifiable Matters</w:t>
        </w:r>
      </w:hyperlink>
      <w:hyperlink w:anchor="_Toc235366528">
        <w:r>
          <w:rPr>
            <w:webHidden/>
          </w:rPr>
          <w:fldChar w:fldCharType="begin"/>
        </w:r>
        <w:r>
          <w:rPr>
            <w:webHidden/>
          </w:rPr>
          <w:instrText xml:space="preserve">PAGEREF _Toc235366528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55</w:t>
        </w:r>
        <w:r>
          <w:rPr>
            <w:webHidden/>
          </w:rPr>
          <w:fldChar w:fldCharType="end"/>
        </w:r>
      </w:hyperlink>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6480175" cy="175895"/>
                <wp:effectExtent l="0" t="0" r="0" b="0"/>
                <wp:wrapNone/>
                <wp:docPr id="690" name="Frame6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29">
        <w:r>
          <w:rPr>
            <w:rStyle w:val="InternetLink"/>
            <w:rFonts w:ascii="Times New Roman;Times;serif" w:hAnsi="Times New Roman;Times;serif"/>
            <w:b w:val="false"/>
            <w:i w:val="false"/>
            <w:caps w:val="false"/>
            <w:smallCaps w:val="false"/>
            <w:sz w:val="24"/>
            <w:shd w:fill="FFFFFF" w:val="clear"/>
          </w:rPr>
          <w:t>5.3</w:t>
        </w:r>
      </w:hyperlink>
      <w:r>
        <w:rPr>
          <w:rFonts w:ascii="Times New Roman;Times;serif" w:hAnsi="Times New Roman;Times;serif"/>
          <w:sz w:val="24"/>
          <w:shd w:fill="FFFFFF" w:val="clear"/>
        </w:rPr>
        <w:tab/>
      </w:r>
      <w:hyperlink w:anchor="_Toc235366529">
        <w:r>
          <w:rPr>
            <w:rStyle w:val="InternetLink"/>
            <w:rFonts w:ascii="Times New Roman;Times;serif" w:hAnsi="Times New Roman;Times;serif"/>
            <w:b w:val="false"/>
            <w:i w:val="false"/>
            <w:caps w:val="false"/>
            <w:smallCaps w:val="false"/>
            <w:sz w:val="24"/>
            <w:shd w:fill="FFFFFF" w:val="clear"/>
          </w:rPr>
          <w:t>Limitations on Indemnification</w:t>
        </w:r>
      </w:hyperlink>
      <w:hyperlink w:anchor="_Toc235366529">
        <w:r>
          <w:rPr>
            <w:webHidden/>
          </w:rPr>
          <w:fldChar w:fldCharType="begin"/>
        </w:r>
        <w:r>
          <w:rPr>
            <w:webHidden/>
          </w:rPr>
          <w:instrText xml:space="preserve">PAGEREF _Toc235366529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57</w:t>
        </w:r>
        <w:r>
          <w:rPr>
            <w:webHidden/>
          </w:rPr>
          <w:fldChar w:fldCharType="end"/>
        </w:r>
      </w:hyperlink>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480175" cy="175895"/>
                <wp:effectExtent l="0" t="0" r="0" b="0"/>
                <wp:wrapNone/>
                <wp:docPr id="691" name="Frame6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0">
        <w:r>
          <w:rPr>
            <w:rStyle w:val="InternetLink"/>
            <w:rFonts w:ascii="Times New Roman;Times;serif" w:hAnsi="Times New Roman;Times;serif"/>
            <w:b w:val="false"/>
            <w:i w:val="false"/>
            <w:caps w:val="false"/>
            <w:smallCaps w:val="false"/>
            <w:sz w:val="24"/>
            <w:shd w:fill="FFFFFF" w:val="clear"/>
          </w:rPr>
          <w:t>5.4</w:t>
        </w:r>
      </w:hyperlink>
      <w:r>
        <w:rPr>
          <w:rFonts w:ascii="Times New Roman;Times;serif" w:hAnsi="Times New Roman;Times;serif"/>
          <w:sz w:val="24"/>
          <w:shd w:fill="FFFFFF" w:val="clear"/>
        </w:rPr>
        <w:tab/>
      </w:r>
      <w:hyperlink w:anchor="_Toc235366530">
        <w:r>
          <w:rPr>
            <w:rStyle w:val="InternetLink"/>
            <w:rFonts w:ascii="Times New Roman;Times;serif" w:hAnsi="Times New Roman;Times;serif"/>
            <w:b w:val="false"/>
            <w:i w:val="false"/>
            <w:caps w:val="false"/>
            <w:smallCaps w:val="false"/>
            <w:sz w:val="24"/>
            <w:shd w:fill="FFFFFF" w:val="clear"/>
          </w:rPr>
          <w:t>Manner of Payment</w:t>
        </w:r>
      </w:hyperlink>
      <w:hyperlink w:anchor="_Toc235366530">
        <w:r>
          <w:rPr>
            <w:webHidden/>
          </w:rPr>
          <w:fldChar w:fldCharType="begin"/>
        </w:r>
        <w:r>
          <w:rPr>
            <w:webHidden/>
          </w:rPr>
          <w:instrText xml:space="preserve">PAGEREF _Toc235366530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58</w:t>
        </w:r>
        <w:r>
          <w:rPr>
            <w:webHidden/>
          </w:rPr>
          <w:fldChar w:fldCharType="end"/>
        </w:r>
      </w:hyperlink>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480175" cy="175895"/>
                <wp:effectExtent l="0" t="0" r="0" b="0"/>
                <wp:wrapNone/>
                <wp:docPr id="692" name="Frame6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1">
        <w:r>
          <w:rPr>
            <w:rStyle w:val="InternetLink"/>
            <w:rFonts w:ascii="Times New Roman;Times;serif" w:hAnsi="Times New Roman;Times;serif"/>
            <w:b w:val="false"/>
            <w:i w:val="false"/>
            <w:caps w:val="false"/>
            <w:smallCaps w:val="false"/>
            <w:sz w:val="24"/>
            <w:shd w:fill="FFFFFF" w:val="clear"/>
          </w:rPr>
          <w:t>5.5</w:t>
        </w:r>
      </w:hyperlink>
      <w:r>
        <w:rPr>
          <w:rFonts w:ascii="Times New Roman;Times;serif" w:hAnsi="Times New Roman;Times;serif"/>
          <w:sz w:val="24"/>
          <w:shd w:fill="FFFFFF" w:val="clear"/>
        </w:rPr>
        <w:tab/>
      </w:r>
      <w:hyperlink w:anchor="_Toc235366531">
        <w:r>
          <w:rPr>
            <w:rStyle w:val="InternetLink"/>
            <w:rFonts w:ascii="Times New Roman;Times;serif" w:hAnsi="Times New Roman;Times;serif"/>
            <w:b w:val="false"/>
            <w:i w:val="false"/>
            <w:caps w:val="false"/>
            <w:smallCaps w:val="false"/>
            <w:sz w:val="24"/>
            <w:shd w:fill="FFFFFF" w:val="clear"/>
          </w:rPr>
          <w:t>Third Party Claims</w:t>
        </w:r>
      </w:hyperlink>
      <w:hyperlink w:anchor="_Toc235366531">
        <w:r>
          <w:rPr>
            <w:webHidden/>
          </w:rPr>
          <w:fldChar w:fldCharType="begin"/>
        </w:r>
        <w:r>
          <w:rPr>
            <w:webHidden/>
          </w:rPr>
          <w:instrText xml:space="preserve">PAGEREF _Toc235366531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58</w:t>
        </w:r>
        <w:r>
          <w:rPr>
            <w:webHidden/>
          </w:rPr>
          <w:fldChar w:fldCharType="end"/>
        </w:r>
      </w:hyperlink>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480175" cy="175895"/>
                <wp:effectExtent l="0" t="0" r="0" b="0"/>
                <wp:wrapNone/>
                <wp:docPr id="693" name="Frame6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2">
        <w:r>
          <w:rPr>
            <w:rStyle w:val="InternetLink"/>
            <w:rFonts w:ascii="Times New Roman;Times;serif" w:hAnsi="Times New Roman;Times;serif"/>
            <w:b w:val="false"/>
            <w:i w:val="false"/>
            <w:caps w:val="false"/>
            <w:smallCaps w:val="false"/>
            <w:sz w:val="24"/>
            <w:shd w:fill="FFFFFF" w:val="clear"/>
          </w:rPr>
          <w:t>5.6</w:t>
        </w:r>
      </w:hyperlink>
      <w:r>
        <w:rPr>
          <w:rFonts w:ascii="Times New Roman;Times;serif" w:hAnsi="Times New Roman;Times;serif"/>
          <w:sz w:val="24"/>
          <w:shd w:fill="FFFFFF" w:val="clear"/>
        </w:rPr>
        <w:tab/>
      </w:r>
      <w:hyperlink w:anchor="_Toc235366532">
        <w:r>
          <w:rPr>
            <w:rStyle w:val="InternetLink"/>
            <w:rFonts w:ascii="Times New Roman;Times;serif" w:hAnsi="Times New Roman;Times;serif"/>
            <w:b w:val="false"/>
            <w:i w:val="false"/>
            <w:caps w:val="false"/>
            <w:smallCaps w:val="false"/>
            <w:sz w:val="24"/>
            <w:shd w:fill="FFFFFF" w:val="clear"/>
          </w:rPr>
          <w:t>Direct Claims</w:t>
        </w:r>
      </w:hyperlink>
      <w:hyperlink w:anchor="_Toc235366532">
        <w:r>
          <w:rPr>
            <w:webHidden/>
          </w:rPr>
          <w:fldChar w:fldCharType="begin"/>
        </w:r>
        <w:r>
          <w:rPr>
            <w:webHidden/>
          </w:rPr>
          <w:instrText xml:space="preserve">PAGEREF _Toc235366532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59</w:t>
        </w:r>
        <w:r>
          <w:rPr>
            <w:webHidden/>
          </w:rPr>
          <w:fldChar w:fldCharType="end"/>
        </w:r>
      </w:hyperlink>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6480175" cy="175895"/>
                <wp:effectExtent l="0" t="0" r="0" b="0"/>
                <wp:wrapNone/>
                <wp:docPr id="694" name="Frame6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3">
        <w:r>
          <w:rPr>
            <w:rStyle w:val="InternetLink"/>
            <w:rFonts w:ascii="Times New Roman;Times;serif" w:hAnsi="Times New Roman;Times;serif"/>
            <w:b w:val="false"/>
            <w:i w:val="false"/>
            <w:caps w:val="false"/>
            <w:smallCaps w:val="false"/>
            <w:sz w:val="24"/>
            <w:shd w:fill="FFFFFF" w:val="clear"/>
          </w:rPr>
          <w:t>5.7</w:t>
        </w:r>
      </w:hyperlink>
      <w:r>
        <w:rPr>
          <w:rFonts w:ascii="Times New Roman;Times;serif" w:hAnsi="Times New Roman;Times;serif"/>
          <w:sz w:val="24"/>
          <w:shd w:fill="FFFFFF" w:val="clear"/>
        </w:rPr>
        <w:tab/>
      </w:r>
      <w:hyperlink w:anchor="_Toc235366533">
        <w:r>
          <w:rPr>
            <w:rStyle w:val="InternetLink"/>
            <w:rFonts w:ascii="Times New Roman;Times;serif" w:hAnsi="Times New Roman;Times;serif"/>
            <w:b w:val="false"/>
            <w:i w:val="false"/>
            <w:caps w:val="false"/>
            <w:smallCaps w:val="false"/>
            <w:sz w:val="24"/>
            <w:shd w:fill="FFFFFF" w:val="clear"/>
          </w:rPr>
          <w:t>Final Purchase Price Adjustment</w:t>
        </w:r>
      </w:hyperlink>
      <w:hyperlink w:anchor="_Toc235366533">
        <w:r>
          <w:rPr>
            <w:webHidden/>
          </w:rPr>
          <w:fldChar w:fldCharType="begin"/>
        </w:r>
        <w:r>
          <w:rPr>
            <w:webHidden/>
          </w:rPr>
          <w:instrText xml:space="preserve">PAGEREF _Toc235366533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59</w:t>
        </w:r>
        <w:r>
          <w:rPr>
            <w:webHidden/>
          </w:rPr>
          <w:fldChar w:fldCharType="end"/>
        </w:r>
      </w:hyperlink>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480175" cy="175895"/>
                <wp:effectExtent l="0" t="0" r="0" b="0"/>
                <wp:wrapNone/>
                <wp:docPr id="695" name="Frame6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4">
        <w:r>
          <w:rPr>
            <w:rStyle w:val="InternetLink"/>
            <w:rFonts w:ascii="Times New Roman;Times;serif" w:hAnsi="Times New Roman;Times;serif"/>
            <w:b w:val="false"/>
            <w:i w:val="false"/>
            <w:caps w:val="false"/>
            <w:smallCaps w:val="false"/>
            <w:sz w:val="24"/>
            <w:shd w:fill="FFFFFF" w:val="clear"/>
          </w:rPr>
          <w:t>5.8</w:t>
        </w:r>
      </w:hyperlink>
      <w:r>
        <w:rPr>
          <w:rFonts w:ascii="Times New Roman;Times;serif" w:hAnsi="Times New Roman;Times;serif"/>
          <w:sz w:val="24"/>
          <w:shd w:fill="FFFFFF" w:val="clear"/>
        </w:rPr>
        <w:tab/>
      </w:r>
      <w:hyperlink w:anchor="_Toc235366534">
        <w:r>
          <w:rPr>
            <w:rStyle w:val="InternetLink"/>
            <w:rFonts w:ascii="Times New Roman;Times;serif" w:hAnsi="Times New Roman;Times;serif"/>
            <w:b w:val="false"/>
            <w:i w:val="false"/>
            <w:caps w:val="false"/>
            <w:smallCaps w:val="false"/>
            <w:sz w:val="24"/>
            <w:shd w:fill="FFFFFF" w:val="clear"/>
          </w:rPr>
          <w:t>Exclusive Remedies</w:t>
        </w:r>
      </w:hyperlink>
      <w:hyperlink w:anchor="_Toc235366534">
        <w:r>
          <w:rPr>
            <w:webHidden/>
          </w:rPr>
          <w:fldChar w:fldCharType="begin"/>
        </w:r>
        <w:r>
          <w:rPr>
            <w:webHidden/>
          </w:rPr>
          <w:instrText xml:space="preserve">PAGEREF _Toc235366534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480175" cy="175895"/>
                <wp:effectExtent l="0" t="0" r="0" b="0"/>
                <wp:wrapNone/>
                <wp:docPr id="696" name="Frame6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5">
        <w:r>
          <w:rPr>
            <w:rStyle w:val="InternetLink"/>
            <w:rFonts w:ascii="Times New Roman;Times;serif" w:hAnsi="Times New Roman;Times;serif"/>
            <w:b w:val="false"/>
            <w:i w:val="false"/>
            <w:caps w:val="false"/>
            <w:smallCaps w:val="false"/>
            <w:sz w:val="24"/>
            <w:shd w:fill="FFFFFF" w:val="clear"/>
          </w:rPr>
          <w:t>5.9</w:t>
        </w:r>
      </w:hyperlink>
      <w:r>
        <w:rPr>
          <w:rFonts w:ascii="Times New Roman;Times;serif" w:hAnsi="Times New Roman;Times;serif"/>
          <w:sz w:val="24"/>
          <w:shd w:fill="FFFFFF" w:val="clear"/>
        </w:rPr>
        <w:tab/>
      </w:r>
      <w:hyperlink w:anchor="_Toc235366535">
        <w:r>
          <w:rPr>
            <w:rStyle w:val="InternetLink"/>
            <w:rFonts w:ascii="Times New Roman;Times;serif" w:hAnsi="Times New Roman;Times;serif"/>
            <w:b w:val="false"/>
            <w:i w:val="false"/>
            <w:caps w:val="false"/>
            <w:smallCaps w:val="false"/>
            <w:sz w:val="24"/>
            <w:shd w:fill="FFFFFF" w:val="clear"/>
          </w:rPr>
          <w:t>Tax Benefits</w:t>
        </w:r>
      </w:hyperlink>
      <w:hyperlink w:anchor="_Toc235366535">
        <w:r>
          <w:rPr>
            <w:webHidden/>
          </w:rPr>
          <w:fldChar w:fldCharType="begin"/>
        </w:r>
        <w:r>
          <w:rPr>
            <w:webHidden/>
          </w:rPr>
          <w:instrText xml:space="preserve">PAGEREF _Toc235366535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480175" cy="175895"/>
                <wp:effectExtent l="0" t="0" r="0" b="0"/>
                <wp:wrapNone/>
                <wp:docPr id="697" name="Frame6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both"/>
        <w:rPr/>
      </w:pPr>
      <w:hyperlink w:anchor="_Toc235366536">
        <w:r>
          <w:rPr>
            <w:rStyle w:val="InternetLink"/>
            <w:rFonts w:ascii="Times New Roman Bold" w:hAnsi="Times New Roman Bold"/>
            <w:b/>
            <w:i w:val="false"/>
            <w:caps/>
            <w:sz w:val="24"/>
            <w:shd w:fill="FFFFFF" w:val="clear"/>
          </w:rPr>
          <w:t>Article VI</w:t>
        </w:r>
      </w:hyperlink>
      <w:hyperlink w:anchor="_Toc235366536">
        <w:r>
          <w:rPr>
            <w:webHidden/>
          </w:rPr>
          <w:fldChar w:fldCharType="begin"/>
        </w:r>
        <w:r>
          <w:rPr>
            <w:webHidden/>
          </w:rPr>
          <w:instrText xml:space="preserve">PAGEREF _Toc235366536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536">
        <w:r>
          <w:rPr>
            <w:webHidden/>
          </w:rPr>
          <w:fldChar w:fldCharType="begin"/>
        </w:r>
        <w:r>
          <w:rPr>
            <w:webHidden/>
          </w:rPr>
          <w:instrText xml:space="preserve">PAGEREF _Toc235366536 \h</w:instrText>
        </w:r>
        <w:r>
          <w:rPr>
            <w:webHidden/>
          </w:rPr>
          <w:fldChar w:fldCharType="separate"/>
        </w:r>
        <w:r>
          <w:rPr>
            <w:rStyle w:val="InternetLink"/>
            <w:rFonts w:ascii="Times New Roman Bold" w:hAnsi="Times New Roman Bold"/>
            <w:b/>
            <w:i w:val="false"/>
            <w:caps/>
            <w:sz w:val="24"/>
            <w:shd w:fill="FFFFFF" w:val="clear"/>
          </w:rPr>
          <w:t>Covenants and Agreements</w:t>
        </w:r>
        <w:r>
          <w:rPr>
            <w:webHidden/>
          </w:rPr>
          <w:fldChar w:fldCharType="end"/>
        </w:r>
      </w:hyperlink>
      <w:hyperlink w:anchor="_Toc235366536">
        <w:r>
          <w:rPr>
            <w:webHidden/>
          </w:rPr>
          <w:fldChar w:fldCharType="begin"/>
        </w:r>
        <w:r>
          <w:rPr>
            <w:webHidden/>
          </w:rPr>
          <w:instrText xml:space="preserve">PAGEREF _Toc235366536 \h</w:instrText>
        </w:r>
        <w:r>
          <w:rPr>
            <w:webHidden/>
          </w:rPr>
          <w:fldChar w:fldCharType="separate"/>
        </w:r>
        <w:r>
          <w:rPr>
            <w:rStyle w:val="InternetLink"/>
            <w:rFonts w:ascii="Times New Roman Bold" w:hAnsi="Times New Roman Bold"/>
            <w:b/>
            <w:i w:val="false"/>
            <w:caps/>
            <w:sz w:val="24"/>
            <w:shd w:fill="FFFFFF" w:val="clear"/>
          </w:rPr>
          <w:t>60</w:t>
        </w:r>
        <w:r>
          <w:rPr>
            <w:webHidden/>
          </w:rPr>
          <w:fldChar w:fldCharType="end"/>
        </w:r>
      </w:hyperlink>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6480175" cy="194310"/>
                <wp:effectExtent l="0" t="0" r="0" b="0"/>
                <wp:wrapNone/>
                <wp:docPr id="698" name="Frame69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60.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7">
        <w:r>
          <w:rPr>
            <w:rStyle w:val="InternetLink"/>
            <w:rFonts w:ascii="Times New Roman;Times;serif" w:hAnsi="Times New Roman;Times;serif"/>
            <w:b w:val="false"/>
            <w:i w:val="false"/>
            <w:caps w:val="false"/>
            <w:smallCaps w:val="false"/>
            <w:sz w:val="24"/>
            <w:shd w:fill="FFFFFF" w:val="clear"/>
          </w:rPr>
          <w:t>6.1</w:t>
        </w:r>
      </w:hyperlink>
      <w:r>
        <w:rPr>
          <w:rFonts w:ascii="Times New Roman;Times;serif" w:hAnsi="Times New Roman;Times;serif"/>
          <w:sz w:val="24"/>
          <w:shd w:fill="FFFFFF" w:val="clear"/>
        </w:rPr>
        <w:tab/>
      </w:r>
      <w:hyperlink w:anchor="_Toc235366537">
        <w:r>
          <w:rPr>
            <w:rStyle w:val="InternetLink"/>
            <w:rFonts w:ascii="Times New Roman;Times;serif" w:hAnsi="Times New Roman;Times;serif"/>
            <w:b w:val="false"/>
            <w:i w:val="false"/>
            <w:caps w:val="false"/>
            <w:smallCaps w:val="false"/>
            <w:sz w:val="24"/>
            <w:shd w:fill="FFFFFF" w:val="clear"/>
          </w:rPr>
          <w:t>Tax Matters</w:t>
        </w:r>
      </w:hyperlink>
      <w:hyperlink w:anchor="_Toc235366537">
        <w:r>
          <w:rPr>
            <w:webHidden/>
          </w:rPr>
          <w:fldChar w:fldCharType="begin"/>
        </w:r>
        <w:r>
          <w:rPr>
            <w:webHidden/>
          </w:rPr>
          <w:instrText xml:space="preserve">PAGEREF _Toc235366537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480175" cy="175895"/>
                <wp:effectExtent l="0" t="0" r="0" b="0"/>
                <wp:wrapNone/>
                <wp:docPr id="699" name="Frame6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8">
        <w:r>
          <w:rPr>
            <w:rStyle w:val="InternetLink"/>
            <w:rFonts w:ascii="Times New Roman;Times;serif" w:hAnsi="Times New Roman;Times;serif"/>
            <w:b w:val="false"/>
            <w:i w:val="false"/>
            <w:caps w:val="false"/>
            <w:smallCaps w:val="false"/>
            <w:sz w:val="24"/>
            <w:shd w:fill="FFFFFF" w:val="clear"/>
          </w:rPr>
          <w:t>6.2</w:t>
        </w:r>
      </w:hyperlink>
      <w:r>
        <w:rPr>
          <w:rFonts w:ascii="Times New Roman;Times;serif" w:hAnsi="Times New Roman;Times;serif"/>
          <w:sz w:val="24"/>
          <w:shd w:fill="FFFFFF" w:val="clear"/>
        </w:rPr>
        <w:tab/>
      </w:r>
      <w:hyperlink w:anchor="_Toc235366538">
        <w:r>
          <w:rPr>
            <w:rStyle w:val="InternetLink"/>
            <w:rFonts w:ascii="Times New Roman;Times;serif" w:hAnsi="Times New Roman;Times;serif"/>
            <w:b w:val="false"/>
            <w:i w:val="false"/>
            <w:caps w:val="false"/>
            <w:smallCaps w:val="false"/>
            <w:sz w:val="24"/>
            <w:shd w:fill="FFFFFF" w:val="clear"/>
          </w:rPr>
          <w:t>Employees and Benefit Plans</w:t>
        </w:r>
      </w:hyperlink>
      <w:hyperlink w:anchor="_Toc235366538">
        <w:r>
          <w:rPr>
            <w:webHidden/>
          </w:rPr>
          <w:fldChar w:fldCharType="begin"/>
        </w:r>
        <w:r>
          <w:rPr>
            <w:webHidden/>
          </w:rPr>
          <w:instrText xml:space="preserve">PAGEREF _Toc235366538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480175" cy="175895"/>
                <wp:effectExtent l="0" t="0" r="0" b="0"/>
                <wp:wrapNone/>
                <wp:docPr id="700" name="Frame7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39">
        <w:r>
          <w:rPr>
            <w:rStyle w:val="InternetLink"/>
            <w:rFonts w:ascii="Times New Roman;Times;serif" w:hAnsi="Times New Roman;Times;serif"/>
            <w:b w:val="false"/>
            <w:i w:val="false"/>
            <w:caps w:val="false"/>
            <w:smallCaps w:val="false"/>
            <w:sz w:val="24"/>
            <w:shd w:fill="FFFFFF" w:val="clear"/>
          </w:rPr>
          <w:t>6.3</w:t>
        </w:r>
      </w:hyperlink>
      <w:r>
        <w:rPr>
          <w:rFonts w:ascii="Times New Roman;Times;serif" w:hAnsi="Times New Roman;Times;serif"/>
          <w:sz w:val="24"/>
          <w:shd w:fill="FFFFFF" w:val="clear"/>
        </w:rPr>
        <w:tab/>
      </w:r>
      <w:hyperlink w:anchor="_Toc235366539">
        <w:r>
          <w:rPr>
            <w:rStyle w:val="InternetLink"/>
            <w:rFonts w:ascii="Times New Roman;Times;serif" w:hAnsi="Times New Roman;Times;serif"/>
            <w:b w:val="false"/>
            <w:i w:val="false"/>
            <w:caps w:val="false"/>
            <w:smallCaps w:val="false"/>
            <w:sz w:val="24"/>
            <w:shd w:fill="FFFFFF" w:val="clear"/>
          </w:rPr>
          <w:t>Restrictive Covenants</w:t>
        </w:r>
      </w:hyperlink>
      <w:hyperlink w:anchor="_Toc235366539">
        <w:r>
          <w:rPr>
            <w:webHidden/>
          </w:rPr>
          <w:fldChar w:fldCharType="begin"/>
        </w:r>
        <w:r>
          <w:rPr>
            <w:webHidden/>
          </w:rPr>
          <w:instrText xml:space="preserve">PAGEREF _Toc235366539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480175" cy="175895"/>
                <wp:effectExtent l="0" t="0" r="0" b="0"/>
                <wp:wrapNone/>
                <wp:docPr id="701" name="Frame7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0">
        <w:r>
          <w:rPr>
            <w:rStyle w:val="InternetLink"/>
            <w:rFonts w:ascii="Times New Roman;Times;serif" w:hAnsi="Times New Roman;Times;serif"/>
            <w:b w:val="false"/>
            <w:i w:val="false"/>
            <w:caps w:val="false"/>
            <w:smallCaps w:val="false"/>
            <w:sz w:val="24"/>
            <w:shd w:fill="FFFFFF" w:val="clear"/>
          </w:rPr>
          <w:t>6.4</w:t>
        </w:r>
      </w:hyperlink>
      <w:r>
        <w:rPr>
          <w:rFonts w:ascii="Times New Roman;Times;serif" w:hAnsi="Times New Roman;Times;serif"/>
          <w:sz w:val="24"/>
          <w:shd w:fill="FFFFFF" w:val="clear"/>
        </w:rPr>
        <w:tab/>
      </w:r>
      <w:hyperlink w:anchor="_Toc235366540">
        <w:r>
          <w:rPr>
            <w:rStyle w:val="InternetLink"/>
            <w:rFonts w:ascii="Times New Roman;Times;serif" w:hAnsi="Times New Roman;Times;serif"/>
            <w:b w:val="false"/>
            <w:i w:val="false"/>
            <w:caps w:val="false"/>
            <w:smallCaps w:val="false"/>
            <w:sz w:val="24"/>
            <w:shd w:fill="FFFFFF" w:val="clear"/>
          </w:rPr>
          <w:t>Confidentiality</w:t>
        </w:r>
      </w:hyperlink>
      <w:hyperlink w:anchor="_Toc235366540">
        <w:r>
          <w:rPr>
            <w:webHidden/>
          </w:rPr>
          <w:fldChar w:fldCharType="begin"/>
        </w:r>
        <w:r>
          <w:rPr>
            <w:webHidden/>
          </w:rPr>
          <w:instrText xml:space="preserve">PAGEREF _Toc235366540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68</w:t>
        </w:r>
        <w:r>
          <w:rPr>
            <w:webHidden/>
          </w:rPr>
          <w:fldChar w:fldCharType="end"/>
        </w:r>
      </w:hyperlink>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480175" cy="175895"/>
                <wp:effectExtent l="0" t="0" r="0" b="0"/>
                <wp:wrapNone/>
                <wp:docPr id="702" name="Frame7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1">
        <w:r>
          <w:rPr>
            <w:rStyle w:val="InternetLink"/>
            <w:rFonts w:ascii="Times New Roman;Times;serif" w:hAnsi="Times New Roman;Times;serif"/>
            <w:b w:val="false"/>
            <w:i w:val="false"/>
            <w:caps w:val="false"/>
            <w:smallCaps w:val="false"/>
            <w:sz w:val="24"/>
            <w:shd w:fill="FFFFFF" w:val="clear"/>
          </w:rPr>
          <w:t>6.5</w:t>
        </w:r>
      </w:hyperlink>
      <w:r>
        <w:rPr>
          <w:rFonts w:ascii="Times New Roman;Times;serif" w:hAnsi="Times New Roman;Times;serif"/>
          <w:sz w:val="24"/>
          <w:shd w:fill="FFFFFF" w:val="clear"/>
        </w:rPr>
        <w:tab/>
      </w:r>
      <w:hyperlink w:anchor="_Toc235366541">
        <w:r>
          <w:rPr>
            <w:rStyle w:val="InternetLink"/>
            <w:rFonts w:ascii="Times New Roman;Times;serif" w:hAnsi="Times New Roman;Times;serif"/>
            <w:b w:val="false"/>
            <w:i w:val="false"/>
            <w:caps w:val="false"/>
            <w:smallCaps w:val="false"/>
            <w:sz w:val="24"/>
            <w:shd w:fill="FFFFFF" w:val="clear"/>
          </w:rPr>
          <w:t>Certain Lease Matters</w:t>
        </w:r>
      </w:hyperlink>
      <w:hyperlink w:anchor="_Toc235366541">
        <w:r>
          <w:rPr>
            <w:webHidden/>
          </w:rPr>
          <w:fldChar w:fldCharType="begin"/>
        </w:r>
        <w:r>
          <w:rPr>
            <w:webHidden/>
          </w:rPr>
          <w:instrText xml:space="preserve">PAGEREF _Toc235366541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68</w:t>
        </w:r>
        <w:r>
          <w:rPr>
            <w:webHidden/>
          </w:rPr>
          <w:fldChar w:fldCharType="end"/>
        </w:r>
      </w:hyperlink>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480175" cy="175895"/>
                <wp:effectExtent l="0" t="0" r="0" b="0"/>
                <wp:wrapNone/>
                <wp:docPr id="703" name="Frame7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2">
        <w:r>
          <w:rPr>
            <w:rStyle w:val="InternetLink"/>
            <w:rFonts w:ascii="Times New Roman;Times;serif" w:hAnsi="Times New Roman;Times;serif"/>
            <w:b w:val="false"/>
            <w:i w:val="false"/>
            <w:caps w:val="false"/>
            <w:smallCaps w:val="false"/>
            <w:sz w:val="24"/>
            <w:shd w:fill="FFFFFF" w:val="clear"/>
          </w:rPr>
          <w:t>6.6</w:t>
        </w:r>
      </w:hyperlink>
      <w:r>
        <w:rPr>
          <w:rFonts w:ascii="Times New Roman;Times;serif" w:hAnsi="Times New Roman;Times;serif"/>
          <w:sz w:val="24"/>
          <w:shd w:fill="FFFFFF" w:val="clear"/>
        </w:rPr>
        <w:tab/>
      </w:r>
      <w:hyperlink w:anchor="_Toc235366542">
        <w:r>
          <w:rPr>
            <w:rStyle w:val="InternetLink"/>
            <w:rFonts w:ascii="Times New Roman;Times;serif" w:hAnsi="Times New Roman;Times;serif"/>
            <w:b w:val="false"/>
            <w:i w:val="false"/>
            <w:caps w:val="false"/>
            <w:smallCaps w:val="false"/>
            <w:sz w:val="24"/>
            <w:shd w:fill="FFFFFF" w:val="clear"/>
          </w:rPr>
          <w:t>Company Name and Marks</w:t>
        </w:r>
      </w:hyperlink>
      <w:hyperlink w:anchor="_Toc235366542">
        <w:r>
          <w:rPr>
            <w:webHidden/>
          </w:rPr>
          <w:fldChar w:fldCharType="begin"/>
        </w:r>
        <w:r>
          <w:rPr>
            <w:webHidden/>
          </w:rPr>
          <w:instrText xml:space="preserve">PAGEREF _Toc235366542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480175" cy="175895"/>
                <wp:effectExtent l="0" t="0" r="0" b="0"/>
                <wp:wrapNone/>
                <wp:docPr id="704" name="Frame7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3">
        <w:r>
          <w:rPr>
            <w:rStyle w:val="InternetLink"/>
            <w:rFonts w:ascii="Times New Roman;Times;serif" w:hAnsi="Times New Roman;Times;serif"/>
            <w:b w:val="false"/>
            <w:i w:val="false"/>
            <w:caps w:val="false"/>
            <w:smallCaps w:val="false"/>
            <w:sz w:val="24"/>
            <w:shd w:fill="FFFFFF" w:val="clear"/>
          </w:rPr>
          <w:t>6.7</w:t>
        </w:r>
      </w:hyperlink>
      <w:r>
        <w:rPr>
          <w:rFonts w:ascii="Times New Roman;Times;serif" w:hAnsi="Times New Roman;Times;serif"/>
          <w:sz w:val="24"/>
          <w:shd w:fill="FFFFFF" w:val="clear"/>
        </w:rPr>
        <w:tab/>
      </w:r>
      <w:hyperlink w:anchor="_Toc235366543">
        <w:r>
          <w:rPr>
            <w:rStyle w:val="InternetLink"/>
            <w:rFonts w:ascii="Times New Roman;Times;serif" w:hAnsi="Times New Roman;Times;serif"/>
            <w:b w:val="false"/>
            <w:i w:val="false"/>
            <w:caps w:val="false"/>
            <w:smallCaps w:val="false"/>
            <w:sz w:val="24"/>
            <w:shd w:fill="FFFFFF" w:val="clear"/>
          </w:rPr>
          <w:t>Release</w:t>
        </w:r>
      </w:hyperlink>
      <w:hyperlink w:anchor="_Toc235366543">
        <w:r>
          <w:rPr>
            <w:webHidden/>
          </w:rPr>
          <w:fldChar w:fldCharType="begin"/>
        </w:r>
        <w:r>
          <w:rPr>
            <w:webHidden/>
          </w:rPr>
          <w:instrText xml:space="preserve">PAGEREF _Toc235366543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480175" cy="175895"/>
                <wp:effectExtent l="0" t="0" r="0" b="0"/>
                <wp:wrapNone/>
                <wp:docPr id="705" name="Frame7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4">
        <w:r>
          <w:rPr>
            <w:rStyle w:val="InternetLink"/>
            <w:rFonts w:ascii="Times New Roman;Times;serif" w:hAnsi="Times New Roman;Times;serif"/>
            <w:b w:val="false"/>
            <w:i w:val="false"/>
            <w:caps w:val="false"/>
            <w:smallCaps w:val="false"/>
            <w:sz w:val="24"/>
            <w:shd w:fill="FFFFFF" w:val="clear"/>
          </w:rPr>
          <w:t>6.8</w:t>
        </w:r>
      </w:hyperlink>
      <w:r>
        <w:rPr>
          <w:rFonts w:ascii="Times New Roman;Times;serif" w:hAnsi="Times New Roman;Times;serif"/>
          <w:sz w:val="24"/>
          <w:shd w:fill="FFFFFF" w:val="clear"/>
        </w:rPr>
        <w:tab/>
      </w:r>
      <w:hyperlink w:anchor="_Toc235366544">
        <w:r>
          <w:rPr>
            <w:rStyle w:val="InternetLink"/>
            <w:rFonts w:ascii="Times New Roman;Times;serif" w:hAnsi="Times New Roman;Times;serif"/>
            <w:b w:val="false"/>
            <w:i w:val="false"/>
            <w:caps w:val="false"/>
            <w:smallCaps w:val="false"/>
            <w:sz w:val="24"/>
            <w:shd w:fill="FFFFFF" w:val="clear"/>
          </w:rPr>
          <w:t>Record Retention</w:t>
        </w:r>
      </w:hyperlink>
      <w:hyperlink w:anchor="_Toc235366544">
        <w:r>
          <w:rPr>
            <w:webHidden/>
          </w:rPr>
          <w:fldChar w:fldCharType="begin"/>
        </w:r>
        <w:r>
          <w:rPr>
            <w:webHidden/>
          </w:rPr>
          <w:instrText xml:space="preserve">PAGEREF _Toc235366544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6480175" cy="175895"/>
                <wp:effectExtent l="0" t="0" r="0" b="0"/>
                <wp:wrapNone/>
                <wp:docPr id="706" name="Frame7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5">
        <w:r>
          <w:rPr>
            <w:rStyle w:val="InternetLink"/>
            <w:rFonts w:ascii="Times New Roman;Times;serif" w:hAnsi="Times New Roman;Times;serif"/>
            <w:b w:val="false"/>
            <w:i w:val="false"/>
            <w:caps w:val="false"/>
            <w:smallCaps w:val="false"/>
            <w:sz w:val="24"/>
            <w:shd w:fill="FFFFFF" w:val="clear"/>
          </w:rPr>
          <w:t>6.9</w:t>
        </w:r>
      </w:hyperlink>
      <w:r>
        <w:rPr>
          <w:rFonts w:ascii="Times New Roman;Times;serif" w:hAnsi="Times New Roman;Times;serif"/>
          <w:sz w:val="24"/>
          <w:shd w:fill="FFFFFF" w:val="clear"/>
        </w:rPr>
        <w:tab/>
      </w:r>
      <w:hyperlink w:anchor="_Toc235366545">
        <w:r>
          <w:rPr>
            <w:rStyle w:val="InternetLink"/>
            <w:rFonts w:ascii="Times New Roman;Times;serif" w:hAnsi="Times New Roman;Times;serif"/>
            <w:b w:val="false"/>
            <w:i w:val="false"/>
            <w:caps w:val="false"/>
            <w:smallCaps w:val="false"/>
            <w:sz w:val="24"/>
            <w:shd w:fill="FFFFFF" w:val="clear"/>
          </w:rPr>
          <w:t>Tail Insurance</w:t>
        </w:r>
      </w:hyperlink>
      <w:hyperlink w:anchor="_Toc235366545">
        <w:r>
          <w:rPr>
            <w:webHidden/>
          </w:rPr>
          <w:fldChar w:fldCharType="begin"/>
        </w:r>
        <w:r>
          <w:rPr>
            <w:webHidden/>
          </w:rPr>
          <w:instrText xml:space="preserve">PAGEREF _Toc235366545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480175" cy="175895"/>
                <wp:effectExtent l="0" t="0" r="0" b="0"/>
                <wp:wrapNone/>
                <wp:docPr id="707" name="Frame7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6">
        <w:r>
          <w:rPr>
            <w:rStyle w:val="InternetLink"/>
            <w:rFonts w:ascii="Times New Roman;Times;serif" w:hAnsi="Times New Roman;Times;serif"/>
            <w:b w:val="false"/>
            <w:i w:val="false"/>
            <w:caps w:val="false"/>
            <w:smallCaps w:val="false"/>
            <w:sz w:val="24"/>
            <w:shd w:fill="FFFFFF" w:val="clear"/>
          </w:rPr>
          <w:t>6.10</w:t>
        </w:r>
      </w:hyperlink>
      <w:r>
        <w:rPr>
          <w:rFonts w:ascii="Times New Roman;Times;serif" w:hAnsi="Times New Roman;Times;serif"/>
          <w:sz w:val="24"/>
          <w:shd w:fill="FFFFFF" w:val="clear"/>
        </w:rPr>
        <w:tab/>
      </w:r>
      <w:hyperlink w:anchor="_Toc235366546">
        <w:r>
          <w:rPr>
            <w:rStyle w:val="InternetLink"/>
            <w:rFonts w:ascii="Times New Roman;Times;serif" w:hAnsi="Times New Roman;Times;serif"/>
            <w:b w:val="false"/>
            <w:i w:val="false"/>
            <w:caps w:val="false"/>
            <w:smallCaps w:val="false"/>
            <w:sz w:val="24"/>
            <w:shd w:fill="FFFFFF" w:val="clear"/>
          </w:rPr>
          <w:t>Insurance Coverage</w:t>
        </w:r>
      </w:hyperlink>
      <w:hyperlink w:anchor="_Toc235366546">
        <w:r>
          <w:rPr>
            <w:webHidden/>
          </w:rPr>
          <w:fldChar w:fldCharType="begin"/>
        </w:r>
        <w:r>
          <w:rPr>
            <w:webHidden/>
          </w:rPr>
          <w:instrText xml:space="preserve">PAGEREF _Toc235366546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72</w:t>
        </w:r>
        <w:r>
          <w:rPr>
            <w:webHidden/>
          </w:rPr>
          <w:fldChar w:fldCharType="end"/>
        </w:r>
      </w:hyperlink>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6480175" cy="175895"/>
                <wp:effectExtent l="0" t="0" r="0" b="0"/>
                <wp:wrapNone/>
                <wp:docPr id="708" name="Frame7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7">
        <w:r>
          <w:rPr>
            <w:rStyle w:val="InternetLink"/>
            <w:rFonts w:ascii="Times New Roman;Times;serif" w:hAnsi="Times New Roman;Times;serif"/>
            <w:b w:val="false"/>
            <w:i w:val="false"/>
            <w:caps w:val="false"/>
            <w:smallCaps w:val="false"/>
            <w:sz w:val="24"/>
            <w:shd w:fill="FFFFFF" w:val="clear"/>
          </w:rPr>
          <w:t>6.11</w:t>
        </w:r>
      </w:hyperlink>
      <w:r>
        <w:rPr>
          <w:rFonts w:ascii="Times New Roman;Times;serif" w:hAnsi="Times New Roman;Times;serif"/>
          <w:sz w:val="24"/>
          <w:shd w:fill="FFFFFF" w:val="clear"/>
        </w:rPr>
        <w:tab/>
      </w:r>
      <w:hyperlink w:anchor="_Toc235366547">
        <w:r>
          <w:rPr>
            <w:rStyle w:val="InternetLink"/>
            <w:rFonts w:ascii="Times New Roman;Times;serif" w:hAnsi="Times New Roman;Times;serif"/>
            <w:b w:val="false"/>
            <w:i w:val="false"/>
            <w:caps w:val="false"/>
            <w:smallCaps w:val="false"/>
            <w:sz w:val="24"/>
            <w:shd w:fill="FFFFFF" w:val="clear"/>
          </w:rPr>
          <w:t>Termination Costs</w:t>
        </w:r>
      </w:hyperlink>
      <w:hyperlink w:anchor="_Toc235366547">
        <w:r>
          <w:rPr>
            <w:webHidden/>
          </w:rPr>
          <w:fldChar w:fldCharType="begin"/>
        </w:r>
        <w:r>
          <w:rPr>
            <w:webHidden/>
          </w:rPr>
          <w:instrText xml:space="preserve">PAGEREF _Toc235366547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72</w:t>
        </w:r>
        <w:r>
          <w:rPr>
            <w:webHidden/>
          </w:rPr>
          <w:fldChar w:fldCharType="end"/>
        </w:r>
      </w:hyperlink>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480175" cy="175895"/>
                <wp:effectExtent l="0" t="0" r="0" b="0"/>
                <wp:wrapNone/>
                <wp:docPr id="709" name="Frame7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8">
        <w:r>
          <w:rPr>
            <w:rStyle w:val="InternetLink"/>
            <w:rFonts w:ascii="Times New Roman;Times;serif" w:hAnsi="Times New Roman;Times;serif"/>
            <w:b w:val="false"/>
            <w:i w:val="false"/>
            <w:caps w:val="false"/>
            <w:smallCaps w:val="false"/>
            <w:sz w:val="24"/>
            <w:shd w:fill="FFFFFF" w:val="clear"/>
          </w:rPr>
          <w:t>6.12</w:t>
        </w:r>
      </w:hyperlink>
      <w:r>
        <w:rPr>
          <w:rFonts w:ascii="Times New Roman;Times;serif" w:hAnsi="Times New Roman;Times;serif"/>
          <w:sz w:val="24"/>
          <w:shd w:fill="FFFFFF" w:val="clear"/>
        </w:rPr>
        <w:tab/>
      </w:r>
      <w:hyperlink w:anchor="_Toc235366548">
        <w:r>
          <w:rPr>
            <w:rStyle w:val="InternetLink"/>
            <w:rFonts w:ascii="Times New Roman;Times;serif" w:hAnsi="Times New Roman;Times;serif"/>
            <w:b w:val="false"/>
            <w:i w:val="false"/>
            <w:caps w:val="false"/>
            <w:smallCaps w:val="false"/>
            <w:sz w:val="24"/>
            <w:shd w:fill="FFFFFF" w:val="clear"/>
          </w:rPr>
          <w:t>R&amp;W Insurance Policy</w:t>
        </w:r>
      </w:hyperlink>
      <w:hyperlink w:anchor="_Toc235366548">
        <w:r>
          <w:rPr>
            <w:webHidden/>
          </w:rPr>
          <w:fldChar w:fldCharType="begin"/>
        </w:r>
        <w:r>
          <w:rPr>
            <w:webHidden/>
          </w:rPr>
          <w:instrText xml:space="preserve">PAGEREF _Toc235366548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6480175" cy="175895"/>
                <wp:effectExtent l="0" t="0" r="0" b="0"/>
                <wp:wrapNone/>
                <wp:docPr id="710" name="Frame7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49">
        <w:r>
          <w:rPr>
            <w:rStyle w:val="InternetLink"/>
            <w:rFonts w:ascii="Times New Roman;Times;serif" w:hAnsi="Times New Roman;Times;serif"/>
            <w:b w:val="false"/>
            <w:i w:val="false"/>
            <w:caps w:val="false"/>
            <w:smallCaps w:val="false"/>
            <w:sz w:val="24"/>
            <w:shd w:fill="FFFFFF" w:val="clear"/>
          </w:rPr>
          <w:t>6.13</w:t>
        </w:r>
      </w:hyperlink>
      <w:r>
        <w:rPr>
          <w:rFonts w:ascii="Times New Roman;Times;serif" w:hAnsi="Times New Roman;Times;serif"/>
          <w:sz w:val="24"/>
          <w:shd w:fill="FFFFFF" w:val="clear"/>
        </w:rPr>
        <w:tab/>
      </w:r>
      <w:hyperlink w:anchor="_Toc235366549">
        <w:r>
          <w:rPr>
            <w:rStyle w:val="InternetLink"/>
            <w:rFonts w:ascii="Times New Roman;Times;serif" w:hAnsi="Times New Roman;Times;serif"/>
            <w:b w:val="false"/>
            <w:i w:val="false"/>
            <w:caps w:val="false"/>
            <w:smallCaps w:val="false"/>
            <w:sz w:val="24"/>
            <w:shd w:fill="FFFFFF" w:val="clear"/>
          </w:rPr>
          <w:t>Conduct of Business Prior to Closing</w:t>
        </w:r>
      </w:hyperlink>
      <w:hyperlink w:anchor="_Toc235366549">
        <w:r>
          <w:rPr>
            <w:webHidden/>
          </w:rPr>
          <w:fldChar w:fldCharType="begin"/>
        </w:r>
        <w:r>
          <w:rPr>
            <w:webHidden/>
          </w:rPr>
          <w:instrText xml:space="preserve">PAGEREF _Toc235366549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480175" cy="175895"/>
                <wp:effectExtent l="0" t="0" r="0" b="0"/>
                <wp:wrapNone/>
                <wp:docPr id="711" name="Frame7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0">
        <w:r>
          <w:rPr>
            <w:rStyle w:val="InternetLink"/>
            <w:rFonts w:ascii="Times New Roman;Times;serif" w:hAnsi="Times New Roman;Times;serif"/>
            <w:b w:val="false"/>
            <w:i w:val="false"/>
            <w:caps w:val="false"/>
            <w:smallCaps w:val="false"/>
            <w:sz w:val="24"/>
            <w:shd w:fill="FFFFFF" w:val="clear"/>
          </w:rPr>
          <w:t>6.14</w:t>
        </w:r>
      </w:hyperlink>
      <w:r>
        <w:rPr>
          <w:rFonts w:ascii="Times New Roman;Times;serif" w:hAnsi="Times New Roman;Times;serif"/>
          <w:sz w:val="24"/>
          <w:shd w:fill="FFFFFF" w:val="clear"/>
        </w:rPr>
        <w:tab/>
      </w:r>
      <w:hyperlink w:anchor="_Toc235366550">
        <w:r>
          <w:rPr>
            <w:rStyle w:val="InternetLink"/>
            <w:rFonts w:ascii="Times New Roman;Times;serif" w:hAnsi="Times New Roman;Times;serif"/>
            <w:b w:val="false"/>
            <w:i w:val="false"/>
            <w:caps w:val="false"/>
            <w:smallCaps w:val="false"/>
            <w:sz w:val="24"/>
            <w:shd w:fill="FFFFFF" w:val="clear"/>
          </w:rPr>
          <w:t>Access to Information Prior to Closing</w:t>
        </w:r>
      </w:hyperlink>
      <w:hyperlink w:anchor="_Toc235366550">
        <w:r>
          <w:rPr>
            <w:webHidden/>
          </w:rPr>
          <w:fldChar w:fldCharType="begin"/>
        </w:r>
        <w:r>
          <w:rPr>
            <w:webHidden/>
          </w:rPr>
          <w:instrText xml:space="preserve">PAGEREF _Toc235366550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6480175" cy="175895"/>
                <wp:effectExtent l="0" t="0" r="0" b="0"/>
                <wp:wrapNone/>
                <wp:docPr id="712" name="Frame7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1">
        <w:r>
          <w:rPr>
            <w:rStyle w:val="InternetLink"/>
            <w:rFonts w:ascii="Times New Roman;Times;serif" w:hAnsi="Times New Roman;Times;serif"/>
            <w:b w:val="false"/>
            <w:i w:val="false"/>
            <w:caps w:val="false"/>
            <w:smallCaps w:val="false"/>
            <w:sz w:val="24"/>
            <w:shd w:fill="FFFFFF" w:val="clear"/>
          </w:rPr>
          <w:t>6.15</w:t>
        </w:r>
      </w:hyperlink>
      <w:r>
        <w:rPr>
          <w:rFonts w:ascii="Times New Roman;Times;serif" w:hAnsi="Times New Roman;Times;serif"/>
          <w:sz w:val="24"/>
          <w:shd w:fill="FFFFFF" w:val="clear"/>
        </w:rPr>
        <w:tab/>
      </w:r>
      <w:hyperlink w:anchor="_Toc235366551">
        <w:r>
          <w:rPr>
            <w:rStyle w:val="InternetLink"/>
            <w:rFonts w:ascii="Times New Roman;Times;serif" w:hAnsi="Times New Roman;Times;serif"/>
            <w:b w:val="false"/>
            <w:i w:val="false"/>
            <w:caps w:val="false"/>
            <w:smallCaps w:val="false"/>
            <w:sz w:val="24"/>
            <w:shd w:fill="FFFFFF" w:val="clear"/>
          </w:rPr>
          <w:t>No Solicitation of Other Bids</w:t>
        </w:r>
      </w:hyperlink>
      <w:hyperlink w:anchor="_Toc235366551">
        <w:r>
          <w:rPr>
            <w:webHidden/>
          </w:rPr>
          <w:fldChar w:fldCharType="begin"/>
        </w:r>
        <w:r>
          <w:rPr>
            <w:webHidden/>
          </w:rPr>
          <w:instrText xml:space="preserve">PAGEREF _Toc235366551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6480175" cy="175895"/>
                <wp:effectExtent l="0" t="0" r="0" b="0"/>
                <wp:wrapNone/>
                <wp:docPr id="713" name="Frame7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2">
        <w:r>
          <w:rPr>
            <w:rStyle w:val="InternetLink"/>
            <w:rFonts w:ascii="Times New Roman;Times;serif" w:hAnsi="Times New Roman;Times;serif"/>
            <w:b w:val="false"/>
            <w:i w:val="false"/>
            <w:caps w:val="false"/>
            <w:smallCaps w:val="false"/>
            <w:sz w:val="24"/>
            <w:shd w:fill="FFFFFF" w:val="clear"/>
          </w:rPr>
          <w:t>6.16</w:t>
        </w:r>
      </w:hyperlink>
      <w:r>
        <w:rPr>
          <w:rFonts w:ascii="Times New Roman;Times;serif" w:hAnsi="Times New Roman;Times;serif"/>
          <w:sz w:val="24"/>
          <w:shd w:fill="FFFFFF" w:val="clear"/>
        </w:rPr>
        <w:tab/>
      </w:r>
      <w:hyperlink w:anchor="_Toc235366552">
        <w:r>
          <w:rPr>
            <w:rStyle w:val="InternetLink"/>
            <w:rFonts w:ascii="Times New Roman;Times;serif" w:hAnsi="Times New Roman;Times;serif"/>
            <w:b w:val="false"/>
            <w:i w:val="false"/>
            <w:caps w:val="false"/>
            <w:smallCaps w:val="false"/>
            <w:sz w:val="24"/>
            <w:shd w:fill="FFFFFF" w:val="clear"/>
          </w:rPr>
          <w:t>Notice of Certain Events</w:t>
        </w:r>
      </w:hyperlink>
      <w:hyperlink w:anchor="_Toc235366552">
        <w:r>
          <w:rPr>
            <w:webHidden/>
          </w:rPr>
          <w:fldChar w:fldCharType="begin"/>
        </w:r>
        <w:r>
          <w:rPr>
            <w:webHidden/>
          </w:rPr>
          <w:instrText xml:space="preserve">PAGEREF _Toc235366552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76</w:t>
        </w:r>
        <w:r>
          <w:rPr>
            <w:webHidden/>
          </w:rPr>
          <w:fldChar w:fldCharType="end"/>
        </w:r>
      </w:hyperlink>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480175" cy="175895"/>
                <wp:effectExtent l="0" t="0" r="0" b="0"/>
                <wp:wrapNone/>
                <wp:docPr id="714" name="Frame7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3">
        <w:r>
          <w:rPr>
            <w:rStyle w:val="InternetLink"/>
            <w:rFonts w:ascii="Times New Roman;Times;serif" w:hAnsi="Times New Roman;Times;serif"/>
            <w:b w:val="false"/>
            <w:i w:val="false"/>
            <w:caps w:val="false"/>
            <w:smallCaps w:val="false"/>
            <w:sz w:val="24"/>
            <w:shd w:fill="FFFFFF" w:val="clear"/>
          </w:rPr>
          <w:t>6.17</w:t>
        </w:r>
      </w:hyperlink>
      <w:r>
        <w:rPr>
          <w:rFonts w:ascii="Times New Roman;Times;serif" w:hAnsi="Times New Roman;Times;serif"/>
          <w:sz w:val="24"/>
          <w:shd w:fill="FFFFFF" w:val="clear"/>
        </w:rPr>
        <w:tab/>
      </w:r>
      <w:hyperlink w:anchor="_Toc235366553">
        <w:r>
          <w:rPr>
            <w:rStyle w:val="InternetLink"/>
            <w:rFonts w:ascii="Times New Roman;Times;serif" w:hAnsi="Times New Roman;Times;serif"/>
            <w:b w:val="false"/>
            <w:i w:val="false"/>
            <w:caps w:val="false"/>
            <w:smallCaps w:val="false"/>
            <w:sz w:val="24"/>
            <w:shd w:fill="FFFFFF" w:val="clear"/>
          </w:rPr>
          <w:t>Colchester Matters</w:t>
        </w:r>
      </w:hyperlink>
      <w:hyperlink w:anchor="_Toc235366553">
        <w:r>
          <w:rPr>
            <w:webHidden/>
          </w:rPr>
          <w:fldChar w:fldCharType="begin"/>
        </w:r>
        <w:r>
          <w:rPr>
            <w:webHidden/>
          </w:rPr>
          <w:instrText xml:space="preserve">PAGEREF _Toc235366553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76</w:t>
        </w:r>
        <w:r>
          <w:rPr>
            <w:webHidden/>
          </w:rPr>
          <w:fldChar w:fldCharType="end"/>
        </w:r>
      </w:hyperlink>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6480175" cy="175895"/>
                <wp:effectExtent l="0" t="0" r="0" b="0"/>
                <wp:wrapNone/>
                <wp:docPr id="715" name="Frame7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4">
        <w:r>
          <w:rPr>
            <w:rStyle w:val="InternetLink"/>
            <w:rFonts w:ascii="Times New Roman;Times;serif" w:hAnsi="Times New Roman;Times;serif"/>
            <w:b w:val="false"/>
            <w:i w:val="false"/>
            <w:caps w:val="false"/>
            <w:smallCaps w:val="false"/>
            <w:sz w:val="24"/>
            <w:shd w:fill="FFFFFF" w:val="clear"/>
          </w:rPr>
          <w:t>6.18</w:t>
        </w:r>
      </w:hyperlink>
      <w:r>
        <w:rPr>
          <w:rFonts w:ascii="Times New Roman;Times;serif" w:hAnsi="Times New Roman;Times;serif"/>
          <w:sz w:val="24"/>
          <w:shd w:fill="FFFFFF" w:val="clear"/>
        </w:rPr>
        <w:tab/>
      </w:r>
      <w:hyperlink w:anchor="_Toc235366554">
        <w:r>
          <w:rPr>
            <w:rStyle w:val="InternetLink"/>
            <w:rFonts w:ascii="Times New Roman;Times;serif" w:hAnsi="Times New Roman;Times;serif"/>
            <w:b w:val="false"/>
            <w:i w:val="false"/>
            <w:caps w:val="false"/>
            <w:smallCaps w:val="false"/>
            <w:sz w:val="24"/>
            <w:shd w:fill="FFFFFF" w:val="clear"/>
          </w:rPr>
          <w:t>Restructuring</w:t>
        </w:r>
      </w:hyperlink>
      <w:hyperlink w:anchor="_Toc235366554">
        <w:r>
          <w:rPr>
            <w:webHidden/>
          </w:rPr>
          <w:fldChar w:fldCharType="begin"/>
        </w:r>
        <w:r>
          <w:rPr>
            <w:webHidden/>
          </w:rPr>
          <w:instrText xml:space="preserve">PAGEREF _Toc235366554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77</w:t>
        </w:r>
        <w:r>
          <w:rPr>
            <w:webHidden/>
          </w:rPr>
          <w:fldChar w:fldCharType="end"/>
        </w:r>
      </w:hyperlink>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6480175" cy="175895"/>
                <wp:effectExtent l="0" t="0" r="0" b="0"/>
                <wp:wrapNone/>
                <wp:docPr id="716" name="Frame7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5">
        <w:r>
          <w:rPr>
            <w:rStyle w:val="InternetLink"/>
            <w:rFonts w:ascii="Times New Roman;Times;serif" w:hAnsi="Times New Roman;Times;serif"/>
            <w:b w:val="false"/>
            <w:i w:val="false"/>
            <w:caps w:val="false"/>
            <w:smallCaps w:val="false"/>
            <w:sz w:val="24"/>
            <w:shd w:fill="FFFFFF" w:val="clear"/>
          </w:rPr>
          <w:t>6.19</w:t>
        </w:r>
      </w:hyperlink>
      <w:r>
        <w:rPr>
          <w:rFonts w:ascii="Times New Roman;Times;serif" w:hAnsi="Times New Roman;Times;serif"/>
          <w:sz w:val="24"/>
          <w:shd w:fill="FFFFFF" w:val="clear"/>
        </w:rPr>
        <w:tab/>
      </w:r>
      <w:hyperlink w:anchor="_Toc235366555">
        <w:r>
          <w:rPr>
            <w:rStyle w:val="InternetLink"/>
            <w:rFonts w:ascii="Times New Roman;Times;serif" w:hAnsi="Times New Roman;Times;serif"/>
            <w:b w:val="false"/>
            <w:i w:val="false"/>
            <w:caps w:val="false"/>
            <w:smallCaps w:val="false"/>
            <w:sz w:val="24"/>
            <w:shd w:fill="FFFFFF" w:val="clear"/>
          </w:rPr>
          <w:t>Data Room Copies</w:t>
        </w:r>
      </w:hyperlink>
      <w:hyperlink w:anchor="_Toc235366555">
        <w:r>
          <w:rPr>
            <w:webHidden/>
          </w:rPr>
          <w:fldChar w:fldCharType="begin"/>
        </w:r>
        <w:r>
          <w:rPr>
            <w:webHidden/>
          </w:rPr>
          <w:instrText xml:space="preserve">PAGEREF _Toc235366555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78</w:t>
        </w:r>
        <w:r>
          <w:rPr>
            <w:webHidden/>
          </w:rPr>
          <w:fldChar w:fldCharType="end"/>
        </w:r>
      </w:hyperlink>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6480175" cy="175895"/>
                <wp:effectExtent l="0" t="0" r="0" b="0"/>
                <wp:wrapNone/>
                <wp:docPr id="717" name="Frame7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6">
        <w:r>
          <w:rPr>
            <w:rStyle w:val="InternetLink"/>
            <w:rFonts w:ascii="Times New Roman;Times;serif" w:hAnsi="Times New Roman;Times;serif"/>
            <w:b w:val="false"/>
            <w:i w:val="false"/>
            <w:caps w:val="false"/>
            <w:smallCaps w:val="false"/>
            <w:sz w:val="24"/>
            <w:shd w:fill="FFFFFF" w:val="clear"/>
          </w:rPr>
          <w:t>6.20</w:t>
        </w:r>
      </w:hyperlink>
      <w:r>
        <w:rPr>
          <w:rFonts w:ascii="Times New Roman;Times;serif" w:hAnsi="Times New Roman;Times;serif"/>
          <w:sz w:val="24"/>
          <w:shd w:fill="FFFFFF" w:val="clear"/>
        </w:rPr>
        <w:tab/>
      </w:r>
      <w:hyperlink w:anchor="_Toc235366556">
        <w:r>
          <w:rPr>
            <w:rStyle w:val="InternetLink"/>
            <w:rFonts w:ascii="Times New Roman;Times;serif" w:hAnsi="Times New Roman;Times;serif"/>
            <w:b w:val="false"/>
            <w:i w:val="false"/>
            <w:caps w:val="false"/>
            <w:smallCaps w:val="false"/>
            <w:sz w:val="24"/>
            <w:shd w:fill="FFFFFF" w:val="clear"/>
          </w:rPr>
          <w:t>Replacement of Seller Credit Support</w:t>
        </w:r>
      </w:hyperlink>
      <w:hyperlink w:anchor="_Toc235366556">
        <w:r>
          <w:rPr>
            <w:webHidden/>
          </w:rPr>
          <w:fldChar w:fldCharType="begin"/>
        </w:r>
        <w:r>
          <w:rPr>
            <w:webHidden/>
          </w:rPr>
          <w:instrText xml:space="preserve">PAGEREF _Toc235366556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78</w:t>
        </w:r>
        <w:r>
          <w:rPr>
            <w:webHidden/>
          </w:rPr>
          <w:fldChar w:fldCharType="end"/>
        </w:r>
      </w:hyperlink>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6480175" cy="175895"/>
                <wp:effectExtent l="0" t="0" r="0" b="0"/>
                <wp:wrapNone/>
                <wp:docPr id="718" name="Frame7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7">
        <w:r>
          <w:rPr>
            <w:rStyle w:val="InternetLink"/>
            <w:rFonts w:ascii="Times New Roman;Times;serif" w:hAnsi="Times New Roman;Times;serif"/>
            <w:b w:val="false"/>
            <w:i w:val="false"/>
            <w:caps w:val="false"/>
            <w:smallCaps w:val="false"/>
            <w:sz w:val="24"/>
            <w:shd w:fill="FFFFFF" w:val="clear"/>
          </w:rPr>
          <w:t>6.21</w:t>
        </w:r>
      </w:hyperlink>
      <w:r>
        <w:rPr>
          <w:rFonts w:ascii="Times New Roman;Times;serif" w:hAnsi="Times New Roman;Times;serif"/>
          <w:sz w:val="24"/>
          <w:shd w:fill="FFFFFF" w:val="clear"/>
        </w:rPr>
        <w:tab/>
      </w:r>
      <w:hyperlink w:anchor="_Toc235366557">
        <w:r>
          <w:rPr>
            <w:rStyle w:val="InternetLink"/>
            <w:rFonts w:ascii="Times New Roman;Times;serif" w:hAnsi="Times New Roman;Times;serif"/>
            <w:b w:val="false"/>
            <w:i w:val="false"/>
            <w:caps w:val="false"/>
            <w:smallCaps w:val="false"/>
            <w:sz w:val="24"/>
            <w:shd w:fill="FFFFFF" w:val="clear"/>
          </w:rPr>
          <w:t>Post-Closing Misdirected Payments.</w:t>
        </w:r>
      </w:hyperlink>
      <w:hyperlink w:anchor="_Toc235366557">
        <w:r>
          <w:rPr>
            <w:webHidden/>
          </w:rPr>
          <w:fldChar w:fldCharType="begin"/>
        </w:r>
        <w:r>
          <w:rPr>
            <w:webHidden/>
          </w:rPr>
          <w:instrText xml:space="preserve">PAGEREF _Toc235366557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80</w:t>
        </w:r>
        <w:r>
          <w:rPr>
            <w:webHidden/>
          </w:rPr>
          <w:fldChar w:fldCharType="end"/>
        </w:r>
      </w:hyperlink>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480175" cy="175895"/>
                <wp:effectExtent l="0" t="0" r="0" b="0"/>
                <wp:wrapNone/>
                <wp:docPr id="719" name="Frame7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9.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8">
        <w:r>
          <w:rPr>
            <w:rStyle w:val="InternetLink"/>
            <w:rFonts w:ascii="Times New Roman;Times;serif" w:hAnsi="Times New Roman;Times;serif"/>
            <w:b w:val="false"/>
            <w:i w:val="false"/>
            <w:caps w:val="false"/>
            <w:smallCaps w:val="false"/>
            <w:sz w:val="24"/>
            <w:shd w:fill="FFFFFF" w:val="clear"/>
          </w:rPr>
          <w:t>6.22</w:t>
        </w:r>
      </w:hyperlink>
      <w:r>
        <w:rPr>
          <w:rFonts w:ascii="Times New Roman;Times;serif" w:hAnsi="Times New Roman;Times;serif"/>
          <w:sz w:val="24"/>
          <w:shd w:fill="FFFFFF" w:val="clear"/>
        </w:rPr>
        <w:tab/>
      </w:r>
      <w:hyperlink w:anchor="_Toc235366558">
        <w:r>
          <w:rPr>
            <w:rStyle w:val="InternetLink"/>
            <w:rFonts w:ascii="Times New Roman;Times;serif" w:hAnsi="Times New Roman;Times;serif"/>
            <w:b w:val="false"/>
            <w:i w:val="false"/>
            <w:caps w:val="false"/>
            <w:smallCaps w:val="false"/>
            <w:sz w:val="24"/>
            <w:shd w:fill="FFFFFF" w:val="clear"/>
          </w:rPr>
          <w:t>Certain Retained Leases; Post-Closing Cooperation and Cost Allocation.</w:t>
        </w:r>
      </w:hyperlink>
      <w:hyperlink w:anchor="_Toc235366558">
        <w:r>
          <w:rPr>
            <w:webHidden/>
          </w:rPr>
          <w:fldChar w:fldCharType="begin"/>
        </w:r>
        <w:r>
          <w:rPr>
            <w:webHidden/>
          </w:rPr>
          <w:instrText xml:space="preserve">PAGEREF _Toc235366558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80</w:t>
        </w:r>
        <w:r>
          <w:rPr>
            <w:webHidden/>
          </w:rPr>
          <w:fldChar w:fldCharType="end"/>
        </w:r>
      </w:hyperlink>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6480175" cy="175895"/>
                <wp:effectExtent l="0" t="0" r="0" b="0"/>
                <wp:wrapNone/>
                <wp:docPr id="720" name="Frame7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1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59">
        <w:r>
          <w:rPr>
            <w:rStyle w:val="InternetLink"/>
            <w:rFonts w:ascii="Times New Roman;Times;serif" w:hAnsi="Times New Roman;Times;serif"/>
            <w:b w:val="false"/>
            <w:i w:val="false"/>
            <w:caps w:val="false"/>
            <w:smallCaps w:val="false"/>
            <w:sz w:val="24"/>
            <w:shd w:fill="FFFFFF" w:val="clear"/>
          </w:rPr>
          <w:t>6.23</w:t>
        </w:r>
      </w:hyperlink>
      <w:r>
        <w:rPr>
          <w:rFonts w:ascii="Times New Roman;Times;serif" w:hAnsi="Times New Roman;Times;serif"/>
          <w:sz w:val="24"/>
          <w:shd w:fill="FFFFFF" w:val="clear"/>
        </w:rPr>
        <w:tab/>
      </w:r>
      <w:hyperlink w:anchor="_Toc235366559">
        <w:r>
          <w:rPr>
            <w:rStyle w:val="InternetLink"/>
            <w:rFonts w:ascii="Times New Roman;Times;serif" w:hAnsi="Times New Roman;Times;serif"/>
            <w:b w:val="false"/>
            <w:i w:val="false"/>
            <w:caps w:val="false"/>
            <w:smallCaps w:val="false"/>
            <w:sz w:val="24"/>
            <w:shd w:fill="FFFFFF" w:val="clear"/>
          </w:rPr>
          <w:t>Seller Cooperation.</w:t>
        </w:r>
      </w:hyperlink>
      <w:hyperlink w:anchor="_Toc235366559">
        <w:r>
          <w:rPr>
            <w:webHidden/>
          </w:rPr>
          <w:fldChar w:fldCharType="begin"/>
        </w:r>
        <w:r>
          <w:rPr>
            <w:webHidden/>
          </w:rPr>
          <w:instrText xml:space="preserve">PAGEREF _Toc235366559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82</w:t>
        </w:r>
        <w:r>
          <w:rPr>
            <w:webHidden/>
          </w:rPr>
          <w:fldChar w:fldCharType="end"/>
        </w:r>
      </w:hyperlink>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6480175" cy="175895"/>
                <wp:effectExtent l="0" t="0" r="0" b="0"/>
                <wp:wrapNone/>
                <wp:docPr id="721" name="Frame7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60">
        <w:r>
          <w:rPr>
            <w:rStyle w:val="InternetLink"/>
            <w:rFonts w:ascii="Times New Roman;Times;serif" w:hAnsi="Times New Roman;Times;serif"/>
            <w:b w:val="false"/>
            <w:i w:val="false"/>
            <w:caps w:val="false"/>
            <w:smallCaps w:val="false"/>
            <w:sz w:val="24"/>
            <w:shd w:fill="FFFFFF" w:val="clear"/>
          </w:rPr>
          <w:t>6.24</w:t>
        </w:r>
      </w:hyperlink>
      <w:r>
        <w:rPr>
          <w:rFonts w:ascii="Times New Roman;Times;serif" w:hAnsi="Times New Roman;Times;serif"/>
          <w:sz w:val="24"/>
          <w:shd w:fill="FFFFFF" w:val="clear"/>
        </w:rPr>
        <w:tab/>
      </w:r>
      <w:hyperlink w:anchor="_Toc235366560">
        <w:r>
          <w:rPr>
            <w:rStyle w:val="InternetLink"/>
            <w:rFonts w:ascii="Times New Roman;Times;serif" w:hAnsi="Times New Roman;Times;serif"/>
            <w:b w:val="false"/>
            <w:i w:val="false"/>
            <w:caps w:val="false"/>
            <w:smallCaps w:val="false"/>
            <w:sz w:val="24"/>
            <w:shd w:fill="FFFFFF" w:val="clear"/>
          </w:rPr>
          <w:t>Contractual Matters</w:t>
        </w:r>
      </w:hyperlink>
      <w:hyperlink w:anchor="_Toc235366560">
        <w:r>
          <w:rPr>
            <w:webHidden/>
          </w:rPr>
          <w:fldChar w:fldCharType="begin"/>
        </w:r>
        <w:r>
          <w:rPr>
            <w:webHidden/>
          </w:rPr>
          <w:instrText xml:space="preserve">PAGEREF _Toc235366560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82</w:t>
        </w:r>
        <w:r>
          <w:rPr>
            <w:webHidden/>
          </w:rPr>
          <w:fldChar w:fldCharType="end"/>
        </w:r>
      </w:hyperlink>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6480175" cy="175895"/>
                <wp:effectExtent l="0" t="0" r="0" b="0"/>
                <wp:wrapNone/>
                <wp:docPr id="722" name="Frame7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61">
        <w:r>
          <w:rPr>
            <w:rStyle w:val="InternetLink"/>
            <w:rFonts w:ascii="Times New Roman;Times;serif" w:hAnsi="Times New Roman;Times;serif"/>
            <w:b w:val="false"/>
            <w:i w:val="false"/>
            <w:caps w:val="false"/>
            <w:smallCaps w:val="false"/>
            <w:sz w:val="24"/>
            <w:shd w:fill="FFFFFF" w:val="clear"/>
          </w:rPr>
          <w:t>6.25</w:t>
        </w:r>
      </w:hyperlink>
      <w:r>
        <w:rPr>
          <w:rFonts w:ascii="Times New Roman;Times;serif" w:hAnsi="Times New Roman;Times;serif"/>
          <w:sz w:val="24"/>
          <w:shd w:fill="FFFFFF" w:val="clear"/>
        </w:rPr>
        <w:tab/>
      </w:r>
      <w:hyperlink w:anchor="_Toc235366561">
        <w:r>
          <w:rPr>
            <w:rStyle w:val="InternetLink"/>
            <w:rFonts w:ascii="Times New Roman;Times;serif" w:hAnsi="Times New Roman;Times;serif"/>
            <w:b w:val="false"/>
            <w:i w:val="false"/>
            <w:caps w:val="false"/>
            <w:smallCaps w:val="false"/>
            <w:sz w:val="24"/>
            <w:shd w:fill="FFFFFF" w:val="clear"/>
          </w:rPr>
          <w:t>No Impairment</w:t>
        </w:r>
      </w:hyperlink>
      <w:hyperlink w:anchor="_Toc235366561">
        <w:r>
          <w:rPr>
            <w:webHidden/>
          </w:rPr>
          <w:fldChar w:fldCharType="begin"/>
        </w:r>
        <w:r>
          <w:rPr>
            <w:webHidden/>
          </w:rPr>
          <w:instrText xml:space="preserve">PAGEREF _Toc235366561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83</w:t>
        </w:r>
        <w:r>
          <w:rPr>
            <w:webHidden/>
          </w:rPr>
          <w:fldChar w:fldCharType="end"/>
        </w:r>
      </w:hyperlink>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6480175" cy="175895"/>
                <wp:effectExtent l="0" t="0" r="0" b="0"/>
                <wp:wrapNone/>
                <wp:docPr id="723" name="Frame7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both"/>
        <w:rPr/>
      </w:pPr>
      <w:hyperlink w:anchor="_Toc235366562">
        <w:r>
          <w:rPr>
            <w:rStyle w:val="InternetLink"/>
            <w:rFonts w:ascii="Times New Roman Bold" w:hAnsi="Times New Roman Bold"/>
            <w:b/>
            <w:i w:val="false"/>
            <w:caps/>
            <w:sz w:val="24"/>
            <w:shd w:fill="FFFFFF" w:val="clear"/>
          </w:rPr>
          <w:t>Article VII</w:t>
        </w:r>
      </w:hyperlink>
      <w:hyperlink w:anchor="_Toc235366562">
        <w:r>
          <w:rPr>
            <w:webHidden/>
          </w:rPr>
          <w:fldChar w:fldCharType="begin"/>
        </w:r>
        <w:r>
          <w:rPr>
            <w:webHidden/>
          </w:rPr>
          <w:instrText xml:space="preserve">PAGEREF _Toc235366562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562">
        <w:r>
          <w:rPr>
            <w:webHidden/>
          </w:rPr>
          <w:fldChar w:fldCharType="begin"/>
        </w:r>
        <w:r>
          <w:rPr>
            <w:webHidden/>
          </w:rPr>
          <w:instrText xml:space="preserve">PAGEREF _Toc235366562 \h</w:instrText>
        </w:r>
        <w:r>
          <w:rPr>
            <w:webHidden/>
          </w:rPr>
          <w:fldChar w:fldCharType="separate"/>
        </w:r>
        <w:r>
          <w:rPr>
            <w:rStyle w:val="InternetLink"/>
            <w:rFonts w:ascii="Times New Roman Bold" w:hAnsi="Times New Roman Bold"/>
            <w:b/>
            <w:i w:val="false"/>
            <w:caps/>
            <w:sz w:val="24"/>
            <w:shd w:fill="FFFFFF" w:val="clear"/>
          </w:rPr>
          <w:t>CONDITIONS TO CLOSING</w:t>
        </w:r>
        <w:r>
          <w:rPr>
            <w:webHidden/>
          </w:rPr>
          <w:fldChar w:fldCharType="end"/>
        </w:r>
      </w:hyperlink>
      <w:hyperlink w:anchor="_Toc235366562">
        <w:r>
          <w:rPr>
            <w:webHidden/>
          </w:rPr>
          <w:fldChar w:fldCharType="begin"/>
        </w:r>
        <w:r>
          <w:rPr>
            <w:webHidden/>
          </w:rPr>
          <w:instrText xml:space="preserve">PAGEREF _Toc235366562 \h</w:instrText>
        </w:r>
        <w:r>
          <w:rPr>
            <w:webHidden/>
          </w:rPr>
          <w:fldChar w:fldCharType="separate"/>
        </w:r>
        <w:r>
          <w:rPr>
            <w:rStyle w:val="InternetLink"/>
            <w:rFonts w:ascii="Times New Roman Bold" w:hAnsi="Times New Roman Bold"/>
            <w:b/>
            <w:i w:val="false"/>
            <w:caps/>
            <w:sz w:val="24"/>
            <w:shd w:fill="FFFFFF" w:val="clear"/>
          </w:rPr>
          <w:t>83</w:t>
        </w:r>
        <w:r>
          <w:rPr>
            <w:webHidden/>
          </w:rPr>
          <w:fldChar w:fldCharType="end"/>
        </w:r>
      </w:hyperlink>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6480175" cy="194310"/>
                <wp:effectExtent l="0" t="0" r="0" b="0"/>
                <wp:wrapNone/>
                <wp:docPr id="724" name="Frame72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2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63">
        <w:r>
          <w:rPr>
            <w:rStyle w:val="InternetLink"/>
            <w:rFonts w:ascii="Times New Roman;Times;serif" w:hAnsi="Times New Roman;Times;serif"/>
            <w:b w:val="false"/>
            <w:i w:val="false"/>
            <w:caps w:val="false"/>
            <w:smallCaps w:val="false"/>
            <w:sz w:val="24"/>
            <w:shd w:fill="FFFFFF" w:val="clear"/>
          </w:rPr>
          <w:t>7.1</w:t>
        </w:r>
      </w:hyperlink>
      <w:r>
        <w:rPr>
          <w:rFonts w:ascii="Times New Roman;Times;serif" w:hAnsi="Times New Roman;Times;serif"/>
          <w:sz w:val="24"/>
          <w:shd w:fill="FFFFFF" w:val="clear"/>
        </w:rPr>
        <w:tab/>
      </w:r>
      <w:hyperlink w:anchor="_Toc235366563">
        <w:r>
          <w:rPr>
            <w:rStyle w:val="InternetLink"/>
            <w:rFonts w:ascii="Times New Roman;Times;serif" w:hAnsi="Times New Roman;Times;serif"/>
            <w:b w:val="false"/>
            <w:i w:val="false"/>
            <w:caps w:val="false"/>
            <w:smallCaps w:val="false"/>
            <w:sz w:val="24"/>
            <w:shd w:fill="FFFFFF" w:val="clear"/>
          </w:rPr>
          <w:t>Conditions to Obligations of the Parties</w:t>
        </w:r>
      </w:hyperlink>
      <w:hyperlink w:anchor="_Toc235366563">
        <w:r>
          <w:rPr>
            <w:webHidden/>
          </w:rPr>
          <w:fldChar w:fldCharType="begin"/>
        </w:r>
        <w:r>
          <w:rPr>
            <w:webHidden/>
          </w:rPr>
          <w:instrText xml:space="preserve">PAGEREF _Toc235366563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83</w:t>
        </w:r>
        <w:r>
          <w:rPr>
            <w:webHidden/>
          </w:rPr>
          <w:fldChar w:fldCharType="end"/>
        </w:r>
      </w:hyperlink>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6480175" cy="175895"/>
                <wp:effectExtent l="0" t="0" r="0" b="0"/>
                <wp:wrapNone/>
                <wp:docPr id="725" name="Frame7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64">
        <w:r>
          <w:rPr>
            <w:rStyle w:val="InternetLink"/>
            <w:rFonts w:ascii="Times New Roman;Times;serif" w:hAnsi="Times New Roman;Times;serif"/>
            <w:b w:val="false"/>
            <w:i w:val="false"/>
            <w:caps w:val="false"/>
            <w:smallCaps w:val="false"/>
            <w:sz w:val="24"/>
            <w:shd w:fill="FFFFFF" w:val="clear"/>
          </w:rPr>
          <w:t>7.2</w:t>
        </w:r>
      </w:hyperlink>
      <w:r>
        <w:rPr>
          <w:rFonts w:ascii="Times New Roman;Times;serif" w:hAnsi="Times New Roman;Times;serif"/>
          <w:sz w:val="24"/>
          <w:shd w:fill="FFFFFF" w:val="clear"/>
        </w:rPr>
        <w:tab/>
      </w:r>
      <w:hyperlink w:anchor="_Toc235366564">
        <w:r>
          <w:rPr>
            <w:rStyle w:val="InternetLink"/>
            <w:rFonts w:ascii="Times New Roman;Times;serif" w:hAnsi="Times New Roman;Times;serif"/>
            <w:b w:val="false"/>
            <w:i w:val="false"/>
            <w:caps w:val="false"/>
            <w:smallCaps w:val="false"/>
            <w:sz w:val="24"/>
            <w:shd w:fill="FFFFFF" w:val="clear"/>
          </w:rPr>
          <w:t>Conditions to Obligations of Buyer</w:t>
        </w:r>
      </w:hyperlink>
      <w:hyperlink w:anchor="_Toc235366564">
        <w:r>
          <w:rPr>
            <w:webHidden/>
          </w:rPr>
          <w:fldChar w:fldCharType="begin"/>
        </w:r>
        <w:r>
          <w:rPr>
            <w:webHidden/>
          </w:rPr>
          <w:instrText xml:space="preserve">PAGEREF _Toc235366564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83</w:t>
        </w:r>
        <w:r>
          <w:rPr>
            <w:webHidden/>
          </w:rPr>
          <w:fldChar w:fldCharType="end"/>
        </w:r>
      </w:hyperlink>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6480175" cy="175895"/>
                <wp:effectExtent l="0" t="0" r="0" b="0"/>
                <wp:wrapNone/>
                <wp:docPr id="726" name="Frame7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65">
        <w:r>
          <w:rPr>
            <w:rStyle w:val="InternetLink"/>
            <w:rFonts w:ascii="Times New Roman;Times;serif" w:hAnsi="Times New Roman;Times;serif"/>
            <w:b w:val="false"/>
            <w:i w:val="false"/>
            <w:caps w:val="false"/>
            <w:smallCaps w:val="false"/>
            <w:sz w:val="24"/>
            <w:shd w:fill="FFFFFF" w:val="clear"/>
          </w:rPr>
          <w:t>7.3</w:t>
        </w:r>
      </w:hyperlink>
      <w:r>
        <w:rPr>
          <w:rFonts w:ascii="Times New Roman;Times;serif" w:hAnsi="Times New Roman;Times;serif"/>
          <w:sz w:val="24"/>
          <w:shd w:fill="FFFFFF" w:val="clear"/>
        </w:rPr>
        <w:tab/>
      </w:r>
      <w:hyperlink w:anchor="_Toc235366565">
        <w:r>
          <w:rPr>
            <w:rStyle w:val="InternetLink"/>
            <w:rFonts w:ascii="Times New Roman;Times;serif" w:hAnsi="Times New Roman;Times;serif"/>
            <w:b w:val="false"/>
            <w:i w:val="false"/>
            <w:caps w:val="false"/>
            <w:smallCaps w:val="false"/>
            <w:sz w:val="24"/>
            <w:shd w:fill="FFFFFF" w:val="clear"/>
          </w:rPr>
          <w:t>Conditions to Obligations of Seller.</w:t>
        </w:r>
      </w:hyperlink>
      <w:hyperlink w:anchor="_Toc235366565">
        <w:r>
          <w:rPr>
            <w:webHidden/>
          </w:rPr>
          <w:fldChar w:fldCharType="begin"/>
        </w:r>
        <w:r>
          <w:rPr>
            <w:webHidden/>
          </w:rPr>
          <w:instrText xml:space="preserve">PAGEREF _Toc235366565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6480175" cy="175895"/>
                <wp:effectExtent l="0" t="0" r="0" b="0"/>
                <wp:wrapNone/>
                <wp:docPr id="727" name="Frame7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both"/>
        <w:rPr/>
      </w:pPr>
      <w:hyperlink w:anchor="_Toc235366566">
        <w:r>
          <w:rPr>
            <w:rStyle w:val="InternetLink"/>
            <w:rFonts w:ascii="Times New Roman Bold" w:hAnsi="Times New Roman Bold"/>
            <w:b/>
            <w:i w:val="false"/>
            <w:caps/>
            <w:sz w:val="24"/>
            <w:shd w:fill="FFFFFF" w:val="clear"/>
          </w:rPr>
          <w:t>Article VIII</w:t>
        </w:r>
      </w:hyperlink>
      <w:hyperlink w:anchor="_Toc235366566">
        <w:r>
          <w:rPr>
            <w:webHidden/>
          </w:rPr>
          <w:fldChar w:fldCharType="begin"/>
        </w:r>
        <w:r>
          <w:rPr>
            <w:webHidden/>
          </w:rPr>
          <w:instrText xml:space="preserve">PAGEREF _Toc235366566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566">
        <w:r>
          <w:rPr>
            <w:webHidden/>
          </w:rPr>
          <w:fldChar w:fldCharType="begin"/>
        </w:r>
        <w:r>
          <w:rPr>
            <w:webHidden/>
          </w:rPr>
          <w:instrText xml:space="preserve">PAGEREF _Toc235366566 \h</w:instrText>
        </w:r>
        <w:r>
          <w:rPr>
            <w:webHidden/>
          </w:rPr>
          <w:fldChar w:fldCharType="separate"/>
        </w:r>
        <w:r>
          <w:rPr>
            <w:rStyle w:val="InternetLink"/>
            <w:rFonts w:ascii="Times New Roman Bold" w:hAnsi="Times New Roman Bold"/>
            <w:b/>
            <w:i w:val="false"/>
            <w:caps/>
            <w:sz w:val="24"/>
            <w:shd w:fill="FFFFFF" w:val="clear"/>
          </w:rPr>
          <w:t>Termination</w:t>
        </w:r>
        <w:r>
          <w:rPr>
            <w:webHidden/>
          </w:rPr>
          <w:fldChar w:fldCharType="end"/>
        </w:r>
      </w:hyperlink>
      <w:hyperlink w:anchor="_Toc235366566">
        <w:r>
          <w:rPr>
            <w:webHidden/>
          </w:rPr>
          <w:fldChar w:fldCharType="begin"/>
        </w:r>
        <w:r>
          <w:rPr>
            <w:webHidden/>
          </w:rPr>
          <w:instrText xml:space="preserve">PAGEREF _Toc235366566 \h</w:instrText>
        </w:r>
        <w:r>
          <w:rPr>
            <w:webHidden/>
          </w:rPr>
          <w:fldChar w:fldCharType="separate"/>
        </w:r>
        <w:r>
          <w:rPr>
            <w:rStyle w:val="InternetLink"/>
            <w:rFonts w:ascii="Times New Roman Bold" w:hAnsi="Times New Roman Bold"/>
            <w:b/>
            <w:i w:val="false"/>
            <w:caps/>
            <w:sz w:val="24"/>
            <w:shd w:fill="FFFFFF" w:val="clear"/>
          </w:rPr>
          <w:t>87</w:t>
        </w:r>
        <w:r>
          <w:rPr>
            <w:webHidden/>
          </w:rPr>
          <w:fldChar w:fldCharType="end"/>
        </w:r>
      </w:hyperlink>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6480175" cy="194310"/>
                <wp:effectExtent l="0" t="0" r="0" b="0"/>
                <wp:wrapNone/>
                <wp:docPr id="728" name="Frame72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151.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67">
        <w:r>
          <w:rPr>
            <w:rStyle w:val="InternetLink"/>
            <w:rFonts w:ascii="Times New Roman;Times;serif" w:hAnsi="Times New Roman;Times;serif"/>
            <w:b w:val="false"/>
            <w:i w:val="false"/>
            <w:caps w:val="false"/>
            <w:smallCaps w:val="false"/>
            <w:sz w:val="24"/>
            <w:shd w:fill="FFFFFF" w:val="clear"/>
          </w:rPr>
          <w:t>8.1</w:t>
        </w:r>
      </w:hyperlink>
      <w:r>
        <w:rPr>
          <w:rFonts w:ascii="Times New Roman;Times;serif" w:hAnsi="Times New Roman;Times;serif"/>
          <w:sz w:val="24"/>
          <w:shd w:fill="FFFFFF" w:val="clear"/>
        </w:rPr>
        <w:tab/>
      </w:r>
      <w:hyperlink w:anchor="_Toc235366567">
        <w:r>
          <w:rPr>
            <w:rStyle w:val="InternetLink"/>
            <w:rFonts w:ascii="Times New Roman;Times;serif" w:hAnsi="Times New Roman;Times;serif"/>
            <w:b w:val="false"/>
            <w:i w:val="false"/>
            <w:caps w:val="false"/>
            <w:smallCaps w:val="false"/>
            <w:sz w:val="24"/>
            <w:shd w:fill="FFFFFF" w:val="clear"/>
          </w:rPr>
          <w:t>Termination</w:t>
        </w:r>
      </w:hyperlink>
      <w:hyperlink w:anchor="_Toc235366567">
        <w:r>
          <w:rPr>
            <w:webHidden/>
          </w:rPr>
          <w:fldChar w:fldCharType="begin"/>
        </w:r>
        <w:r>
          <w:rPr>
            <w:webHidden/>
          </w:rPr>
          <w:instrText xml:space="preserve">PAGEREF _Toc235366567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87</w:t>
        </w:r>
        <w:r>
          <w:rPr>
            <w:webHidden/>
          </w:rPr>
          <w:fldChar w:fldCharType="end"/>
        </w:r>
      </w:hyperlink>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6480175" cy="175895"/>
                <wp:effectExtent l="0" t="0" r="0" b="0"/>
                <wp:wrapNone/>
                <wp:docPr id="729" name="Frame7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720" w:right="0" w:hanging="0"/>
        <w:jc w:val="both"/>
        <w:rPr/>
      </w:pPr>
      <w:hyperlink w:anchor="_Toc235366568">
        <w:r>
          <w:rPr>
            <w:rStyle w:val="InternetLink"/>
            <w:rFonts w:ascii="Times New Roman;Times;serif" w:hAnsi="Times New Roman;Times;serif"/>
            <w:b w:val="false"/>
            <w:i w:val="false"/>
            <w:caps w:val="false"/>
            <w:smallCaps w:val="false"/>
            <w:sz w:val="24"/>
            <w:shd w:fill="FFFFFF" w:val="clear"/>
          </w:rPr>
          <w:t>8.2</w:t>
        </w:r>
      </w:hyperlink>
      <w:r>
        <w:rPr>
          <w:rFonts w:ascii="Times New Roman;Times;serif" w:hAnsi="Times New Roman;Times;serif"/>
          <w:sz w:val="24"/>
          <w:shd w:fill="FFFFFF" w:val="clear"/>
        </w:rPr>
        <w:tab/>
      </w:r>
      <w:hyperlink w:anchor="_Toc235366568">
        <w:r>
          <w:rPr>
            <w:rStyle w:val="InternetLink"/>
            <w:rFonts w:ascii="Times New Roman;Times;serif" w:hAnsi="Times New Roman;Times;serif"/>
            <w:b w:val="false"/>
            <w:i w:val="false"/>
            <w:caps w:val="false"/>
            <w:smallCaps w:val="false"/>
            <w:sz w:val="24"/>
            <w:shd w:fill="FFFFFF" w:val="clear"/>
          </w:rPr>
          <w:t>Effect of Termination</w:t>
        </w:r>
      </w:hyperlink>
      <w:hyperlink w:anchor="_Toc235366568">
        <w:r>
          <w:rPr>
            <w:webHidden/>
          </w:rPr>
          <w:fldChar w:fldCharType="begin"/>
        </w:r>
        <w:r>
          <w:rPr>
            <w:webHidden/>
          </w:rPr>
          <w:instrText xml:space="preserve">PAGEREF _Toc235366568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88</w:t>
        </w:r>
        <w:r>
          <w:rPr>
            <w:webHidden/>
          </w:rPr>
          <w:fldChar w:fldCharType="end"/>
        </w:r>
      </w:hyperlink>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6480175" cy="175895"/>
                <wp:effectExtent l="0" t="0" r="0" b="0"/>
                <wp:wrapNone/>
                <wp:docPr id="730" name="Frame7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0" w:right="0" w:hanging="0"/>
        <w:jc w:val="both"/>
        <w:rPr/>
      </w:pPr>
      <w:hyperlink w:anchor="_Toc235366569">
        <w:r>
          <w:rPr>
            <w:rStyle w:val="InternetLink"/>
            <w:rFonts w:ascii="Times New Roman Bold" w:hAnsi="Times New Roman Bold"/>
            <w:b/>
            <w:i w:val="false"/>
            <w:caps/>
            <w:sz w:val="24"/>
            <w:shd w:fill="FFFFFF" w:val="clear"/>
          </w:rPr>
          <w:t>Article IX</w:t>
        </w:r>
      </w:hyperlink>
      <w:hyperlink w:anchor="_Toc235366569">
        <w:r>
          <w:rPr>
            <w:webHidden/>
          </w:rPr>
          <w:fldChar w:fldCharType="begin"/>
        </w:r>
        <w:r>
          <w:rPr>
            <w:webHidden/>
          </w:rPr>
          <w:instrText xml:space="preserve">PAGEREF _Toc235366569 \h</w:instrText>
        </w:r>
        <w:r>
          <w:rPr>
            <w:webHidden/>
          </w:rPr>
          <w:fldChar w:fldCharType="separate"/>
        </w:r>
        <w:r>
          <w:rPr>
            <w:rStyle w:val="InternetLink"/>
            <w:rFonts w:ascii="Times New Roman;Times;serif" w:hAnsi="Times New Roman;Times;serif"/>
            <w:b/>
            <w:caps/>
            <w:sz w:val="24"/>
            <w:shd w:fill="FFFFFF" w:val="clear"/>
          </w:rPr>
          <w:t xml:space="preserve"> </w:t>
        </w:r>
        <w:r>
          <w:rPr>
            <w:webHidden/>
          </w:rPr>
          <w:fldChar w:fldCharType="end"/>
        </w:r>
      </w:hyperlink>
      <w:hyperlink w:anchor="_Toc235366569">
        <w:r>
          <w:rPr>
            <w:webHidden/>
          </w:rPr>
          <w:fldChar w:fldCharType="begin"/>
        </w:r>
        <w:r>
          <w:rPr>
            <w:webHidden/>
          </w:rPr>
          <w:instrText xml:space="preserve">PAGEREF _Toc235366569 \h</w:instrText>
        </w:r>
        <w:r>
          <w:rPr>
            <w:webHidden/>
          </w:rPr>
          <w:fldChar w:fldCharType="separate"/>
        </w:r>
        <w:r>
          <w:rPr>
            <w:rStyle w:val="InternetLink"/>
            <w:rFonts w:ascii="Times New Roman Bold" w:hAnsi="Times New Roman Bold"/>
            <w:b/>
            <w:i w:val="false"/>
            <w:caps/>
            <w:sz w:val="24"/>
            <w:shd w:fill="FFFFFF" w:val="clear"/>
          </w:rPr>
          <w:t>Miscellaneous</w:t>
        </w:r>
        <w:r>
          <w:rPr>
            <w:webHidden/>
          </w:rPr>
          <w:fldChar w:fldCharType="end"/>
        </w:r>
      </w:hyperlink>
      <w:hyperlink w:anchor="_Toc235366569">
        <w:r>
          <w:rPr>
            <w:webHidden/>
          </w:rPr>
          <w:fldChar w:fldCharType="begin"/>
        </w:r>
        <w:r>
          <w:rPr>
            <w:webHidden/>
          </w:rPr>
          <w:instrText xml:space="preserve">PAGEREF _Toc235366569 \h</w:instrText>
        </w:r>
        <w:r>
          <w:rPr>
            <w:webHidden/>
          </w:rPr>
          <w:fldChar w:fldCharType="separate"/>
        </w:r>
        <w:r>
          <w:rPr>
            <w:rStyle w:val="InternetLink"/>
            <w:rFonts w:ascii="Times New Roman Bold" w:hAnsi="Times New Roman Bold"/>
            <w:b/>
            <w:i w:val="false"/>
            <w:caps/>
            <w:sz w:val="24"/>
            <w:shd w:fill="FFFFFF" w:val="clear"/>
          </w:rPr>
          <w:t>89</w:t>
        </w:r>
        <w:r>
          <w:rPr>
            <w:webHidden/>
          </w:rPr>
          <w:fldChar w:fldCharType="end"/>
        </w:r>
      </w:hyperlink>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6480175" cy="194310"/>
                <wp:effectExtent l="0" t="0" r="0" b="0"/>
                <wp:wrapNone/>
                <wp:docPr id="731" name="Frame73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161.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0">
        <w:r>
          <w:rPr>
            <w:rStyle w:val="InternetLink"/>
            <w:rFonts w:ascii="Times New Roman;Times;serif" w:hAnsi="Times New Roman;Times;serif"/>
            <w:b w:val="false"/>
            <w:i w:val="false"/>
            <w:caps w:val="false"/>
            <w:smallCaps w:val="false"/>
            <w:sz w:val="24"/>
            <w:shd w:fill="FFFFFF" w:val="clear"/>
          </w:rPr>
          <w:t>9.1</w:t>
        </w:r>
      </w:hyperlink>
      <w:r>
        <w:rPr>
          <w:rFonts w:ascii="Times New Roman;Times;serif" w:hAnsi="Times New Roman;Times;serif"/>
          <w:sz w:val="24"/>
          <w:shd w:fill="FFFFFF" w:val="clear"/>
        </w:rPr>
        <w:tab/>
      </w:r>
      <w:hyperlink w:anchor="_Toc235366570">
        <w:r>
          <w:rPr>
            <w:rStyle w:val="InternetLink"/>
            <w:rFonts w:ascii="Times New Roman;Times;serif" w:hAnsi="Times New Roman;Times;serif"/>
            <w:b w:val="false"/>
            <w:i w:val="false"/>
            <w:caps w:val="false"/>
            <w:smallCaps w:val="false"/>
            <w:sz w:val="24"/>
            <w:shd w:fill="FFFFFF" w:val="clear"/>
          </w:rPr>
          <w:t>Fees and Expenses</w:t>
        </w:r>
      </w:hyperlink>
      <w:hyperlink w:anchor="_Toc235366570">
        <w:r>
          <w:rPr>
            <w:webHidden/>
          </w:rPr>
          <w:fldChar w:fldCharType="begin"/>
        </w:r>
        <w:r>
          <w:rPr>
            <w:webHidden/>
          </w:rPr>
          <w:instrText xml:space="preserve">PAGEREF _Toc235366570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89</w:t>
        </w:r>
        <w:r>
          <w:rPr>
            <w:webHidden/>
          </w:rPr>
          <w:fldChar w:fldCharType="end"/>
        </w:r>
      </w:hyperlink>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6480175" cy="175895"/>
                <wp:effectExtent l="0" t="0" r="0" b="0"/>
                <wp:wrapNone/>
                <wp:docPr id="732" name="Frame7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1">
        <w:r>
          <w:rPr>
            <w:rStyle w:val="InternetLink"/>
            <w:rFonts w:ascii="Times New Roman;Times;serif" w:hAnsi="Times New Roman;Times;serif"/>
            <w:b w:val="false"/>
            <w:i w:val="false"/>
            <w:caps w:val="false"/>
            <w:smallCaps w:val="false"/>
            <w:sz w:val="24"/>
            <w:shd w:fill="FFFFFF" w:val="clear"/>
          </w:rPr>
          <w:t>9.2</w:t>
        </w:r>
      </w:hyperlink>
      <w:r>
        <w:rPr>
          <w:rFonts w:ascii="Times New Roman;Times;serif" w:hAnsi="Times New Roman;Times;serif"/>
          <w:sz w:val="24"/>
          <w:shd w:fill="FFFFFF" w:val="clear"/>
        </w:rPr>
        <w:tab/>
      </w:r>
      <w:hyperlink w:anchor="_Toc235366571">
        <w:r>
          <w:rPr>
            <w:rStyle w:val="InternetLink"/>
            <w:rFonts w:ascii="Times New Roman;Times;serif" w:hAnsi="Times New Roman;Times;serif"/>
            <w:b w:val="false"/>
            <w:i w:val="false"/>
            <w:caps w:val="false"/>
            <w:smallCaps w:val="false"/>
            <w:sz w:val="24"/>
            <w:shd w:fill="FFFFFF" w:val="clear"/>
          </w:rPr>
          <w:t>Seller Guaranty</w:t>
        </w:r>
      </w:hyperlink>
      <w:hyperlink w:anchor="_Toc235366571">
        <w:r>
          <w:rPr>
            <w:webHidden/>
          </w:rPr>
          <w:fldChar w:fldCharType="begin"/>
        </w:r>
        <w:r>
          <w:rPr>
            <w:webHidden/>
          </w:rPr>
          <w:instrText xml:space="preserve">PAGEREF _Toc235366571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89</w:t>
        </w:r>
        <w:r>
          <w:rPr>
            <w:webHidden/>
          </w:rPr>
          <w:fldChar w:fldCharType="end"/>
        </w:r>
      </w:hyperlink>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6480175" cy="175895"/>
                <wp:effectExtent l="0" t="0" r="0" b="0"/>
                <wp:wrapNone/>
                <wp:docPr id="733" name="Frame7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2">
        <w:r>
          <w:rPr>
            <w:rStyle w:val="InternetLink"/>
            <w:rFonts w:ascii="Times New Roman;Times;serif" w:hAnsi="Times New Roman;Times;serif"/>
            <w:b w:val="false"/>
            <w:i w:val="false"/>
            <w:caps w:val="false"/>
            <w:smallCaps w:val="false"/>
            <w:sz w:val="24"/>
            <w:shd w:fill="FFFFFF" w:val="clear"/>
          </w:rPr>
          <w:t>9.3</w:t>
        </w:r>
      </w:hyperlink>
      <w:r>
        <w:rPr>
          <w:rFonts w:ascii="Times New Roman;Times;serif" w:hAnsi="Times New Roman;Times;serif"/>
          <w:sz w:val="24"/>
          <w:shd w:fill="FFFFFF" w:val="clear"/>
        </w:rPr>
        <w:tab/>
      </w:r>
      <w:hyperlink w:anchor="_Toc235366572">
        <w:r>
          <w:rPr>
            <w:rStyle w:val="InternetLink"/>
            <w:rFonts w:ascii="Times New Roman;Times;serif" w:hAnsi="Times New Roman;Times;serif"/>
            <w:b w:val="false"/>
            <w:i w:val="false"/>
            <w:caps w:val="false"/>
            <w:smallCaps w:val="false"/>
            <w:sz w:val="24"/>
            <w:shd w:fill="FFFFFF" w:val="clear"/>
          </w:rPr>
          <w:t>Buyer Guaranty</w:t>
        </w:r>
      </w:hyperlink>
      <w:hyperlink w:anchor="_Toc235366572">
        <w:r>
          <w:rPr>
            <w:webHidden/>
          </w:rPr>
          <w:fldChar w:fldCharType="begin"/>
        </w:r>
        <w:r>
          <w:rPr>
            <w:webHidden/>
          </w:rPr>
          <w:instrText xml:space="preserve">PAGEREF _Toc235366572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93</w:t>
        </w:r>
        <w:r>
          <w:rPr>
            <w:webHidden/>
          </w:rPr>
          <w:fldChar w:fldCharType="end"/>
        </w:r>
      </w:hyperlink>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6480175" cy="175895"/>
                <wp:effectExtent l="0" t="0" r="0" b="0"/>
                <wp:wrapNone/>
                <wp:docPr id="734" name="Frame7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3">
        <w:r>
          <w:rPr>
            <w:rStyle w:val="InternetLink"/>
            <w:rFonts w:ascii="Times New Roman;Times;serif" w:hAnsi="Times New Roman;Times;serif"/>
            <w:b w:val="false"/>
            <w:i w:val="false"/>
            <w:caps w:val="false"/>
            <w:smallCaps w:val="false"/>
            <w:sz w:val="24"/>
            <w:shd w:fill="FFFFFF" w:val="clear"/>
          </w:rPr>
          <w:t>9.4</w:t>
        </w:r>
      </w:hyperlink>
      <w:r>
        <w:rPr>
          <w:rFonts w:ascii="Times New Roman;Times;serif" w:hAnsi="Times New Roman;Times;serif"/>
          <w:sz w:val="24"/>
          <w:shd w:fill="FFFFFF" w:val="clear"/>
        </w:rPr>
        <w:tab/>
      </w:r>
      <w:hyperlink w:anchor="_Toc235366573">
        <w:r>
          <w:rPr>
            <w:rStyle w:val="InternetLink"/>
            <w:rFonts w:ascii="Times New Roman;Times;serif" w:hAnsi="Times New Roman;Times;serif"/>
            <w:b w:val="false"/>
            <w:i w:val="false"/>
            <w:caps w:val="false"/>
            <w:smallCaps w:val="false"/>
            <w:sz w:val="24"/>
            <w:shd w:fill="FFFFFF" w:val="clear"/>
          </w:rPr>
          <w:t>Further Assurances</w:t>
        </w:r>
      </w:hyperlink>
      <w:hyperlink w:anchor="_Toc235366573">
        <w:r>
          <w:rPr>
            <w:webHidden/>
          </w:rPr>
          <w:fldChar w:fldCharType="begin"/>
        </w:r>
        <w:r>
          <w:rPr>
            <w:webHidden/>
          </w:rPr>
          <w:instrText xml:space="preserve">PAGEREF _Toc235366573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6480175" cy="175895"/>
                <wp:effectExtent l="0" t="0" r="0" b="0"/>
                <wp:wrapNone/>
                <wp:docPr id="735" name="Frame7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4">
        <w:r>
          <w:rPr>
            <w:rStyle w:val="InternetLink"/>
            <w:rFonts w:ascii="Times New Roman;Times;serif" w:hAnsi="Times New Roman;Times;serif"/>
            <w:b w:val="false"/>
            <w:i w:val="false"/>
            <w:caps w:val="false"/>
            <w:smallCaps w:val="false"/>
            <w:sz w:val="24"/>
            <w:shd w:fill="FFFFFF" w:val="clear"/>
          </w:rPr>
          <w:t>9.5</w:t>
        </w:r>
      </w:hyperlink>
      <w:r>
        <w:rPr>
          <w:rFonts w:ascii="Times New Roman;Times;serif" w:hAnsi="Times New Roman;Times;serif"/>
          <w:sz w:val="24"/>
          <w:shd w:fill="FFFFFF" w:val="clear"/>
        </w:rPr>
        <w:tab/>
      </w:r>
      <w:hyperlink w:anchor="_Toc235366574">
        <w:r>
          <w:rPr>
            <w:rStyle w:val="InternetLink"/>
            <w:rFonts w:ascii="Times New Roman;Times;serif" w:hAnsi="Times New Roman;Times;serif"/>
            <w:b w:val="false"/>
            <w:i w:val="false"/>
            <w:caps w:val="false"/>
            <w:smallCaps w:val="false"/>
            <w:sz w:val="24"/>
            <w:shd w:fill="FFFFFF" w:val="clear"/>
          </w:rPr>
          <w:t>Press Release and Announcements</w:t>
        </w:r>
      </w:hyperlink>
      <w:hyperlink w:anchor="_Toc235366574">
        <w:r>
          <w:rPr>
            <w:webHidden/>
          </w:rPr>
          <w:fldChar w:fldCharType="begin"/>
        </w:r>
        <w:r>
          <w:rPr>
            <w:webHidden/>
          </w:rPr>
          <w:instrText xml:space="preserve">PAGEREF _Toc235366574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6480175" cy="175895"/>
                <wp:effectExtent l="0" t="0" r="0" b="0"/>
                <wp:wrapNone/>
                <wp:docPr id="736" name="Frame7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5">
        <w:r>
          <w:rPr>
            <w:rStyle w:val="InternetLink"/>
            <w:rFonts w:ascii="Times New Roman;Times;serif" w:hAnsi="Times New Roman;Times;serif"/>
            <w:b w:val="false"/>
            <w:i w:val="false"/>
            <w:caps w:val="false"/>
            <w:smallCaps w:val="false"/>
            <w:sz w:val="24"/>
            <w:shd w:fill="FFFFFF" w:val="clear"/>
          </w:rPr>
          <w:t>9.6</w:t>
        </w:r>
      </w:hyperlink>
      <w:r>
        <w:rPr>
          <w:rFonts w:ascii="Times New Roman;Times;serif" w:hAnsi="Times New Roman;Times;serif"/>
          <w:sz w:val="24"/>
          <w:shd w:fill="FFFFFF" w:val="clear"/>
        </w:rPr>
        <w:tab/>
      </w:r>
      <w:hyperlink w:anchor="_Toc235366575">
        <w:r>
          <w:rPr>
            <w:rStyle w:val="InternetLink"/>
            <w:rFonts w:ascii="Times New Roman;Times;serif" w:hAnsi="Times New Roman;Times;serif"/>
            <w:b w:val="false"/>
            <w:i w:val="false"/>
            <w:caps w:val="false"/>
            <w:smallCaps w:val="false"/>
            <w:sz w:val="24"/>
            <w:shd w:fill="FFFFFF" w:val="clear"/>
          </w:rPr>
          <w:t>Consent to Amendments; Waivers</w:t>
        </w:r>
      </w:hyperlink>
      <w:hyperlink w:anchor="_Toc235366575">
        <w:r>
          <w:rPr>
            <w:webHidden/>
          </w:rPr>
          <w:fldChar w:fldCharType="begin"/>
        </w:r>
        <w:r>
          <w:rPr>
            <w:webHidden/>
          </w:rPr>
          <w:instrText xml:space="preserve">PAGEREF _Toc235366575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98</w:t>
        </w:r>
        <w:r>
          <w:rPr>
            <w:webHidden/>
          </w:rPr>
          <w:fldChar w:fldCharType="end"/>
        </w:r>
      </w:hyperlink>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6480175" cy="175895"/>
                <wp:effectExtent l="0" t="0" r="0" b="0"/>
                <wp:wrapNone/>
                <wp:docPr id="737" name="Frame7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6">
        <w:r>
          <w:rPr>
            <w:rStyle w:val="InternetLink"/>
            <w:rFonts w:ascii="Times New Roman;Times;serif" w:hAnsi="Times New Roman;Times;serif"/>
            <w:b w:val="false"/>
            <w:i w:val="false"/>
            <w:caps w:val="false"/>
            <w:smallCaps w:val="false"/>
            <w:sz w:val="24"/>
            <w:shd w:fill="FFFFFF" w:val="clear"/>
          </w:rPr>
          <w:t>9.7</w:t>
        </w:r>
      </w:hyperlink>
      <w:r>
        <w:rPr>
          <w:rFonts w:ascii="Times New Roman;Times;serif" w:hAnsi="Times New Roman;Times;serif"/>
          <w:sz w:val="24"/>
          <w:shd w:fill="FFFFFF" w:val="clear"/>
        </w:rPr>
        <w:tab/>
      </w:r>
      <w:hyperlink w:anchor="_Toc235366576">
        <w:r>
          <w:rPr>
            <w:rStyle w:val="InternetLink"/>
            <w:rFonts w:ascii="Times New Roman;Times;serif" w:hAnsi="Times New Roman;Times;serif"/>
            <w:b w:val="false"/>
            <w:i w:val="false"/>
            <w:caps w:val="false"/>
            <w:smallCaps w:val="false"/>
            <w:sz w:val="24"/>
            <w:shd w:fill="FFFFFF" w:val="clear"/>
          </w:rPr>
          <w:t>Successors and Assigns</w:t>
        </w:r>
      </w:hyperlink>
      <w:hyperlink w:anchor="_Toc235366576">
        <w:r>
          <w:rPr>
            <w:webHidden/>
          </w:rPr>
          <w:fldChar w:fldCharType="begin"/>
        </w:r>
        <w:r>
          <w:rPr>
            <w:webHidden/>
          </w:rPr>
          <w:instrText xml:space="preserve">PAGEREF _Toc235366576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98</w:t>
        </w:r>
        <w:r>
          <w:rPr>
            <w:webHidden/>
          </w:rPr>
          <w:fldChar w:fldCharType="end"/>
        </w:r>
      </w:hyperlink>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6480175" cy="175895"/>
                <wp:effectExtent l="0" t="0" r="0" b="0"/>
                <wp:wrapNone/>
                <wp:docPr id="738" name="Frame7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7">
        <w:r>
          <w:rPr>
            <w:rStyle w:val="InternetLink"/>
            <w:rFonts w:ascii="Times New Roman;Times;serif" w:hAnsi="Times New Roman;Times;serif"/>
            <w:b w:val="false"/>
            <w:i w:val="false"/>
            <w:caps w:val="false"/>
            <w:smallCaps w:val="false"/>
            <w:sz w:val="24"/>
            <w:shd w:fill="FFFFFF" w:val="clear"/>
          </w:rPr>
          <w:t>9.8</w:t>
        </w:r>
      </w:hyperlink>
      <w:r>
        <w:rPr>
          <w:rFonts w:ascii="Times New Roman;Times;serif" w:hAnsi="Times New Roman;Times;serif"/>
          <w:sz w:val="24"/>
          <w:shd w:fill="FFFFFF" w:val="clear"/>
        </w:rPr>
        <w:tab/>
      </w:r>
      <w:hyperlink w:anchor="_Toc235366577">
        <w:r>
          <w:rPr>
            <w:rStyle w:val="InternetLink"/>
            <w:rFonts w:ascii="Times New Roman;Times;serif" w:hAnsi="Times New Roman;Times;serif"/>
            <w:b w:val="false"/>
            <w:i w:val="false"/>
            <w:caps w:val="false"/>
            <w:smallCaps w:val="false"/>
            <w:sz w:val="24"/>
            <w:shd w:fill="FFFFFF" w:val="clear"/>
          </w:rPr>
          <w:t>Severability</w:t>
        </w:r>
      </w:hyperlink>
      <w:hyperlink w:anchor="_Toc235366577">
        <w:r>
          <w:rPr>
            <w:webHidden/>
          </w:rPr>
          <w:fldChar w:fldCharType="begin"/>
        </w:r>
        <w:r>
          <w:rPr>
            <w:webHidden/>
          </w:rPr>
          <w:instrText xml:space="preserve">PAGEREF _Toc235366577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98</w:t>
        </w:r>
        <w:r>
          <w:rPr>
            <w:webHidden/>
          </w:rPr>
          <w:fldChar w:fldCharType="end"/>
        </w:r>
      </w:hyperlink>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6480175" cy="175895"/>
                <wp:effectExtent l="0" t="0" r="0" b="0"/>
                <wp:wrapNone/>
                <wp:docPr id="739" name="Frame7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8">
        <w:r>
          <w:rPr>
            <w:rStyle w:val="InternetLink"/>
            <w:rFonts w:ascii="Times New Roman;Times;serif" w:hAnsi="Times New Roman;Times;serif"/>
            <w:b w:val="false"/>
            <w:i w:val="false"/>
            <w:caps w:val="false"/>
            <w:smallCaps w:val="false"/>
            <w:sz w:val="24"/>
            <w:shd w:fill="FFFFFF" w:val="clear"/>
          </w:rPr>
          <w:t>9.9</w:t>
        </w:r>
      </w:hyperlink>
      <w:r>
        <w:rPr>
          <w:rFonts w:ascii="Times New Roman;Times;serif" w:hAnsi="Times New Roman;Times;serif"/>
          <w:sz w:val="24"/>
          <w:shd w:fill="FFFFFF" w:val="clear"/>
        </w:rPr>
        <w:tab/>
      </w:r>
      <w:hyperlink w:anchor="_Toc235366578">
        <w:r>
          <w:rPr>
            <w:rStyle w:val="InternetLink"/>
            <w:rFonts w:ascii="Times New Roman;Times;serif" w:hAnsi="Times New Roman;Times;serif"/>
            <w:b w:val="false"/>
            <w:i w:val="false"/>
            <w:caps w:val="false"/>
            <w:smallCaps w:val="false"/>
            <w:sz w:val="24"/>
            <w:shd w:fill="FFFFFF" w:val="clear"/>
          </w:rPr>
          <w:t>Counterparts</w:t>
        </w:r>
      </w:hyperlink>
      <w:hyperlink w:anchor="_Toc235366578">
        <w:r>
          <w:rPr>
            <w:webHidden/>
          </w:rPr>
          <w:fldChar w:fldCharType="begin"/>
        </w:r>
        <w:r>
          <w:rPr>
            <w:webHidden/>
          </w:rPr>
          <w:instrText xml:space="preserve">PAGEREF _Toc235366578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98</w:t>
        </w:r>
        <w:r>
          <w:rPr>
            <w:webHidden/>
          </w:rPr>
          <w:fldChar w:fldCharType="end"/>
        </w:r>
      </w:hyperlink>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6480175" cy="175895"/>
                <wp:effectExtent l="0" t="0" r="0" b="0"/>
                <wp:wrapNone/>
                <wp:docPr id="740" name="Frame7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79">
        <w:r>
          <w:rPr>
            <w:rStyle w:val="InternetLink"/>
            <w:rFonts w:ascii="Times New Roman;Times;serif" w:hAnsi="Times New Roman;Times;serif"/>
            <w:b w:val="false"/>
            <w:i w:val="false"/>
            <w:caps w:val="false"/>
            <w:smallCaps w:val="false"/>
            <w:sz w:val="24"/>
            <w:shd w:fill="FFFFFF" w:val="clear"/>
          </w:rPr>
          <w:t>9.10</w:t>
        </w:r>
      </w:hyperlink>
      <w:r>
        <w:rPr>
          <w:rFonts w:ascii="Times New Roman;Times;serif" w:hAnsi="Times New Roman;Times;serif"/>
          <w:sz w:val="24"/>
          <w:shd w:fill="FFFFFF" w:val="clear"/>
        </w:rPr>
        <w:tab/>
      </w:r>
      <w:hyperlink w:anchor="_Toc235366579">
        <w:r>
          <w:rPr>
            <w:rStyle w:val="InternetLink"/>
            <w:rFonts w:ascii="Times New Roman;Times;serif" w:hAnsi="Times New Roman;Times;serif"/>
            <w:b w:val="false"/>
            <w:i w:val="false"/>
            <w:caps w:val="false"/>
            <w:smallCaps w:val="false"/>
            <w:sz w:val="24"/>
            <w:shd w:fill="FFFFFF" w:val="clear"/>
          </w:rPr>
          <w:t>Descriptive Headings; Interpretation</w:t>
        </w:r>
      </w:hyperlink>
      <w:hyperlink w:anchor="_Toc235366579">
        <w:r>
          <w:rPr>
            <w:webHidden/>
          </w:rPr>
          <w:fldChar w:fldCharType="begin"/>
        </w:r>
        <w:r>
          <w:rPr>
            <w:webHidden/>
          </w:rPr>
          <w:instrText xml:space="preserve">PAGEREF _Toc235366579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98</w:t>
        </w:r>
        <w:r>
          <w:rPr>
            <w:webHidden/>
          </w:rPr>
          <w:fldChar w:fldCharType="end"/>
        </w:r>
      </w:hyperlink>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6480175" cy="175895"/>
                <wp:effectExtent l="0" t="0" r="0" b="0"/>
                <wp:wrapNone/>
                <wp:docPr id="741" name="Frame7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0">
        <w:r>
          <w:rPr>
            <w:rStyle w:val="InternetLink"/>
            <w:rFonts w:ascii="Times New Roman;Times;serif" w:hAnsi="Times New Roman;Times;serif"/>
            <w:b w:val="false"/>
            <w:i w:val="false"/>
            <w:caps w:val="false"/>
            <w:smallCaps w:val="false"/>
            <w:sz w:val="24"/>
            <w:shd w:fill="FFFFFF" w:val="clear"/>
          </w:rPr>
          <w:t>9.11</w:t>
        </w:r>
      </w:hyperlink>
      <w:r>
        <w:rPr>
          <w:rFonts w:ascii="Times New Roman;Times;serif" w:hAnsi="Times New Roman;Times;serif"/>
          <w:sz w:val="24"/>
          <w:shd w:fill="FFFFFF" w:val="clear"/>
        </w:rPr>
        <w:tab/>
      </w:r>
      <w:hyperlink w:anchor="_Toc235366580">
        <w:r>
          <w:rPr>
            <w:rStyle w:val="InternetLink"/>
            <w:rFonts w:ascii="Times New Roman;Times;serif" w:hAnsi="Times New Roman;Times;serif"/>
            <w:b w:val="false"/>
            <w:i w:val="false"/>
            <w:caps w:val="false"/>
            <w:smallCaps w:val="false"/>
            <w:sz w:val="24"/>
            <w:shd w:fill="FFFFFF" w:val="clear"/>
          </w:rPr>
          <w:t>Entire Agreement</w:t>
        </w:r>
      </w:hyperlink>
      <w:hyperlink w:anchor="_Toc235366580">
        <w:r>
          <w:rPr>
            <w:webHidden/>
          </w:rPr>
          <w:fldChar w:fldCharType="begin"/>
        </w:r>
        <w:r>
          <w:rPr>
            <w:webHidden/>
          </w:rPr>
          <w:instrText xml:space="preserve">PAGEREF _Toc235366580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99</w:t>
        </w:r>
        <w:r>
          <w:rPr>
            <w:webHidden/>
          </w:rPr>
          <w:fldChar w:fldCharType="end"/>
        </w:r>
      </w:hyperlink>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6480175" cy="175895"/>
                <wp:effectExtent l="0" t="0" r="0" b="0"/>
                <wp:wrapNone/>
                <wp:docPr id="742" name="Frame7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1">
        <w:r>
          <w:rPr>
            <w:rStyle w:val="InternetLink"/>
            <w:rFonts w:ascii="Times New Roman;Times;serif" w:hAnsi="Times New Roman;Times;serif"/>
            <w:b w:val="false"/>
            <w:i w:val="false"/>
            <w:caps w:val="false"/>
            <w:smallCaps w:val="false"/>
            <w:sz w:val="24"/>
            <w:shd w:fill="FFFFFF" w:val="clear"/>
          </w:rPr>
          <w:t>9.12</w:t>
        </w:r>
      </w:hyperlink>
      <w:r>
        <w:rPr>
          <w:rFonts w:ascii="Times New Roman;Times;serif" w:hAnsi="Times New Roman;Times;serif"/>
          <w:sz w:val="24"/>
          <w:shd w:fill="FFFFFF" w:val="clear"/>
        </w:rPr>
        <w:tab/>
      </w:r>
      <w:hyperlink w:anchor="_Toc235366581">
        <w:r>
          <w:rPr>
            <w:rStyle w:val="InternetLink"/>
            <w:rFonts w:ascii="Times New Roman;Times;serif" w:hAnsi="Times New Roman;Times;serif"/>
            <w:b w:val="false"/>
            <w:i w:val="false"/>
            <w:caps w:val="false"/>
            <w:smallCaps w:val="false"/>
            <w:sz w:val="24"/>
            <w:shd w:fill="FFFFFF" w:val="clear"/>
          </w:rPr>
          <w:t>Specific Performance</w:t>
        </w:r>
      </w:hyperlink>
      <w:hyperlink w:anchor="_Toc235366581">
        <w:r>
          <w:rPr>
            <w:webHidden/>
          </w:rPr>
          <w:fldChar w:fldCharType="begin"/>
        </w:r>
        <w:r>
          <w:rPr>
            <w:webHidden/>
          </w:rPr>
          <w:instrText xml:space="preserve">PAGEREF _Toc235366581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99</w:t>
        </w:r>
        <w:r>
          <w:rPr>
            <w:webHidden/>
          </w:rPr>
          <w:fldChar w:fldCharType="end"/>
        </w:r>
      </w:hyperlink>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6480175" cy="175895"/>
                <wp:effectExtent l="0" t="0" r="0" b="0"/>
                <wp:wrapNone/>
                <wp:docPr id="743" name="Frame7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2">
        <w:r>
          <w:rPr>
            <w:rStyle w:val="InternetLink"/>
            <w:rFonts w:ascii="Times New Roman;Times;serif" w:hAnsi="Times New Roman;Times;serif"/>
            <w:b w:val="false"/>
            <w:i w:val="false"/>
            <w:caps w:val="false"/>
            <w:smallCaps w:val="false"/>
            <w:sz w:val="24"/>
            <w:shd w:fill="FFFFFF" w:val="clear"/>
          </w:rPr>
          <w:t>9.13</w:t>
        </w:r>
      </w:hyperlink>
      <w:r>
        <w:rPr>
          <w:rFonts w:ascii="Times New Roman;Times;serif" w:hAnsi="Times New Roman;Times;serif"/>
          <w:sz w:val="24"/>
          <w:shd w:fill="FFFFFF" w:val="clear"/>
        </w:rPr>
        <w:tab/>
      </w:r>
      <w:hyperlink w:anchor="_Toc235366582">
        <w:r>
          <w:rPr>
            <w:rStyle w:val="InternetLink"/>
            <w:rFonts w:ascii="Times New Roman;Times;serif" w:hAnsi="Times New Roman;Times;serif"/>
            <w:b w:val="false"/>
            <w:i w:val="false"/>
            <w:caps w:val="false"/>
            <w:smallCaps w:val="false"/>
            <w:sz w:val="24"/>
            <w:shd w:fill="FFFFFF" w:val="clear"/>
          </w:rPr>
          <w:t>No Third Party Beneficiaries</w:t>
        </w:r>
      </w:hyperlink>
      <w:hyperlink w:anchor="_Toc235366582">
        <w:r>
          <w:rPr>
            <w:webHidden/>
          </w:rPr>
          <w:fldChar w:fldCharType="begin"/>
        </w:r>
        <w:r>
          <w:rPr>
            <w:webHidden/>
          </w:rPr>
          <w:instrText xml:space="preserve">PAGEREF _Toc235366582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99</w:t>
        </w:r>
        <w:r>
          <w:rPr>
            <w:webHidden/>
          </w:rPr>
          <w:fldChar w:fldCharType="end"/>
        </w:r>
      </w:hyperlink>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6480175" cy="175895"/>
                <wp:effectExtent l="0" t="0" r="0" b="0"/>
                <wp:wrapNone/>
                <wp:docPr id="744" name="Frame7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3">
        <w:r>
          <w:rPr>
            <w:rStyle w:val="InternetLink"/>
            <w:rFonts w:ascii="Times New Roman;Times;serif" w:hAnsi="Times New Roman;Times;serif"/>
            <w:b w:val="false"/>
            <w:i w:val="false"/>
            <w:caps w:val="false"/>
            <w:smallCaps w:val="false"/>
            <w:sz w:val="24"/>
            <w:shd w:fill="FFFFFF" w:val="clear"/>
          </w:rPr>
          <w:t>9.14</w:t>
        </w:r>
      </w:hyperlink>
      <w:r>
        <w:rPr>
          <w:rFonts w:ascii="Times New Roman;Times;serif" w:hAnsi="Times New Roman;Times;serif"/>
          <w:sz w:val="24"/>
          <w:shd w:fill="FFFFFF" w:val="clear"/>
        </w:rPr>
        <w:tab/>
      </w:r>
      <w:hyperlink w:anchor="_Toc235366583">
        <w:r>
          <w:rPr>
            <w:rStyle w:val="InternetLink"/>
            <w:rFonts w:ascii="Times New Roman;Times;serif" w:hAnsi="Times New Roman;Times;serif"/>
            <w:b w:val="false"/>
            <w:i w:val="false"/>
            <w:caps w:val="false"/>
            <w:smallCaps w:val="false"/>
            <w:sz w:val="24"/>
            <w:shd w:fill="FFFFFF" w:val="clear"/>
          </w:rPr>
          <w:t>Schedules, Annexes and Exhibits</w:t>
        </w:r>
      </w:hyperlink>
      <w:hyperlink w:anchor="_Toc235366583">
        <w:r>
          <w:rPr>
            <w:webHidden/>
          </w:rPr>
          <w:fldChar w:fldCharType="begin"/>
        </w:r>
        <w:r>
          <w:rPr>
            <w:webHidden/>
          </w:rPr>
          <w:instrText xml:space="preserve">PAGEREF _Toc235366583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6480175" cy="175895"/>
                <wp:effectExtent l="0" t="0" r="0" b="0"/>
                <wp:wrapNone/>
                <wp:docPr id="745" name="Frame7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4">
        <w:r>
          <w:rPr>
            <w:rStyle w:val="InternetLink"/>
            <w:rFonts w:ascii="Times New Roman;Times;serif" w:hAnsi="Times New Roman;Times;serif"/>
            <w:b w:val="false"/>
            <w:i w:val="false"/>
            <w:caps w:val="false"/>
            <w:smallCaps w:val="false"/>
            <w:sz w:val="24"/>
            <w:shd w:fill="FFFFFF" w:val="clear"/>
          </w:rPr>
          <w:t>9.15</w:t>
        </w:r>
      </w:hyperlink>
      <w:r>
        <w:rPr>
          <w:rFonts w:ascii="Times New Roman;Times;serif" w:hAnsi="Times New Roman;Times;serif"/>
          <w:sz w:val="24"/>
          <w:shd w:fill="FFFFFF" w:val="clear"/>
        </w:rPr>
        <w:tab/>
      </w:r>
      <w:hyperlink w:anchor="_Toc235366584">
        <w:r>
          <w:rPr>
            <w:rStyle w:val="InternetLink"/>
            <w:rFonts w:ascii="Times New Roman;Times;serif" w:hAnsi="Times New Roman;Times;serif"/>
            <w:b w:val="false"/>
            <w:i w:val="false"/>
            <w:caps w:val="false"/>
            <w:smallCaps w:val="false"/>
            <w:sz w:val="24"/>
            <w:shd w:fill="FFFFFF" w:val="clear"/>
          </w:rPr>
          <w:t>Governing Law</w:t>
        </w:r>
      </w:hyperlink>
      <w:hyperlink w:anchor="_Toc235366584">
        <w:r>
          <w:rPr>
            <w:webHidden/>
          </w:rPr>
          <w:fldChar w:fldCharType="begin"/>
        </w:r>
        <w:r>
          <w:rPr>
            <w:webHidden/>
          </w:rPr>
          <w:instrText xml:space="preserve">PAGEREF _Toc235366584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6480175" cy="175895"/>
                <wp:effectExtent l="0" t="0" r="0" b="0"/>
                <wp:wrapNone/>
                <wp:docPr id="746" name="Frame7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5">
        <w:r>
          <w:rPr>
            <w:rStyle w:val="InternetLink"/>
            <w:rFonts w:ascii="Times New Roman;Times;serif" w:hAnsi="Times New Roman;Times;serif"/>
            <w:b w:val="false"/>
            <w:i w:val="false"/>
            <w:caps w:val="false"/>
            <w:smallCaps w:val="false"/>
            <w:sz w:val="24"/>
            <w:shd w:fill="FFFFFF" w:val="clear"/>
          </w:rPr>
          <w:t>9.16</w:t>
        </w:r>
      </w:hyperlink>
      <w:r>
        <w:rPr>
          <w:rFonts w:ascii="Times New Roman;Times;serif" w:hAnsi="Times New Roman;Times;serif"/>
          <w:sz w:val="24"/>
          <w:shd w:fill="FFFFFF" w:val="clear"/>
        </w:rPr>
        <w:tab/>
      </w:r>
      <w:hyperlink w:anchor="_Toc235366585">
        <w:r>
          <w:rPr>
            <w:rStyle w:val="InternetLink"/>
            <w:rFonts w:ascii="Times New Roman;Times;serif" w:hAnsi="Times New Roman;Times;serif"/>
            <w:b w:val="false"/>
            <w:i w:val="false"/>
            <w:caps w:val="false"/>
            <w:smallCaps w:val="false"/>
            <w:sz w:val="24"/>
            <w:shd w:fill="FFFFFF" w:val="clear"/>
          </w:rPr>
          <w:t>Jurisdiction; Venue</w:t>
        </w:r>
      </w:hyperlink>
      <w:hyperlink w:anchor="_Toc235366585">
        <w:r>
          <w:rPr>
            <w:webHidden/>
          </w:rPr>
          <w:fldChar w:fldCharType="begin"/>
        </w:r>
        <w:r>
          <w:rPr>
            <w:webHidden/>
          </w:rPr>
          <w:instrText xml:space="preserve">PAGEREF _Toc235366585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480175" cy="175895"/>
                <wp:effectExtent l="0" t="0" r="0" b="0"/>
                <wp:wrapNone/>
                <wp:docPr id="747" name="Frame7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6">
        <w:r>
          <w:rPr>
            <w:rStyle w:val="InternetLink"/>
            <w:rFonts w:ascii="Times New Roman;Times;serif" w:hAnsi="Times New Roman;Times;serif"/>
            <w:b w:val="false"/>
            <w:i w:val="false"/>
            <w:caps w:val="false"/>
            <w:smallCaps w:val="false"/>
            <w:sz w:val="24"/>
            <w:shd w:fill="FFFFFF" w:val="clear"/>
          </w:rPr>
          <w:t>9.17</w:t>
        </w:r>
      </w:hyperlink>
      <w:r>
        <w:rPr>
          <w:rFonts w:ascii="Times New Roman;Times;serif" w:hAnsi="Times New Roman;Times;serif"/>
          <w:sz w:val="24"/>
          <w:shd w:fill="FFFFFF" w:val="clear"/>
        </w:rPr>
        <w:tab/>
      </w:r>
      <w:hyperlink w:anchor="_Toc235366586">
        <w:r>
          <w:rPr>
            <w:rStyle w:val="InternetLink"/>
            <w:rFonts w:ascii="Times New Roman;Times;serif" w:hAnsi="Times New Roman;Times;serif"/>
            <w:b w:val="false"/>
            <w:i w:val="false"/>
            <w:caps w:val="false"/>
            <w:smallCaps w:val="false"/>
            <w:sz w:val="24"/>
            <w:shd w:fill="FFFFFF" w:val="clear"/>
          </w:rPr>
          <w:t>Waiver of Jury Trial</w:t>
        </w:r>
      </w:hyperlink>
      <w:hyperlink w:anchor="_Toc235366586">
        <w:r>
          <w:rPr>
            <w:webHidden/>
          </w:rPr>
          <w:fldChar w:fldCharType="begin"/>
        </w:r>
        <w:r>
          <w:rPr>
            <w:webHidden/>
          </w:rPr>
          <w:instrText xml:space="preserve">PAGEREF _Toc235366586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6480175" cy="175895"/>
                <wp:effectExtent l="0" t="0" r="0" b="0"/>
                <wp:wrapNone/>
                <wp:docPr id="748" name="Frame7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7">
        <w:r>
          <w:rPr>
            <w:rStyle w:val="InternetLink"/>
            <w:rFonts w:ascii="Times New Roman;Times;serif" w:hAnsi="Times New Roman;Times;serif"/>
            <w:b w:val="false"/>
            <w:i w:val="false"/>
            <w:caps w:val="false"/>
            <w:smallCaps w:val="false"/>
            <w:sz w:val="24"/>
            <w:shd w:fill="FFFFFF" w:val="clear"/>
          </w:rPr>
          <w:t>9.18</w:t>
        </w:r>
      </w:hyperlink>
      <w:r>
        <w:rPr>
          <w:rFonts w:ascii="Times New Roman;Times;serif" w:hAnsi="Times New Roman;Times;serif"/>
          <w:sz w:val="24"/>
          <w:shd w:fill="FFFFFF" w:val="clear"/>
        </w:rPr>
        <w:tab/>
      </w:r>
      <w:hyperlink w:anchor="_Toc235366587">
        <w:r>
          <w:rPr>
            <w:rStyle w:val="InternetLink"/>
            <w:rFonts w:ascii="Times New Roman;Times;serif" w:hAnsi="Times New Roman;Times;serif"/>
            <w:b w:val="false"/>
            <w:i w:val="false"/>
            <w:caps w:val="false"/>
            <w:smallCaps w:val="false"/>
            <w:sz w:val="24"/>
            <w:shd w:fill="FFFFFF" w:val="clear"/>
          </w:rPr>
          <w:t>Notices</w:t>
        </w:r>
      </w:hyperlink>
      <w:hyperlink w:anchor="_Toc235366587">
        <w:r>
          <w:rPr>
            <w:webHidden/>
          </w:rPr>
          <w:fldChar w:fldCharType="begin"/>
        </w:r>
        <w:r>
          <w:rPr>
            <w:webHidden/>
          </w:rPr>
          <w:instrText xml:space="preserve">PAGEREF _Toc235366587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6480175" cy="175895"/>
                <wp:effectExtent l="0" t="0" r="0" b="0"/>
                <wp:wrapNone/>
                <wp:docPr id="749" name="Frame7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720" w:right="0" w:hanging="0"/>
        <w:jc w:val="both"/>
        <w:rPr/>
      </w:pPr>
      <w:hyperlink w:anchor="_Toc235366588">
        <w:r>
          <w:rPr>
            <w:rStyle w:val="InternetLink"/>
            <w:rFonts w:ascii="Times New Roman;Times;serif" w:hAnsi="Times New Roman;Times;serif"/>
            <w:b w:val="false"/>
            <w:i w:val="false"/>
            <w:caps w:val="false"/>
            <w:smallCaps w:val="false"/>
            <w:sz w:val="24"/>
            <w:shd w:fill="FFFFFF" w:val="clear"/>
          </w:rPr>
          <w:t>9.19</w:t>
        </w:r>
      </w:hyperlink>
      <w:r>
        <w:rPr>
          <w:rFonts w:ascii="Times New Roman;Times;serif" w:hAnsi="Times New Roman;Times;serif"/>
          <w:sz w:val="24"/>
          <w:shd w:fill="FFFFFF" w:val="clear"/>
        </w:rPr>
        <w:tab/>
      </w:r>
      <w:hyperlink w:anchor="_Toc235366588">
        <w:r>
          <w:rPr>
            <w:rStyle w:val="InternetLink"/>
            <w:rFonts w:ascii="Times New Roman;Times;serif" w:hAnsi="Times New Roman;Times;serif"/>
            <w:b w:val="false"/>
            <w:i w:val="false"/>
            <w:caps w:val="false"/>
            <w:smallCaps w:val="false"/>
            <w:sz w:val="24"/>
            <w:shd w:fill="FFFFFF" w:val="clear"/>
          </w:rPr>
          <w:t>No Strict Construction</w:t>
        </w:r>
      </w:hyperlink>
      <w:hyperlink w:anchor="_Toc235366588">
        <w:r>
          <w:rPr>
            <w:webHidden/>
          </w:rPr>
          <w:fldChar w:fldCharType="begin"/>
        </w:r>
        <w:r>
          <w:rPr>
            <w:webHidden/>
          </w:rPr>
          <w:instrText xml:space="preserve">PAGEREF _Toc235366588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101</w:t>
        </w:r>
        <w:r>
          <w:rPr>
            <w:webHidden/>
          </w:rPr>
          <w:fldChar w:fldCharType="end"/>
        </w:r>
      </w:hyperlink>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6480175" cy="175895"/>
                <wp:effectExtent l="0" t="0" r="0" b="0"/>
                <wp:wrapNone/>
                <wp:docPr id="750" name="Frame7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sz w:val="24"/>
        </w:rPr>
      </w:pPr>
      <w:r>
        <w:rPr>
          <w:rFonts w:ascii="Times New Roman;Times;serif" w:hAnsi="Times New Roman;Times;serif"/>
          <w:b/>
          <w:sz w:val="24"/>
        </w:rPr>
        <w:t>SCHEDULES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u w:val="single"/>
        </w:rPr>
        <w:t>Schedule 1.1(a)</w:t>
      </w:r>
      <w:r>
        <w:rPr>
          <w:rFonts w:ascii="Times New Roman;Times;serif" w:hAnsi="Times New Roman;Times;serif"/>
          <w:sz w:val="24"/>
        </w:rPr>
        <w:t xml:space="preserve"> –    –[***] Litigation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u w:val="single"/>
        </w:rPr>
        <w:t>Schedule 1.1(c)</w:t>
      </w:r>
      <w:r>
        <w:rPr>
          <w:rFonts w:ascii="Times New Roman;Times;serif" w:hAnsi="Times New Roman;Times;serif"/>
          <w:sz w:val="24"/>
        </w:rPr>
        <w:t xml:space="preserve"> –Capital Leases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u w:val="single"/>
        </w:rPr>
        <w:t>Schedule 1.1(d)</w:t>
      </w:r>
      <w:r>
        <w:rPr>
          <w:rFonts w:ascii="Times New Roman;Times;serif" w:hAnsi="Times New Roman;Times;serif"/>
          <w:sz w:val="24"/>
        </w:rPr>
        <w:t xml:space="preserve"> –Tax Liens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u w:val="single"/>
        </w:rPr>
        <w:t>Schedule 5.2(a)(xii)</w:t>
      </w:r>
      <w:r>
        <w:rPr>
          <w:rFonts w:ascii="Times New Roman;Times;serif" w:hAnsi="Times New Roman;Times;serif"/>
          <w:sz w:val="24"/>
        </w:rPr>
        <w:t xml:space="preserve"> –[***] Leases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u w:val="single"/>
        </w:rPr>
        <w:t>Schedule 6.5(c)</w:t>
      </w:r>
      <w:r>
        <w:rPr>
          <w:rFonts w:ascii="Times New Roman;Times;serif" w:hAnsi="Times New Roman;Times;serif"/>
          <w:sz w:val="24"/>
        </w:rPr>
        <w:t>–    List of Retained Leases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u w:val="single"/>
        </w:rPr>
        <w:t>Schedule 7.2(h)</w:t>
      </w:r>
      <w:r>
        <w:rPr>
          <w:rFonts w:ascii="Times New Roman;Times;serif" w:hAnsi="Times New Roman;Times;serif"/>
          <w:sz w:val="24"/>
        </w:rPr>
        <w:t xml:space="preserve">–Surviving Affiliate Transactions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u w:val="single"/>
        </w:rPr>
        <w:t>Schedule 7.2(l)</w:t>
      </w:r>
      <w:r>
        <w:rPr>
          <w:rFonts w:ascii="Times New Roman;Times;serif" w:hAnsi="Times New Roman;Times;serif"/>
          <w:sz w:val="24"/>
        </w:rPr>
        <w:t xml:space="preserve">–Required Estoppel Certificates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u w:val="single"/>
        </w:rPr>
        <w:t>Schedule 7.2(m)</w:t>
      </w:r>
      <w:r>
        <w:rPr>
          <w:rFonts w:ascii="Times New Roman;Times;serif" w:hAnsi="Times New Roman;Times;serif"/>
          <w:sz w:val="24"/>
        </w:rPr>
        <w:t xml:space="preserve">–Required Landlord Consents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b/>
          <w:sz w:val="24"/>
        </w:rPr>
      </w:pPr>
      <w:r>
        <w:rPr>
          <w:rFonts w:ascii="Times New Roman;Times;serif" w:hAnsi="Times New Roman;Times;serif"/>
          <w:b/>
          <w:sz w:val="24"/>
        </w:rPr>
        <w:t>EXHIBITS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A</w:t>
      </w:r>
      <w:r>
        <w:rPr>
          <w:rFonts w:ascii="Times New Roman;Times;serif" w:hAnsi="Times New Roman;Times;serif"/>
          <w:sz w:val="24"/>
        </w:rPr>
        <w:t>–List of Repair Shops and Distribution Centers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B</w:t>
      </w:r>
      <w:r>
        <w:rPr>
          <w:rFonts w:ascii="Times New Roman;Times;serif" w:hAnsi="Times New Roman;Times;serif"/>
          <w:sz w:val="24"/>
        </w:rPr>
        <w:t>–Restructuring Plan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C</w:t>
      </w:r>
      <w:r>
        <w:rPr>
          <w:rFonts w:ascii="Times New Roman;Times;serif" w:hAnsi="Times New Roman;Times;serif"/>
          <w:sz w:val="24"/>
        </w:rPr>
        <w:t>–Accounting Principles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D</w:t>
      </w:r>
      <w:r>
        <w:rPr>
          <w:rFonts w:ascii="Times New Roman;Times;serif" w:hAnsi="Times New Roman;Times;serif"/>
          <w:sz w:val="24"/>
        </w:rPr>
        <w:t xml:space="preserve">–Change of Control Payments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E</w:t>
      </w:r>
      <w:r>
        <w:rPr>
          <w:rFonts w:ascii="Times New Roman;Times;serif" w:hAnsi="Times New Roman;Times;serif"/>
          <w:sz w:val="24"/>
        </w:rPr>
        <w:t>–Closed Leased Locations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F</w:t>
      </w:r>
      <w:r>
        <w:rPr>
          <w:rFonts w:ascii="Times New Roman;Times;serif" w:hAnsi="Times New Roman;Times;serif"/>
          <w:sz w:val="24"/>
        </w:rPr>
        <w:t>–Closed Owned Locations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G</w:t>
      </w:r>
      <w:r>
        <w:rPr>
          <w:rFonts w:ascii="Times New Roman;Times;serif" w:hAnsi="Times New Roman;Times;serif"/>
          <w:sz w:val="24"/>
        </w:rPr>
        <w:t>–Corporate Contracts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Exhibit H </w:t>
      </w:r>
      <w:r>
        <w:rPr>
          <w:rFonts w:ascii="Times New Roman;Times;serif" w:hAnsi="Times New Roman;Times;serif"/>
          <w:sz w:val="24"/>
        </w:rPr>
        <w:t>–Corporate Employees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I-1</w:t>
      </w:r>
      <w:r>
        <w:rPr>
          <w:rFonts w:ascii="Times New Roman;Times;serif" w:hAnsi="Times New Roman;Times;serif"/>
          <w:sz w:val="24"/>
        </w:rPr>
        <w:t xml:space="preserve">–List of </w:t>
      </w:r>
      <w:bookmarkStart w:id="2067" w:name="_9kR3WTr2ADEHEVEapuDGrtttvxDbJ76u346MS"/>
      <w:bookmarkEnd w:id="2067"/>
      <w:r>
        <w:rPr>
          <w:rFonts w:ascii="Times New Roman;Times;serif" w:hAnsi="Times New Roman;Times;serif"/>
          <w:sz w:val="24"/>
        </w:rPr>
        <w:t>Lease Amendment Agreements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I-2</w:t>
      </w:r>
      <w:r>
        <w:rPr>
          <w:rFonts w:ascii="Times New Roman;Times;serif" w:hAnsi="Times New Roman;Times;serif"/>
          <w:sz w:val="24"/>
        </w:rPr>
        <w:t>–Form of Lease Amendment Agreements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J</w:t>
      </w:r>
      <w:r>
        <w:rPr>
          <w:rFonts w:ascii="Times New Roman;Times;serif" w:hAnsi="Times New Roman;Times;serif"/>
          <w:sz w:val="24"/>
        </w:rPr>
        <w:t>–Non-Demised Repair Shop Floor Plans</w:t>
      </w:r>
    </w:p>
    <w:p>
      <w:pPr>
        <w:pStyle w:val="TextBody"/>
        <w:bidi w:val="0"/>
        <w:spacing w:before="0" w:after="0"/>
        <w:ind w:left="0" w:right="0" w:hanging="0"/>
        <w:jc w:val="left"/>
        <w:rPr>
          <w:rFonts w:ascii="Times New Roman;Times;serif" w:hAnsi="Times New Roman;Times;serif"/>
          <w:sz w:val="24"/>
        </w:rPr>
      </w:pPr>
      <w:bookmarkStart w:id="2068" w:name="_9kR3WTr2ADEHGQQ0mhi1c"/>
      <w:bookmarkEnd w:id="2068"/>
      <w:r>
        <w:rPr>
          <w:rFonts w:ascii="Times New Roman;Times;serif" w:hAnsi="Times New Roman;Times;serif"/>
          <w:b w:val="false"/>
          <w:i w:val="false"/>
          <w:caps w:val="false"/>
          <w:smallCaps w:val="false"/>
          <w:sz w:val="24"/>
        </w:rPr>
        <w:t>Exhibit K</w:t>
      </w:r>
      <w:r>
        <w:rPr>
          <w:rFonts w:ascii="Times New Roman;Times;serif" w:hAnsi="Times New Roman;Times;serif"/>
          <w:sz w:val="24"/>
        </w:rPr>
        <w:t xml:space="preserve">–Illustrative Net Working Capital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L-1</w:t>
      </w:r>
      <w:r>
        <w:rPr>
          <w:rFonts w:ascii="Times New Roman;Times;serif" w:hAnsi="Times New Roman;Times;serif"/>
          <w:sz w:val="24"/>
        </w:rPr>
        <w:t>–</w:t>
      </w:r>
      <w:bookmarkStart w:id="2069" w:name="_9kR3WTr2ADEHHaGwleumqgv0JG43r013JP"/>
      <w:bookmarkEnd w:id="2069"/>
      <w:r>
        <w:rPr>
          <w:rFonts w:ascii="Times New Roman;Times;serif" w:hAnsi="Times New Roman;Times;serif"/>
          <w:sz w:val="24"/>
        </w:rPr>
        <w:t>List of New Sublease Agreements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L-2(a)</w:t>
      </w:r>
      <w:r>
        <w:rPr>
          <w:rFonts w:ascii="Times New Roman;Times;serif" w:hAnsi="Times New Roman;Times;serif"/>
          <w:sz w:val="24"/>
        </w:rPr>
        <w:t>–Form of New Sublease Agreements – Not Demised</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L-2(b)</w:t>
      </w:r>
      <w:r>
        <w:rPr>
          <w:rFonts w:ascii="Times New Roman;Times;serif" w:hAnsi="Times New Roman;Times;serif"/>
          <w:sz w:val="24"/>
        </w:rPr>
        <w:t>–Form of New Sublease Agreements – Demised</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L-2(c)</w:t>
      </w:r>
      <w:r>
        <w:rPr>
          <w:rFonts w:ascii="Times New Roman;Times;serif" w:hAnsi="Times New Roman;Times;serif"/>
          <w:sz w:val="24"/>
        </w:rPr>
        <w:t>–Form of New Sublease Agreements – Demise in Process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M</w:t>
      </w:r>
      <w:bookmarkStart w:id="2070" w:name="_Hlk229673292"/>
      <w:bookmarkEnd w:id="2070"/>
      <w:r>
        <w:rPr>
          <w:rFonts w:ascii="Times New Roman;Times;serif" w:hAnsi="Times New Roman;Times;serif"/>
          <w:sz w:val="24"/>
        </w:rPr>
        <w:t>–Transition Services Agreement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N</w:t>
      </w:r>
      <w:r>
        <w:rPr>
          <w:rFonts w:ascii="Times New Roman;Times;serif" w:hAnsi="Times New Roman;Times;serif"/>
          <w:sz w:val="24"/>
        </w:rPr>
        <w:t>–</w:t>
      </w:r>
      <w:bookmarkStart w:id="2071" w:name="_9kR3WTr2ADEHISLqq39WBzymvwyE"/>
      <w:bookmarkEnd w:id="2071"/>
      <w:r>
        <w:rPr>
          <w:rFonts w:ascii="Times New Roman;Times;serif" w:hAnsi="Times New Roman;Times;serif"/>
          <w:sz w:val="24"/>
        </w:rPr>
        <w:t>Escrow Agreement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O</w:t>
      </w:r>
      <w:r>
        <w:rPr>
          <w:rFonts w:ascii="Times New Roman;Times;serif" w:hAnsi="Times New Roman;Times;serif"/>
          <w:sz w:val="24"/>
        </w:rPr>
        <w:t>–Form of Recognition Agreement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P</w:t>
      </w:r>
      <w:r>
        <w:rPr>
          <w:rFonts w:ascii="Times New Roman;Times;serif" w:hAnsi="Times New Roman;Times;serif"/>
          <w:sz w:val="24"/>
        </w:rPr>
        <w:t xml:space="preserve">–Form of Estoppel Certificate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Q-1</w:t>
      </w:r>
      <w:r>
        <w:rPr>
          <w:rFonts w:ascii="Times New Roman;Times;serif" w:hAnsi="Times New Roman;Times;serif"/>
          <w:sz w:val="24"/>
        </w:rPr>
        <w:t>–List of Landlord Consents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Q-2</w:t>
      </w:r>
      <w:r>
        <w:rPr>
          <w:rFonts w:ascii="Times New Roman;Times;serif" w:hAnsi="Times New Roman;Times;serif"/>
          <w:sz w:val="24"/>
        </w:rPr>
        <w:t xml:space="preserve">–Form of Landlord Consent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bookmarkStart w:id="2072" w:name="_Toc235366483"/>
      <w:bookmarkStart w:id="2073" w:name="_Toc235218645"/>
      <w:bookmarkStart w:id="2074" w:name="_Toc235204761"/>
      <w:bookmarkEnd w:id="2072"/>
      <w:bookmarkEnd w:id="2073"/>
      <w:bookmarkEnd w:id="2074"/>
      <w:r>
        <w:rPr>
          <w:rFonts w:ascii="Times New Roman;Times;serif" w:hAnsi="Times New Roman;Times;serif"/>
          <w:b/>
          <w:sz w:val="24"/>
        </w:rPr>
        <w:t>STOCK PURCHASE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STOCK PURCHASE AGREEMENT (this “</w:t>
      </w:r>
      <w:r>
        <w:rPr>
          <w:rFonts w:ascii="Times New Roman;Times;serif" w:hAnsi="Times New Roman;Times;serif"/>
          <w:sz w:val="24"/>
          <w:u w:val="single"/>
        </w:rPr>
        <w:t>Agreement</w:t>
      </w:r>
      <w:r>
        <w:rPr>
          <w:rFonts w:ascii="Times New Roman;Times;serif" w:hAnsi="Times New Roman;Times;serif"/>
          <w:sz w:val="24"/>
        </w:rPr>
        <w:t>”), dated as of July 19, 2026, is entered into by and among Mavis Tire Supply, LLC, a Delaware limited liability company (“</w:t>
      </w:r>
      <w:r>
        <w:rPr>
          <w:rFonts w:ascii="Times New Roman;Times;serif" w:hAnsi="Times New Roman;Times;serif"/>
          <w:sz w:val="24"/>
          <w:u w:val="single"/>
        </w:rPr>
        <w:t>Buyer</w:t>
      </w:r>
      <w:r>
        <w:rPr>
          <w:rFonts w:ascii="Times New Roman;Times;serif" w:hAnsi="Times New Roman;Times;serif"/>
          <w:sz w:val="24"/>
        </w:rPr>
        <w:t xml:space="preserve">”), solely for purposes of </w:t>
      </w:r>
      <w:r>
        <w:rPr>
          <w:rFonts w:ascii="Times New Roman;Times;serif" w:hAnsi="Times New Roman;Times;serif"/>
          <w:sz w:val="24"/>
          <w:u w:val="single"/>
        </w:rPr>
        <w:t>Sections 6.25</w:t>
      </w:r>
      <w:r>
        <w:rPr>
          <w:rFonts w:ascii="Times New Roman;Times;serif" w:hAnsi="Times New Roman;Times;serif"/>
          <w:sz w:val="24"/>
        </w:rPr>
        <w:t xml:space="preserve"> and </w:t>
      </w:r>
      <w:bookmarkStart w:id="2075" w:name="_9kMIH5YVt4BEGJMPKPOI3xaYzxyvFR"/>
      <w:bookmarkEnd w:id="2075"/>
      <w:r>
        <w:rPr>
          <w:rFonts w:ascii="Times New Roman;Times;serif" w:hAnsi="Times New Roman;Times;serif"/>
          <w:sz w:val="24"/>
          <w:u w:val="single"/>
        </w:rPr>
        <w:t>9.3</w:t>
      </w:r>
      <w:r>
        <w:rPr>
          <w:rFonts w:ascii="Times New Roman;Times;serif" w:hAnsi="Times New Roman;Times;serif"/>
          <w:sz w:val="24"/>
        </w:rPr>
        <w:t>, Metis HoldCo, Inc., a Delaware corporation (“</w:t>
      </w:r>
      <w:r>
        <w:rPr>
          <w:rFonts w:ascii="Times New Roman;Times;serif" w:hAnsi="Times New Roman;Times;serif"/>
          <w:sz w:val="24"/>
          <w:u w:val="single"/>
        </w:rPr>
        <w:t>Buyer Guarantor</w:t>
      </w:r>
      <w:r>
        <w:rPr>
          <w:rFonts w:ascii="Times New Roman;Times;serif" w:hAnsi="Times New Roman;Times;serif"/>
          <w:sz w:val="24"/>
        </w:rPr>
        <w:t>”), Icahn Automotive Group LLC, a Delaware limited liability company (“</w:t>
      </w:r>
      <w:r>
        <w:rPr>
          <w:rFonts w:ascii="Times New Roman;Times;serif" w:hAnsi="Times New Roman;Times;serif"/>
          <w:sz w:val="24"/>
          <w:u w:val="single"/>
        </w:rPr>
        <w:t>Seller</w:t>
      </w:r>
      <w:r>
        <w:rPr>
          <w:rFonts w:ascii="Times New Roman;Times;serif" w:hAnsi="Times New Roman;Times;serif"/>
          <w:sz w:val="24"/>
        </w:rPr>
        <w:t xml:space="preserve">”) and, solely for purposes of </w:t>
      </w:r>
      <w:r>
        <w:rPr>
          <w:rFonts w:ascii="Times New Roman;Times;serif" w:hAnsi="Times New Roman;Times;serif"/>
          <w:sz w:val="24"/>
          <w:u w:val="single"/>
        </w:rPr>
        <w:t xml:space="preserve">Sections </w:t>
      </w:r>
      <w:bookmarkStart w:id="2076" w:name="_9kMIH5YVt4BEGKFGHpVNyrWlw521PK87v457NT"/>
      <w:bookmarkEnd w:id="2076"/>
      <w:r>
        <w:rPr>
          <w:rFonts w:ascii="Times New Roman;Times;serif" w:hAnsi="Times New Roman;Times;serif"/>
          <w:sz w:val="24"/>
          <w:u w:val="single"/>
        </w:rPr>
        <w:t>6.1(d)</w:t>
      </w:r>
      <w:r>
        <w:rPr>
          <w:rFonts w:ascii="Times New Roman;Times;serif" w:hAnsi="Times New Roman;Times;serif"/>
          <w:sz w:val="24"/>
        </w:rPr>
        <w:t xml:space="preserve">, </w:t>
      </w:r>
      <w:bookmarkStart w:id="2077" w:name="_9kMIH5YVt4BEGKJKJfOwCC2o07A7PUKB412MS"/>
      <w:bookmarkEnd w:id="2077"/>
      <w:r>
        <w:rPr>
          <w:rFonts w:ascii="Times New Roman;Times;serif" w:hAnsi="Times New Roman;Times;serif"/>
          <w:sz w:val="24"/>
          <w:u w:val="single"/>
        </w:rPr>
        <w:t>6.3</w:t>
      </w:r>
      <w:r>
        <w:rPr>
          <w:rFonts w:ascii="Times New Roman;Times;serif" w:hAnsi="Times New Roman;Times;serif"/>
          <w:sz w:val="24"/>
        </w:rPr>
        <w:t xml:space="preserve">, </w:t>
      </w:r>
      <w:bookmarkStart w:id="2078" w:name="_9kMIH5YVt4BEGKKLKRJ1tpolwC8qu3CT"/>
      <w:bookmarkEnd w:id="2078"/>
      <w:r>
        <w:rPr>
          <w:rFonts w:ascii="Times New Roman;Times;serif" w:hAnsi="Times New Roman;Times;serif"/>
          <w:sz w:val="24"/>
          <w:u w:val="single"/>
        </w:rPr>
        <w:t>6.4</w:t>
      </w:r>
      <w:r>
        <w:rPr>
          <w:rFonts w:ascii="Times New Roman;Times;serif" w:hAnsi="Times New Roman;Times;serif"/>
          <w:sz w:val="24"/>
        </w:rPr>
        <w:t xml:space="preserve">, </w:t>
      </w:r>
      <w:r>
        <w:rPr>
          <w:rFonts w:ascii="Times New Roman;Times;serif" w:hAnsi="Times New Roman;Times;serif"/>
          <w:sz w:val="24"/>
          <w:u w:val="single"/>
        </w:rPr>
        <w:t>6.5</w:t>
      </w:r>
      <w:r>
        <w:rPr>
          <w:rFonts w:ascii="Times New Roman;Times;serif" w:hAnsi="Times New Roman;Times;serif"/>
          <w:sz w:val="24"/>
        </w:rPr>
        <w:t xml:space="preserve">, </w:t>
      </w:r>
      <w:bookmarkStart w:id="2079" w:name="_9kMIH5YVt4BEGKLMMTJ02rqFqNtynx1bT5GI"/>
      <w:bookmarkEnd w:id="2079"/>
      <w:r>
        <w:rPr>
          <w:rFonts w:ascii="Times New Roman;Times;serif" w:hAnsi="Times New Roman;Times;serif"/>
          <w:sz w:val="24"/>
          <w:u w:val="single"/>
        </w:rPr>
        <w:t>6.6</w:t>
      </w:r>
      <w:r>
        <w:rPr>
          <w:rFonts w:ascii="Times New Roman;Times;serif" w:hAnsi="Times New Roman;Times;serif"/>
          <w:sz w:val="24"/>
        </w:rPr>
        <w:t xml:space="preserve">, </w:t>
      </w:r>
      <w:bookmarkStart w:id="2080" w:name="_9kMIH5YVt4BEGKMNNjOpqgv0"/>
      <w:bookmarkEnd w:id="2080"/>
      <w:r>
        <w:rPr>
          <w:rFonts w:ascii="Times New Roman;Times;serif" w:hAnsi="Times New Roman;Times;serif"/>
          <w:sz w:val="24"/>
          <w:u w:val="single"/>
        </w:rPr>
        <w:t>6.7</w:t>
      </w:r>
      <w:r>
        <w:rPr>
          <w:rFonts w:ascii="Times New Roman;Times;serif" w:hAnsi="Times New Roman;Times;serif"/>
          <w:sz w:val="24"/>
        </w:rPr>
        <w:t xml:space="preserve">, </w:t>
      </w:r>
      <w:bookmarkStart w:id="2081" w:name="_9kMIH5YVt4BEGKIJHFXP6EEvsvnOTJA74uz"/>
      <w:bookmarkEnd w:id="2081"/>
      <w:r>
        <w:rPr>
          <w:rFonts w:ascii="Times New Roman;Times;serif" w:hAnsi="Times New Roman;Times;serif"/>
          <w:sz w:val="24"/>
          <w:u w:val="single"/>
        </w:rPr>
        <w:t>6.10</w:t>
      </w:r>
      <w:r>
        <w:rPr>
          <w:rFonts w:ascii="Times New Roman;Times;serif" w:hAnsi="Times New Roman;Times;serif"/>
          <w:sz w:val="24"/>
        </w:rPr>
        <w:t xml:space="preserve">, </w:t>
      </w:r>
      <w:r>
        <w:rPr>
          <w:rFonts w:ascii="Times New Roman;Times;serif" w:hAnsi="Times New Roman;Times;serif"/>
          <w:sz w:val="24"/>
          <w:u w:val="single"/>
        </w:rPr>
        <w:t>6.18</w:t>
      </w:r>
      <w:r>
        <w:rPr>
          <w:rFonts w:ascii="Times New Roman;Times;serif" w:hAnsi="Times New Roman;Times;serif"/>
          <w:sz w:val="24"/>
        </w:rPr>
        <w:t xml:space="preserve">, </w:t>
      </w:r>
      <w:r>
        <w:rPr>
          <w:rFonts w:ascii="Times New Roman;Times;serif" w:hAnsi="Times New Roman;Times;serif"/>
          <w:sz w:val="24"/>
          <w:u w:val="single"/>
        </w:rPr>
        <w:t>6.22</w:t>
      </w:r>
      <w:r>
        <w:rPr>
          <w:rFonts w:ascii="Times New Roman;Times;serif" w:hAnsi="Times New Roman;Times;serif"/>
          <w:sz w:val="24"/>
        </w:rPr>
        <w:t xml:space="preserve">, </w:t>
      </w:r>
      <w:r>
        <w:rPr>
          <w:rFonts w:ascii="Times New Roman;Times;serif" w:hAnsi="Times New Roman;Times;serif"/>
          <w:sz w:val="24"/>
          <w:u w:val="single"/>
        </w:rPr>
        <w:t>6.23</w:t>
      </w:r>
      <w:r>
        <w:rPr>
          <w:rFonts w:ascii="Times New Roman;Times;serif" w:hAnsi="Times New Roman;Times;serif"/>
          <w:sz w:val="24"/>
        </w:rPr>
        <w:t xml:space="preserve">, </w:t>
      </w:r>
      <w:r>
        <w:rPr>
          <w:rFonts w:ascii="Times New Roman;Times;serif" w:hAnsi="Times New Roman;Times;serif"/>
          <w:sz w:val="24"/>
          <w:u w:val="single"/>
        </w:rPr>
        <w:t>6.25</w:t>
      </w:r>
      <w:r>
        <w:rPr>
          <w:rFonts w:ascii="Times New Roman;Times;serif" w:hAnsi="Times New Roman;Times;serif"/>
          <w:sz w:val="24"/>
        </w:rPr>
        <w:t xml:space="preserve"> and </w:t>
      </w:r>
      <w:bookmarkStart w:id="2082" w:name="_9kMIH5YVt4BEGKNPJfPpxrybZ0yzwGS"/>
      <w:bookmarkEnd w:id="2082"/>
      <w:r>
        <w:rPr>
          <w:rFonts w:ascii="Times New Roman;Times;serif" w:hAnsi="Times New Roman;Times;serif"/>
          <w:sz w:val="24"/>
          <w:u w:val="single"/>
        </w:rPr>
        <w:t>9.2</w:t>
      </w:r>
      <w:r>
        <w:rPr>
          <w:rFonts w:ascii="Times New Roman;Times;serif" w:hAnsi="Times New Roman;Times;serif"/>
          <w:sz w:val="24"/>
        </w:rPr>
        <w:t>, Icahn Enterprises L.P., a Delaware limited partnership (“</w:t>
      </w:r>
      <w:r>
        <w:rPr>
          <w:rFonts w:ascii="Times New Roman;Times;serif" w:hAnsi="Times New Roman;Times;serif"/>
          <w:sz w:val="24"/>
          <w:u w:val="single"/>
        </w:rPr>
        <w:t>Seller Guarantor</w:t>
      </w:r>
      <w:r>
        <w:rPr>
          <w:rFonts w:ascii="Times New Roman;Times;serif" w:hAnsi="Times New Roman;Times;serif"/>
          <w:sz w:val="24"/>
        </w:rPr>
        <w:t>”).  Buyer and Seller are referred to herein as the “</w:t>
      </w:r>
      <w:r>
        <w:rPr>
          <w:rFonts w:ascii="Times New Roman;Times;serif" w:hAnsi="Times New Roman;Times;serif"/>
          <w:sz w:val="24"/>
          <w:u w:val="single"/>
        </w:rPr>
        <w:t>Parties</w:t>
      </w:r>
      <w:r>
        <w:rPr>
          <w:rFonts w:ascii="Times New Roman;Times;serif" w:hAnsi="Times New Roman;Times;serif"/>
          <w:sz w:val="24"/>
        </w:rPr>
        <w:t>” and each as a “</w:t>
      </w:r>
      <w:r>
        <w:rPr>
          <w:rFonts w:ascii="Times New Roman;Times;serif" w:hAnsi="Times New Roman;Times;serif"/>
          <w:sz w:val="24"/>
          <w:u w:val="single"/>
        </w:rPr>
        <w:t>Party</w:t>
      </w:r>
      <w:r>
        <w:rPr>
          <w:rFonts w:ascii="Times New Roman;Times;serif" w:hAnsi="Times New Roman;Times;serif"/>
          <w:sz w:val="24"/>
        </w:rPr>
        <w:t xml:space="preserve">”.  Capitalized terms used herein and not otherwise defined herein have the meanings given to such terms in </w:t>
      </w:r>
      <w:r>
        <w:rPr>
          <w:rFonts w:ascii="Times New Roman;Times;serif" w:hAnsi="Times New Roman;Times;serif"/>
          <w:sz w:val="24"/>
          <w:u w:val="single"/>
        </w:rPr>
        <w:t>Article I</w:t>
      </w:r>
      <w:r>
        <w:rPr>
          <w:rFonts w:ascii="Times New Roman;Times;serif" w:hAnsi="Times New Roman;Times;serif"/>
          <w:sz w:val="24"/>
        </w:rPr>
        <w:t>.  </w:t>
      </w:r>
    </w:p>
    <w:p>
      <w:pPr>
        <w:pStyle w:val="TextBody"/>
        <w:bidi w:val="0"/>
        <w:spacing w:before="0" w:after="240"/>
        <w:ind w:left="0" w:right="0" w:firstLine="720"/>
        <w:jc w:val="both"/>
        <w:rPr>
          <w:rFonts w:ascii="Times New Roman;Times;serif" w:hAnsi="Times New Roman;Times;serif"/>
          <w:sz w:val="24"/>
        </w:rPr>
      </w:pPr>
      <w:bookmarkStart w:id="2083" w:name="_Hlk229657203"/>
      <w:bookmarkEnd w:id="2083"/>
      <w:r>
        <w:rPr>
          <w:rFonts w:ascii="Times New Roman;Times;serif" w:hAnsi="Times New Roman;Times;serif"/>
          <w:sz w:val="24"/>
        </w:rPr>
        <w:t>The Pep Boys-Manny, Moe &amp; Jack Holding Corp., a Delaware corporation (the “</w:t>
      </w:r>
      <w:r>
        <w:rPr>
          <w:rFonts w:ascii="Times New Roman;Times;serif" w:hAnsi="Times New Roman;Times;serif"/>
          <w:sz w:val="24"/>
          <w:u w:val="single"/>
        </w:rPr>
        <w:t>Company</w:t>
      </w:r>
      <w:r>
        <w:rPr>
          <w:rFonts w:ascii="Times New Roman;Times;serif" w:hAnsi="Times New Roman;Times;serif"/>
          <w:sz w:val="24"/>
        </w:rPr>
        <w:t xml:space="preserve">”) and its Subsidiaries are engaged in the business of (i) owning and operating and providing a full range of automotive maintenance and repair services at the tire and automotive repair shops listed on </w:t>
      </w:r>
      <w:bookmarkStart w:id="2084" w:name="_9kMHG5YVtCIDGEAEKtA4nsuumnyD2tsz6ywCH3B"/>
      <w:bookmarkStart w:id="2085" w:name="_9kMHG5YVtCIDFMPKKtA4nsuumnyD2tsz6ywCH3B"/>
      <w:bookmarkEnd w:id="2084"/>
      <w:bookmarkEnd w:id="2085"/>
      <w:r>
        <w:rPr>
          <w:rFonts w:ascii="Times New Roman;Times;serif" w:hAnsi="Times New Roman;Times;serif"/>
          <w:sz w:val="24"/>
          <w:u w:val="single"/>
        </w:rPr>
        <w:t>Exhibit A</w:t>
      </w:r>
      <w:r>
        <w:rPr>
          <w:rFonts w:ascii="Times New Roman;Times;serif" w:hAnsi="Times New Roman;Times;serif"/>
          <w:sz w:val="24"/>
        </w:rPr>
        <w:t xml:space="preserve"> hereto (the “</w:t>
      </w:r>
      <w:r>
        <w:rPr>
          <w:rFonts w:ascii="Times New Roman;Times;serif" w:hAnsi="Times New Roman;Times;serif"/>
          <w:sz w:val="24"/>
          <w:u w:val="single"/>
        </w:rPr>
        <w:t>Repair Shops</w:t>
      </w:r>
      <w:r>
        <w:rPr>
          <w:rFonts w:ascii="Times New Roman;Times;serif" w:hAnsi="Times New Roman;Times;serif"/>
          <w:sz w:val="24"/>
        </w:rPr>
        <w:t xml:space="preserve">”); (ii) operating real estate consisting of leased, subleased, and owned supercenters, service and tire centers, and distribution centers; and (iii) the supporting store operation management and distribution network, including the operation of the distribution centers listed on </w:t>
      </w:r>
      <w:bookmarkStart w:id="2086" w:name="_9kMIH5YVtCIDGEAEKtA4nsuumnyD2tsz6ywCH3B"/>
      <w:bookmarkStart w:id="2087" w:name="_9kMIH5YVtCIDFMPKKtA4nsuumnyD2tsz6ywCH3B"/>
      <w:bookmarkEnd w:id="2086"/>
      <w:bookmarkEnd w:id="2087"/>
      <w:r>
        <w:rPr>
          <w:rFonts w:ascii="Times New Roman;Times;serif" w:hAnsi="Times New Roman;Times;serif"/>
          <w:sz w:val="24"/>
          <w:u w:val="single"/>
        </w:rPr>
        <w:t>Exhibit A</w:t>
      </w:r>
      <w:r>
        <w:rPr>
          <w:rFonts w:ascii="Times New Roman;Times;serif" w:hAnsi="Times New Roman;Times;serif"/>
          <w:sz w:val="24"/>
        </w:rPr>
        <w:t xml:space="preserve"> hereto (the “</w:t>
      </w:r>
      <w:r>
        <w:rPr>
          <w:rFonts w:ascii="Times New Roman;Times;serif" w:hAnsi="Times New Roman;Times;serif"/>
          <w:sz w:val="24"/>
          <w:u w:val="single"/>
        </w:rPr>
        <w:t>Distribution Centers</w:t>
      </w:r>
      <w:r>
        <w:rPr>
          <w:rFonts w:ascii="Times New Roman;Times;serif" w:hAnsi="Times New Roman;Times;serif"/>
          <w:sz w:val="24"/>
        </w:rPr>
        <w:t>”) (such business as currently conducted by the Company and its Subsidiaries, together with the business of Colchester solely as it relates to providing captive insurance coverage to the Company and its Subsidiaries engaged in the Business, the “</w:t>
      </w:r>
      <w:r>
        <w:rPr>
          <w:rFonts w:ascii="Times New Roman;Times;serif" w:hAnsi="Times New Roman;Times;serif"/>
          <w:sz w:val="24"/>
          <w:u w:val="single"/>
        </w:rPr>
        <w:t>Business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Seller owns all of the issued and outstanding capital stock of the Company, consisting of 100 shares of Company Common Stock (the “</w:t>
      </w:r>
      <w:r>
        <w:rPr>
          <w:rFonts w:ascii="Times New Roman;Times;serif" w:hAnsi="Times New Roman;Times;serif"/>
          <w:sz w:val="24"/>
          <w:u w:val="single"/>
        </w:rPr>
        <w:t>Company Shares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subject to the terms and conditions set forth herein, Buyer desires to purchase from Seller, and Seller desires to sell to Buyer, all of the Company Shares, in consideration for payment of the Purchase Price;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WHEREAS, on or prior to the Closing, Seller Guarantor and its Subsidiaries (including the Company) will complete the activities and transactions set forth on </w:t>
      </w:r>
      <w:bookmarkStart w:id="2088" w:name="_9kMHG5YVtCIDFKOLKtBDnt9101ot4GI00PQ7HPC"/>
      <w:bookmarkEnd w:id="2088"/>
      <w:r>
        <w:rPr>
          <w:rFonts w:ascii="Times New Roman;Times;serif" w:hAnsi="Times New Roman;Times;serif"/>
          <w:sz w:val="24"/>
          <w:u w:val="single"/>
        </w:rPr>
        <w:t>Exhibit B</w:t>
      </w:r>
      <w:r>
        <w:rPr>
          <w:rFonts w:ascii="Times New Roman;Times;serif" w:hAnsi="Times New Roman;Times;serif"/>
          <w:sz w:val="24"/>
        </w:rPr>
        <w:t xml:space="preserve"> hereto in accordance with, and on the terms and conditions set forth in, </w:t>
      </w:r>
      <w:r>
        <w:rPr>
          <w:rFonts w:ascii="Times New Roman;Times;serif" w:hAnsi="Times New Roman;Times;serif"/>
          <w:sz w:val="24"/>
          <w:u w:val="single"/>
        </w:rPr>
        <w:t>Section 6.18</w:t>
      </w:r>
      <w:r>
        <w:rPr>
          <w:rFonts w:ascii="Times New Roman;Times;serif" w:hAnsi="Times New Roman;Times;serif"/>
          <w:sz w:val="24"/>
        </w:rPr>
        <w:t xml:space="preserve"> and the </w:t>
      </w:r>
      <w:bookmarkStart w:id="2089" w:name="_9kMHG5YVt4CFGJEbMuAACyyHG521SV18J46MS"/>
      <w:bookmarkEnd w:id="2089"/>
      <w:r>
        <w:rPr>
          <w:rFonts w:ascii="Times New Roman;Times;serif" w:hAnsi="Times New Roman;Times;serif"/>
          <w:sz w:val="24"/>
        </w:rPr>
        <w:t xml:space="preserve">Restructuring Documents approved by Buyer in accordance with the terms and conditions set forth in </w:t>
      </w:r>
      <w:r>
        <w:rPr>
          <w:rFonts w:ascii="Times New Roman;Times;serif" w:hAnsi="Times New Roman;Times;serif"/>
          <w:sz w:val="24"/>
          <w:u w:val="single"/>
        </w:rPr>
        <w:t>Section 6.18</w:t>
      </w:r>
      <w:r>
        <w:rPr>
          <w:rFonts w:ascii="Times New Roman;Times;serif" w:hAnsi="Times New Roman;Times;serif"/>
          <w:sz w:val="24"/>
        </w:rPr>
        <w:t xml:space="preserve"> and on </w:t>
      </w:r>
      <w:r>
        <w:rPr>
          <w:rFonts w:ascii="Times New Roman;Times;serif" w:hAnsi="Times New Roman;Times;serif"/>
          <w:sz w:val="24"/>
          <w:u w:val="single"/>
        </w:rPr>
        <w:t>Exhibit B</w:t>
      </w:r>
      <w:r>
        <w:rPr>
          <w:rFonts w:ascii="Times New Roman;Times;serif" w:hAnsi="Times New Roman;Times;serif"/>
          <w:sz w:val="24"/>
        </w:rPr>
        <w:t xml:space="preserve"> (collectively, the “</w:t>
      </w:r>
      <w:r>
        <w:rPr>
          <w:rFonts w:ascii="Times New Roman;Times;serif" w:hAnsi="Times New Roman;Times;serif"/>
          <w:sz w:val="24"/>
          <w:u w:val="single"/>
        </w:rPr>
        <w:t>Restructuring</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covenants, agreements and understandings herein contained, the receipt and sufficiency of which is hereby acknowledged, the Parties hereby agree as follows:</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I</w:t>
      </w:r>
      <w:r>
        <w:rPr>
          <w:rFonts w:ascii="Times New Roman;Times;serif" w:hAnsi="Times New Roman;Times;serif"/>
          <w:b/>
          <w:sz w:val="24"/>
        </w:rPr>
        <w:t>​</w:t>
        <w:br/>
      </w:r>
      <w:bookmarkStart w:id="2090" w:name="_Toc235366484"/>
      <w:bookmarkStart w:id="2091" w:name="_Toc235204762"/>
      <w:bookmarkStart w:id="2092" w:name="_Toc235142667"/>
      <w:bookmarkStart w:id="2093" w:name="_Toc228481550"/>
      <w:bookmarkStart w:id="2094" w:name="_Toc465317272"/>
      <w:bookmarkStart w:id="2095" w:name="_Toc464684528"/>
      <w:bookmarkStart w:id="2096" w:name="_Toc464561838"/>
      <w:bookmarkStart w:id="2097" w:name="_Ref464164105"/>
      <w:bookmarkEnd w:id="2090"/>
      <w:bookmarkEnd w:id="2091"/>
      <w:bookmarkEnd w:id="2092"/>
      <w:bookmarkEnd w:id="2093"/>
      <w:bookmarkEnd w:id="2094"/>
      <w:bookmarkEnd w:id="2095"/>
      <w:bookmarkEnd w:id="2096"/>
      <w:bookmarkEnd w:id="2097"/>
      <w:r>
        <w:rPr>
          <w:rFonts w:ascii="Times New Roman;Times;serif" w:hAnsi="Times New Roman;Times;serif"/>
          <w:b/>
          <w:sz w:val="24"/>
        </w:rPr>
        <w:t>Definitions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For the purposes hereof, the following terms have the meanings set forth below:</w:t>
      </w:r>
    </w:p>
    <w:p>
      <w:pPr>
        <w:pStyle w:val="TextBody"/>
        <w:bidi w:val="0"/>
        <w:spacing w:before="0" w:after="240"/>
        <w:ind w:left="0" w:right="0" w:firstLine="720"/>
        <w:jc w:val="both"/>
        <w:rPr/>
      </w:pPr>
      <w:r>
        <w:rPr/>
        <w:t>“</w:t>
      </w:r>
      <w:r>
        <w:rPr>
          <w:rFonts w:ascii="Times New Roman;Times;serif" w:hAnsi="Times New Roman;Times;serif"/>
          <w:sz w:val="24"/>
          <w:u w:val="single"/>
        </w:rPr>
        <w:t>Access Limitations</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2.3(d)(ii)</w:t>
      </w:r>
      <w:r>
        <w:rPr>
          <w:rFonts w:ascii="Times New Roman;Times;serif" w:hAnsi="Times New Roman;Times;serif"/>
          <w:sz w:val="24"/>
        </w:rPr>
        <w: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4"/>
          <w:u w:val="single"/>
        </w:rPr>
        <w:t>Accounting Principles</w:t>
      </w:r>
      <w:r>
        <w:rPr>
          <w:rFonts w:ascii="Times New Roman;Times;serif" w:hAnsi="Times New Roman;Times;serif"/>
          <w:sz w:val="24"/>
        </w:rPr>
        <w:t xml:space="preserve">” means the accounting principles, conventions, policies, practices, procedures, classifications, judgments and methods set forth on </w:t>
      </w:r>
      <w:bookmarkStart w:id="2098" w:name="_9kMHG5YVtCIDGEBFKtDJnfkisH5k1KDCDFGCIJC"/>
      <w:bookmarkEnd w:id="2098"/>
      <w:r>
        <w:rPr>
          <w:rFonts w:ascii="Times New Roman;Times;serif" w:hAnsi="Times New Roman;Times;serif"/>
          <w:sz w:val="24"/>
          <w:u w:val="single"/>
        </w:rPr>
        <w:t>Exhibit 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Acquisition Proposal</w:t>
      </w:r>
      <w:r>
        <w:rPr>
          <w:rFonts w:ascii="Times New Roman;Times;serif" w:hAnsi="Times New Roman;Times;serif"/>
          <w:sz w:val="24"/>
        </w:rPr>
        <w:t xml:space="preserve">” has the meaning set forth in </w:t>
      </w:r>
      <w:r>
        <w:rPr>
          <w:rFonts w:ascii="Times New Roman;Times;serif" w:hAnsi="Times New Roman;Times;serif"/>
          <w:sz w:val="24"/>
          <w:u w:val="single"/>
        </w:rPr>
        <w:t>Section 6.15(a)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Adjustment Amount</w:t>
      </w:r>
      <w:r>
        <w:rPr>
          <w:rFonts w:ascii="Times New Roman;Times;serif" w:hAnsi="Times New Roman;Times;serif"/>
          <w:sz w:val="24"/>
        </w:rPr>
        <w:t xml:space="preserve">” means an amount (which may be positive or negative) equal to </w:t>
      </w:r>
      <w:bookmarkStart w:id="2099" w:name="DocXTextRef1"/>
      <w:bookmarkEnd w:id="2099"/>
      <w:r>
        <w:rPr>
          <w:rFonts w:ascii="Times New Roman;Times;serif" w:hAnsi="Times New Roman;Times;serif"/>
          <w:sz w:val="24"/>
        </w:rPr>
        <w:t xml:space="preserve">(a) the amount of Closing Cash and Cash Equivalents, </w:t>
      </w:r>
      <w:r>
        <w:rPr>
          <w:rFonts w:ascii="Times New Roman;Times;serif" w:hAnsi="Times New Roman;Times;serif"/>
          <w:sz w:val="24"/>
          <w:u w:val="single"/>
        </w:rPr>
        <w:t>minus</w:t>
      </w:r>
      <w:r>
        <w:rPr>
          <w:rFonts w:ascii="Times New Roman;Times;serif" w:hAnsi="Times New Roman;Times;serif"/>
          <w:sz w:val="24"/>
        </w:rPr>
        <w:t xml:space="preserve"> (b) the amount of Closing Indebtedness, </w:t>
      </w:r>
      <w:r>
        <w:rPr>
          <w:rFonts w:ascii="Times New Roman;Times;serif" w:hAnsi="Times New Roman;Times;serif"/>
          <w:sz w:val="24"/>
          <w:u w:val="single"/>
        </w:rPr>
        <w:t>plus</w:t>
      </w:r>
      <w:r>
        <w:rPr>
          <w:rFonts w:ascii="Times New Roman;Times;serif" w:hAnsi="Times New Roman;Times;serif"/>
          <w:sz w:val="24"/>
        </w:rPr>
        <w:t xml:space="preserve"> (c) the Net Working Capital Adjustment (which may be positive or negative), </w:t>
      </w:r>
      <w:r>
        <w:rPr>
          <w:rFonts w:ascii="Times New Roman;Times;serif" w:hAnsi="Times New Roman;Times;serif"/>
          <w:sz w:val="24"/>
          <w:u w:val="single"/>
        </w:rPr>
        <w:t>minus</w:t>
      </w:r>
      <w:r>
        <w:rPr>
          <w:rFonts w:ascii="Times New Roman;Times;serif" w:hAnsi="Times New Roman;Times;serif"/>
          <w:sz w:val="24"/>
        </w:rPr>
        <w:t xml:space="preserve"> (d) the amount of Unpaid Seller Expenses, </w:t>
      </w:r>
      <w:r>
        <w:rPr>
          <w:rFonts w:ascii="Times New Roman;Times;serif" w:hAnsi="Times New Roman;Times;serif"/>
          <w:sz w:val="24"/>
          <w:u w:val="single"/>
        </w:rPr>
        <w:t>minus</w:t>
      </w:r>
      <w:r>
        <w:rPr>
          <w:rFonts w:ascii="Times New Roman;Times;serif" w:hAnsi="Times New Roman;Times;serif"/>
          <w:sz w:val="24"/>
        </w:rPr>
        <w:t xml:space="preserve"> </w:t>
      </w:r>
      <w:bookmarkStart w:id="2100" w:name="DocXTextRef2"/>
      <w:bookmarkEnd w:id="2100"/>
      <w:r>
        <w:rPr>
          <w:rFonts w:ascii="Times New Roman;Times;serif" w:hAnsi="Times New Roman;Times;serif"/>
          <w:sz w:val="24"/>
        </w:rPr>
        <w:t>(e) the amount of Unpaid Income Taxes.</w:t>
      </w:r>
    </w:p>
    <w:p>
      <w:pPr>
        <w:pStyle w:val="TextBody"/>
        <w:bidi w:val="0"/>
        <w:spacing w:before="0" w:after="240"/>
        <w:ind w:left="0" w:right="0" w:firstLine="720"/>
        <w:jc w:val="both"/>
        <w:rPr/>
      </w:pPr>
      <w:r>
        <w:rPr/>
        <w:t>“</w:t>
      </w:r>
      <w:r>
        <w:rPr>
          <w:rFonts w:ascii="Times New Roman;Times;serif" w:hAnsi="Times New Roman;Times;serif"/>
          <w:sz w:val="24"/>
          <w:u w:val="single"/>
        </w:rPr>
        <w:t>Adjustment Escrow Amount</w:t>
      </w:r>
      <w:r>
        <w:rPr>
          <w:rFonts w:ascii="Times New Roman;Times;serif" w:hAnsi="Times New Roman;Times;serif"/>
          <w:sz w:val="24"/>
        </w:rPr>
        <w:t xml:space="preserve">” </w:t>
      </w:r>
      <w:bookmarkStart w:id="2101" w:name="_Hlk232314108"/>
      <w:bookmarkEnd w:id="2101"/>
      <w:r>
        <w:rPr>
          <w:rFonts w:ascii="Times New Roman;Times;serif" w:hAnsi="Times New Roman;Times;serif"/>
          <w:sz w:val="24"/>
        </w:rPr>
        <w:t xml:space="preserve">has the meaning set forth in </w:t>
      </w:r>
      <w:r>
        <w:rPr>
          <w:rFonts w:ascii="Times New Roman;Times;serif" w:hAnsi="Times New Roman;Times;serif"/>
          <w:sz w:val="24"/>
          <w:u w:val="single"/>
        </w:rPr>
        <w:t>Section 2.3(b)(i)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Adjustment Escrow Fund</w:t>
      </w:r>
      <w:r>
        <w:rPr>
          <w:rFonts w:ascii="Times New Roman;Times;serif" w:hAnsi="Times New Roman;Times;serif"/>
          <w:sz w:val="24"/>
        </w:rPr>
        <w:t xml:space="preserve">” has the meaning set forth in </w:t>
      </w:r>
      <w:bookmarkStart w:id="2102" w:name="_9kMHG5YVt4ADGLGCHUPuu7D"/>
      <w:bookmarkEnd w:id="2102"/>
      <w:r>
        <w:rPr>
          <w:rFonts w:ascii="Times New Roman;Times;serif" w:hAnsi="Times New Roman;Times;serif"/>
          <w:sz w:val="24"/>
          <w:u w:val="single"/>
        </w:rPr>
        <w:t>Section 2.4</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Affiliate</w:t>
      </w:r>
      <w:r>
        <w:rPr>
          <w:rFonts w:ascii="Times New Roman;Times;serif" w:hAnsi="Times New Roman;Times;serif"/>
          <w:sz w:val="24"/>
        </w:rPr>
        <w:t>” of any particular Person means any other Person controlling, controlled by or under common control with such particular Person, where “</w:t>
      </w:r>
      <w:bookmarkStart w:id="2103" w:name="dtDNI1"/>
      <w:bookmarkEnd w:id="2103"/>
      <w:r>
        <w:rPr>
          <w:rFonts w:ascii="Times New Roman;Times;serif" w:hAnsi="Times New Roman;Times;serif"/>
          <w:sz w:val="24"/>
        </w:rPr>
        <w:t xml:space="preserve">control” means the possession, directly or indirectly, of the power to direct the management and policies of a Person whether through the ownership of voting securities, Contract or otherwise; </w:t>
      </w:r>
      <w:r>
        <w:rPr>
          <w:rFonts w:ascii="Times New Roman;Times;serif" w:hAnsi="Times New Roman;Times;serif"/>
          <w:i/>
          <w:sz w:val="24"/>
        </w:rPr>
        <w:t>provided</w:t>
      </w:r>
      <w:r>
        <w:rPr>
          <w:rFonts w:ascii="Times New Roman;Times;serif" w:hAnsi="Times New Roman;Times;serif"/>
          <w:sz w:val="24"/>
        </w:rPr>
        <w:t>, that, the Affiliates of Seller shall not include, as of the date of measurement, any Person that is a Public Company (other than (a) Seller Guarantor or its direct or indirect Subsidiaries or (b) any Public Company in which Carl C. Icahn owns (of record or beneficially) equity interests representing in excess of 50% of the voting power of the equity interests of such Public Company) in which Carl C. Icahn or any of his Affiliates has an interest as of the date hereof or acquires an interest after the date hereof (except to the extent that the applicable entity ceases to be a Public Company), or any direct or indirect Subsidiary thereof.  “Affiliates” of Buyer shall not include any investment fund managed by or affiliated with, or portfolio company of any fund managed by or affiliated with, [***].  </w:t>
      </w:r>
    </w:p>
    <w:p>
      <w:pPr>
        <w:pStyle w:val="TextBody"/>
        <w:bidi w:val="0"/>
        <w:spacing w:before="0" w:after="240"/>
        <w:ind w:left="0" w:right="0" w:firstLine="720"/>
        <w:jc w:val="both"/>
        <w:rPr/>
      </w:pPr>
      <w:r>
        <w:rPr/>
        <w:t>“</w:t>
      </w:r>
      <w:r>
        <w:rPr>
          <w:rFonts w:ascii="Times New Roman;Times;serif" w:hAnsi="Times New Roman;Times;serif"/>
          <w:sz w:val="24"/>
          <w:u w:val="single"/>
        </w:rPr>
        <w:t>Affiliate Agreement</w:t>
      </w:r>
      <w:r>
        <w:rPr>
          <w:rFonts w:ascii="Times New Roman;Times;serif" w:hAnsi="Times New Roman;Times;serif"/>
          <w:sz w:val="24"/>
        </w:rPr>
        <w:t xml:space="preserve">” has the meaning set forth in </w:t>
      </w:r>
      <w:bookmarkStart w:id="2104" w:name="_9kMHG5YVt4ADGLJGFEN9lpwxnz4fn1yH5qAHDJO"/>
      <w:bookmarkEnd w:id="2104"/>
      <w:r>
        <w:rPr>
          <w:rFonts w:ascii="Times New Roman;Times;serif" w:hAnsi="Times New Roman;Times;serif"/>
          <w:sz w:val="24"/>
          <w:u w:val="single"/>
        </w:rPr>
        <w:t>Section 3.21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Affiliate Transactions</w:t>
      </w:r>
      <w:r>
        <w:rPr>
          <w:rFonts w:ascii="Times New Roman;Times;serif" w:hAnsi="Times New Roman;Times;serif"/>
          <w:sz w:val="24"/>
        </w:rPr>
        <w:t xml:space="preserve">” has the meaning set forth in </w:t>
      </w:r>
      <w:bookmarkStart w:id="2105" w:name="_9kMIH5YVt4ADGLJGFEN9lpwxnz4fn1yH5qAHDJO"/>
      <w:bookmarkEnd w:id="2105"/>
      <w:r>
        <w:rPr>
          <w:rFonts w:ascii="Times New Roman;Times;serif" w:hAnsi="Times New Roman;Times;serif"/>
          <w:sz w:val="24"/>
          <w:u w:val="single"/>
        </w:rPr>
        <w:t>Section 3.21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Affiliated Group</w:t>
      </w:r>
      <w:r>
        <w:rPr>
          <w:rFonts w:ascii="Times New Roman;Times;serif" w:hAnsi="Times New Roman;Times;serif"/>
          <w:sz w:val="24"/>
        </w:rPr>
        <w:t xml:space="preserve">” means any affiliated group as defined in Section 1504 of the Code that has filed a consolidated return for U.S. federal income tax purposes (or any consolidated, combined or unitary group under state, local or </w:t>
      </w:r>
      <w:bookmarkStart w:id="2106" w:name="_9kR3WTr266ACF2wxeE6Fx"/>
      <w:bookmarkStart w:id="2107" w:name="_9kR3WTr266ACD0wxeE6Fx"/>
      <w:bookmarkEnd w:id="2106"/>
      <w:bookmarkEnd w:id="2107"/>
      <w:r>
        <w:rPr>
          <w:rFonts w:ascii="Times New Roman;Times;serif" w:hAnsi="Times New Roman;Times;serif"/>
          <w:sz w:val="24"/>
        </w:rPr>
        <w:t>non-U.S. Law).</w:t>
      </w:r>
    </w:p>
    <w:p>
      <w:pPr>
        <w:pStyle w:val="TextBody"/>
        <w:bidi w:val="0"/>
        <w:spacing w:before="0" w:after="240"/>
        <w:ind w:left="0" w:right="0" w:firstLine="720"/>
        <w:jc w:val="both"/>
        <w:rPr/>
      </w:pPr>
      <w:r>
        <w:rPr/>
        <w:t>“</w:t>
      </w:r>
      <w:r>
        <w:rPr>
          <w:rFonts w:ascii="Times New Roman;Times;serif" w:hAnsi="Times New Roman;Times;serif"/>
          <w:sz w:val="24"/>
          <w:u w:val="single"/>
        </w:rPr>
        <w:t>Agreement</w:t>
      </w:r>
      <w:r>
        <w:rPr>
          <w:rFonts w:ascii="Times New Roman;Times;serif" w:hAnsi="Times New Roman;Times;serif"/>
          <w:sz w:val="24"/>
        </w:rPr>
        <w:t>” has the meaning set forth in the preamble to this Agreement.</w:t>
      </w:r>
    </w:p>
    <w:p>
      <w:pPr>
        <w:pStyle w:val="TextBody"/>
        <w:bidi w:val="0"/>
        <w:spacing w:before="0" w:after="240"/>
        <w:ind w:left="0" w:right="0" w:firstLine="720"/>
        <w:jc w:val="both"/>
        <w:rPr/>
      </w:pPr>
      <w:r>
        <w:rPr/>
        <w:t>“</w:t>
      </w:r>
      <w:r>
        <w:rPr>
          <w:rFonts w:ascii="Times New Roman;Times;serif" w:hAnsi="Times New Roman;Times;serif"/>
          <w:sz w:val="24"/>
          <w:u w:val="single"/>
        </w:rPr>
        <w:t>Asset Retirement Obligations</w:t>
      </w:r>
      <w:r>
        <w:rPr>
          <w:rFonts w:ascii="Times New Roman;Times;serif" w:hAnsi="Times New Roman;Times;serif"/>
          <w:sz w:val="24"/>
        </w:rPr>
        <w:t xml:space="preserve">” means </w:t>
      </w:r>
      <w:bookmarkStart w:id="2108" w:name="_Hlk233707763"/>
      <w:bookmarkEnd w:id="2108"/>
      <w:r>
        <w:rPr>
          <w:rFonts w:ascii="Times New Roman;Times;serif" w:hAnsi="Times New Roman;Times;serif"/>
          <w:sz w:val="24"/>
        </w:rPr>
        <w:t>the aggregate amount of costs and Liabilities incurred or to be incurred by the Company or any of its Subsidiaries, to the extent required by any applicable lease or other Contract (whether operative or expired or terminated) or Law to remove improvements, equipment, cabling, fixtures, tanks, machinery, or other installations, and otherwise restore physically the applicable premises.</w:t>
      </w:r>
    </w:p>
    <w:p>
      <w:pPr>
        <w:pStyle w:val="TextBody"/>
        <w:bidi w:val="0"/>
        <w:spacing w:before="0" w:after="240"/>
        <w:ind w:left="0" w:right="0" w:firstLine="720"/>
        <w:jc w:val="both"/>
        <w:rPr/>
      </w:pPr>
      <w:r>
        <w:rPr/>
        <w:t>“</w:t>
      </w:r>
      <w:r>
        <w:rPr>
          <w:rFonts w:ascii="Times New Roman;Times;serif" w:hAnsi="Times New Roman;Times;serif"/>
          <w:sz w:val="24"/>
          <w:u w:val="single"/>
        </w:rPr>
        <w:t>Auditor Review Period</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2.3(d)(iv)</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Base Purchase Price</w:t>
      </w:r>
      <w:r>
        <w:rPr>
          <w:rFonts w:ascii="Times New Roman;Times;serif" w:hAnsi="Times New Roman;Times;serif"/>
          <w:sz w:val="24"/>
        </w:rPr>
        <w:t>” means $700,000,000.</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4"/>
          <w:u w:val="single"/>
        </w:rPr>
        <w:t>[***] Bond</w:t>
      </w:r>
      <w:r>
        <w:rPr>
          <w:rFonts w:ascii="Times New Roman;Times;serif" w:hAnsi="Times New Roman;Times;serif"/>
          <w:sz w:val="24"/>
        </w:rPr>
        <w:t xml:space="preserve">” means the Seller Credit Support marked with an asterisk (*) on </w:t>
      </w:r>
      <w:r>
        <w:rPr>
          <w:rFonts w:ascii="Times New Roman;Times;serif" w:hAnsi="Times New Roman;Times;serif"/>
          <w:sz w:val="24"/>
          <w:u w:val="single"/>
        </w:rPr>
        <w:t>Schedule 3.5(d)</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Business Day</w:t>
      </w:r>
      <w:r>
        <w:rPr>
          <w:rFonts w:ascii="Times New Roman;Times;serif" w:hAnsi="Times New Roman;Times;serif"/>
          <w:sz w:val="24"/>
        </w:rPr>
        <w:t>” means each day that is not a day on which banking institutions in the city of New York, New York are authorized or obligated by Law or executive Order to close.</w:t>
      </w:r>
    </w:p>
    <w:p>
      <w:pPr>
        <w:pStyle w:val="TextBody"/>
        <w:bidi w:val="0"/>
        <w:spacing w:before="0" w:after="240"/>
        <w:ind w:left="0" w:right="0" w:firstLine="720"/>
        <w:jc w:val="both"/>
        <w:rPr/>
      </w:pPr>
      <w:r>
        <w:rPr/>
        <w:t>“</w:t>
      </w:r>
      <w:r>
        <w:rPr>
          <w:rFonts w:ascii="Times New Roman;Times;serif" w:hAnsi="Times New Roman;Times;serif"/>
          <w:sz w:val="24"/>
          <w:u w:val="single"/>
        </w:rPr>
        <w:t>Business IP</w:t>
      </w:r>
      <w:r>
        <w:rPr>
          <w:rFonts w:ascii="Times New Roman;Times;serif" w:hAnsi="Times New Roman;Times;serif"/>
          <w:sz w:val="24"/>
        </w:rPr>
        <w:t xml:space="preserve">” means all </w:t>
      </w:r>
      <w:bookmarkStart w:id="2109" w:name="DocXTextRef3"/>
      <w:bookmarkEnd w:id="2109"/>
      <w:r>
        <w:rPr>
          <w:rFonts w:ascii="Times New Roman;Times;serif" w:hAnsi="Times New Roman;Times;serif"/>
          <w:sz w:val="24"/>
        </w:rPr>
        <w:t>(a) Intellectual Property Rights used in, held for use in, developed for, or otherwise relating to the Business, (b) Intellectual Property Rights licensed or sublicensed to the Company or any of its Subsidiaries, and (c) Company Owned IP.</w:t>
      </w:r>
    </w:p>
    <w:p>
      <w:pPr>
        <w:pStyle w:val="TextBody"/>
        <w:bidi w:val="0"/>
        <w:spacing w:before="0" w:after="240"/>
        <w:ind w:left="0" w:right="0" w:firstLine="720"/>
        <w:jc w:val="both"/>
        <w:rPr/>
      </w:pPr>
      <w:r>
        <w:rPr/>
        <w:t>“</w:t>
      </w:r>
      <w:r>
        <w:rPr>
          <w:rFonts w:ascii="Times New Roman;Times;serif" w:hAnsi="Times New Roman;Times;serif"/>
          <w:sz w:val="24"/>
          <w:u w:val="single"/>
        </w:rPr>
        <w:t>Buyer</w:t>
      </w:r>
      <w:r>
        <w:rPr>
          <w:rFonts w:ascii="Times New Roman;Times;serif" w:hAnsi="Times New Roman;Times;serif"/>
          <w:sz w:val="24"/>
        </w:rPr>
        <w:t>” has the meaning set forth in the preamble to this Agreement.</w:t>
      </w:r>
    </w:p>
    <w:p>
      <w:pPr>
        <w:pStyle w:val="TextBody"/>
        <w:bidi w:val="0"/>
        <w:spacing w:before="0" w:after="240"/>
        <w:ind w:left="0" w:right="0" w:firstLine="720"/>
        <w:jc w:val="both"/>
        <w:rPr/>
      </w:pPr>
      <w:r>
        <w:rPr/>
        <w:t>“</w:t>
      </w:r>
      <w:r>
        <w:rPr>
          <w:rFonts w:ascii="Times New Roman;Times;serif" w:hAnsi="Times New Roman;Times;serif"/>
          <w:sz w:val="24"/>
          <w:u w:val="single"/>
        </w:rPr>
        <w:t>Buyer Guaranteed Obligations</w:t>
      </w:r>
      <w:r>
        <w:rPr>
          <w:rFonts w:ascii="Times New Roman;Times;serif" w:hAnsi="Times New Roman;Times;serif"/>
          <w:sz w:val="24"/>
        </w:rPr>
        <w:t xml:space="preserve">” has the meaning set forth in </w:t>
      </w:r>
      <w:bookmarkStart w:id="2110" w:name="_9kMHG5YVt4ADGMHHKPOI3xaYzxyvFR"/>
      <w:bookmarkEnd w:id="2110"/>
      <w:r>
        <w:rPr>
          <w:rFonts w:ascii="Times New Roman;Times;serif" w:hAnsi="Times New Roman;Times;serif"/>
          <w:sz w:val="24"/>
          <w:u w:val="single"/>
        </w:rPr>
        <w:t>Section 9.3(a)</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New Roman;Times;serif" w:hAnsi="Times New Roman;Times;serif"/>
          <w:sz w:val="24"/>
          <w:u w:val="single"/>
        </w:rPr>
        <w:t>Buyer Guarantor</w:t>
      </w:r>
      <w:r>
        <w:rPr>
          <w:rFonts w:ascii="Times New Roman;Times;serif" w:hAnsi="Times New Roman;Times;serif"/>
          <w:sz w:val="24"/>
        </w:rPr>
        <w:t>” has the meaning set forth in the preamble to this Agreement.</w:t>
      </w:r>
    </w:p>
    <w:p>
      <w:pPr>
        <w:pStyle w:val="TextBody"/>
        <w:bidi w:val="0"/>
        <w:spacing w:before="0" w:after="240"/>
        <w:ind w:left="0" w:right="0" w:firstLine="720"/>
        <w:jc w:val="both"/>
        <w:rPr/>
      </w:pPr>
      <w:r>
        <w:rPr/>
        <w:t>“</w:t>
      </w:r>
      <w:r>
        <w:rPr>
          <w:rFonts w:ascii="Times New Roman;Times;serif" w:hAnsi="Times New Roman;Times;serif"/>
          <w:sz w:val="24"/>
          <w:u w:val="single"/>
        </w:rPr>
        <w:t>Buyer Guaranty</w:t>
      </w:r>
      <w:r>
        <w:rPr>
          <w:rFonts w:ascii="Times New Roman;Times;serif" w:hAnsi="Times New Roman;Times;serif"/>
          <w:sz w:val="24"/>
        </w:rPr>
        <w:t xml:space="preserve">” has the meaning set forth in </w:t>
      </w:r>
      <w:bookmarkStart w:id="2111" w:name="_9kMIH5YVt4ADGMHHKPOI3xaYzxyvFR"/>
      <w:bookmarkEnd w:id="2111"/>
      <w:r>
        <w:rPr>
          <w:rFonts w:ascii="Times New Roman;Times;serif" w:hAnsi="Times New Roman;Times;serif"/>
          <w:sz w:val="24"/>
          <w:u w:val="single"/>
        </w:rPr>
        <w:t>Section 9.3(a)</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New Roman;Times;serif" w:hAnsi="Times New Roman;Times;serif"/>
          <w:sz w:val="24"/>
          <w:u w:val="single"/>
        </w:rPr>
        <w:t>Buyer Indemnified Persons</w:t>
      </w:r>
      <w:r>
        <w:rPr>
          <w:rFonts w:ascii="Times New Roman;Times;serif" w:hAnsi="Times New Roman;Times;serif"/>
          <w:sz w:val="24"/>
        </w:rPr>
        <w:t xml:space="preserve">” has the meaning set forth in </w:t>
      </w:r>
      <w:r>
        <w:rPr>
          <w:rFonts w:ascii="Times New Roman;Times;serif" w:hAnsi="Times New Roman;Times;serif"/>
          <w:sz w:val="24"/>
          <w:u w:val="single"/>
        </w:rPr>
        <w:t>Section 5.2(a)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Captive Collateral Arrangements</w:t>
      </w:r>
      <w:r>
        <w:rPr>
          <w:rFonts w:ascii="Times New Roman;Times;serif" w:hAnsi="Times New Roman;Times;serif"/>
          <w:sz w:val="24"/>
        </w:rPr>
        <w:t xml:space="preserve">” has the meaning set forth in </w:t>
      </w:r>
      <w:r>
        <w:rPr>
          <w:rFonts w:ascii="Times New Roman;Times;serif" w:hAnsi="Times New Roman;Times;serif"/>
          <w:sz w:val="24"/>
          <w:u w:val="single"/>
        </w:rPr>
        <w:t>Section 3.22(h)</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Captive Insurance Program</w:t>
      </w:r>
      <w:r>
        <w:rPr>
          <w:rFonts w:ascii="Times New Roman;Times;serif" w:hAnsi="Times New Roman;Times;serif"/>
          <w:sz w:val="24"/>
        </w:rPr>
        <w:t xml:space="preserve">” has the meaning set forth in </w:t>
      </w:r>
      <w:r>
        <w:rPr>
          <w:rFonts w:ascii="Times New Roman;Times;serif" w:hAnsi="Times New Roman;Times;serif"/>
          <w:sz w:val="24"/>
          <w:u w:val="single"/>
        </w:rPr>
        <w:t>Section 3.22(c)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Cash and Cash Equivalents</w:t>
      </w:r>
      <w:r>
        <w:rPr>
          <w:rFonts w:ascii="Times New Roman;Times;serif" w:hAnsi="Times New Roman;Times;serif"/>
          <w:sz w:val="24"/>
        </w:rPr>
        <w:t xml:space="preserve">” means the aggregate amount of all freely available cash and cash equivalents of the Company and its Subsidiaries, on a consolidated basis, in accordance with the Accounting Principles (which for the purposes of clarity, does not include (a) with respect to Colchester, </w:t>
      </w:r>
      <w:bookmarkStart w:id="2112" w:name="_Hlk231640242"/>
      <w:bookmarkEnd w:id="2112"/>
      <w:r>
        <w:rPr>
          <w:rFonts w:ascii="Times New Roman;Times;serif" w:hAnsi="Times New Roman;Times;serif"/>
          <w:sz w:val="24"/>
        </w:rPr>
        <w:t>cash or cash equivalents required to collateralize any letters of credit, performance bonds or other similar instruments, (b) cash or cash equivalents subject to legal or other restrictions on transfer or that would cause the Company or any of its Subsidiaries to realize any Liability or cost (including any Taxes) if transferred between jurisdictions or between the Company and its Subsidiaries, including, restrictions on dividends and repatriations or any other form of restriction), (c) any restricted cash related to the Captive Insurance Program or (d) any cash, cash equivalents, restricted cash, marketable securities, deposits, or investments included within Net Working Capital.  For the avoidance of doubt, Cash and Cash Equivalents shall exclude the amount of any outstanding checks, outstanding drafts, outstanding wire transfers and outstanding debit transactions written or made for the accounts of the Company or any of its Subsidiaries.</w:t>
      </w:r>
    </w:p>
    <w:p>
      <w:pPr>
        <w:pStyle w:val="TextBody"/>
        <w:bidi w:val="0"/>
        <w:spacing w:before="0" w:after="240"/>
        <w:ind w:left="0" w:right="0" w:firstLine="720"/>
        <w:jc w:val="both"/>
        <w:rPr/>
      </w:pPr>
      <w:r>
        <w:rPr/>
        <w:t>“</w:t>
      </w:r>
      <w:bookmarkStart w:id="2113" w:name="_Hlk229671118"/>
      <w:bookmarkEnd w:id="2113"/>
      <w:r>
        <w:rPr>
          <w:rFonts w:ascii="Times New Roman;Times;serif" w:hAnsi="Times New Roman;Times;serif"/>
          <w:sz w:val="24"/>
          <w:u w:val="single"/>
        </w:rPr>
        <w:t>Change of Control Payments</w:t>
      </w:r>
      <w:r>
        <w:rPr>
          <w:rFonts w:ascii="Times New Roman;Times;serif" w:hAnsi="Times New Roman;Times;serif"/>
          <w:sz w:val="24"/>
        </w:rPr>
        <w:t xml:space="preserve">” means all change of control severance, bonus or retention payments that are payable by the Company or any of its Subsidiaries to any Person (other than any banker, broker or investment advisor to the Company) as a result of the transactions contemplated hereby (but without regard to any action taken by Buyer), including those payments set forth on </w:t>
      </w:r>
      <w:r>
        <w:rPr>
          <w:rFonts w:ascii="Times New Roman;Times;serif" w:hAnsi="Times New Roman;Times;serif"/>
          <w:sz w:val="24"/>
          <w:u w:val="single"/>
        </w:rPr>
        <w:t>Exhibit D</w:t>
      </w:r>
      <w:r>
        <w:rPr>
          <w:rFonts w:ascii="Times New Roman;Times;serif" w:hAnsi="Times New Roman;Times;serif"/>
          <w:sz w:val="24"/>
        </w:rPr>
        <w:t xml:space="preserve"> of this Agreement.</w:t>
      </w:r>
    </w:p>
    <w:p>
      <w:pPr>
        <w:pStyle w:val="TextBody"/>
        <w:bidi w:val="0"/>
        <w:spacing w:before="0" w:after="240"/>
        <w:ind w:left="0" w:right="0" w:firstLine="720"/>
        <w:jc w:val="both"/>
        <w:rPr/>
      </w:pPr>
      <w:r>
        <w:rPr/>
        <w:t>“</w:t>
      </w:r>
      <w:r>
        <w:rPr>
          <w:rFonts w:ascii="Times New Roman;Times;serif" w:hAnsi="Times New Roman;Times;serif"/>
          <w:sz w:val="24"/>
          <w:u w:val="single"/>
        </w:rPr>
        <w:t>Claim</w:t>
      </w:r>
      <w:r>
        <w:rPr>
          <w:rFonts w:ascii="Times New Roman;Times;serif" w:hAnsi="Times New Roman;Times;serif"/>
          <w:sz w:val="24"/>
        </w:rPr>
        <w:t>” means any action, suit, proceeding (including any arbitration proceeding), investigation, claim, charge, complaint, demand, challenge, notice audit, inquiry or other proceeding.</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4"/>
          <w:u w:val="single"/>
        </w:rPr>
        <w:t>Closed Leased Locations</w:t>
      </w:r>
      <w:r>
        <w:rPr>
          <w:rFonts w:ascii="Times New Roman;Times;serif" w:hAnsi="Times New Roman;Times;serif"/>
          <w:sz w:val="24"/>
        </w:rPr>
        <w:t xml:space="preserve">” means the tire and automotive repair shops, distribution centers and other properties currently or previously leased by the Company or any of its Subsidiaries that are closed or inoperative as of the Closing Date, including those listed on </w:t>
      </w:r>
      <w:r>
        <w:rPr>
          <w:rFonts w:ascii="Times New Roman;Times;serif" w:hAnsi="Times New Roman;Times;serif"/>
          <w:sz w:val="24"/>
          <w:u w:val="single"/>
        </w:rPr>
        <w:t>Exhibit E</w:t>
      </w:r>
      <w:r>
        <w:rPr>
          <w:rFonts w:ascii="Times New Roman;Times;serif" w:hAnsi="Times New Roman;Times;serif"/>
          <w:sz w:val="24"/>
        </w:rPr>
        <w:t xml:space="preserve"> hereto.</w:t>
      </w:r>
    </w:p>
    <w:p>
      <w:pPr>
        <w:pStyle w:val="TextBody"/>
        <w:bidi w:val="0"/>
        <w:spacing w:before="0" w:after="240"/>
        <w:ind w:left="0" w:right="0" w:firstLine="720"/>
        <w:jc w:val="both"/>
        <w:rPr/>
      </w:pPr>
      <w:r>
        <w:rPr/>
        <w:t>“</w:t>
      </w:r>
      <w:r>
        <w:rPr>
          <w:rFonts w:ascii="Times New Roman;Times;serif" w:hAnsi="Times New Roman;Times;serif"/>
          <w:sz w:val="24"/>
          <w:u w:val="single"/>
        </w:rPr>
        <w:t>Closed Owned Locations</w:t>
      </w:r>
      <w:r>
        <w:rPr>
          <w:rFonts w:ascii="Times New Roman;Times;serif" w:hAnsi="Times New Roman;Times;serif"/>
          <w:sz w:val="24"/>
        </w:rPr>
        <w:t xml:space="preserve">” means the tire and automotive repair shops, distribution centers and other properties owned by the Company or any of its Subsidiaries that are closed or inoperative as of the Closing Date and listed on </w:t>
      </w:r>
      <w:r>
        <w:rPr>
          <w:rFonts w:ascii="Times New Roman;Times;serif" w:hAnsi="Times New Roman;Times;serif"/>
          <w:sz w:val="24"/>
          <w:u w:val="single"/>
        </w:rPr>
        <w:t>Exhibit F</w:t>
      </w:r>
      <w:r>
        <w:rPr>
          <w:rFonts w:ascii="Times New Roman;Times;serif" w:hAnsi="Times New Roman;Times;serif"/>
          <w:sz w:val="24"/>
        </w:rPr>
        <w:t xml:space="preserve"> hereto.</w:t>
      </w:r>
    </w:p>
    <w:p>
      <w:pPr>
        <w:pStyle w:val="TextBody"/>
        <w:bidi w:val="0"/>
        <w:spacing w:before="0" w:after="240"/>
        <w:ind w:left="0" w:right="0" w:firstLine="720"/>
        <w:jc w:val="both"/>
        <w:rPr/>
      </w:pPr>
      <w:r>
        <w:rPr/>
        <w:t>“</w:t>
      </w:r>
      <w:r>
        <w:rPr>
          <w:rFonts w:ascii="Times New Roman;Times;serif" w:hAnsi="Times New Roman;Times;serif"/>
          <w:sz w:val="24"/>
          <w:u w:val="single"/>
        </w:rPr>
        <w:t>Closing</w:t>
      </w:r>
      <w:r>
        <w:rPr>
          <w:rFonts w:ascii="Times New Roman;Times;serif" w:hAnsi="Times New Roman;Times;serif"/>
          <w:sz w:val="24"/>
        </w:rPr>
        <w:t xml:space="preserve">” has the meaning set forth in </w:t>
      </w:r>
      <w:bookmarkStart w:id="2114" w:name="_9kMHG5YVt4ADGLFBEgTlHJ2A510"/>
      <w:bookmarkEnd w:id="2114"/>
      <w:r>
        <w:rPr>
          <w:rFonts w:ascii="Times New Roman;Times;serif" w:hAnsi="Times New Roman;Times;serif"/>
          <w:sz w:val="24"/>
          <w:u w:val="single"/>
        </w:rPr>
        <w:t>Section 2.2</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Closing Cash and Cash Equivalents</w:t>
      </w:r>
      <w:r>
        <w:rPr>
          <w:rFonts w:ascii="Times New Roman;Times;serif" w:hAnsi="Times New Roman;Times;serif"/>
          <w:sz w:val="24"/>
        </w:rPr>
        <w:t xml:space="preserve">” means the Cash and Cash Equivalents as of immediately prior to the Closing (after giving effect to payment by the Company of the amounts required to be paid pursuant to </w:t>
      </w:r>
      <w:r>
        <w:rPr>
          <w:rFonts w:ascii="Times New Roman;Times;serif" w:hAnsi="Times New Roman;Times;serif"/>
          <w:sz w:val="24"/>
          <w:u w:val="single"/>
        </w:rPr>
        <w:t>Section 6.2(b)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Closing Date</w:t>
      </w:r>
      <w:r>
        <w:rPr>
          <w:rFonts w:ascii="Times New Roman;Times;serif" w:hAnsi="Times New Roman;Times;serif"/>
          <w:sz w:val="24"/>
        </w:rPr>
        <w:t xml:space="preserve">” has the meaning set forth in </w:t>
      </w:r>
      <w:bookmarkStart w:id="2115" w:name="_9kMIH5YVt4ADGLFBEgTlHJ2A510"/>
      <w:bookmarkEnd w:id="2115"/>
      <w:r>
        <w:rPr>
          <w:rFonts w:ascii="Times New Roman;Times;serif" w:hAnsi="Times New Roman;Times;serif"/>
          <w:sz w:val="24"/>
          <w:u w:val="single"/>
        </w:rPr>
        <w:t>Section 2.2</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Closing Indebtedness</w:t>
      </w:r>
      <w:r>
        <w:rPr>
          <w:rFonts w:ascii="Times New Roman;Times;serif" w:hAnsi="Times New Roman;Times;serif"/>
          <w:sz w:val="24"/>
        </w:rPr>
        <w:t>” means the aggregate Indebtedness of the Company and its Subsidiaries, on a consolidated basis, as of immediately prior to the Closing.</w:t>
      </w:r>
    </w:p>
    <w:p>
      <w:pPr>
        <w:pStyle w:val="TextBody"/>
        <w:bidi w:val="0"/>
        <w:spacing w:before="0" w:after="240"/>
        <w:ind w:left="0" w:right="0" w:firstLine="720"/>
        <w:jc w:val="both"/>
        <w:rPr/>
      </w:pPr>
      <w:r>
        <w:rPr/>
        <w:t>“</w:t>
      </w:r>
      <w:r>
        <w:rPr>
          <w:rFonts w:ascii="Times New Roman;Times;serif" w:hAnsi="Times New Roman;Times;serif"/>
          <w:sz w:val="24"/>
          <w:u w:val="single"/>
        </w:rPr>
        <w:t>Closing Payroll Taxes</w:t>
      </w:r>
      <w:r>
        <w:rPr>
          <w:rFonts w:ascii="Times New Roman;Times;serif" w:hAnsi="Times New Roman;Times;serif"/>
          <w:sz w:val="24"/>
        </w:rPr>
        <w:t>” means the sum of the aggregate amount of the employer-paid portion of any employment and payroll Taxes that will arise from (a) any Change of Control Payments, (b) the payment by the Company of any bonuses or commissions that are earned prior to the Closing but not yet paid as of the Closing, or (c) any unpaid severance liabilities currently being paid or payable to any employees or service providers who terminated employment or other service with the Company or any of its Subsidiaries (as applicable) prior to the Closing.</w:t>
      </w:r>
    </w:p>
    <w:p>
      <w:pPr>
        <w:pStyle w:val="TextBody"/>
        <w:bidi w:val="0"/>
        <w:spacing w:before="0" w:after="240"/>
        <w:ind w:left="0" w:right="0" w:firstLine="720"/>
        <w:jc w:val="both"/>
        <w:rPr/>
      </w:pPr>
      <w:r>
        <w:rPr/>
        <w:t>“</w:t>
      </w:r>
      <w:r>
        <w:rPr>
          <w:rFonts w:ascii="Times New Roman;Times;serif" w:hAnsi="Times New Roman;Times;serif"/>
          <w:sz w:val="24"/>
          <w:u w:val="single"/>
        </w:rPr>
        <w:t>Closing Statement</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Closing Statement Review Period</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COBRA</w:t>
      </w:r>
      <w:r>
        <w:rPr>
          <w:rFonts w:ascii="Times New Roman;Times;serif" w:hAnsi="Times New Roman;Times;serif"/>
          <w:sz w:val="24"/>
        </w:rPr>
        <w:t xml:space="preserve">” has the meaning set forth in </w:t>
      </w:r>
      <w:r>
        <w:rPr>
          <w:rFonts w:ascii="Times New Roman;Times;serif" w:hAnsi="Times New Roman;Times;serif"/>
          <w:sz w:val="24"/>
          <w:u w:val="single"/>
        </w:rPr>
        <w:t>Section 3.15(c)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Code</w:t>
      </w:r>
      <w:r>
        <w:rPr>
          <w:rFonts w:ascii="Times New Roman;Times;serif" w:hAnsi="Times New Roman;Times;serif"/>
          <w:sz w:val="24"/>
        </w:rPr>
        <w:t>” means the Internal Revenue Code of 1986, as amended.</w:t>
      </w:r>
    </w:p>
    <w:p>
      <w:pPr>
        <w:pStyle w:val="TextBody"/>
        <w:bidi w:val="0"/>
        <w:spacing w:before="0" w:after="240"/>
        <w:ind w:left="0" w:right="0" w:firstLine="720"/>
        <w:jc w:val="both"/>
        <w:rPr/>
      </w:pPr>
      <w:r>
        <w:rPr/>
        <w:t>“</w:t>
      </w:r>
      <w:r>
        <w:rPr>
          <w:rFonts w:ascii="Times New Roman;Times;serif" w:hAnsi="Times New Roman;Times;serif"/>
          <w:sz w:val="24"/>
          <w:u w:val="single"/>
        </w:rPr>
        <w:t>Colchester</w:t>
      </w:r>
      <w:r>
        <w:rPr>
          <w:rFonts w:ascii="Times New Roman;Times;serif" w:hAnsi="Times New Roman;Times;serif"/>
          <w:sz w:val="24"/>
        </w:rPr>
        <w:t>” means Colchester Insurance Company, a Vermont insurance company.</w:t>
      </w:r>
    </w:p>
    <w:p>
      <w:pPr>
        <w:pStyle w:val="TextBody"/>
        <w:bidi w:val="0"/>
        <w:spacing w:before="0" w:after="240"/>
        <w:ind w:left="0" w:right="0" w:firstLine="720"/>
        <w:jc w:val="both"/>
        <w:rPr/>
      </w:pPr>
      <w:r>
        <w:rPr/>
        <w:t>“</w:t>
      </w:r>
      <w:r>
        <w:rPr>
          <w:rFonts w:ascii="Times New Roman;Times;serif" w:hAnsi="Times New Roman;Times;serif"/>
          <w:sz w:val="24"/>
          <w:u w:val="single"/>
        </w:rPr>
        <w:t>Company</w:t>
      </w:r>
      <w:r>
        <w:rPr>
          <w:rFonts w:ascii="Times New Roman;Times;serif" w:hAnsi="Times New Roman;Times;serif"/>
          <w:sz w:val="24"/>
        </w:rPr>
        <w:t>” has the meaning set forth in the preamble to this Agreement.</w:t>
      </w:r>
    </w:p>
    <w:p>
      <w:pPr>
        <w:pStyle w:val="TextBody"/>
        <w:bidi w:val="0"/>
        <w:spacing w:before="0" w:after="240"/>
        <w:ind w:left="0" w:right="0" w:firstLine="720"/>
        <w:jc w:val="both"/>
        <w:rPr/>
      </w:pPr>
      <w:r>
        <w:rPr/>
        <w:t>“</w:t>
      </w:r>
      <w:r>
        <w:rPr>
          <w:rFonts w:ascii="Times New Roman;Times;serif" w:hAnsi="Times New Roman;Times;serif"/>
          <w:sz w:val="24"/>
          <w:u w:val="single"/>
        </w:rPr>
        <w:t>Company Affiliate</w:t>
      </w:r>
      <w:r>
        <w:rPr>
          <w:rFonts w:ascii="Times New Roman;Times;serif" w:hAnsi="Times New Roman;Times;serif"/>
          <w:sz w:val="24"/>
        </w:rPr>
        <w:t xml:space="preserve">” has the meaning set forth in </w:t>
      </w:r>
      <w:bookmarkStart w:id="2116" w:name="_9kMJI5YVt4ADGLJGFEN9lpwxnz4fn1yH5qAHDJO"/>
      <w:bookmarkEnd w:id="2116"/>
      <w:r>
        <w:rPr>
          <w:rFonts w:ascii="Times New Roman;Times;serif" w:hAnsi="Times New Roman;Times;serif"/>
          <w:sz w:val="24"/>
          <w:u w:val="single"/>
        </w:rPr>
        <w:t>Section 3.21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Company Assets</w:t>
      </w:r>
      <w:r>
        <w:rPr>
          <w:rFonts w:ascii="Times New Roman;Times;serif" w:hAnsi="Times New Roman;Times;serif"/>
          <w:sz w:val="24"/>
        </w:rPr>
        <w:t xml:space="preserve">” has the meaning set forth in </w:t>
      </w:r>
      <w:r>
        <w:rPr>
          <w:rFonts w:ascii="Times New Roman;Times;serif" w:hAnsi="Times New Roman;Times;serif"/>
          <w:sz w:val="24"/>
          <w:u w:val="single"/>
        </w:rPr>
        <w:t>Section 3.8(a)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Company Common Stock</w:t>
      </w:r>
      <w:r>
        <w:rPr>
          <w:rFonts w:ascii="Times New Roman;Times;serif" w:hAnsi="Times New Roman;Times;serif"/>
          <w:sz w:val="24"/>
        </w:rPr>
        <w:t>” means the common stock of the Company, par value $0.01 per share.</w:t>
      </w:r>
    </w:p>
    <w:p>
      <w:pPr>
        <w:pStyle w:val="TextBody"/>
        <w:bidi w:val="0"/>
        <w:spacing w:before="0" w:after="0"/>
        <w:ind w:left="0" w:right="0" w:firstLine="720"/>
        <w:jc w:val="both"/>
        <w:rPr/>
      </w:pPr>
      <w:r>
        <w:rPr/>
        <w:t>“</w:t>
      </w:r>
      <w:r>
        <w:rPr>
          <w:rFonts w:ascii="Times New Roman;Times;serif" w:hAnsi="Times New Roman;Times;serif"/>
          <w:sz w:val="24"/>
          <w:u w:val="single"/>
        </w:rPr>
        <w:t>Company Name and Marks</w:t>
      </w:r>
      <w:r>
        <w:rPr>
          <w:rFonts w:ascii="Times New Roman;Times;serif" w:hAnsi="Times New Roman;Times;serif"/>
          <w:sz w:val="24"/>
        </w:rPr>
        <w:t xml:space="preserve">” means </w:t>
      </w:r>
      <w:bookmarkStart w:id="2117" w:name="_9kR3WTrAGBDJFIG6yimpNqN46vuJuRx2r15fX9K"/>
      <w:bookmarkEnd w:id="2117"/>
      <w:r>
        <w:rPr>
          <w:rFonts w:ascii="Times New Roman;Times;serif" w:hAnsi="Times New Roman;Times;serif"/>
          <w:sz w:val="24"/>
        </w:rPr>
        <w:t xml:space="preserve">(a) the “PEP BOYS” Trademark or any other Trademark constituting Company Owned IP, </w:t>
      </w:r>
      <w:bookmarkStart w:id="2118" w:name="_9kR3WTrAGBDJGJG6yimpNqN46vuJuRx2r15fX9K"/>
      <w:bookmarkEnd w:id="2118"/>
      <w:r>
        <w:rPr>
          <w:rFonts w:ascii="Times New Roman;Times;serif" w:hAnsi="Times New Roman;Times;serif"/>
          <w:sz w:val="24"/>
        </w:rPr>
        <w:t xml:space="preserve">(b) any variations, translations, adaptations, derivations, abbreviations, acronyms, or combinations based on or including any Trademark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referenced in </w:t>
      </w:r>
      <w:bookmarkStart w:id="2119" w:name="_9kMHG5YVtCIDFLHKI80korPsP68xwLwTz4t37hZ"/>
      <w:bookmarkEnd w:id="2119"/>
      <w:r>
        <w:rPr>
          <w:rFonts w:ascii="Times New Roman;Times;serif" w:hAnsi="Times New Roman;Times;serif"/>
          <w:sz w:val="24"/>
        </w:rPr>
        <w:t xml:space="preserve">clause (a), or (c) any Trademark confusingly similar to any Trademark referenced in </w:t>
      </w:r>
      <w:bookmarkStart w:id="2120" w:name="_9kMIH5YVtCIDFLHKI80korPsP68xwLwTz4t37hZ"/>
      <w:bookmarkEnd w:id="2120"/>
      <w:r>
        <w:rPr>
          <w:rFonts w:ascii="Times New Roman;Times;serif" w:hAnsi="Times New Roman;Times;serif"/>
          <w:sz w:val="24"/>
        </w:rPr>
        <w:t xml:space="preserve">clauses (a) or </w:t>
      </w:r>
      <w:bookmarkStart w:id="2121" w:name="_9kMHG5YVtCIDFLILI80korPsP68xwLwTz4t37hZ"/>
      <w:bookmarkEnd w:id="2121"/>
      <w:r>
        <w:rPr>
          <w:rFonts w:ascii="Times New Roman;Times;serif" w:hAnsi="Times New Roman;Times;serif"/>
          <w:sz w:val="24"/>
        </w:rPr>
        <w:t>(b).</w:t>
      </w:r>
    </w:p>
    <w:p>
      <w:pPr>
        <w:pStyle w:val="TextBody"/>
        <w:bidi w:val="0"/>
        <w:spacing w:before="0" w:after="240"/>
        <w:ind w:left="0" w:right="0" w:firstLine="720"/>
        <w:jc w:val="both"/>
        <w:rPr/>
      </w:pPr>
      <w:r>
        <w:rPr/>
        <w:t>“</w:t>
      </w:r>
      <w:r>
        <w:rPr>
          <w:rFonts w:ascii="Times New Roman;Times;serif" w:hAnsi="Times New Roman;Times;serif"/>
          <w:sz w:val="24"/>
          <w:u w:val="single"/>
        </w:rPr>
        <w:t>Company Owned IP</w:t>
      </w:r>
      <w:r>
        <w:rPr>
          <w:rFonts w:ascii="Times New Roman;Times;serif" w:hAnsi="Times New Roman;Times;serif"/>
          <w:sz w:val="24"/>
        </w:rPr>
        <w:t xml:space="preserve">” means all </w:t>
      </w:r>
      <w:bookmarkStart w:id="2122" w:name="DocXTextRef8"/>
      <w:bookmarkEnd w:id="2122"/>
      <w:r>
        <w:rPr>
          <w:rFonts w:ascii="Times New Roman;Times;serif" w:hAnsi="Times New Roman;Times;serif"/>
          <w:sz w:val="24"/>
        </w:rPr>
        <w:t xml:space="preserve">(a) Intellectual Property Rights owned or purported to be owned (whether solely or jointly with others) by the Company or any of its Subsidiaries and (b) Intellectual Property Rights set forth on </w:t>
      </w:r>
      <w:r>
        <w:rPr>
          <w:rFonts w:ascii="Times New Roman;Times;serif" w:hAnsi="Times New Roman;Times;serif"/>
          <w:sz w:val="24"/>
          <w:u w:val="single"/>
        </w:rPr>
        <w:t>Schedule 3.11(a)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Company Shares</w:t>
      </w:r>
      <w:r>
        <w:rPr>
          <w:rFonts w:ascii="Times New Roman;Times;serif" w:hAnsi="Times New Roman;Times;serif"/>
          <w:sz w:val="24"/>
        </w:rPr>
        <w:t>” has the meaning set forth in the recitals to this Agreement.</w:t>
      </w:r>
    </w:p>
    <w:p>
      <w:pPr>
        <w:pStyle w:val="TextBody"/>
        <w:bidi w:val="0"/>
        <w:spacing w:before="0" w:after="240"/>
        <w:ind w:left="0" w:right="0" w:firstLine="720"/>
        <w:jc w:val="both"/>
        <w:rPr/>
      </w:pPr>
      <w:r>
        <w:rPr/>
        <w:t>“</w:t>
      </w:r>
      <w:r>
        <w:rPr>
          <w:rFonts w:ascii="Times New Roman;Times;serif" w:hAnsi="Times New Roman;Times;serif"/>
          <w:sz w:val="24"/>
          <w:u w:val="single"/>
        </w:rPr>
        <w:t>Company Systems</w:t>
      </w:r>
      <w:r>
        <w:rPr>
          <w:rFonts w:ascii="Times New Roman;Times;serif" w:hAnsi="Times New Roman;Times;serif"/>
          <w:sz w:val="24"/>
        </w:rPr>
        <w:t xml:space="preserve">” means all of the following equipment and systems that are used by the Company or any of its Subsidiaries, whether owned by any such Person or which any such Person lease, license, or otherwise have the legal right to use: computers, computer systems, servers, hardware, </w:t>
      </w:r>
      <w:bookmarkStart w:id="2123" w:name="_9kR3WTr266AD8ZVpvDvrw"/>
      <w:bookmarkEnd w:id="2123"/>
      <w:r>
        <w:rPr>
          <w:rFonts w:ascii="Times New Roman;Times;serif" w:hAnsi="Times New Roman;Times;serif"/>
          <w:sz w:val="24"/>
        </w:rPr>
        <w:t xml:space="preserve">Software, firmware, middleware, websites, Data, networks, servers, workstations, routers, hubs, switches, data communication equipment and lines, telecommunications equipment and lines, co-location facilities and equipment, and all other information technology equipment and related items of automated, computerized or </w:t>
      </w:r>
      <w:bookmarkStart w:id="2124" w:name="_9kMHG5YVt488CFAbXrxFxty"/>
      <w:bookmarkEnd w:id="2124"/>
      <w:r>
        <w:rPr>
          <w:rFonts w:ascii="Times New Roman;Times;serif" w:hAnsi="Times New Roman;Times;serif"/>
          <w:sz w:val="24"/>
        </w:rPr>
        <w:t>Software systems, including any outsourced systems and processes (</w:t>
      </w:r>
      <w:r>
        <w:rPr>
          <w:rFonts w:ascii="Times New Roman;Times;serif" w:hAnsi="Times New Roman;Times;serif"/>
          <w:i/>
          <w:sz w:val="24"/>
        </w:rPr>
        <w:t>e.g.</w:t>
      </w:r>
      <w:r>
        <w:rPr>
          <w:rFonts w:ascii="Times New Roman;Times;serif" w:hAnsi="Times New Roman;Times;serif"/>
          <w:sz w:val="24"/>
        </w:rPr>
        <w:t>, hosting locations) and all associated documentation.</w:t>
      </w:r>
    </w:p>
    <w:p>
      <w:pPr>
        <w:pStyle w:val="TextBody"/>
        <w:bidi w:val="0"/>
        <w:spacing w:before="0" w:after="240"/>
        <w:ind w:left="0" w:right="0" w:firstLine="720"/>
        <w:jc w:val="both"/>
        <w:rPr/>
      </w:pPr>
      <w:r>
        <w:rPr/>
        <w:t>“</w:t>
      </w:r>
      <w:r>
        <w:rPr>
          <w:rFonts w:ascii="Times New Roman;Times;serif" w:hAnsi="Times New Roman;Times;serif"/>
          <w:sz w:val="24"/>
          <w:u w:val="single"/>
        </w:rPr>
        <w:t>Confidentiality Agreement</w:t>
      </w:r>
      <w:r>
        <w:rPr>
          <w:rFonts w:ascii="Times New Roman;Times;serif" w:hAnsi="Times New Roman;Times;serif"/>
          <w:sz w:val="24"/>
        </w:rPr>
        <w:t>” means that certain confidentiality agreement, dated as of November 17, 2025, by and between Mavis Tire Express Services Corp. and Seller Guarantor, as amended.</w:t>
      </w:r>
    </w:p>
    <w:p>
      <w:pPr>
        <w:pStyle w:val="TextBody"/>
        <w:bidi w:val="0"/>
        <w:spacing w:before="0" w:after="240"/>
        <w:ind w:left="0" w:right="0" w:firstLine="720"/>
        <w:jc w:val="both"/>
        <w:rPr/>
      </w:pPr>
      <w:r>
        <w:rPr/>
        <w:t>“</w:t>
      </w:r>
      <w:r>
        <w:rPr>
          <w:rFonts w:ascii="Times New Roman;Times;serif" w:hAnsi="Times New Roman;Times;serif"/>
          <w:sz w:val="24"/>
          <w:u w:val="single"/>
        </w:rPr>
        <w:t>Contest</w:t>
      </w:r>
      <w:r>
        <w:rPr>
          <w:rFonts w:ascii="Times New Roman;Times;serif" w:hAnsi="Times New Roman;Times;serif"/>
          <w:sz w:val="24"/>
        </w:rPr>
        <w:t xml:space="preserve">” has the meaning set forth in </w:t>
      </w:r>
      <w:r>
        <w:rPr>
          <w:rFonts w:ascii="Times New Roman;Times;serif" w:hAnsi="Times New Roman;Times;serif"/>
          <w:sz w:val="24"/>
          <w:u w:val="single"/>
        </w:rPr>
        <w:t>Section 6.1(g)</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Contract</w:t>
      </w:r>
      <w:r>
        <w:rPr>
          <w:rFonts w:ascii="Times New Roman;Times;serif" w:hAnsi="Times New Roman;Times;serif"/>
          <w:sz w:val="24"/>
        </w:rPr>
        <w:t>” means any agreement, contract, license, sublicense, covenant not to sue, exercise or assert, lease, obligation, undertaking or other commitment or arrangement, whether written or oral, that is legally binding upon a Person or any of its property, including all amendments, waivers or other changes thereto.</w:t>
      </w:r>
    </w:p>
    <w:p>
      <w:pPr>
        <w:pStyle w:val="TextBody"/>
        <w:bidi w:val="0"/>
        <w:spacing w:before="0" w:after="240"/>
        <w:ind w:left="0" w:right="0" w:firstLine="720"/>
        <w:jc w:val="both"/>
        <w:rPr/>
      </w:pPr>
      <w:r>
        <w:rPr/>
        <w:t>“</w:t>
      </w:r>
      <w:bookmarkStart w:id="2125" w:name="_9kMHG5YVt4CFGJFNH3536tw1LQ8EJ1n7"/>
      <w:bookmarkEnd w:id="2125"/>
      <w:r>
        <w:rPr>
          <w:rFonts w:ascii="Times New Roman;Times;serif" w:hAnsi="Times New Roman;Times;serif"/>
          <w:sz w:val="24"/>
          <w:u w:val="single"/>
        </w:rPr>
        <w:t>Corporate Contracts</w:t>
      </w:r>
      <w:r>
        <w:rPr>
          <w:rFonts w:ascii="Times New Roman;Times;serif" w:hAnsi="Times New Roman;Times;serif"/>
          <w:sz w:val="24"/>
        </w:rPr>
        <w:t xml:space="preserve">” means all Contracts listed on </w:t>
      </w:r>
      <w:bookmarkStart w:id="2126" w:name="_9kMHG5YVtCIDGECGKtEGvsy1pnyD20CHJD81uBG"/>
      <w:bookmarkEnd w:id="2126"/>
      <w:r>
        <w:rPr>
          <w:rFonts w:ascii="Times New Roman;Times;serif" w:hAnsi="Times New Roman;Times;serif"/>
          <w:sz w:val="24"/>
          <w:u w:val="single"/>
        </w:rPr>
        <w:t>Exhibit G</w:t>
      </w:r>
      <w:r>
        <w:rPr>
          <w:rFonts w:ascii="Times New Roman;Times;serif" w:hAnsi="Times New Roman;Times;serif"/>
          <w:sz w:val="24"/>
        </w:rPr>
        <w:t xml:space="preserve"> and all other Contracts to which the Company or any of its Subsidiaries is a party as of immediately prior to the Closing, which relate to the Company’s corporate functions and not specifically to Repair Shops, Distribution Centers or the supporting store operation management and distribution network.</w:t>
      </w:r>
    </w:p>
    <w:p>
      <w:pPr>
        <w:pStyle w:val="TextBody"/>
        <w:bidi w:val="0"/>
        <w:spacing w:before="0" w:after="240"/>
        <w:ind w:left="0" w:right="0" w:firstLine="720"/>
        <w:jc w:val="both"/>
        <w:rPr/>
      </w:pPr>
      <w:r>
        <w:rPr/>
        <w:t>“</w:t>
      </w:r>
      <w:r>
        <w:rPr>
          <w:rFonts w:ascii="Times New Roman;Times;serif" w:hAnsi="Times New Roman;Times;serif"/>
          <w:sz w:val="24"/>
          <w:u w:val="single"/>
        </w:rPr>
        <w:t>Corporate Employees</w:t>
      </w:r>
      <w:r>
        <w:rPr>
          <w:rFonts w:ascii="Times New Roman;Times;serif" w:hAnsi="Times New Roman;Times;serif"/>
          <w:sz w:val="24"/>
        </w:rPr>
        <w:t xml:space="preserve">” means the Persons employed by the Company or its Subsidiaries who are listed on </w:t>
      </w:r>
      <w:bookmarkStart w:id="2127" w:name="_9kMHG5YVtCIDGEDHKtFHvogljtIH8yyH5rDB47z"/>
      <w:bookmarkEnd w:id="2127"/>
      <w:r>
        <w:rPr>
          <w:rFonts w:ascii="Times New Roman;Times;serif" w:hAnsi="Times New Roman;Times;serif"/>
          <w:sz w:val="24"/>
          <w:u w:val="single"/>
        </w:rPr>
        <w:t>Exhibit H</w:t>
      </w:r>
      <w:r>
        <w:rPr>
          <w:rFonts w:ascii="Times New Roman;Times;serif" w:hAnsi="Times New Roman;Times;serif"/>
          <w:sz w:val="24"/>
        </w:rPr>
        <w:t>.</w:t>
      </w:r>
    </w:p>
    <w:p>
      <w:pPr>
        <w:pStyle w:val="TextBody"/>
        <w:bidi w:val="0"/>
        <w:spacing w:before="0" w:after="240"/>
        <w:ind w:left="0" w:right="0" w:firstLine="630"/>
        <w:jc w:val="both"/>
        <w:rPr/>
      </w:pPr>
      <w:r>
        <w:rPr/>
        <w:t>“</w:t>
      </w:r>
      <w:r>
        <w:rPr>
          <w:rFonts w:ascii="Times New Roman;Times;serif" w:hAnsi="Times New Roman;Times;serif"/>
          <w:sz w:val="24"/>
        </w:rPr>
        <w:t>[***]” means [***].</w:t>
      </w:r>
    </w:p>
    <w:p>
      <w:pPr>
        <w:pStyle w:val="TextBody"/>
        <w:bidi w:val="0"/>
        <w:spacing w:before="0" w:after="240"/>
        <w:ind w:left="0" w:right="0" w:firstLine="720"/>
        <w:jc w:val="both"/>
        <w:rPr/>
      </w:pPr>
      <w:r>
        <w:rPr/>
        <w:t>“</w:t>
      </w:r>
      <w:r>
        <w:rPr>
          <w:rFonts w:ascii="Times New Roman;Times;serif" w:hAnsi="Times New Roman;Times;serif"/>
          <w:sz w:val="24"/>
          <w:u w:val="single"/>
        </w:rPr>
        <w:t>Data</w:t>
      </w:r>
      <w:r>
        <w:rPr>
          <w:rFonts w:ascii="Times New Roman;Times;serif" w:hAnsi="Times New Roman;Times;serif"/>
          <w:sz w:val="24"/>
        </w:rPr>
        <w:t>” means data, databases, data repositories, data lakes and collections, recordings, organization, structuring, storage, alignment or other combination of data or other Personal Information processing, information technology and communication environments, data classifications and data analysis.</w:t>
      </w:r>
    </w:p>
    <w:p>
      <w:pPr>
        <w:pStyle w:val="TextBody"/>
        <w:bidi w:val="0"/>
        <w:spacing w:before="0" w:after="0"/>
        <w:ind w:left="0" w:right="0" w:firstLine="720"/>
        <w:jc w:val="both"/>
        <w:rPr/>
      </w:pPr>
      <w:r>
        <w:rPr/>
        <w:t>“</w:t>
      </w:r>
      <w:r>
        <w:rPr>
          <w:rFonts w:ascii="Times New Roman;Times;serif" w:hAnsi="Times New Roman;Times;serif"/>
          <w:sz w:val="24"/>
          <w:u w:val="single"/>
        </w:rPr>
        <w:t>Data Privacy and Security Requirements</w:t>
      </w:r>
      <w:r>
        <w:rPr>
          <w:rFonts w:ascii="Times New Roman;Times;serif" w:hAnsi="Times New Roman;Times;serif"/>
          <w:sz w:val="24"/>
        </w:rPr>
        <w:t xml:space="preserve">” means the following, in each case to the extent applicable to the conduct of the Business, any privacy or security (including security breach notification) requirements, any Company System, or any matters relating to privacy and Personal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Information protection, security or Processing: </w:t>
      </w:r>
      <w:bookmarkStart w:id="2128" w:name="DocXTextRef11"/>
      <w:bookmarkEnd w:id="2128"/>
      <w:r>
        <w:rPr>
          <w:rFonts w:ascii="Times New Roman;Times;serif" w:hAnsi="Times New Roman;Times;serif"/>
          <w:sz w:val="24"/>
        </w:rPr>
        <w:t>(a) all Privacy and Security Laws and other applicable Laws and any related security (including security breach notification) requirements; (b) the Company’s and its Subsidiaries’ own respective internal and external past and present rules, policies, and procedures; (c) industry standards, best available practices (including relevant guidance and case law) and codes of conduct to which the Company or any of its Subsidiaries purport to comply with or be bound, requirements of self-regulatory bodies, and the Payment Card Industry Data Security Standard; and (d) Contracts or other representations, obligations, or commitments (including security controls) to which the Company or any of its Subsidiaries is bound or has made or agreed to comply with.</w:t>
      </w:r>
    </w:p>
    <w:p>
      <w:pPr>
        <w:pStyle w:val="TextBody"/>
        <w:bidi w:val="0"/>
        <w:spacing w:before="0" w:after="240"/>
        <w:ind w:left="0" w:right="0" w:firstLine="720"/>
        <w:jc w:val="both"/>
        <w:rPr/>
      </w:pPr>
      <w:r>
        <w:rPr/>
        <w:t>“</w:t>
      </w:r>
      <w:r>
        <w:rPr>
          <w:rFonts w:ascii="Times New Roman;Times;serif" w:hAnsi="Times New Roman;Times;serif"/>
          <w:sz w:val="24"/>
          <w:u w:val="single"/>
        </w:rPr>
        <w:t>Data Room</w:t>
      </w:r>
      <w:r>
        <w:rPr>
          <w:rFonts w:ascii="Times New Roman;Times;serif" w:hAnsi="Times New Roman;Times;serif"/>
          <w:sz w:val="24"/>
        </w:rPr>
        <w:t>” means the virtual data room established by the Company in relation to the transactions contemplated by this Agreement, hosted by Intralinks.</w:t>
      </w:r>
    </w:p>
    <w:p>
      <w:pPr>
        <w:pStyle w:val="TextBody"/>
        <w:bidi w:val="0"/>
        <w:spacing w:before="0" w:after="240"/>
        <w:ind w:left="0" w:right="0" w:firstLine="720"/>
        <w:jc w:val="both"/>
        <w:rPr/>
      </w:pPr>
      <w:r>
        <w:rPr/>
        <w:t>“</w:t>
      </w:r>
      <w:r>
        <w:rPr>
          <w:rFonts w:ascii="Times New Roman;Times;serif" w:hAnsi="Times New Roman;Times;serif"/>
          <w:sz w:val="24"/>
          <w:u w:val="single"/>
        </w:rPr>
        <w:t>Direct Claim</w:t>
      </w:r>
      <w:r>
        <w:rPr>
          <w:rFonts w:ascii="Times New Roman;Times;serif" w:hAnsi="Times New Roman;Times;serif"/>
          <w:sz w:val="24"/>
        </w:rPr>
        <w:t xml:space="preserve">” has the meaning set forth in </w:t>
      </w:r>
      <w:bookmarkStart w:id="2129" w:name="_9kMHG5YVt4ADGLLKLUEzwiyZMrp2D"/>
      <w:bookmarkEnd w:id="2129"/>
      <w:r>
        <w:rPr>
          <w:rFonts w:ascii="Times New Roman;Times;serif" w:hAnsi="Times New Roman;Times;serif"/>
          <w:sz w:val="24"/>
          <w:u w:val="single"/>
        </w:rPr>
        <w:t>Section 5.6</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Dispute</w:t>
      </w:r>
      <w:r>
        <w:rPr>
          <w:rFonts w:ascii="Times New Roman;Times;serif" w:hAnsi="Times New Roman;Times;serif"/>
          <w:sz w:val="24"/>
        </w:rPr>
        <w:t xml:space="preserve">” has the meaning set forth in </w:t>
      </w:r>
      <w:bookmarkStart w:id="2130" w:name="_9kMHG5YVt4ADGLOPIISLtl4Ewz84A"/>
      <w:bookmarkEnd w:id="2130"/>
      <w:r>
        <w:rPr>
          <w:rFonts w:ascii="Times New Roman;Times;serif" w:hAnsi="Times New Roman;Times;serif"/>
          <w:sz w:val="24"/>
          <w:u w:val="single"/>
        </w:rPr>
        <w:t>Section 9.16</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Disputed Item</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2.3(d)(iii)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Distribution Centers</w:t>
      </w:r>
      <w:r>
        <w:rPr>
          <w:rFonts w:ascii="Times New Roman;Times;serif" w:hAnsi="Times New Roman;Times;serif"/>
          <w:sz w:val="24"/>
        </w:rPr>
        <w:t>” has the meaning set forth in the Recitals.</w:t>
      </w:r>
    </w:p>
    <w:p>
      <w:pPr>
        <w:pStyle w:val="TextBody"/>
        <w:bidi w:val="0"/>
        <w:spacing w:before="0" w:after="240"/>
        <w:ind w:left="0" w:right="0" w:firstLine="720"/>
        <w:jc w:val="both"/>
        <w:rPr/>
      </w:pPr>
      <w:r>
        <w:rPr/>
        <w:t>“</w:t>
      </w:r>
      <w:r>
        <w:rPr>
          <w:rFonts w:ascii="Times New Roman;Times;serif" w:hAnsi="Times New Roman;Times;serif"/>
          <w:sz w:val="24"/>
          <w:u w:val="single"/>
        </w:rPr>
        <w:t>Employee Benefit Plan(s)</w:t>
      </w:r>
      <w:r>
        <w:rPr>
          <w:rFonts w:ascii="Times New Roman;Times;serif" w:hAnsi="Times New Roman;Times;serif"/>
          <w:sz w:val="24"/>
        </w:rPr>
        <w:t xml:space="preserve">” has the meaning set forth in </w:t>
      </w:r>
      <w:r>
        <w:rPr>
          <w:rFonts w:ascii="Times New Roman;Times;serif" w:hAnsi="Times New Roman;Times;serif"/>
          <w:sz w:val="24"/>
          <w:u w:val="single"/>
        </w:rPr>
        <w:t>Section 3.15(a)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Environmental Laws</w:t>
      </w:r>
      <w:r>
        <w:rPr>
          <w:rFonts w:ascii="Times New Roman;Times;serif" w:hAnsi="Times New Roman;Times;serif"/>
          <w:sz w:val="24"/>
        </w:rPr>
        <w:t>” means whenever enacted or in effect all Laws and contractual obligations, in each case concerning public or worker health and safety, pollution, the generation, use, treatment, storage, transportation, handling, disposal, or release of Hazardous Substances, or protection of the environment.</w:t>
      </w:r>
    </w:p>
    <w:p>
      <w:pPr>
        <w:pStyle w:val="TextBody"/>
        <w:bidi w:val="0"/>
        <w:spacing w:before="0" w:after="240"/>
        <w:ind w:left="0" w:right="0" w:firstLine="720"/>
        <w:jc w:val="both"/>
        <w:rPr/>
      </w:pPr>
      <w:r>
        <w:rPr/>
        <w:t>“</w:t>
      </w:r>
      <w:r>
        <w:rPr>
          <w:rFonts w:ascii="Times New Roman;Times;serif" w:hAnsi="Times New Roman;Times;serif"/>
          <w:sz w:val="24"/>
          <w:u w:val="single"/>
        </w:rPr>
        <w:t>Equity</w:t>
      </w:r>
      <w:r>
        <w:rPr>
          <w:rFonts w:ascii="Times New Roman;Times;serif" w:hAnsi="Times New Roman;Times;serif"/>
          <w:sz w:val="24"/>
        </w:rPr>
        <w:t>” means, with respect to any Person, any capital stock, membership interests, other share capital, equity or ownership interest or other security.</w:t>
      </w:r>
    </w:p>
    <w:p>
      <w:pPr>
        <w:pStyle w:val="TextBody"/>
        <w:bidi w:val="0"/>
        <w:spacing w:before="0" w:after="240"/>
        <w:ind w:left="0" w:right="0" w:firstLine="720"/>
        <w:jc w:val="both"/>
        <w:rPr/>
      </w:pPr>
      <w:r>
        <w:rPr/>
        <w:t>“</w:t>
      </w:r>
      <w:r>
        <w:rPr>
          <w:rFonts w:ascii="Times New Roman;Times;serif" w:hAnsi="Times New Roman;Times;serif"/>
          <w:sz w:val="24"/>
          <w:u w:val="single"/>
        </w:rPr>
        <w:t>Equity Equivalents</w:t>
      </w:r>
      <w:r>
        <w:rPr>
          <w:rFonts w:ascii="Times New Roman;Times;serif" w:hAnsi="Times New Roman;Times;serif"/>
          <w:sz w:val="24"/>
        </w:rPr>
        <w:t xml:space="preserve">” means, with respect to any Person, </w:t>
      </w:r>
      <w:bookmarkStart w:id="2131" w:name="_9kR3WTrAGBDJHKG6yimpNsRE77OkXKDF8z47NTB"/>
      <w:bookmarkStart w:id="2132" w:name="DocXTextRef12"/>
      <w:bookmarkEnd w:id="2131"/>
      <w:bookmarkEnd w:id="2132"/>
      <w:r>
        <w:rPr>
          <w:rFonts w:ascii="Times New Roman;Times;serif" w:hAnsi="Times New Roman;Times;serif"/>
          <w:sz w:val="24"/>
        </w:rPr>
        <w:t xml:space="preserve">(a) any securities (including debt securities) directly or indirectly convertible into or exchangeable or exercisable for any Equity or securities containing any profit participation features, </w:t>
      </w:r>
      <w:bookmarkStart w:id="2133" w:name="_9kR3WTrAGBDJILG6yimpNsRE77OkXKDF8z47NTC"/>
      <w:bookmarkEnd w:id="2133"/>
      <w:r>
        <w:rPr>
          <w:rFonts w:ascii="Times New Roman;Times;serif" w:hAnsi="Times New Roman;Times;serif"/>
          <w:sz w:val="24"/>
        </w:rPr>
        <w:t xml:space="preserve">(b) any rights, warrants or options directly or indirectly to subscribe for or to purchase any Equity or securities containing any profit participation features, or to subscribe for or to purchase any securities (including debt securities) convertible into or exchangeable or exercisable for any Equity or securities containing any profit participation features, </w:t>
      </w:r>
      <w:bookmarkStart w:id="2134" w:name="_9kR3WTrAGBDJJMG6yimpNsRE77OkXKDF8z47NTD"/>
      <w:bookmarkEnd w:id="2134"/>
      <w:r>
        <w:rPr>
          <w:rFonts w:ascii="Times New Roman;Times;serif" w:hAnsi="Times New Roman;Times;serif"/>
          <w:sz w:val="24"/>
        </w:rPr>
        <w:t xml:space="preserve">(c) any share appreciation rights, phantom share rights, other rights the value of which is linked to the value of any securities or interests referred to in </w:t>
      </w:r>
      <w:bookmarkStart w:id="2135" w:name="_9kMHG5YVtCIDFLJMI80korPuTG99QmZMFHA169P"/>
      <w:bookmarkEnd w:id="2135"/>
      <w:r>
        <w:rPr>
          <w:rFonts w:ascii="Times New Roman;Times;serif" w:hAnsi="Times New Roman;Times;serif"/>
          <w:sz w:val="24"/>
        </w:rPr>
        <w:t xml:space="preserve">clauses (a) and </w:t>
      </w:r>
      <w:bookmarkStart w:id="2136" w:name="_9kMHG5YVtCIDFLKNI80korPuTG99QmZMFHA169P"/>
      <w:bookmarkEnd w:id="2136"/>
      <w:r>
        <w:rPr>
          <w:rFonts w:ascii="Times New Roman;Times;serif" w:hAnsi="Times New Roman;Times;serif"/>
          <w:sz w:val="24"/>
        </w:rPr>
        <w:t xml:space="preserve">(b) above or other similar rights, or (d) any securities (including debt securities) issued or issuable with respect to the securities or interests referred to in </w:t>
      </w:r>
      <w:bookmarkStart w:id="2137" w:name="_9kMIH5YVtCIDFLJMI80korPuTG99QmZMFHA169P"/>
      <w:bookmarkEnd w:id="2137"/>
      <w:r>
        <w:rPr>
          <w:rFonts w:ascii="Times New Roman;Times;serif" w:hAnsi="Times New Roman;Times;serif"/>
          <w:sz w:val="24"/>
        </w:rPr>
        <w:t xml:space="preserve">clauses (a) through </w:t>
      </w:r>
      <w:bookmarkStart w:id="2138" w:name="_9kMHG5YVtCIDFLLOI80korPuTG99QmZMFHA169P"/>
      <w:bookmarkEnd w:id="2138"/>
      <w:r>
        <w:rPr>
          <w:rFonts w:ascii="Times New Roman;Times;serif" w:hAnsi="Times New Roman;Times;serif"/>
          <w:sz w:val="24"/>
        </w:rPr>
        <w:t>(c) above in connection with a combination of shares, recapitalization, merger, consolidation or other reorganization.</w:t>
      </w:r>
    </w:p>
    <w:p>
      <w:pPr>
        <w:pStyle w:val="TextBody"/>
        <w:bidi w:val="0"/>
        <w:spacing w:before="0" w:after="240"/>
        <w:ind w:left="0" w:right="0" w:firstLine="720"/>
        <w:jc w:val="both"/>
        <w:rPr/>
      </w:pPr>
      <w:r>
        <w:rPr/>
        <w:t>“</w:t>
      </w:r>
      <w:r>
        <w:rPr>
          <w:rFonts w:ascii="Times New Roman;Times;serif" w:hAnsi="Times New Roman;Times;serif"/>
          <w:sz w:val="24"/>
          <w:u w:val="single"/>
        </w:rPr>
        <w:t>ERISA</w:t>
      </w:r>
      <w:r>
        <w:rPr>
          <w:rFonts w:ascii="Times New Roman;Times;serif" w:hAnsi="Times New Roman;Times;serif"/>
          <w:sz w:val="24"/>
        </w:rPr>
        <w:t>” means the Employee Retirement Income Security Act of 1974, as amended.</w:t>
      </w:r>
    </w:p>
    <w:p>
      <w:pPr>
        <w:pStyle w:val="TextBody"/>
        <w:bidi w:val="0"/>
        <w:spacing w:before="0" w:after="240"/>
        <w:ind w:left="0" w:right="0" w:firstLine="720"/>
        <w:jc w:val="both"/>
        <w:rPr/>
      </w:pPr>
      <w:r>
        <w:rPr/>
        <w:t>“</w:t>
      </w:r>
      <w:r>
        <w:rPr>
          <w:rFonts w:ascii="Times New Roman;Times;serif" w:hAnsi="Times New Roman;Times;serif"/>
          <w:sz w:val="24"/>
          <w:u w:val="single"/>
        </w:rPr>
        <w:t>ERISA Affiliate</w:t>
      </w:r>
      <w:r>
        <w:rPr>
          <w:rFonts w:ascii="Times New Roman;Times;serif" w:hAnsi="Times New Roman;Times;serif"/>
          <w:sz w:val="24"/>
        </w:rPr>
        <w:t>” means any employer that is or would be at the relevant time treated as a single employer with the Company or any of its Subsidiaries under Sections 414(b), (c), (m) or (o) of the Code.</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u w:val="single"/>
        </w:rPr>
        <w:t>–</w:t>
      </w:r>
      <w:r>
        <w:rPr>
          <w:rFonts w:ascii="Times New Roman;Times;serif" w:hAnsi="Times New Roman;Times;serif"/>
          <w:sz w:val="24"/>
          <w:u w:val="single"/>
        </w:rPr>
        <w:t>[***] Litigation</w:t>
      </w:r>
      <w:r>
        <w:rPr>
          <w:rFonts w:ascii="Times New Roman;Times;serif" w:hAnsi="Times New Roman;Times;serif"/>
          <w:sz w:val="24"/>
        </w:rPr>
        <w:t xml:space="preserve">” means the </w:t>
      </w:r>
      <w:r>
        <w:rPr>
          <w:rFonts w:ascii="TimesNewRomanPSMT" w:hAnsi="TimesNewRomanPSMT"/>
          <w:sz w:val="24"/>
        </w:rPr>
        <w:t xml:space="preserve">litigation identified on </w:t>
      </w:r>
      <w:r>
        <w:rPr>
          <w:rFonts w:ascii="TimesNewRomanPSMT" w:hAnsi="TimesNewRomanPSMT"/>
          <w:sz w:val="24"/>
          <w:u w:val="single"/>
        </w:rPr>
        <w:t>Schedule 1.1(a)</w:t>
      </w:r>
      <w:r>
        <w:rPr>
          <w:rFonts w:ascii="TimesNewRomanPSMT" w:hAnsi="TimesNewRomanPSMT"/>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Escheat and Unclaimed Property Obligations</w:t>
      </w:r>
      <w:r>
        <w:rPr>
          <w:rFonts w:ascii="Times New Roman;Times;serif" w:hAnsi="Times New Roman;Times;serif"/>
          <w:sz w:val="24"/>
        </w:rPr>
        <w:t>” means any Liability (including any penalties or interest in connection therewith) imposed by, or otherwise owed to, a Government Entity on or by, as applicable, the Company or any of its Subsidiaries under any applicable unclaimed property, abandoned property, or escheat or similar Law in respect of escheatable, unclaimed or abandoned property attributable to any period ending on or before the Closing Date.</w:t>
      </w:r>
    </w:p>
    <w:p>
      <w:pPr>
        <w:pStyle w:val="TextBody"/>
        <w:bidi w:val="0"/>
        <w:spacing w:before="0" w:after="240"/>
        <w:ind w:left="0" w:right="0" w:firstLine="720"/>
        <w:jc w:val="both"/>
        <w:rPr/>
      </w:pPr>
      <w:r>
        <w:rPr/>
        <w:t>“</w:t>
      </w:r>
      <w:r>
        <w:rPr>
          <w:rFonts w:ascii="Times New Roman;Times;serif" w:hAnsi="Times New Roman;Times;serif"/>
          <w:sz w:val="24"/>
          <w:u w:val="single"/>
        </w:rPr>
        <w:t>Escrow Agent</w:t>
      </w:r>
      <w:r>
        <w:rPr>
          <w:rFonts w:ascii="Times New Roman;Times;serif" w:hAnsi="Times New Roman;Times;serif"/>
          <w:sz w:val="24"/>
        </w:rPr>
        <w:t xml:space="preserve">” has the meaning set forth in </w:t>
      </w:r>
      <w:r>
        <w:rPr>
          <w:rFonts w:ascii="Times New Roman;Times;serif" w:hAnsi="Times New Roman;Times;serif"/>
          <w:sz w:val="24"/>
          <w:u w:val="single"/>
        </w:rPr>
        <w:t>Section 2.3(b)(i)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Escrow Agreement</w:t>
      </w:r>
      <w:r>
        <w:rPr>
          <w:rFonts w:ascii="Times New Roman;Times;serif" w:hAnsi="Times New Roman;Times;serif"/>
          <w:sz w:val="24"/>
        </w:rPr>
        <w:t xml:space="preserve">” has the meaning set forth in </w:t>
      </w:r>
      <w:r>
        <w:rPr>
          <w:rFonts w:ascii="Times New Roman;Times;serif" w:hAnsi="Times New Roman;Times;serif"/>
          <w:sz w:val="24"/>
          <w:u w:val="single"/>
        </w:rPr>
        <w:t>Section 2.4</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Estimated Adjustment Amount</w:t>
      </w:r>
      <w:r>
        <w:rPr>
          <w:rFonts w:ascii="Times New Roman;Times;serif" w:hAnsi="Times New Roman;Times;serif"/>
          <w:sz w:val="24"/>
        </w:rPr>
        <w:t xml:space="preserve">” means an amount (which may be positive or negative) equal to </w:t>
      </w:r>
      <w:bookmarkStart w:id="2139" w:name="DocXTextRef13"/>
      <w:bookmarkEnd w:id="2139"/>
      <w:r>
        <w:rPr>
          <w:rFonts w:ascii="Times New Roman;Times;serif" w:hAnsi="Times New Roman;Times;serif"/>
          <w:sz w:val="24"/>
        </w:rPr>
        <w:t xml:space="preserve">(a) the amount of Estimated Cash and Cash Equivalents </w:t>
      </w:r>
      <w:r>
        <w:rPr>
          <w:rFonts w:ascii="Times New Roman;Times;serif" w:hAnsi="Times New Roman;Times;serif"/>
          <w:sz w:val="24"/>
          <w:u w:val="single"/>
        </w:rPr>
        <w:t>minus</w:t>
      </w:r>
      <w:r>
        <w:rPr>
          <w:rFonts w:ascii="Times New Roman;Times;serif" w:hAnsi="Times New Roman;Times;serif"/>
          <w:sz w:val="24"/>
        </w:rPr>
        <w:t xml:space="preserve"> (b) the amount of Estimated Closing Indebtedness </w:t>
      </w:r>
      <w:r>
        <w:rPr>
          <w:rFonts w:ascii="Times New Roman;Times;serif" w:hAnsi="Times New Roman;Times;serif"/>
          <w:sz w:val="24"/>
          <w:u w:val="single"/>
        </w:rPr>
        <w:t>plus</w:t>
      </w:r>
      <w:r>
        <w:rPr>
          <w:rFonts w:ascii="Times New Roman;Times;serif" w:hAnsi="Times New Roman;Times;serif"/>
          <w:sz w:val="24"/>
        </w:rPr>
        <w:t xml:space="preserve"> (c) the Estimated Net Working Capital Adjustment (which may be positive or negative) </w:t>
      </w:r>
      <w:r>
        <w:rPr>
          <w:rFonts w:ascii="Times New Roman;Times;serif" w:hAnsi="Times New Roman;Times;serif"/>
          <w:sz w:val="24"/>
          <w:u w:val="single"/>
        </w:rPr>
        <w:t>minus</w:t>
      </w:r>
      <w:r>
        <w:rPr>
          <w:rFonts w:ascii="Times New Roman;Times;serif" w:hAnsi="Times New Roman;Times;serif"/>
          <w:sz w:val="24"/>
        </w:rPr>
        <w:t xml:space="preserve"> (d) the amount of Estimated Unpaid Seller Expenses, </w:t>
      </w:r>
      <w:r>
        <w:rPr>
          <w:rFonts w:ascii="Times New Roman;Times;serif" w:hAnsi="Times New Roman;Times;serif"/>
          <w:sz w:val="24"/>
          <w:u w:val="single"/>
        </w:rPr>
        <w:t>minus</w:t>
      </w:r>
      <w:r>
        <w:rPr>
          <w:rFonts w:ascii="Times New Roman;Times;serif" w:hAnsi="Times New Roman;Times;serif"/>
          <w:sz w:val="24"/>
        </w:rPr>
        <w:t xml:space="preserve"> </w:t>
      </w:r>
      <w:bookmarkStart w:id="2140" w:name="DocXTextRef14"/>
      <w:bookmarkEnd w:id="2140"/>
      <w:r>
        <w:rPr>
          <w:rFonts w:ascii="Times New Roman;Times;serif" w:hAnsi="Times New Roman;Times;serif"/>
          <w:sz w:val="24"/>
        </w:rPr>
        <w:t>(e) the amount of Estimated Unpaid Income Taxes.</w:t>
      </w:r>
    </w:p>
    <w:p>
      <w:pPr>
        <w:pStyle w:val="TextBody"/>
        <w:bidi w:val="0"/>
        <w:spacing w:before="0" w:after="240"/>
        <w:ind w:left="0" w:right="0" w:firstLine="720"/>
        <w:jc w:val="both"/>
        <w:rPr/>
      </w:pPr>
      <w:r>
        <w:rPr/>
        <w:t>“</w:t>
      </w:r>
      <w:r>
        <w:rPr>
          <w:rFonts w:ascii="Times New Roman;Times;serif" w:hAnsi="Times New Roman;Times;serif"/>
          <w:sz w:val="24"/>
          <w:u w:val="single"/>
        </w:rPr>
        <w:t>Estimated Cash and Cash Equivalents</w:t>
      </w:r>
      <w:r>
        <w:rPr>
          <w:rFonts w:ascii="Times New Roman;Times;serif" w:hAnsi="Times New Roman;Times;serif"/>
          <w:sz w:val="24"/>
        </w:rPr>
        <w:t xml:space="preserve">” has the meaning set forth in </w:t>
      </w:r>
      <w:r>
        <w:rPr>
          <w:rFonts w:ascii="Times New Roman;Times;serif" w:hAnsi="Times New Roman;Times;serif"/>
          <w:sz w:val="24"/>
          <w:u w:val="single"/>
        </w:rPr>
        <w:t>Section 2.3(a)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Estimated Closing Indebtedness</w:t>
      </w:r>
      <w:r>
        <w:rPr>
          <w:rFonts w:ascii="Times New Roman;Times;serif" w:hAnsi="Times New Roman;Times;serif"/>
          <w:sz w:val="24"/>
        </w:rPr>
        <w:t xml:space="preserve">” has the meaning set forth in </w:t>
      </w:r>
      <w:r>
        <w:rPr>
          <w:rFonts w:ascii="Times New Roman;Times;serif" w:hAnsi="Times New Roman;Times;serif"/>
          <w:sz w:val="24"/>
          <w:u w:val="single"/>
        </w:rPr>
        <w:t>Section 2.3(a)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Estimated Net Working Capital Adjustment</w:t>
      </w:r>
      <w:r>
        <w:rPr>
          <w:rFonts w:ascii="Times New Roman;Times;serif" w:hAnsi="Times New Roman;Times;serif"/>
          <w:sz w:val="24"/>
        </w:rPr>
        <w:t xml:space="preserve">” has the meaning set forth in </w:t>
      </w:r>
      <w:r>
        <w:rPr>
          <w:rFonts w:ascii="Times New Roman;Times;serif" w:hAnsi="Times New Roman;Times;serif"/>
          <w:sz w:val="24"/>
          <w:u w:val="single"/>
        </w:rPr>
        <w:t>Section 2.3(a)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Estimated Purchase Price</w:t>
      </w:r>
      <w:r>
        <w:rPr>
          <w:rFonts w:ascii="Times New Roman;Times;serif" w:hAnsi="Times New Roman;Times;serif"/>
          <w:sz w:val="24"/>
        </w:rPr>
        <w:t xml:space="preserve">” means the Base Purchase Price </w:t>
      </w:r>
      <w:r>
        <w:rPr>
          <w:rFonts w:ascii="Times New Roman;Times;serif" w:hAnsi="Times New Roman;Times;serif"/>
          <w:sz w:val="24"/>
          <w:u w:val="single"/>
        </w:rPr>
        <w:t>plus</w:t>
      </w:r>
      <w:r>
        <w:rPr>
          <w:rFonts w:ascii="Times New Roman;Times;serif" w:hAnsi="Times New Roman;Times;serif"/>
          <w:sz w:val="24"/>
        </w:rPr>
        <w:t xml:space="preserve"> the Estimated Adjustment Amount.</w:t>
      </w:r>
    </w:p>
    <w:p>
      <w:pPr>
        <w:pStyle w:val="TextBody"/>
        <w:bidi w:val="0"/>
        <w:spacing w:before="0" w:after="240"/>
        <w:ind w:left="0" w:right="0" w:firstLine="720"/>
        <w:jc w:val="both"/>
        <w:rPr/>
      </w:pPr>
      <w:r>
        <w:rPr/>
        <w:t>“</w:t>
      </w:r>
      <w:r>
        <w:rPr>
          <w:rFonts w:ascii="Times New Roman;Times;serif" w:hAnsi="Times New Roman;Times;serif"/>
          <w:sz w:val="24"/>
          <w:u w:val="single"/>
        </w:rPr>
        <w:t>Estimated Unpaid Seller Expenses</w:t>
      </w:r>
      <w:r>
        <w:rPr>
          <w:rFonts w:ascii="Times New Roman;Times;serif" w:hAnsi="Times New Roman;Times;serif"/>
          <w:sz w:val="24"/>
        </w:rPr>
        <w:t xml:space="preserve">” has the meaning set forth in </w:t>
      </w:r>
      <w:r>
        <w:rPr>
          <w:rFonts w:ascii="Times New Roman;Times;serif" w:hAnsi="Times New Roman;Times;serif"/>
          <w:sz w:val="24"/>
          <w:u w:val="single"/>
        </w:rPr>
        <w:t>Section 2.3(a)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Estimated Unpaid Income Taxes</w:t>
      </w:r>
      <w:r>
        <w:rPr>
          <w:rFonts w:ascii="Times New Roman;Times;serif" w:hAnsi="Times New Roman;Times;serif"/>
          <w:sz w:val="24"/>
        </w:rPr>
        <w:t xml:space="preserve">” has the meaning set forth in </w:t>
      </w:r>
      <w:r>
        <w:rPr>
          <w:rFonts w:ascii="Times New Roman;Times;serif" w:hAnsi="Times New Roman;Times;serif"/>
          <w:sz w:val="24"/>
          <w:u w:val="single"/>
        </w:rPr>
        <w:t>Section 2.3(a)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Excluded Business</w:t>
      </w:r>
      <w:r>
        <w:rPr>
          <w:rFonts w:ascii="Times New Roman;Times;serif" w:hAnsi="Times New Roman;Times;serif"/>
          <w:sz w:val="24"/>
        </w:rPr>
        <w:t>” means any business currently or previously conducted by Seller, the Excluded Entities and any of their respective Affiliates (including the Company and its Subsidiaries), in each case, other than the Business, which includes, for the avoidance of doubt, (a) the business of Colchester related to providing captive insurance coverage to any Excluded Entities or other Affiliates of Seller Guarantor (other than the Company and its Subsidiaries (following the Restructuring)), and (b) the Closed Leased Locations.</w:t>
      </w:r>
    </w:p>
    <w:p>
      <w:pPr>
        <w:pStyle w:val="TextBody"/>
        <w:bidi w:val="0"/>
        <w:spacing w:before="0" w:after="240"/>
        <w:ind w:left="0" w:right="0" w:firstLine="720"/>
        <w:jc w:val="both"/>
        <w:rPr/>
      </w:pPr>
      <w:r>
        <w:rPr/>
        <w:t>“</w:t>
      </w:r>
      <w:r>
        <w:rPr>
          <w:rFonts w:ascii="Times New Roman;Times;serif" w:hAnsi="Times New Roman;Times;serif"/>
          <w:sz w:val="24"/>
          <w:u w:val="single"/>
        </w:rPr>
        <w:t>Excluded Entities</w:t>
      </w:r>
      <w:r>
        <w:rPr>
          <w:rFonts w:ascii="Times New Roman;Times;serif" w:hAnsi="Times New Roman;Times;serif"/>
          <w:sz w:val="24"/>
        </w:rPr>
        <w:t>” means Precision Auto Care, Inc., a Virginia corporation (a subsidiary of the Company), Icahn Automotive Service LLC, a Delaware limited liability company (including, among others, American Driveline Systems Inc., a Delaware corporation, Icahn Automotive Service Partners LLC, a Delaware limited liability company, AAMCO Transmissions, Inc., a Pennsylvania corporation, AAMCO Transmissions, LLC, a Pennsylvania limited liability company, and Cottman Transmission Systems, LLC, a Delaware limited liability company), AEP PLC LLC, a Delaware limited liability company, IEH Auto Parts Holding LLC, a Delaware limited liability company, Pep Boys Pakistan (SMC-Private) Limited, a single member Pakistan private company, and Icahn Automotive Group Team Member Charitable Fund, a Delaware charitable nonstock corporation, and each of their respective Subsidiaries.</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4"/>
          <w:u w:val="single"/>
        </w:rPr>
        <w:t>Final Purchase Price</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2.3(d)(v)</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Financial Statements</w:t>
      </w:r>
      <w:r>
        <w:rPr>
          <w:rFonts w:ascii="Times New Roman;Times;serif" w:hAnsi="Times New Roman;Times;serif"/>
          <w:sz w:val="24"/>
        </w:rPr>
        <w:t xml:space="preserve">” has the meaning set forth in </w:t>
      </w:r>
      <w:r>
        <w:rPr>
          <w:rFonts w:ascii="Times New Roman;Times;serif" w:hAnsi="Times New Roman;Times;serif"/>
          <w:sz w:val="24"/>
          <w:u w:val="single"/>
        </w:rPr>
        <w:t>Section 3.5(a)</w:t>
      </w:r>
      <w:r>
        <w:rPr>
          <w:rFonts w:ascii="Times New Roman;Times;serif" w:hAnsi="Times New Roman;Times;serif"/>
          <w:sz w:val="24"/>
        </w:rPr>
        <w:t>.</w:t>
      </w:r>
    </w:p>
    <w:p>
      <w:pPr>
        <w:pStyle w:val="TextBody"/>
        <w:bidi w:val="0"/>
        <w:spacing w:before="0" w:after="240"/>
        <w:ind w:left="0" w:right="0" w:firstLine="720"/>
        <w:jc w:val="both"/>
        <w:rPr/>
      </w:pPr>
      <w:bookmarkStart w:id="2141" w:name="_Hlk225943155"/>
      <w:bookmarkEnd w:id="2141"/>
      <w:r>
        <w:rPr/>
        <w:t>“</w:t>
      </w:r>
      <w:r>
        <w:rPr>
          <w:rFonts w:ascii="Times New Roman;Times;serif" w:hAnsi="Times New Roman;Times;serif"/>
          <w:sz w:val="24"/>
          <w:u w:val="single"/>
        </w:rPr>
        <w:t>Fraud</w:t>
      </w:r>
      <w:r>
        <w:rPr>
          <w:rFonts w:ascii="Times New Roman;Times;serif" w:hAnsi="Times New Roman;Times;serif"/>
          <w:sz w:val="24"/>
        </w:rPr>
        <w:t xml:space="preserve">” means fraud under Delaware law with respect to the making of the representations and warranties set forth in </w:t>
      </w:r>
      <w:r>
        <w:rPr>
          <w:rFonts w:ascii="Times New Roman;Times;serif" w:hAnsi="Times New Roman;Times;serif"/>
          <w:sz w:val="24"/>
          <w:u w:val="single"/>
        </w:rPr>
        <w:t>Article III</w:t>
      </w:r>
      <w:r>
        <w:rPr>
          <w:rFonts w:ascii="Times New Roman;Times;serif" w:hAnsi="Times New Roman;Times;serif"/>
          <w:sz w:val="24"/>
        </w:rPr>
        <w:t xml:space="preserve">, </w:t>
      </w:r>
      <w:r>
        <w:rPr>
          <w:rFonts w:ascii="Times New Roman;Times;serif" w:hAnsi="Times New Roman;Times;serif"/>
          <w:sz w:val="24"/>
          <w:u w:val="single"/>
        </w:rPr>
        <w:t>Article IV</w:t>
      </w:r>
      <w:r>
        <w:rPr>
          <w:rFonts w:ascii="Times New Roman;Times;serif" w:hAnsi="Times New Roman;Times;serif"/>
          <w:sz w:val="24"/>
        </w:rPr>
        <w:t xml:space="preserve">, </w:t>
      </w:r>
      <w:r>
        <w:rPr>
          <w:rFonts w:ascii="Times New Roman;Times;serif" w:hAnsi="Times New Roman;Times;serif"/>
          <w:sz w:val="24"/>
          <w:u w:val="single"/>
        </w:rPr>
        <w:t xml:space="preserve">Section </w:t>
      </w:r>
      <w:bookmarkStart w:id="2142" w:name="_9kMJI5YVt4BEGKNPJfPpxrybZ0yzwGS"/>
      <w:bookmarkEnd w:id="2142"/>
      <w:r>
        <w:rPr>
          <w:rFonts w:ascii="Times New Roman;Times;serif" w:hAnsi="Times New Roman;Times;serif"/>
          <w:sz w:val="24"/>
          <w:u w:val="single"/>
        </w:rPr>
        <w:t>9.2</w:t>
      </w:r>
      <w:r>
        <w:rPr>
          <w:rFonts w:ascii="Times New Roman;Times;serif" w:hAnsi="Times New Roman;Times;serif"/>
          <w:sz w:val="24"/>
        </w:rPr>
        <w:t xml:space="preserve"> and </w:t>
      </w:r>
      <w:r>
        <w:rPr>
          <w:rFonts w:ascii="Times New Roman;Times;serif" w:hAnsi="Times New Roman;Times;serif"/>
          <w:sz w:val="24"/>
          <w:u w:val="single"/>
        </w:rPr>
        <w:t xml:space="preserve">Section </w:t>
      </w:r>
      <w:bookmarkStart w:id="2143" w:name="_9kMLK5YVt4BEGJMPKPOI3xaYzxyvFR"/>
      <w:bookmarkEnd w:id="2143"/>
      <w:r>
        <w:rPr>
          <w:rFonts w:ascii="Times New Roman;Times;serif" w:hAnsi="Times New Roman;Times;serif"/>
          <w:sz w:val="24"/>
          <w:u w:val="single"/>
        </w:rPr>
        <w:t>9.3</w:t>
      </w:r>
      <w:r>
        <w:rPr>
          <w:rFonts w:ascii="Times New Roman;Times;serif" w:hAnsi="Times New Roman;Times;serif"/>
          <w:sz w:val="24"/>
        </w:rPr>
        <w:t xml:space="preserve"> of this Agreement, but excluding any claim for equitable fraud, constructive fraud, promissory fraud, unfair dealings fraud, fraud by reckless or negligent misrepresentations or any tort based on negligence or recklessness.  </w:t>
      </w:r>
    </w:p>
    <w:p>
      <w:pPr>
        <w:pStyle w:val="TextBody"/>
        <w:bidi w:val="0"/>
        <w:spacing w:before="0" w:after="240"/>
        <w:ind w:left="0" w:right="0" w:firstLine="720"/>
        <w:jc w:val="both"/>
        <w:rPr/>
      </w:pPr>
      <w:r>
        <w:rPr/>
        <w:t>“</w:t>
      </w:r>
      <w:r>
        <w:rPr>
          <w:rFonts w:ascii="Times New Roman;Times;serif" w:hAnsi="Times New Roman;Times;serif"/>
          <w:sz w:val="24"/>
          <w:u w:val="single"/>
        </w:rPr>
        <w:t>Fundamental Representations</w:t>
      </w:r>
      <w:r>
        <w:rPr>
          <w:rFonts w:ascii="Times New Roman;Times;serif" w:hAnsi="Times New Roman;Times;serif"/>
          <w:sz w:val="24"/>
        </w:rPr>
        <w:t xml:space="preserve">” means the representations set forth in </w:t>
      </w:r>
      <w:r>
        <w:rPr>
          <w:rFonts w:ascii="Times New Roman;Times;serif" w:hAnsi="Times New Roman;Times;serif"/>
          <w:sz w:val="24"/>
          <w:u w:val="single"/>
        </w:rPr>
        <w:t>Section 3.1</w:t>
      </w:r>
      <w:r>
        <w:rPr>
          <w:rFonts w:ascii="Times New Roman;Times;serif" w:hAnsi="Times New Roman;Times;serif"/>
          <w:sz w:val="24"/>
        </w:rPr>
        <w:t xml:space="preserve">, </w:t>
      </w:r>
      <w:r>
        <w:rPr>
          <w:rFonts w:ascii="Times New Roman;Times;serif" w:hAnsi="Times New Roman;Times;serif"/>
          <w:sz w:val="24"/>
          <w:u w:val="single"/>
        </w:rPr>
        <w:t>Section 3.2</w:t>
      </w:r>
      <w:r>
        <w:rPr>
          <w:rFonts w:ascii="Times New Roman;Times;serif" w:hAnsi="Times New Roman;Times;serif"/>
          <w:sz w:val="24"/>
        </w:rPr>
        <w:t xml:space="preserve">, </w:t>
      </w:r>
      <w:r>
        <w:rPr>
          <w:rFonts w:ascii="Times New Roman;Times;serif" w:hAnsi="Times New Roman;Times;serif"/>
          <w:sz w:val="24"/>
          <w:u w:val="single"/>
        </w:rPr>
        <w:t>Section 3.3</w:t>
      </w:r>
      <w:r>
        <w:rPr>
          <w:rFonts w:ascii="Times New Roman;Times;serif" w:hAnsi="Times New Roman;Times;serif"/>
          <w:sz w:val="24"/>
        </w:rPr>
        <w:t xml:space="preserve">, </w:t>
      </w:r>
      <w:r>
        <w:rPr>
          <w:rFonts w:ascii="Times New Roman;Times;serif" w:hAnsi="Times New Roman;Times;serif"/>
          <w:sz w:val="24"/>
          <w:u w:val="single"/>
        </w:rPr>
        <w:t>Section 3.4</w:t>
      </w:r>
      <w:r>
        <w:rPr>
          <w:rFonts w:ascii="Times New Roman;Times;serif" w:hAnsi="Times New Roman;Times;serif"/>
          <w:sz w:val="24"/>
        </w:rPr>
        <w:t xml:space="preserve">, </w:t>
      </w:r>
      <w:r>
        <w:rPr>
          <w:rFonts w:ascii="Times New Roman;Times;serif" w:hAnsi="Times New Roman;Times;serif"/>
          <w:sz w:val="24"/>
          <w:u w:val="single"/>
        </w:rPr>
        <w:t>Section 3.21</w:t>
      </w:r>
      <w:r>
        <w:rPr>
          <w:rFonts w:ascii="Times New Roman;Times;serif" w:hAnsi="Times New Roman;Times;serif"/>
          <w:sz w:val="24"/>
        </w:rPr>
        <w:t xml:space="preserve"> and </w:t>
      </w:r>
      <w:r>
        <w:rPr>
          <w:rFonts w:ascii="Times New Roman;Times;serif" w:hAnsi="Times New Roman;Times;serif"/>
          <w:sz w:val="24"/>
          <w:u w:val="single"/>
        </w:rPr>
        <w:t>Section 3.26</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GAAP</w:t>
      </w:r>
      <w:r>
        <w:rPr>
          <w:rFonts w:ascii="Times New Roman;Times;serif" w:hAnsi="Times New Roman;Times;serif"/>
          <w:sz w:val="24"/>
        </w:rPr>
        <w:t>” means the United States generally accepted accounting principles.</w:t>
      </w:r>
    </w:p>
    <w:p>
      <w:pPr>
        <w:pStyle w:val="TextBody"/>
        <w:bidi w:val="0"/>
        <w:spacing w:before="0" w:after="240"/>
        <w:ind w:left="0" w:right="0" w:firstLine="720"/>
        <w:jc w:val="both"/>
        <w:rPr/>
      </w:pPr>
      <w:r>
        <w:rPr/>
        <w:t>“</w:t>
      </w:r>
      <w:r>
        <w:rPr>
          <w:rFonts w:ascii="Times New Roman;Times;serif" w:hAnsi="Times New Roman;Times;serif"/>
          <w:sz w:val="24"/>
          <w:u w:val="single"/>
        </w:rPr>
        <w:t>Government Bid</w:t>
      </w:r>
      <w:r>
        <w:rPr>
          <w:rFonts w:ascii="Times New Roman;Times;serif" w:hAnsi="Times New Roman;Times;serif"/>
          <w:sz w:val="24"/>
        </w:rPr>
        <w:t>” means any bid, proposal, quotation, or other offer made by the Company or any of its Subsidiaries, that, if accepted, could reasonably be expected to lead to the award of a Government Contract.</w:t>
      </w:r>
    </w:p>
    <w:p>
      <w:pPr>
        <w:pStyle w:val="TextBody"/>
        <w:bidi w:val="0"/>
        <w:spacing w:before="0" w:after="240"/>
        <w:ind w:left="0" w:right="0" w:firstLine="720"/>
        <w:jc w:val="both"/>
        <w:rPr/>
      </w:pPr>
      <w:r>
        <w:rPr/>
        <w:t>“</w:t>
      </w:r>
      <w:r>
        <w:rPr>
          <w:rFonts w:ascii="Times New Roman;Times;serif" w:hAnsi="Times New Roman;Times;serif"/>
          <w:sz w:val="24"/>
          <w:u w:val="single"/>
        </w:rPr>
        <w:t>Government Contract</w:t>
      </w:r>
      <w:r>
        <w:rPr>
          <w:rFonts w:ascii="Times New Roman;Times;serif" w:hAnsi="Times New Roman;Times;serif"/>
          <w:sz w:val="24"/>
        </w:rPr>
        <w:t>” means any Contract that is (i) between the Company or any of its Subsidiaries and a Government Entity, or (ii) entered into by the Company or any of its Subsidiaries as a subcontractor at any tier in connection with a contract between another Person and a Government Entity.</w:t>
      </w:r>
    </w:p>
    <w:p>
      <w:pPr>
        <w:pStyle w:val="TextBody"/>
        <w:bidi w:val="0"/>
        <w:spacing w:before="0" w:after="240"/>
        <w:ind w:left="0" w:right="0" w:firstLine="720"/>
        <w:jc w:val="both"/>
        <w:rPr/>
      </w:pPr>
      <w:r>
        <w:rPr/>
        <w:t>“</w:t>
      </w:r>
      <w:r>
        <w:rPr>
          <w:rFonts w:ascii="Times New Roman;Times;serif" w:hAnsi="Times New Roman;Times;serif"/>
          <w:sz w:val="24"/>
          <w:u w:val="single"/>
        </w:rPr>
        <w:t>Government Entity</w:t>
      </w:r>
      <w:r>
        <w:rPr>
          <w:rFonts w:ascii="Times New Roman;Times;serif" w:hAnsi="Times New Roman;Times;serif"/>
          <w:sz w:val="24"/>
        </w:rPr>
        <w:t>” means any United States or foreign governmental authority, including any national, federal, territorial, state, commonwealth, province, territory, county, municipal, district, local governmental jurisdiction of any nature or any other governmental, self-regulatory or quasi-governmental authority of any nature (including any governmental department, division, agency, bureau, office, branch, court, commission, arbitral or other tribunal, or other governmental instrumentality) or any political or other subdivision or part of any of the foregoing.</w:t>
      </w:r>
    </w:p>
    <w:p>
      <w:pPr>
        <w:pStyle w:val="TextBody"/>
        <w:bidi w:val="0"/>
        <w:spacing w:before="0" w:after="240"/>
        <w:ind w:left="0" w:right="0" w:firstLine="720"/>
        <w:jc w:val="both"/>
        <w:rPr/>
      </w:pPr>
      <w:r>
        <w:rPr/>
        <w:t>“</w:t>
      </w:r>
      <w:r>
        <w:rPr>
          <w:rFonts w:ascii="Times New Roman;Times;serif" w:hAnsi="Times New Roman;Times;serif"/>
          <w:sz w:val="24"/>
          <w:u w:val="single"/>
        </w:rPr>
        <w:t>Hazardous Substance</w:t>
      </w:r>
      <w:r>
        <w:rPr>
          <w:rFonts w:ascii="Times New Roman;Times;serif" w:hAnsi="Times New Roman;Times;serif"/>
          <w:sz w:val="24"/>
        </w:rPr>
        <w:t>” means any substance, material or waste as to which Liability or standards of conduct are imposed under any Environmental Law, including any quantity of asbestos in any form, urea formaldehyde, Polychlorinated Biphenyls, radon gas, crude oil or any fraction thereof, all forms of natural gas, petroleum products or by-products, per- and poly-fluoroalkyl substances, any radioactive substance, or any toxic, infectious, reactive, corrosive, ignitable or flammable chemical or chemical compound substance, material or waste or words of similar meaning and regulatory effect as such terms are defined by any Environmental Laws, whether solid, liquid or gas.</w:t>
      </w:r>
    </w:p>
    <w:p>
      <w:pPr>
        <w:pStyle w:val="TextBody"/>
        <w:bidi w:val="0"/>
        <w:spacing w:before="0" w:after="240"/>
        <w:ind w:left="0" w:right="0" w:firstLine="720"/>
        <w:jc w:val="both"/>
        <w:rPr/>
      </w:pPr>
      <w:r>
        <w:rPr/>
        <w:t>“</w:t>
      </w:r>
      <w:r>
        <w:rPr>
          <w:rFonts w:ascii="Times New Roman;Times;serif" w:hAnsi="Times New Roman;Times;serif"/>
          <w:sz w:val="24"/>
          <w:u w:val="single"/>
        </w:rPr>
        <w:t>In Process Division Costs</w:t>
      </w:r>
      <w:r>
        <w:rPr>
          <w:rFonts w:ascii="Times New Roman;Times;serif" w:hAnsi="Times New Roman;Times;serif"/>
          <w:sz w:val="24"/>
        </w:rPr>
        <w:t xml:space="preserve">” has the meaning set forth in </w:t>
      </w:r>
      <w:bookmarkStart w:id="2144" w:name="_9kMHG5YVt4ADGLHEEL0Ub1z9FDE8uQSBJEA9pi8"/>
      <w:bookmarkEnd w:id="2144"/>
      <w:r>
        <w:rPr>
          <w:rFonts w:ascii="Times New Roman;Times;serif" w:hAnsi="Times New Roman;Times;serif"/>
          <w:sz w:val="24"/>
          <w:u w:val="single"/>
        </w:rPr>
        <w:t>Section 3.19(f)</w:t>
      </w:r>
      <w:r>
        <w:rPr>
          <w:rFonts w:ascii="Times New Roman;Times;serif" w:hAnsi="Times New Roman;Times;serif"/>
          <w:sz w:val="24"/>
        </w:rPr>
        <w:t>.</w:t>
      </w:r>
    </w:p>
    <w:p>
      <w:pPr>
        <w:pStyle w:val="TextBody"/>
        <w:bidi w:val="0"/>
        <w:spacing w:before="0" w:after="0"/>
        <w:ind w:left="0" w:right="0" w:firstLine="720"/>
        <w:jc w:val="both"/>
        <w:rPr/>
      </w:pPr>
      <w:r>
        <w:rPr/>
        <w:t>“</w:t>
      </w:r>
      <w:r>
        <w:rPr>
          <w:rFonts w:ascii="Times New Roman;Times;serif" w:hAnsi="Times New Roman;Times;serif"/>
          <w:sz w:val="24"/>
          <w:u w:val="single"/>
        </w:rPr>
        <w:t>Indebtedness</w:t>
      </w:r>
      <w:r>
        <w:rPr>
          <w:rFonts w:ascii="Times New Roman;Times;serif" w:hAnsi="Times New Roman;Times;serif"/>
          <w:sz w:val="24"/>
        </w:rPr>
        <w:t xml:space="preserve">” means, as of any time, without duplication, the aggregate amount of (a) any obligations of any Person arising under any indebtedness for borrowed money (including all obligations for principal, interest, penalties, fees, expenses, expenses associated with repayment including prepayment premiums or penalties, early termination fees, breakage costs and bank overdrafts thereunder), (b) any indebtedness of any Person evidenced by any note, bond, debenture or other debt security, (c) in each case to the extent drawn, obligations for letters of credit,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performance bonds, surety bonds, bankers’ acceptances, or similar facilities, (d) any Liability of any Person with respect to interest rate swaps, collars, caps and similar hedging obligations, (e) all obligations of any Person for leases classified as capital or finance leases in the Financial Statements or required to be so classified in accordance with GAAP, and any operating leases currently or formerly (following the Most Recent Audit Date) classified as capital or finance leases, including, in either case, those set forth on </w:t>
      </w:r>
      <w:r>
        <w:rPr>
          <w:rFonts w:ascii="Times New Roman;Times;serif" w:hAnsi="Times New Roman;Times;serif"/>
          <w:sz w:val="24"/>
          <w:u w:val="single"/>
        </w:rPr>
        <w:t>Schedule 1.1(c)</w:t>
      </w:r>
      <w:r>
        <w:rPr>
          <w:rFonts w:ascii="Times New Roman;Times;serif" w:hAnsi="Times New Roman;Times;serif"/>
          <w:sz w:val="24"/>
        </w:rPr>
        <w:t xml:space="preserve"> and calculated in accordance therewith, (f) all obligations of any Person for fixed and determinable deferred and unpaid purchase price of property or services, (other than trade payables and accrued expenses incurred in the Ordinary Course), including any earn-out obligations, seller notes, indemnities, post-closing purchase price true-ups, and holdbacks (in each case, whether contingent or otherwise, and calculated as the maximum amount payable under or pursuant to such obligation), (g) any unpaid severance liabilities in respect of employees and service providers of such Person pursuant to a written separation agreement, severance agreement or severance plan who terminated employment or whose services to the Company or any of its Subsidiaries have ceased (as applicable) prior to the Closing and deferred compensation Liabilities of such Person, (h) any obligations of any Person upon which interest charges are customarily paid (excluding trade accounts payable), (i) any obligations of any Person to purchase securities (or other property) which arise out of or in connection with the sale of the same or substantially similar securities or property, (j) any payments made to or upon the termination of, and any fees and expenses owing in respect of any Affiliate Agreements or Affiliate Transactions and any unpaid dividends or distributions, or any amounts owed to Seller or any of its Affiliates, (k) the balance sheet value of any loss contract as determined in accordance with GAAP, (l) any Liabilities under any supplier financing arrangements entered into by the Company or any of its Subsidiaries, (m) all obligations, net of reimbursement receivables arising from sub tenant rent, common area maintenance and related Taxes relating to periods prior to the Closing, which shall not be a negative number, (n) aged accounts payable, accrued liabilities, or other Liabilities outstanding for more than five years as of the Closing, which shall in the aggregate be no less than $[***], (o) the Payroll Lien Amount, (p) all obligations of the type referred to in clauses (a) through (o) of any Persons the payment of which any Person is responsible or liable directly or indirectly as obligor, guarantor, or surety or otherwise.  For the avoidance of doubt, Indebtedness shall not include (x) any item included in the calculation of Net Working Capital; (y) trade payables, accrued payroll, accrued bonuses, accrued vacation, customer deposits, short-term deferred revenue, operating lease liabilities, warranty reserves and other current liabilities incurred in the Ordinary Course; or (z) contingent obligations except to the extent specifically described in clauses (a) through (q) of in this definition, due and payable as of Closing or that facts and circumstances resulting in the obligations occurred as of Closing.</w:t>
      </w:r>
    </w:p>
    <w:p>
      <w:pPr>
        <w:pStyle w:val="TextBody"/>
        <w:bidi w:val="0"/>
        <w:spacing w:before="0" w:after="240"/>
        <w:ind w:left="0" w:right="0" w:firstLine="720"/>
        <w:jc w:val="both"/>
        <w:rPr/>
      </w:pPr>
      <w:r>
        <w:rPr/>
        <w:t>“</w:t>
      </w:r>
      <w:r>
        <w:rPr>
          <w:rFonts w:ascii="Times New Roman;Times;serif" w:hAnsi="Times New Roman;Times;serif"/>
          <w:sz w:val="24"/>
          <w:u w:val="single"/>
        </w:rPr>
        <w:t>Indemnified Party</w:t>
      </w:r>
      <w:r>
        <w:rPr>
          <w:rFonts w:ascii="Times New Roman;Times;serif" w:hAnsi="Times New Roman;Times;serif"/>
          <w:sz w:val="24"/>
        </w:rPr>
        <w:t xml:space="preserve">” has the meaning set forth in </w:t>
      </w:r>
      <w:bookmarkStart w:id="2145" w:name="_9kMHG5YVt4ADGLIHKjTp0wVNwGOiQvt6H"/>
      <w:bookmarkEnd w:id="2145"/>
      <w:r>
        <w:rPr>
          <w:rFonts w:ascii="Times New Roman;Times;serif" w:hAnsi="Times New Roman;Times;serif"/>
          <w:sz w:val="24"/>
          <w:u w:val="single"/>
        </w:rPr>
        <w:t>Section 5.5(a)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Independent Auditor</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2.3(d)(iv)</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Information Security Program</w:t>
      </w:r>
      <w:r>
        <w:rPr>
          <w:rFonts w:ascii="Times New Roman;Times;serif" w:hAnsi="Times New Roman;Times;serif"/>
          <w:sz w:val="24"/>
        </w:rPr>
        <w:t>” means a written information security program that complies with and provides reasonable and appropriate administrative, technical, and physical measures consistent with Data Privacy and Security Requirements and that is reasonable for the industry in which the Company operates to protect Personal Information and Company Systems against loss, damage, and unauthorized access, use, modification or misuse.</w:t>
      </w:r>
    </w:p>
    <w:p>
      <w:pPr>
        <w:pStyle w:val="TextBody"/>
        <w:bidi w:val="0"/>
        <w:spacing w:before="0" w:after="240"/>
        <w:ind w:left="0" w:right="0" w:firstLine="720"/>
        <w:jc w:val="both"/>
        <w:rPr/>
      </w:pPr>
      <w:r>
        <w:rPr/>
        <w:t>“</w:t>
      </w:r>
      <w:r>
        <w:rPr>
          <w:rFonts w:ascii="Times New Roman;Times;serif" w:hAnsi="Times New Roman;Times;serif"/>
          <w:sz w:val="24"/>
          <w:u w:val="single"/>
        </w:rPr>
        <w:t>Insurance Policy</w:t>
      </w:r>
      <w:r>
        <w:rPr>
          <w:rFonts w:ascii="Times New Roman;Times;serif" w:hAnsi="Times New Roman;Times;serif"/>
          <w:sz w:val="24"/>
        </w:rPr>
        <w:t xml:space="preserve">” has the meaning set forth in </w:t>
      </w:r>
      <w:bookmarkStart w:id="2146" w:name="_9kMHG5YVt4ADGLKHFFWP6EEvsvn"/>
      <w:bookmarkEnd w:id="2146"/>
      <w:r>
        <w:rPr>
          <w:rFonts w:ascii="Times New Roman;Times;serif" w:hAnsi="Times New Roman;Times;serif"/>
          <w:sz w:val="24"/>
          <w:u w:val="single"/>
        </w:rPr>
        <w:t>Section 3.22(a)</w:t>
      </w:r>
      <w:r>
        <w:rPr>
          <w:rFonts w:ascii="Times New Roman;Times;serif" w:hAnsi="Times New Roman;Times;serif"/>
          <w:sz w:val="24"/>
        </w:rPr>
        <w: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4"/>
          <w:u w:val="single"/>
        </w:rPr>
        <w:t>Intellectual Property Rights</w:t>
      </w:r>
      <w:r>
        <w:rPr>
          <w:rFonts w:ascii="Times New Roman;Times;serif" w:hAnsi="Times New Roman;Times;serif"/>
          <w:sz w:val="24"/>
        </w:rPr>
        <w:t xml:space="preserve">” means all rights, title, and interest in and to all intellectual property and proprietary rights of every kind and nature however denominated in any jurisdiction throughout the world, including </w:t>
      </w:r>
      <w:bookmarkStart w:id="2147" w:name="_9kR3WTrAGBDJMPG6yimpNwSA2v3xp5O6yopLKBE"/>
      <w:bookmarkStart w:id="2148" w:name="DocXTextRef21"/>
      <w:bookmarkEnd w:id="2147"/>
      <w:bookmarkEnd w:id="2148"/>
      <w:r>
        <w:rPr>
          <w:rFonts w:ascii="Times New Roman;Times;serif" w:hAnsi="Times New Roman;Times;serif"/>
          <w:sz w:val="24"/>
        </w:rPr>
        <w:t xml:space="preserve">(a) patents, patent applications and patent disclosures and improvements thereto, (b) Trademarks, (c) copyrights (whether registered or unregistered), works of authorship (whether or not copyrightable), moral rights and all applications, registrations and renewals in connection therewith, (d) rights in and to </w:t>
      </w:r>
      <w:bookmarkStart w:id="2149" w:name="_9kMIH5YVt488CFAbXrxFxty"/>
      <w:bookmarkEnd w:id="2149"/>
      <w:r>
        <w:rPr>
          <w:rFonts w:ascii="Times New Roman;Times;serif" w:hAnsi="Times New Roman;Times;serif"/>
          <w:sz w:val="24"/>
        </w:rPr>
        <w:t>Software</w:t>
      </w:r>
      <w:bookmarkStart w:id="2150" w:name="_Ref507269616"/>
      <w:bookmarkEnd w:id="2150"/>
      <w:r>
        <w:rPr>
          <w:rFonts w:ascii="Times New Roman;Times;serif" w:hAnsi="Times New Roman;Times;serif"/>
          <w:sz w:val="24"/>
        </w:rPr>
        <w:t xml:space="preserve">, all accelerators, enrichment, measurement and management tools used in performing services, and all rights therein or thereto, </w:t>
      </w:r>
      <w:bookmarkStart w:id="2151" w:name="DocXTextRef22"/>
      <w:bookmarkEnd w:id="2151"/>
      <w:r>
        <w:rPr>
          <w:rFonts w:ascii="Times New Roman;Times;serif" w:hAnsi="Times New Roman;Times;serif"/>
          <w:sz w:val="24"/>
        </w:rPr>
        <w:t>(e) rights in and to Data</w:t>
      </w:r>
      <w:bookmarkStart w:id="2152" w:name="_Ref507269617"/>
      <w:bookmarkEnd w:id="2152"/>
      <w:r>
        <w:rPr>
          <w:rFonts w:ascii="Times New Roman;Times;serif" w:hAnsi="Times New Roman;Times;serif"/>
          <w:sz w:val="24"/>
        </w:rPr>
        <w:t xml:space="preserve">, (f) all rights of privacy and publicity, including rights to use of the names, likenesses, voices, signatures, and biographical information of real persons, </w:t>
      </w:r>
      <w:bookmarkStart w:id="2153" w:name="_9kR3WTrAGBDJNQG6yimpNwSA2v3xp5O6yopLKBE"/>
      <w:bookmarkEnd w:id="2153"/>
      <w:r>
        <w:rPr>
          <w:rFonts w:ascii="Times New Roman;Times;serif" w:hAnsi="Times New Roman;Times;serif"/>
          <w:sz w:val="24"/>
        </w:rPr>
        <w:t xml:space="preserve">(g) Trade Secret rights, </w:t>
      </w:r>
      <w:bookmarkStart w:id="2154" w:name="_9kR3WTrAGBDKFHG6yimpNwSA2v3xp5O6yopLKBE"/>
      <w:bookmarkStart w:id="2155" w:name="DocXTextRef23"/>
      <w:bookmarkEnd w:id="2154"/>
      <w:bookmarkEnd w:id="2155"/>
      <w:r>
        <w:rPr>
          <w:rFonts w:ascii="Times New Roman;Times;serif" w:hAnsi="Times New Roman;Times;serif"/>
          <w:sz w:val="24"/>
        </w:rPr>
        <w:t xml:space="preserve">(h) rights in or relating to (including the right to claim priority to) applications, registrations, renewals, extensions, combinations, revisions, divisions, continuations, continuations-in-part and reissues of, and applications for, any of the rights referred to in any of the foregoing </w:t>
      </w:r>
      <w:bookmarkStart w:id="2156" w:name="_9kMHG5YVtCIDFLORI80korPyUC4x5zr7Q80qrNM"/>
      <w:bookmarkEnd w:id="2156"/>
      <w:r>
        <w:rPr>
          <w:rFonts w:ascii="Times New Roman;Times;serif" w:hAnsi="Times New Roman;Times;serif"/>
          <w:sz w:val="24"/>
        </w:rPr>
        <w:t xml:space="preserve">clauses (a) through </w:t>
      </w:r>
      <w:bookmarkStart w:id="2157" w:name="_9kMHG5YVtCIDFLPSI80korPyUC4x5zr7Q80qrNM"/>
      <w:bookmarkEnd w:id="2157"/>
      <w:r>
        <w:rPr>
          <w:rFonts w:ascii="Times New Roman;Times;serif" w:hAnsi="Times New Roman;Times;serif"/>
          <w:sz w:val="24"/>
        </w:rPr>
        <w:t xml:space="preserve">(g), </w:t>
      </w:r>
      <w:bookmarkStart w:id="2158" w:name="_9kR3WTr2BEDKGq"/>
      <w:bookmarkEnd w:id="2158"/>
      <w:r>
        <w:rPr>
          <w:rFonts w:ascii="Times New Roman;Times;serif" w:hAnsi="Times New Roman;Times;serif"/>
          <w:sz w:val="24"/>
        </w:rPr>
        <w:t xml:space="preserve">(i) all rights to sue (and recover and retain damages and costs and attorneys’ fees) for past, present and future infringement, misappropriation, dilution or other violations of any of the foregoing </w:t>
      </w:r>
      <w:bookmarkStart w:id="2159" w:name="_9kMIH5YVtCIDFLORI80korPyUC4x5zr7Q80qrNM"/>
      <w:bookmarkEnd w:id="2159"/>
      <w:r>
        <w:rPr>
          <w:rFonts w:ascii="Times New Roman;Times;serif" w:hAnsi="Times New Roman;Times;serif"/>
          <w:sz w:val="24"/>
        </w:rPr>
        <w:t xml:space="preserve">clauses (a) through </w:t>
      </w:r>
      <w:bookmarkStart w:id="2160" w:name="_9kMHG5YVtCIDFMHJI80korPyUC4x5zr7Q80qrNM"/>
      <w:bookmarkEnd w:id="2160"/>
      <w:r>
        <w:rPr>
          <w:rFonts w:ascii="Times New Roman;Times;serif" w:hAnsi="Times New Roman;Times;serif"/>
          <w:sz w:val="24"/>
        </w:rPr>
        <w:t xml:space="preserve">(h), and </w:t>
      </w:r>
      <w:bookmarkStart w:id="2161" w:name="_9kR3WTr2BEDKHs"/>
      <w:bookmarkEnd w:id="2161"/>
      <w:r>
        <w:rPr>
          <w:rFonts w:ascii="Times New Roman;Times;serif" w:hAnsi="Times New Roman;Times;serif"/>
          <w:sz w:val="24"/>
        </w:rPr>
        <w:t>(j) all copies and tangible embodiments of any of the foregoing (in whatever form or medium).</w:t>
      </w:r>
    </w:p>
    <w:p>
      <w:pPr>
        <w:pStyle w:val="TextBody"/>
        <w:bidi w:val="0"/>
        <w:spacing w:before="0" w:after="240"/>
        <w:ind w:left="0" w:right="0" w:firstLine="720"/>
        <w:jc w:val="both"/>
        <w:rPr/>
      </w:pPr>
      <w:r>
        <w:rPr/>
        <w:t>“</w:t>
      </w:r>
      <w:r>
        <w:rPr>
          <w:rFonts w:ascii="Times New Roman;Times;serif" w:hAnsi="Times New Roman;Times;serif"/>
          <w:sz w:val="24"/>
          <w:u w:val="single"/>
        </w:rPr>
        <w:t>IP Agreements</w:t>
      </w:r>
      <w:r>
        <w:rPr>
          <w:rFonts w:ascii="Times New Roman;Times;serif" w:hAnsi="Times New Roman;Times;serif"/>
          <w:sz w:val="24"/>
        </w:rPr>
        <w:t xml:space="preserve">” has the meaning set forth in </w:t>
      </w:r>
      <w:r>
        <w:rPr>
          <w:rFonts w:ascii="Times New Roman;Times;serif" w:hAnsi="Times New Roman;Times;serif"/>
          <w:sz w:val="24"/>
          <w:u w:val="single"/>
        </w:rPr>
        <w:t>Section 3.10(a)(vii)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IRS</w:t>
      </w:r>
      <w:r>
        <w:rPr>
          <w:rFonts w:ascii="Times New Roman;Times;serif" w:hAnsi="Times New Roman;Times;serif"/>
          <w:sz w:val="24"/>
        </w:rPr>
        <w:t>” means the Internal Revenue Service of the United States.</w:t>
      </w:r>
    </w:p>
    <w:p>
      <w:pPr>
        <w:pStyle w:val="TextBody"/>
        <w:bidi w:val="0"/>
        <w:spacing w:before="0" w:after="240"/>
        <w:ind w:left="0" w:right="0" w:firstLine="720"/>
        <w:jc w:val="both"/>
        <w:rPr/>
      </w:pPr>
      <w:r>
        <w:rPr/>
        <w:t>“</w:t>
      </w:r>
      <w:r>
        <w:rPr>
          <w:rFonts w:ascii="Times New Roman;Times;serif" w:hAnsi="Times New Roman;Times;serif"/>
          <w:sz w:val="24"/>
          <w:u w:val="single"/>
        </w:rPr>
        <w:t>Inventory</w:t>
      </w:r>
      <w:r>
        <w:rPr>
          <w:rFonts w:ascii="Times New Roman;Times;serif" w:hAnsi="Times New Roman;Times;serif"/>
          <w:sz w:val="24"/>
        </w:rPr>
        <w:t>” means all inventory, finished goods, raw materials, work in progress, packaging, supplies, parts, tires and other inventories, in each case, related to the Business.</w:t>
      </w:r>
    </w:p>
    <w:p>
      <w:pPr>
        <w:pStyle w:val="TextBody"/>
        <w:bidi w:val="0"/>
        <w:spacing w:before="0" w:after="240"/>
        <w:ind w:left="0" w:right="0" w:firstLine="720"/>
        <w:jc w:val="both"/>
        <w:rPr/>
      </w:pPr>
      <w:r>
        <w:rPr/>
        <w:t>“</w:t>
      </w:r>
      <w:r>
        <w:rPr>
          <w:rFonts w:ascii="Times New Roman;Times;serif" w:hAnsi="Times New Roman;Times;serif"/>
          <w:sz w:val="24"/>
          <w:u w:val="single"/>
        </w:rPr>
        <w:t>Knowledge</w:t>
      </w:r>
      <w:r>
        <w:rPr>
          <w:rFonts w:ascii="Times New Roman;Times;serif" w:hAnsi="Times New Roman;Times;serif"/>
          <w:sz w:val="24"/>
        </w:rPr>
        <w:t>” means, with respect to Seller, the actual knowledge of [***] after reasonable inquiry.</w:t>
      </w:r>
    </w:p>
    <w:p>
      <w:pPr>
        <w:pStyle w:val="TextBody"/>
        <w:bidi w:val="0"/>
        <w:spacing w:before="0" w:after="240"/>
        <w:ind w:left="0" w:right="0" w:firstLine="720"/>
        <w:jc w:val="both"/>
        <w:rPr/>
      </w:pPr>
      <w:r>
        <w:rPr/>
        <w:t>“</w:t>
      </w:r>
      <w:r>
        <w:rPr>
          <w:rFonts w:ascii="Times New Roman;Times;serif" w:hAnsi="Times New Roman;Times;serif"/>
          <w:sz w:val="24"/>
          <w:u w:val="single"/>
        </w:rPr>
        <w:t>Laws</w:t>
      </w:r>
      <w:r>
        <w:rPr>
          <w:rFonts w:ascii="Times New Roman;Times;serif" w:hAnsi="Times New Roman;Times;serif"/>
          <w:sz w:val="24"/>
        </w:rPr>
        <w:t>” means all statutes, laws (including common law), codes, ordinances, regulations, rules, Orders, assessments, awards or acts of any Government Entity.</w:t>
      </w:r>
    </w:p>
    <w:p>
      <w:pPr>
        <w:pStyle w:val="TextBody"/>
        <w:bidi w:val="0"/>
        <w:spacing w:before="0" w:after="240"/>
        <w:ind w:left="0" w:right="0" w:firstLine="720"/>
        <w:jc w:val="both"/>
        <w:rPr/>
      </w:pPr>
      <w:bookmarkStart w:id="2162" w:name="_cp_change_388"/>
      <w:bookmarkEnd w:id="2162"/>
      <w:r>
        <w:rPr/>
        <w:t>“</w:t>
      </w:r>
      <w:bookmarkStart w:id="2163" w:name="_9kMHG5YVt4CFGJGXGcrwFItvvvxzFdL98w568OU"/>
      <w:bookmarkEnd w:id="2163"/>
      <w:r>
        <w:rPr>
          <w:rFonts w:ascii="Times New Roman;Times;serif" w:hAnsi="Times New Roman;Times;serif"/>
          <w:sz w:val="24"/>
          <w:u w:val="single"/>
        </w:rPr>
        <w:t>Lease Amendment Agreements</w:t>
      </w:r>
      <w:r>
        <w:rPr>
          <w:rFonts w:ascii="Times New Roman;Times;serif" w:hAnsi="Times New Roman;Times;serif"/>
          <w:sz w:val="24"/>
        </w:rPr>
        <w:t xml:space="preserve">” shall mean the lease amendment agreements with respect to the Leases set forth on </w:t>
      </w:r>
      <w:bookmarkStart w:id="2164" w:name="_9kMHG5YVtCIDGEEIKtGTBtq92p2G4ro4NE398z7"/>
      <w:bookmarkEnd w:id="2164"/>
      <w:r>
        <w:rPr>
          <w:rFonts w:ascii="Times New Roman;Times;serif" w:hAnsi="Times New Roman;Times;serif"/>
          <w:sz w:val="24"/>
          <w:u w:val="single"/>
        </w:rPr>
        <w:t>Exhibit I-1</w:t>
      </w:r>
      <w:r>
        <w:rPr>
          <w:rFonts w:ascii="Times New Roman;Times;serif" w:hAnsi="Times New Roman;Times;serif"/>
          <w:sz w:val="24"/>
        </w:rPr>
        <w:t xml:space="preserve"> to this Agreement (other than those which indicate a term length of zero years), to be entered into by and between Seller or one of its Affiliates and the Company or one of its Subsidiaries at the Closing, substantially in the form attached hereto as </w:t>
      </w:r>
      <w:r>
        <w:rPr>
          <w:rFonts w:ascii="Times New Roman;Times;serif" w:hAnsi="Times New Roman;Times;serif"/>
          <w:sz w:val="24"/>
          <w:u w:val="single"/>
        </w:rPr>
        <w:t>Exhibit I-2</w:t>
      </w:r>
      <w:r>
        <w:rPr>
          <w:rFonts w:ascii="Times New Roman;Times;serif" w:hAnsi="Times New Roman;Times;serif"/>
          <w:sz w:val="24"/>
        </w:rPr>
        <w:t xml:space="preserve">, with the applicable rent amounts and term for each such Lease as described on </w:t>
      </w:r>
      <w:r>
        <w:rPr>
          <w:rFonts w:ascii="Times New Roman;Times;serif" w:hAnsi="Times New Roman;Times;serif"/>
          <w:sz w:val="24"/>
          <w:u w:val="single"/>
        </w:rPr>
        <w:t>Exhibit I-1</w:t>
      </w:r>
      <w:r>
        <w:rPr>
          <w:rFonts w:ascii="Times New Roman;Times;serif" w:hAnsi="Times New Roman;Times;serif"/>
          <w:sz w:val="24"/>
        </w:rPr>
        <w:t xml:space="preserve">, which exhibit shall also indicate whether the applicable Repair Shop has been separately demised, has not been separately demised or is in the process of being separately demised (for purposes of determining the appropriate terms within </w:t>
      </w:r>
      <w:r>
        <w:rPr>
          <w:rFonts w:ascii="Times New Roman;Times;serif" w:hAnsi="Times New Roman;Times;serif"/>
          <w:sz w:val="24"/>
          <w:u w:val="single"/>
        </w:rPr>
        <w:t>Exhibit I-2</w:t>
      </w:r>
      <w:r>
        <w:rPr>
          <w:rFonts w:ascii="Times New Roman;Times;serif" w:hAnsi="Times New Roman;Times;serif"/>
          <w:sz w:val="24"/>
        </w:rPr>
        <w:t xml:space="preserve">) and if not separately demised, the percentage of the square footage of such property that such Repair Shop will occupy, and with respect to those Repair Shops that have not yet been separately demised, attaching the applicable floor plan (as described in </w:t>
      </w:r>
      <w:r>
        <w:rPr>
          <w:rFonts w:ascii="Times New Roman;Times;serif" w:hAnsi="Times New Roman;Times;serif"/>
          <w:sz w:val="24"/>
          <w:u w:val="single"/>
        </w:rPr>
        <w:t>Exhibit I-1</w:t>
      </w:r>
      <w:r>
        <w:rPr>
          <w:rFonts w:ascii="Times New Roman;Times;serif" w:hAnsi="Times New Roman;Times;serif"/>
          <w:sz w:val="24"/>
        </w:rPr>
        <w:t xml:space="preserve">) for such property attached hereto as </w:t>
      </w:r>
      <w:r>
        <w:rPr>
          <w:rFonts w:ascii="Times New Roman;Times;serif" w:hAnsi="Times New Roman;Times;serif"/>
          <w:sz w:val="24"/>
          <w:u w:val="single"/>
        </w:rPr>
        <w:t>Exhibit J</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LeaseCo</w:t>
      </w:r>
      <w:r>
        <w:rPr>
          <w:rFonts w:ascii="Times New Roman;Times;serif" w:hAnsi="Times New Roman;Times;serif"/>
          <w:sz w:val="24"/>
        </w:rPr>
        <w:t>” means IAG LeaseCo LLC, a Delaware limited liability company.</w:t>
      </w:r>
    </w:p>
    <w:p>
      <w:pPr>
        <w:pStyle w:val="TextBody"/>
        <w:bidi w:val="0"/>
        <w:spacing w:before="0" w:after="240"/>
        <w:ind w:left="0" w:right="0" w:firstLine="720"/>
        <w:jc w:val="both"/>
        <w:rPr/>
      </w:pPr>
      <w:r>
        <w:rPr/>
        <w:t>“</w:t>
      </w:r>
      <w:r>
        <w:rPr>
          <w:rFonts w:ascii="Times New Roman;Times;serif" w:hAnsi="Times New Roman;Times;serif"/>
          <w:sz w:val="24"/>
          <w:u w:val="single"/>
        </w:rPr>
        <w:t>Leased Real Property</w:t>
      </w:r>
      <w:r>
        <w:rPr>
          <w:rFonts w:ascii="Times New Roman;Times;serif" w:hAnsi="Times New Roman;Times;serif"/>
          <w:sz w:val="24"/>
        </w:rPr>
        <w:t xml:space="preserve">” has the meaning set forth in </w:t>
      </w:r>
      <w:r>
        <w:rPr>
          <w:rFonts w:ascii="Times New Roman;Times;serif" w:hAnsi="Times New Roman;Times;serif"/>
          <w:sz w:val="24"/>
          <w:u w:val="single"/>
        </w:rPr>
        <w:t>Section 3.19(b)</w:t>
      </w:r>
      <w:r>
        <w:rPr>
          <w:rFonts w:ascii="Times New Roman;Times;serif" w:hAnsi="Times New Roman;Times;serif"/>
          <w:sz w:val="24"/>
        </w:rPr>
        <w:t>.</w:t>
      </w:r>
    </w:p>
    <w:p>
      <w:pPr>
        <w:pStyle w:val="TextBody"/>
        <w:bidi w:val="0"/>
        <w:spacing w:before="0" w:after="0"/>
        <w:ind w:left="0" w:right="0" w:firstLine="720"/>
        <w:jc w:val="both"/>
        <w:rPr/>
      </w:pPr>
      <w:r>
        <w:rPr/>
        <w:t>“</w:t>
      </w:r>
      <w:r>
        <w:rPr>
          <w:rFonts w:ascii="Times New Roman;Times;serif" w:hAnsi="Times New Roman;Times;serif"/>
          <w:sz w:val="24"/>
          <w:u w:val="single"/>
        </w:rPr>
        <w:t>Leases</w:t>
      </w:r>
      <w:r>
        <w:rPr>
          <w:rFonts w:ascii="Times New Roman;Times;serif" w:hAnsi="Times New Roman;Times;serif"/>
          <w:sz w:val="24"/>
        </w:rPr>
        <w:t xml:space="preserve">” means all leases, subleases, licenses, concessions and other agreements (written or oral) pursuant to which Seller Guarantor, the Company or any of their respective Subsidiaries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hold any Leased Real Property (including any prime lease underlying any New Sublease Agreement), including all amendments and modifications thereto and the right to all security deposits and other amounts and instruments deposited by or on behalf of Seller Guarantor, the Company or any of their respective Subsidiaries thereunder.</w:t>
      </w:r>
    </w:p>
    <w:p>
      <w:pPr>
        <w:pStyle w:val="TextBody"/>
        <w:bidi w:val="0"/>
        <w:spacing w:before="0" w:after="240"/>
        <w:ind w:left="0" w:right="0" w:firstLine="720"/>
        <w:jc w:val="both"/>
        <w:rPr/>
      </w:pPr>
      <w:r>
        <w:rPr/>
        <w:t>“</w:t>
      </w:r>
      <w:r>
        <w:rPr>
          <w:rFonts w:ascii="Times New Roman;Times;serif" w:hAnsi="Times New Roman;Times;serif"/>
          <w:sz w:val="24"/>
          <w:u w:val="single"/>
        </w:rPr>
        <w:t>Liability</w:t>
      </w:r>
      <w:r>
        <w:rPr>
          <w:rFonts w:ascii="Times New Roman;Times;serif" w:hAnsi="Times New Roman;Times;serif"/>
          <w:sz w:val="24"/>
        </w:rPr>
        <w:t>” means any liability, commitment, debt, claim, demand, expense or obligation (whether known or unknown, asserted or unasserted, absolute or contingent, accrued or unaccrued, liquidated or unliquidated and due or to become due).</w:t>
      </w:r>
    </w:p>
    <w:p>
      <w:pPr>
        <w:pStyle w:val="TextBody"/>
        <w:bidi w:val="0"/>
        <w:spacing w:before="0" w:after="240"/>
        <w:ind w:left="0" w:right="0" w:firstLine="720"/>
        <w:jc w:val="both"/>
        <w:rPr/>
      </w:pPr>
      <w:r>
        <w:rPr/>
        <w:t>“</w:t>
      </w:r>
      <w:r>
        <w:rPr>
          <w:rFonts w:ascii="Times New Roman;Times;serif" w:hAnsi="Times New Roman;Times;serif"/>
          <w:sz w:val="24"/>
          <w:u w:val="single"/>
        </w:rPr>
        <w:t>License</w:t>
      </w:r>
      <w:r>
        <w:rPr>
          <w:rFonts w:ascii="Times New Roman;Times;serif" w:hAnsi="Times New Roman;Times;serif"/>
          <w:sz w:val="24"/>
        </w:rPr>
        <w:t>” means any permit, license, variance, franchise, security clearance, Order, approval, consent, certificate, registration, accreditation or other authorization issued or granted by any Government Entity and other similar rights.</w:t>
      </w:r>
    </w:p>
    <w:p>
      <w:pPr>
        <w:pStyle w:val="TextBody"/>
        <w:bidi w:val="0"/>
        <w:spacing w:before="0" w:after="240"/>
        <w:ind w:left="0" w:right="0" w:firstLine="720"/>
        <w:jc w:val="both"/>
        <w:rPr/>
      </w:pPr>
      <w:r>
        <w:rPr/>
        <w:t>“</w:t>
      </w:r>
      <w:r>
        <w:rPr>
          <w:rFonts w:ascii="Times New Roman;Times;serif" w:hAnsi="Times New Roman;Times;serif"/>
          <w:sz w:val="24"/>
          <w:u w:val="single"/>
        </w:rPr>
        <w:t>Lien</w:t>
      </w:r>
      <w:r>
        <w:rPr>
          <w:rFonts w:ascii="Times New Roman;Times;serif" w:hAnsi="Times New Roman;Times;serif"/>
          <w:sz w:val="24"/>
        </w:rPr>
        <w:t>” means any charge, claim, assignment, deposit arrangement, mortgage, pledge, encumbrance, license, sublicense, lien (statutory or otherwise), right of first or last refusal or offer, option, covenant not to assert or sue, ownership interest of another Person, or other security interest, restriction, limitation or other similar third party right of any kind or nature.</w:t>
      </w:r>
    </w:p>
    <w:p>
      <w:pPr>
        <w:pStyle w:val="TextBody"/>
        <w:bidi w:val="0"/>
        <w:spacing w:before="0" w:after="240"/>
        <w:ind w:left="0" w:right="0" w:firstLine="720"/>
        <w:jc w:val="both"/>
        <w:rPr/>
      </w:pPr>
      <w:r>
        <w:rPr/>
        <w:t>“</w:t>
      </w:r>
      <w:r>
        <w:rPr>
          <w:rFonts w:ascii="Times New Roman;Times;serif" w:hAnsi="Times New Roman;Times;serif"/>
          <w:sz w:val="24"/>
          <w:u w:val="single"/>
        </w:rPr>
        <w:t>Losses</w:t>
      </w:r>
      <w:r>
        <w:rPr>
          <w:rFonts w:ascii="Times New Roman;Times;serif" w:hAnsi="Times New Roman;Times;serif"/>
          <w:sz w:val="24"/>
        </w:rPr>
        <w:t>” means all losses, Liabilities, Claims, cause of actions, costs, damages, demands, judgments, awards, settlements, Taxes and expenses, whether or not arising out of Third Party Claims (including interest, penalties, fines, reasonable attorneys’, consultants’, experts’ and other professional advisors’ fees and expenses and all amounts paid in investigation, defense or settlement of any of the foregoing).</w:t>
      </w:r>
    </w:p>
    <w:p>
      <w:pPr>
        <w:pStyle w:val="TextBody"/>
        <w:bidi w:val="0"/>
        <w:spacing w:before="0" w:after="0"/>
        <w:ind w:left="0" w:right="0" w:firstLine="720"/>
        <w:jc w:val="both"/>
        <w:rPr/>
      </w:pPr>
      <w:r>
        <w:rPr/>
        <w:t>“</w:t>
      </w:r>
      <w:r>
        <w:rPr>
          <w:rFonts w:ascii="Times New Roman;Times;serif" w:hAnsi="Times New Roman;Times;serif"/>
          <w:sz w:val="24"/>
          <w:u w:val="single"/>
        </w:rPr>
        <w:t>Material Adverse Effect</w:t>
      </w:r>
      <w:r>
        <w:rPr>
          <w:rFonts w:ascii="Times New Roman;Times;serif" w:hAnsi="Times New Roman;Times;serif"/>
          <w:sz w:val="24"/>
        </w:rPr>
        <w:t xml:space="preserve">” means any </w:t>
      </w:r>
      <w:bookmarkStart w:id="2165" w:name="OLE_LINK14"/>
      <w:bookmarkStart w:id="2166" w:name="OLE_LINK13"/>
      <w:bookmarkEnd w:id="2165"/>
      <w:bookmarkEnd w:id="2166"/>
      <w:r>
        <w:rPr>
          <w:rFonts w:ascii="Times New Roman;Times;serif" w:hAnsi="Times New Roman;Times;serif"/>
          <w:sz w:val="24"/>
        </w:rPr>
        <w:t xml:space="preserve">result, occurrence, fact, change, event or effect that, </w:t>
      </w:r>
      <w:bookmarkStart w:id="2167" w:name="DocXTextRef28"/>
      <w:bookmarkStart w:id="2168" w:name="_cp_change_375"/>
      <w:bookmarkEnd w:id="2167"/>
      <w:bookmarkEnd w:id="2168"/>
      <w:r>
        <w:rPr>
          <w:rFonts w:ascii="Times New Roman;Times;serif" w:hAnsi="Times New Roman;Times;serif"/>
          <w:sz w:val="24"/>
        </w:rPr>
        <w:t xml:space="preserve">individually or in the aggregate with any other results, occurrences, facts, changes, events or effects, </w:t>
      </w:r>
      <w:bookmarkStart w:id="2169" w:name="_9kR3WTrAGBECEPG6yimpN0Jx216quVIAC9OCZV3"/>
      <w:bookmarkEnd w:id="2169"/>
      <w:r>
        <w:rPr>
          <w:rFonts w:ascii="Times New Roman;Times;serif" w:hAnsi="Times New Roman;Times;serif"/>
          <w:sz w:val="24"/>
        </w:rPr>
        <w:t xml:space="preserve">(a) has a material adverse effect on the business, properties, assets, financial condition or results of operations of the </w:t>
      </w:r>
      <w:bookmarkStart w:id="2170" w:name="_cp_change_377"/>
      <w:bookmarkEnd w:id="2170"/>
      <w:r>
        <w:rPr>
          <w:rFonts w:ascii="Times New Roman;Times;serif" w:hAnsi="Times New Roman;Times;serif"/>
          <w:sz w:val="24"/>
        </w:rPr>
        <w:t xml:space="preserve">Company and its Subsidiaries, taken as a whole, or (b) materially impairs or materially delays the ability of the Company or Seller to consummate the transactions contemplated by this Agreement in a timely manner or to perform its obligations hereunder.  Notwithstanding the foregoing, solely for the purposes of the foregoing </w:t>
      </w:r>
      <w:bookmarkStart w:id="2171" w:name="_9kMHG5YVtCIDGEGRI80korP2Lz438swXKCEBQEb"/>
      <w:bookmarkEnd w:id="2171"/>
      <w:r>
        <w:rPr>
          <w:rFonts w:ascii="Times New Roman;Times;serif" w:hAnsi="Times New Roman;Times;serif"/>
          <w:sz w:val="24"/>
        </w:rPr>
        <w:t xml:space="preserve">clause (a), no result, occurrence, fact, change, event or effect shall be taken into account in determining whether a Material Adverse Effect has occurred to the extent resulting from </w:t>
      </w:r>
      <w:bookmarkStart w:id="2172" w:name="_9kR3WTrAGBECFQG6yimpN0Jx216quVIAC9OCZV3"/>
      <w:bookmarkStart w:id="2173" w:name="DocXTextRef29"/>
      <w:bookmarkEnd w:id="2172"/>
      <w:bookmarkEnd w:id="2173"/>
      <w:r>
        <w:rPr>
          <w:rFonts w:ascii="Times New Roman;Times;serif" w:hAnsi="Times New Roman;Times;serif"/>
          <w:sz w:val="24"/>
        </w:rPr>
        <w:t xml:space="preserve">(i) conditions generally affecting the industry in which the Company and its Subsidiaries operate, the United States economy or the economy of any jurisdiction in which the Company and its Subsidiaries have material operations, </w:t>
      </w:r>
      <w:bookmarkStart w:id="2174" w:name="DocXTextRef30"/>
      <w:bookmarkEnd w:id="2174"/>
      <w:r>
        <w:rPr>
          <w:rFonts w:ascii="Times New Roman;Times;serif" w:hAnsi="Times New Roman;Times;serif"/>
          <w:sz w:val="24"/>
        </w:rPr>
        <w:t xml:space="preserve">(ii) any national or international political or social conditions, including engagement in hostilities, whether or not pursuant to the declaration of a national emergency or war, or the occurrence of any military or terrorist attack, </w:t>
      </w:r>
      <w:bookmarkStart w:id="2175" w:name="DocXTextRef31"/>
      <w:bookmarkEnd w:id="2175"/>
      <w:r>
        <w:rPr>
          <w:rFonts w:ascii="Times New Roman;Times;serif" w:hAnsi="Times New Roman;Times;serif"/>
          <w:sz w:val="24"/>
        </w:rPr>
        <w:t xml:space="preserve">(iii) changes in GAAP or changes in any Laws, </w:t>
      </w:r>
      <w:bookmarkStart w:id="2176" w:name="DocXTextRef32"/>
      <w:bookmarkEnd w:id="2176"/>
      <w:r>
        <w:rPr>
          <w:rFonts w:ascii="Times New Roman;Times;serif" w:hAnsi="Times New Roman;Times;serif"/>
          <w:sz w:val="24"/>
        </w:rPr>
        <w:t xml:space="preserve">(iv) general changes in the financial, banking or securities markets, </w:t>
      </w:r>
      <w:bookmarkStart w:id="2177" w:name="_9kR3WTrAGBED7HG6yimpN0Jx216quVIAC9OCZV3"/>
      <w:bookmarkStart w:id="2178" w:name="DocXTextRef33"/>
      <w:bookmarkEnd w:id="2177"/>
      <w:bookmarkEnd w:id="2178"/>
      <w:r>
        <w:rPr>
          <w:rFonts w:ascii="Times New Roman;Times;serif" w:hAnsi="Times New Roman;Times;serif"/>
          <w:sz w:val="24"/>
        </w:rPr>
        <w:t>(v) natural disasters and other “</w:t>
      </w:r>
      <w:bookmarkStart w:id="2179" w:name="dtDNI13"/>
      <w:bookmarkEnd w:id="2179"/>
      <w:r>
        <w:rPr>
          <w:rFonts w:ascii="Times New Roman;Times;serif" w:hAnsi="Times New Roman;Times;serif"/>
          <w:sz w:val="24"/>
        </w:rPr>
        <w:t xml:space="preserve">acts of God”, </w:t>
      </w:r>
      <w:bookmarkStart w:id="2180" w:name="DocXTextRef34"/>
      <w:bookmarkEnd w:id="2180"/>
      <w:r>
        <w:rPr>
          <w:rFonts w:ascii="Times New Roman;Times;serif" w:hAnsi="Times New Roman;Times;serif"/>
          <w:sz w:val="24"/>
        </w:rPr>
        <w:t>pandemics, epidemics, public health emergencies, quarantines and responses thereto, (vi) the public announcement and consummation of the transactions contemplated by this Agreement,</w:t>
      </w:r>
      <w:bookmarkStart w:id="2181" w:name="DocXTextRef35"/>
      <w:bookmarkEnd w:id="2181"/>
      <w:r>
        <w:rPr>
          <w:rFonts w:ascii="Times New Roman;Times;serif" w:hAnsi="Times New Roman;Times;serif"/>
          <w:sz w:val="24"/>
        </w:rPr>
        <w:t xml:space="preserve"> or (vii) any failure by the Company and its Subsidiaries to meet any internal or published projections, forecasts or revenue or earnings predictions for any period ending on or after the date of this Agreement (although the underlying facts and circumstances resulting in such failure shall be taken into account);</w:t>
      </w:r>
      <w:bookmarkStart w:id="2182" w:name="_cp_change_382"/>
      <w:bookmarkEnd w:id="2182"/>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any change, effect, event, circumstance, occurrence or state of facts relating to </w:t>
      </w:r>
      <w:bookmarkStart w:id="2183" w:name="_9kMHG5YVtCIDGEHSI80korP2Lz438swXKCEBQEb"/>
      <w:bookmarkEnd w:id="2183"/>
      <w:r>
        <w:rPr>
          <w:rFonts w:ascii="Times New Roman;Times;serif" w:hAnsi="Times New Roman;Times;serif"/>
          <w:sz w:val="24"/>
        </w:rPr>
        <w:t xml:space="preserve">clauses (i) through </w:t>
      </w:r>
      <w:bookmarkStart w:id="2184" w:name="_9kMHG5YVtCIDGF9JI80korP2Lz438swXKCEBQEb"/>
      <w:bookmarkEnd w:id="2184"/>
      <w:r>
        <w:rPr>
          <w:rFonts w:ascii="Times New Roman;Times;serif" w:hAnsi="Times New Roman;Times;serif"/>
          <w:sz w:val="24"/>
        </w:rPr>
        <w:t xml:space="preserve">(v) may be taken into account in determining whether a Material Adverse Effect has occurred to the extent such change, effect, event, circumstance, occurrence or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state of facts has a disproportionate adverse effect on the Company and its Subsidiaries as compared to other participants in the industries in which the Company and its Subsidiaries operate.</w:t>
      </w:r>
    </w:p>
    <w:p>
      <w:pPr>
        <w:pStyle w:val="TextBody"/>
        <w:bidi w:val="0"/>
        <w:spacing w:before="0" w:after="240"/>
        <w:ind w:left="0" w:right="0" w:firstLine="720"/>
        <w:jc w:val="both"/>
        <w:rPr/>
      </w:pPr>
      <w:r>
        <w:rPr/>
        <w:t>“</w:t>
      </w:r>
      <w:r>
        <w:rPr>
          <w:rFonts w:ascii="Times New Roman;Times;serif" w:hAnsi="Times New Roman;Times;serif"/>
          <w:sz w:val="24"/>
          <w:u w:val="single"/>
        </w:rPr>
        <w:t>Material Contracts</w:t>
      </w:r>
      <w:r>
        <w:rPr>
          <w:rFonts w:ascii="Times New Roman;Times;serif" w:hAnsi="Times New Roman;Times;serif"/>
          <w:sz w:val="24"/>
        </w:rPr>
        <w:t xml:space="preserve">” has the meaning set forth in </w:t>
      </w:r>
      <w:r>
        <w:rPr>
          <w:rFonts w:ascii="Times New Roman;Times;serif" w:hAnsi="Times New Roman;Times;serif"/>
          <w:sz w:val="24"/>
          <w:u w:val="single"/>
        </w:rPr>
        <w:t>Section 3.10(b)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Material Customer(s)</w:t>
      </w:r>
      <w:r>
        <w:rPr>
          <w:rFonts w:ascii="Times New Roman;Times;serif" w:hAnsi="Times New Roman;Times;serif"/>
          <w:sz w:val="24"/>
        </w:rPr>
        <w:t xml:space="preserve">” have the meaning set forth in </w:t>
      </w:r>
      <w:r>
        <w:rPr>
          <w:rFonts w:ascii="Times New Roman;Times;serif" w:hAnsi="Times New Roman;Times;serif"/>
          <w:sz w:val="24"/>
          <w:u w:val="single"/>
        </w:rPr>
        <w:t>Section 3.23</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Material Vendor(s)</w:t>
      </w:r>
      <w:r>
        <w:rPr>
          <w:rFonts w:ascii="Times New Roman;Times;serif" w:hAnsi="Times New Roman;Times;serif"/>
          <w:sz w:val="24"/>
        </w:rPr>
        <w:t xml:space="preserve">” have the meaning set forth in </w:t>
      </w:r>
      <w:r>
        <w:rPr>
          <w:rFonts w:ascii="Times New Roman;Times;serif" w:hAnsi="Times New Roman;Times;serif"/>
          <w:sz w:val="24"/>
          <w:u w:val="single"/>
        </w:rPr>
        <w:t>Section 3.23</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Most Recent Audit Date</w:t>
      </w:r>
      <w:r>
        <w:rPr>
          <w:rFonts w:ascii="Times New Roman;Times;serif" w:hAnsi="Times New Roman;Times;serif"/>
          <w:sz w:val="24"/>
        </w:rPr>
        <w:t xml:space="preserve">” has the meaning set forth in </w:t>
      </w:r>
      <w:r>
        <w:rPr>
          <w:rFonts w:ascii="Times New Roman;Times;serif" w:hAnsi="Times New Roman;Times;serif"/>
          <w:sz w:val="24"/>
          <w:u w:val="single"/>
        </w:rPr>
        <w:t>Section 3.5(a)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Most Recent Audited Balance Sheet</w:t>
      </w:r>
      <w:r>
        <w:rPr>
          <w:rFonts w:ascii="Times New Roman;Times;serif" w:hAnsi="Times New Roman;Times;serif"/>
          <w:sz w:val="24"/>
        </w:rPr>
        <w:t xml:space="preserve">” has the meaning set forth in </w:t>
      </w:r>
      <w:r>
        <w:rPr>
          <w:rFonts w:ascii="Times New Roman;Times;serif" w:hAnsi="Times New Roman;Times;serif"/>
          <w:sz w:val="24"/>
          <w:u w:val="single"/>
        </w:rPr>
        <w:t>Section 3.5(a)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Most Recent Balance Sheet</w:t>
      </w:r>
      <w:r>
        <w:rPr>
          <w:rFonts w:ascii="Times New Roman;Times;serif" w:hAnsi="Times New Roman;Times;serif"/>
          <w:sz w:val="24"/>
        </w:rPr>
        <w:t xml:space="preserve">” has the meaning set forth in </w:t>
      </w:r>
      <w:r>
        <w:rPr>
          <w:rFonts w:ascii="Times New Roman;Times;serif" w:hAnsi="Times New Roman;Times;serif"/>
          <w:sz w:val="24"/>
          <w:u w:val="single"/>
        </w:rPr>
        <w:t>Section 3.5(a)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Most Recent Balance Sheet Date</w:t>
      </w:r>
      <w:r>
        <w:rPr>
          <w:rFonts w:ascii="Times New Roman;Times;serif" w:hAnsi="Times New Roman;Times;serif"/>
          <w:sz w:val="24"/>
        </w:rPr>
        <w:t xml:space="preserve">” has the meaning set forth in </w:t>
      </w:r>
      <w:r>
        <w:rPr>
          <w:rFonts w:ascii="Times New Roman;Times;serif" w:hAnsi="Times New Roman;Times;serif"/>
          <w:sz w:val="24"/>
          <w:u w:val="single"/>
        </w:rPr>
        <w:t>Section 3.5(a)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Net Working Capital</w:t>
      </w:r>
      <w:r>
        <w:rPr>
          <w:rFonts w:ascii="Times New Roman;Times;serif" w:hAnsi="Times New Roman;Times;serif"/>
          <w:sz w:val="24"/>
        </w:rPr>
        <w:t xml:space="preserve">” means </w:t>
      </w:r>
      <w:bookmarkStart w:id="2185" w:name="_9kR3WTrAGBED8IG6yimpN1O1ukC9154UJ3CHA34"/>
      <w:bookmarkStart w:id="2186" w:name="DocXTextRef37"/>
      <w:bookmarkEnd w:id="2185"/>
      <w:bookmarkEnd w:id="2186"/>
      <w:r>
        <w:rPr>
          <w:rFonts w:ascii="Times New Roman;Times;serif" w:hAnsi="Times New Roman;Times;serif"/>
          <w:sz w:val="24"/>
        </w:rPr>
        <w:t xml:space="preserve">(a) the current assets of the Company and its Subsidiaries, on a consolidated basis, as of immediately prior to the Closing, </w:t>
      </w:r>
      <w:r>
        <w:rPr>
          <w:rFonts w:ascii="Times New Roman;Times;serif" w:hAnsi="Times New Roman;Times;serif"/>
          <w:sz w:val="24"/>
          <w:u w:val="single"/>
        </w:rPr>
        <w:t>minus</w:t>
      </w:r>
      <w:r>
        <w:rPr>
          <w:rFonts w:ascii="Times New Roman;Times;serif" w:hAnsi="Times New Roman;Times;serif"/>
          <w:sz w:val="24"/>
        </w:rPr>
        <w:t xml:space="preserve"> </w:t>
      </w:r>
      <w:bookmarkStart w:id="2187" w:name="_9kR3WTrAGBED9JG6yimpN1O1ukC9154UJ3CHA35"/>
      <w:bookmarkEnd w:id="2187"/>
      <w:r>
        <w:rPr>
          <w:rFonts w:ascii="Times New Roman;Times;serif" w:hAnsi="Times New Roman;Times;serif"/>
          <w:sz w:val="24"/>
        </w:rPr>
        <w:t xml:space="preserve">(b) the current liabilities of the Company and its Subsidiaries, on a consolidated basis, as of immediately prior to the Closing, in the case of each of </w:t>
      </w:r>
      <w:bookmarkStart w:id="2188" w:name="_9kMHG5YVtCIDGFAKI80korP3Q3wmEB376WL5EJC"/>
      <w:bookmarkEnd w:id="2188"/>
      <w:r>
        <w:rPr>
          <w:rFonts w:ascii="Times New Roman;Times;serif" w:hAnsi="Times New Roman;Times;serif"/>
          <w:sz w:val="24"/>
        </w:rPr>
        <w:t xml:space="preserve">clauses (a) and </w:t>
      </w:r>
      <w:bookmarkStart w:id="2189" w:name="_9kMHG5YVtCIDGFBLI80korP3Q3wmEB376WL5EJC"/>
      <w:bookmarkEnd w:id="2189"/>
      <w:r>
        <w:rPr>
          <w:rFonts w:ascii="Times New Roman;Times;serif" w:hAnsi="Times New Roman;Times;serif"/>
          <w:sz w:val="24"/>
        </w:rPr>
        <w:t xml:space="preserve">(b), determined in accordance with the Accounting Principles.  Set forth on </w:t>
      </w:r>
      <w:bookmarkStart w:id="2190" w:name="_9kMHG5YVt4CFGJISS2ojk3e"/>
      <w:bookmarkEnd w:id="2190"/>
      <w:r>
        <w:rPr>
          <w:rFonts w:ascii="Times New Roman;Times;serif" w:hAnsi="Times New Roman;Times;serif"/>
          <w:sz w:val="24"/>
          <w:u w:val="single"/>
        </w:rPr>
        <w:t>Exhibit K</w:t>
      </w:r>
      <w:r>
        <w:rPr>
          <w:rFonts w:ascii="Times New Roman;Times;serif" w:hAnsi="Times New Roman;Times;serif"/>
          <w:sz w:val="24"/>
        </w:rPr>
        <w:t xml:space="preserve"> is an illustrative calculation of the Net Working Capital of the Company and its Subsidiaries as of April 30, 2026.  For the avoidance of doubt, (1) Net Working Capital shall include any current Tax assets other than income Tax assets (including, for example, any prepaid Taxes and, to the extent not included in the definition of Cash and Cash Equivalents, money set aside for the payment of Taxes in trust accounts or otherwise) and any current Tax liabilities, and (2) Net Working Capital shall not include any amounts of Closing Cash and Cash Equivalents, Closing Indebtedness, Unpaid Seller Expenses, Unpaid Income Taxes, or income Tax assets or liabilities (current or deferred).</w:t>
      </w:r>
    </w:p>
    <w:p>
      <w:pPr>
        <w:pStyle w:val="TextBody"/>
        <w:bidi w:val="0"/>
        <w:spacing w:before="0" w:after="240"/>
        <w:ind w:left="0" w:right="0" w:firstLine="720"/>
        <w:jc w:val="both"/>
        <w:rPr/>
      </w:pPr>
      <w:r>
        <w:rPr/>
        <w:t>“</w:t>
      </w:r>
      <w:r>
        <w:rPr>
          <w:rFonts w:ascii="Times New Roman;Times;serif" w:hAnsi="Times New Roman;Times;serif"/>
          <w:sz w:val="24"/>
          <w:u w:val="single"/>
        </w:rPr>
        <w:t>Net Working Capital Adjustment</w:t>
      </w:r>
      <w:r>
        <w:rPr>
          <w:rFonts w:ascii="Times New Roman;Times;serif" w:hAnsi="Times New Roman;Times;serif"/>
          <w:sz w:val="24"/>
        </w:rPr>
        <w:t xml:space="preserve">” means </w:t>
      </w:r>
      <w:bookmarkStart w:id="2191" w:name="DocXTextRef38"/>
      <w:bookmarkEnd w:id="2191"/>
      <w:r>
        <w:rPr>
          <w:rFonts w:ascii="Times New Roman;Times;serif" w:hAnsi="Times New Roman;Times;serif"/>
          <w:sz w:val="24"/>
        </w:rPr>
        <w:t xml:space="preserve">(a) if the Net Working Capital exceeds the NWC Target Amount, then the amount by which Net Working Capital exceeds the NWC Target Amount or </w:t>
      </w:r>
      <w:bookmarkStart w:id="2192" w:name="_9kR3WTrAGBEDAKG6yimpN1O1ukC9154UJ3CHA3e"/>
      <w:bookmarkEnd w:id="2192"/>
      <w:r>
        <w:rPr>
          <w:rFonts w:ascii="Times New Roman;Times;serif" w:hAnsi="Times New Roman;Times;serif"/>
          <w:sz w:val="24"/>
        </w:rPr>
        <w:t xml:space="preserve">(b) if the NWC Target Amount exceeds the Net Working Capital, then the amount by which the NWC Target Amount exceeds the Net Working Capital; </w:t>
      </w:r>
      <w:r>
        <w:rPr>
          <w:rFonts w:ascii="Times New Roman;Times;serif" w:hAnsi="Times New Roman;Times;serif"/>
          <w:i/>
          <w:sz w:val="24"/>
        </w:rPr>
        <w:t>provided</w:t>
      </w:r>
      <w:r>
        <w:rPr>
          <w:rFonts w:ascii="Times New Roman;Times;serif" w:hAnsi="Times New Roman;Times;serif"/>
          <w:sz w:val="24"/>
        </w:rPr>
        <w:t xml:space="preserve">, that any amount which is calculated pursuant to </w:t>
      </w:r>
      <w:bookmarkStart w:id="2193" w:name="_9kMHG5YVtCIDGFCMI80korP3Q3wmEB376WL5EJC"/>
      <w:bookmarkEnd w:id="2193"/>
      <w:r>
        <w:rPr>
          <w:rFonts w:ascii="Times New Roman;Times;serif" w:hAnsi="Times New Roman;Times;serif"/>
          <w:sz w:val="24"/>
        </w:rPr>
        <w:t>clause (b) above shall be deemed to be a negative number.</w:t>
      </w:r>
    </w:p>
    <w:p>
      <w:pPr>
        <w:pStyle w:val="TextBody"/>
        <w:bidi w:val="0"/>
        <w:spacing w:before="0" w:after="240"/>
        <w:ind w:left="0" w:right="0" w:firstLine="720"/>
        <w:jc w:val="both"/>
        <w:rPr/>
      </w:pPr>
      <w:r>
        <w:rPr/>
        <w:t>“</w:t>
      </w:r>
      <w:bookmarkStart w:id="2194" w:name="_9kMHG5YVt4CFGJJcIyngwosix2LI65t235LR"/>
      <w:bookmarkEnd w:id="2194"/>
      <w:r>
        <w:rPr>
          <w:rFonts w:ascii="Times New Roman;Times;serif" w:hAnsi="Times New Roman;Times;serif"/>
          <w:sz w:val="24"/>
          <w:u w:val="single"/>
        </w:rPr>
        <w:t>New Sublease Agreements</w:t>
      </w:r>
      <w:r>
        <w:rPr>
          <w:rFonts w:ascii="Times New Roman;Times;serif" w:hAnsi="Times New Roman;Times;serif"/>
          <w:sz w:val="24"/>
        </w:rPr>
        <w:t xml:space="preserve">” shall mean the sublease agreements with respect to the Repair Shops set forth on </w:t>
      </w:r>
      <w:bookmarkStart w:id="2195" w:name="_9kMHG5YVtCIDGFDGKtJLvogljtIE4z47r6BCHDP"/>
      <w:bookmarkEnd w:id="2195"/>
      <w:r>
        <w:rPr>
          <w:rFonts w:ascii="Times New Roman;Times;serif" w:hAnsi="Times New Roman;Times;serif"/>
          <w:sz w:val="24"/>
          <w:u w:val="single"/>
        </w:rPr>
        <w:t>Exhibit L-1</w:t>
      </w:r>
      <w:r>
        <w:rPr>
          <w:rFonts w:ascii="Times New Roman;Times;serif" w:hAnsi="Times New Roman;Times;serif"/>
          <w:sz w:val="24"/>
        </w:rPr>
        <w:t xml:space="preserve"> to this Agreement (other than with respect to the Retained Leases as determined as of the Closing Date), to be entered into by and between LeaseCo and the Company or one of its Subsidiaries at the Closing, substantially in the form attached hereto as </w:t>
      </w:r>
      <w:r>
        <w:rPr>
          <w:rFonts w:ascii="Times New Roman;Times;serif" w:hAnsi="Times New Roman;Times;serif"/>
          <w:sz w:val="24"/>
          <w:u w:val="single"/>
        </w:rPr>
        <w:t>Exhibit L-2(a)</w:t>
      </w:r>
      <w:r>
        <w:rPr>
          <w:rFonts w:ascii="Times New Roman;Times;serif" w:hAnsi="Times New Roman;Times;serif"/>
          <w:sz w:val="24"/>
        </w:rPr>
        <w:t xml:space="preserve">, </w:t>
      </w:r>
      <w:r>
        <w:rPr>
          <w:rFonts w:ascii="Times New Roman;Times;serif" w:hAnsi="Times New Roman;Times;serif"/>
          <w:sz w:val="24"/>
          <w:u w:val="single"/>
        </w:rPr>
        <w:t>Exhibit L-2(b)</w:t>
      </w:r>
      <w:r>
        <w:rPr>
          <w:rFonts w:ascii="Times New Roman;Times;serif" w:hAnsi="Times New Roman;Times;serif"/>
          <w:sz w:val="24"/>
        </w:rPr>
        <w:t xml:space="preserve"> or </w:t>
      </w:r>
      <w:r>
        <w:rPr>
          <w:rFonts w:ascii="Times New Roman;Times;serif" w:hAnsi="Times New Roman;Times;serif"/>
          <w:sz w:val="24"/>
          <w:u w:val="single"/>
        </w:rPr>
        <w:t>Exhibit L-2(c)</w:t>
      </w:r>
      <w:r>
        <w:rPr>
          <w:rFonts w:ascii="Times New Roman;Times;serif" w:hAnsi="Times New Roman;Times;serif"/>
          <w:sz w:val="24"/>
        </w:rPr>
        <w:t xml:space="preserve">, as applicable, with the applicable rent amount for each such Lease as described on </w:t>
      </w:r>
      <w:r>
        <w:rPr>
          <w:rFonts w:ascii="Times New Roman;Times;serif" w:hAnsi="Times New Roman;Times;serif"/>
          <w:sz w:val="24"/>
          <w:u w:val="single"/>
        </w:rPr>
        <w:t>Exhibit L-1</w:t>
      </w:r>
      <w:r>
        <w:rPr>
          <w:rFonts w:ascii="Times New Roman;Times;serif" w:hAnsi="Times New Roman;Times;serif"/>
          <w:sz w:val="24"/>
        </w:rPr>
        <w:t xml:space="preserve">, which exhibit shall also indicate whether the applicable Repair Shop has been separately demised (so </w:t>
      </w:r>
      <w:r>
        <w:rPr>
          <w:rFonts w:ascii="Times New Roman;Times;serif" w:hAnsi="Times New Roman;Times;serif"/>
          <w:sz w:val="24"/>
          <w:u w:val="single"/>
        </w:rPr>
        <w:t>Exhibit L-2(b)</w:t>
      </w:r>
      <w:r>
        <w:rPr>
          <w:rFonts w:ascii="Times New Roman;Times;serif" w:hAnsi="Times New Roman;Times;serif"/>
          <w:sz w:val="24"/>
        </w:rPr>
        <w:t xml:space="preserve"> is applicable), has not yet been separately demised (so </w:t>
      </w:r>
      <w:r>
        <w:rPr>
          <w:rFonts w:ascii="Times New Roman;Times;serif" w:hAnsi="Times New Roman;Times;serif"/>
          <w:sz w:val="24"/>
          <w:u w:val="single"/>
        </w:rPr>
        <w:t>Exhibit L-2(a)</w:t>
      </w:r>
      <w:r>
        <w:rPr>
          <w:rFonts w:ascii="Times New Roman;Times;serif" w:hAnsi="Times New Roman;Times;serif"/>
          <w:sz w:val="24"/>
        </w:rPr>
        <w:t xml:space="preserve"> is applicable) or is in the process of being separately demised (so </w:t>
      </w:r>
      <w:r>
        <w:rPr>
          <w:rFonts w:ascii="Times New Roman;Times;serif" w:hAnsi="Times New Roman;Times;serif"/>
          <w:sz w:val="24"/>
          <w:u w:val="single"/>
        </w:rPr>
        <w:t>Exhibit L-2(c)</w:t>
      </w:r>
      <w:r>
        <w:rPr>
          <w:rFonts w:ascii="Times New Roman;Times;serif" w:hAnsi="Times New Roman;Times;serif"/>
          <w:sz w:val="24"/>
        </w:rPr>
        <w:t xml:space="preserve"> is applicable) and if not yet separately demised, the percentage of the square footage of such property that such Repair Shop will occupy, and with respect to those Repair Shops that have not yet been separately demised, attaching the applicable floor plan (as described in </w:t>
      </w:r>
      <w:r>
        <w:rPr>
          <w:rFonts w:ascii="Times New Roman;Times;serif" w:hAnsi="Times New Roman;Times;serif"/>
          <w:sz w:val="24"/>
          <w:u w:val="single"/>
        </w:rPr>
        <w:t>Exhibit L-1</w:t>
      </w:r>
      <w:r>
        <w:rPr>
          <w:rFonts w:ascii="Times New Roman;Times;serif" w:hAnsi="Times New Roman;Times;serif"/>
          <w:sz w:val="24"/>
        </w:rPr>
        <w:t xml:space="preserve">) for such property attached hereto as </w:t>
      </w:r>
      <w:r>
        <w:rPr>
          <w:rFonts w:ascii="Times New Roman;Times;serif" w:hAnsi="Times New Roman;Times;serif"/>
          <w:sz w:val="24"/>
          <w:u w:val="single"/>
        </w:rPr>
        <w:t>Exhibit J.</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NewRomanPSMT" w:hAnsi="TimesNewRomanPSMT"/>
          <w:sz w:val="24"/>
          <w:u w:val="single"/>
        </w:rPr>
        <w:t>Non-Puerto Rico 401(k) Plan</w:t>
      </w:r>
      <w:r>
        <w:rPr>
          <w:rFonts w:ascii="Times New Roman;Times;serif" w:hAnsi="Times New Roman;Times;serif"/>
          <w:sz w:val="24"/>
        </w:rPr>
        <w:t xml:space="preserve">” has the meaning set forth in </w:t>
      </w:r>
      <w:r>
        <w:rPr>
          <w:rFonts w:ascii="Times New Roman;Times;serif" w:hAnsi="Times New Roman;Times;serif"/>
          <w:sz w:val="24"/>
          <w:u w:val="single"/>
        </w:rPr>
        <w:t>Section 6.2(c)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Notice of Disagreement</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2.3(d)(iii)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NWC Target Amount</w:t>
      </w:r>
      <w:r>
        <w:rPr>
          <w:rFonts w:ascii="Times New Roman;Times;serif" w:hAnsi="Times New Roman;Times;serif"/>
          <w:sz w:val="24"/>
        </w:rPr>
        <w:t>” equals $[***], as such amount may be increased, as provided in the Accounting Principles.</w:t>
      </w:r>
    </w:p>
    <w:p>
      <w:pPr>
        <w:pStyle w:val="TextBody"/>
        <w:bidi w:val="0"/>
        <w:spacing w:before="0" w:after="240"/>
        <w:ind w:left="0" w:right="0" w:firstLine="720"/>
        <w:jc w:val="both"/>
        <w:rPr/>
      </w:pPr>
      <w:r>
        <w:rPr/>
        <w:t>“</w:t>
      </w:r>
      <w:r>
        <w:rPr>
          <w:rFonts w:ascii="Times New Roman;Times;serif" w:hAnsi="Times New Roman;Times;serif"/>
          <w:sz w:val="24"/>
          <w:u w:val="single"/>
        </w:rPr>
        <w:t>Off-the-Shelf Software</w:t>
      </w:r>
      <w:r>
        <w:rPr>
          <w:rFonts w:ascii="Times New Roman;Times;serif" w:hAnsi="Times New Roman;Times;serif"/>
          <w:sz w:val="24"/>
        </w:rPr>
        <w:t xml:space="preserve">” means Software that is generally commercially available, unmodified and prepackaged and licensed pursuant to a standard form click-wrap or shrink-wrap agreement, and used by the Company or any of its Subsidiaries solely for their own internal use with a replacement cost or aggregate fee, royalty, or other consideration for any such </w:t>
      </w:r>
      <w:bookmarkStart w:id="2196" w:name="_9kMJI5YVt488CFAbXrxFxty"/>
      <w:bookmarkEnd w:id="2196"/>
      <w:r>
        <w:rPr>
          <w:rFonts w:ascii="Times New Roman;Times;serif" w:hAnsi="Times New Roman;Times;serif"/>
          <w:sz w:val="24"/>
        </w:rPr>
        <w:t>Software of no more than $[***].</w:t>
      </w:r>
    </w:p>
    <w:p>
      <w:pPr>
        <w:pStyle w:val="TextBody"/>
        <w:bidi w:val="0"/>
        <w:spacing w:before="0" w:after="240"/>
        <w:ind w:left="0" w:right="0" w:firstLine="720"/>
        <w:jc w:val="both"/>
        <w:rPr/>
      </w:pPr>
      <w:r>
        <w:rPr/>
        <w:t>“</w:t>
      </w:r>
      <w:r>
        <w:rPr>
          <w:rFonts w:ascii="Times New Roman;Times;serif" w:hAnsi="Times New Roman;Times;serif"/>
          <w:sz w:val="24"/>
          <w:u w:val="single"/>
        </w:rPr>
        <w:t>Open Source Software</w:t>
      </w:r>
      <w:r>
        <w:rPr>
          <w:rFonts w:ascii="Times New Roman;Times;serif" w:hAnsi="Times New Roman;Times;serif"/>
          <w:sz w:val="24"/>
        </w:rPr>
        <w:t xml:space="preserve">” means Software that is licensed pursuant to: </w:t>
      </w:r>
      <w:bookmarkStart w:id="2197" w:name="_9kR3WTrAGBEDCMG6yimpN2axwlhGK3rin7DVD9E"/>
      <w:bookmarkEnd w:id="2197"/>
      <w:r>
        <w:rPr>
          <w:rFonts w:ascii="Times New Roman;Times;serif" w:hAnsi="Times New Roman;Times;serif"/>
          <w:sz w:val="24"/>
        </w:rPr>
        <w:t xml:space="preserve">(a) any license that is, or is substantially similar to, a license approved by the Open Source Initiative (www.opensource.org), </w:t>
      </w:r>
      <w:bookmarkStart w:id="2198" w:name="_9kR3WTrAGBEDDNG6yimpN2axwlhGK3rin7DVD9E"/>
      <w:bookmarkEnd w:id="2198"/>
      <w:r>
        <w:rPr>
          <w:rFonts w:ascii="Times New Roman;Times;serif" w:hAnsi="Times New Roman;Times;serif"/>
          <w:sz w:val="24"/>
        </w:rPr>
        <w:t xml:space="preserve">(b) any license under which Software is distributed or licensed as “free software,” “open source software,” or under similar terms, or </w:t>
      </w:r>
      <w:bookmarkStart w:id="2199" w:name="_9kR3WTrAGBEDEOG6yimpN2axwlhGK3rin7DVD9E"/>
      <w:bookmarkEnd w:id="2199"/>
      <w:r>
        <w:rPr>
          <w:rFonts w:ascii="Times New Roman;Times;serif" w:hAnsi="Times New Roman;Times;serif"/>
          <w:sz w:val="24"/>
        </w:rPr>
        <w:t xml:space="preserve">(c) any license that requires or that conditions any rights granted in such license upon (i) the disclosure, distribution or licensing of any other Software (other than such item of Software in its unmodified form), (ii) a requirement that any disclosure, distribution or licensing of any other Software (other than such item of Software in its unmodified form) be at no charge, (iii) a requirement that any other licensee of the Software be permitted to modify, make derivative works of, or reverse-engineer (other than as prohibited under Law) any such other Software, or (iv) a requirement that such other Software be redistributable by other licensees, in each case </w:t>
      </w:r>
      <w:bookmarkStart w:id="2200" w:name="_9kMHG5YVtCIDGFEOI80korP4czynjIM5tkp9FXF"/>
      <w:bookmarkEnd w:id="2200"/>
      <w:r>
        <w:rPr>
          <w:rFonts w:ascii="Times New Roman;Times;serif" w:hAnsi="Times New Roman;Times;serif"/>
          <w:sz w:val="24"/>
        </w:rPr>
        <w:t xml:space="preserve">(a), </w:t>
      </w:r>
      <w:bookmarkStart w:id="2201" w:name="_9kMHG5YVtCIDGFFPI80korP4czynjIM5tkp9FXF"/>
      <w:bookmarkEnd w:id="2201"/>
      <w:r>
        <w:rPr>
          <w:rFonts w:ascii="Times New Roman;Times;serif" w:hAnsi="Times New Roman;Times;serif"/>
          <w:sz w:val="24"/>
        </w:rPr>
        <w:t xml:space="preserve">(b) and </w:t>
      </w:r>
      <w:bookmarkStart w:id="2202" w:name="_9kMHG5YVtCIDGFGQI80korP4czynjIM5tkp9FXF"/>
      <w:bookmarkEnd w:id="2202"/>
      <w:r>
        <w:rPr>
          <w:rFonts w:ascii="Times New Roman;Times;serif" w:hAnsi="Times New Roman;Times;serif"/>
          <w:sz w:val="24"/>
        </w:rPr>
        <w:t>(c) whether or not source code is available or included in such license.</w:t>
      </w:r>
    </w:p>
    <w:p>
      <w:pPr>
        <w:pStyle w:val="TextBody"/>
        <w:bidi w:val="0"/>
        <w:spacing w:before="0" w:after="240"/>
        <w:ind w:left="0" w:right="0" w:firstLine="720"/>
        <w:jc w:val="both"/>
        <w:rPr/>
      </w:pPr>
      <w:r>
        <w:rPr/>
        <w:t>“</w:t>
      </w:r>
      <w:r>
        <w:rPr>
          <w:rFonts w:ascii="Times New Roman;Times;serif" w:hAnsi="Times New Roman;Times;serif"/>
          <w:sz w:val="24"/>
          <w:u w:val="single"/>
        </w:rPr>
        <w:t>Order</w:t>
      </w:r>
      <w:r>
        <w:rPr>
          <w:rFonts w:ascii="Times New Roman;Times;serif" w:hAnsi="Times New Roman;Times;serif"/>
          <w:sz w:val="24"/>
        </w:rPr>
        <w:t>” means any order, judgment, writ, injunction, stipulation, award or decree.</w:t>
      </w:r>
    </w:p>
    <w:p>
      <w:pPr>
        <w:pStyle w:val="TextBody"/>
        <w:bidi w:val="0"/>
        <w:spacing w:before="0" w:after="240"/>
        <w:ind w:left="0" w:right="0" w:firstLine="720"/>
        <w:jc w:val="both"/>
        <w:rPr/>
      </w:pPr>
      <w:bookmarkStart w:id="2203" w:name="_Hlk232315077"/>
      <w:bookmarkEnd w:id="2203"/>
      <w:r>
        <w:rPr/>
        <w:t>“</w:t>
      </w:r>
      <w:r>
        <w:rPr>
          <w:rFonts w:ascii="Times New Roman;Times;serif" w:hAnsi="Times New Roman;Times;serif"/>
          <w:sz w:val="24"/>
          <w:u w:val="single"/>
        </w:rPr>
        <w:t>Ordinary Course</w:t>
      </w:r>
      <w:r>
        <w:rPr>
          <w:rFonts w:ascii="Times New Roman;Times;serif" w:hAnsi="Times New Roman;Times;serif"/>
          <w:sz w:val="24"/>
        </w:rPr>
        <w:t>” means the ordinary course of business consistent with past practice.</w:t>
      </w:r>
    </w:p>
    <w:p>
      <w:pPr>
        <w:pStyle w:val="TextBody"/>
        <w:bidi w:val="0"/>
        <w:spacing w:before="0" w:after="240"/>
        <w:ind w:left="0" w:right="0" w:firstLine="720"/>
        <w:jc w:val="both"/>
        <w:rPr/>
      </w:pPr>
      <w:r>
        <w:rPr/>
        <w:t>“</w:t>
      </w:r>
      <w:r>
        <w:rPr>
          <w:rFonts w:ascii="Times New Roman;Times;serif" w:hAnsi="Times New Roman;Times;serif"/>
          <w:sz w:val="24"/>
          <w:u w:val="single"/>
        </w:rPr>
        <w:t>Outside Date</w:t>
      </w:r>
      <w:r>
        <w:rPr>
          <w:rFonts w:ascii="Times New Roman;Times;serif" w:hAnsi="Times New Roman;Times;serif"/>
          <w:sz w:val="24"/>
        </w:rPr>
        <w:t>” means the first Business Day that is at least 90 days following the date of this Agreement.</w:t>
      </w:r>
    </w:p>
    <w:p>
      <w:pPr>
        <w:pStyle w:val="TextBody"/>
        <w:bidi w:val="0"/>
        <w:spacing w:before="0" w:after="240"/>
        <w:ind w:left="0" w:right="0" w:firstLine="720"/>
        <w:jc w:val="both"/>
        <w:rPr/>
      </w:pPr>
      <w:r>
        <w:rPr/>
        <w:t>“</w:t>
      </w:r>
      <w:r>
        <w:rPr>
          <w:rFonts w:ascii="Times New Roman;Times;serif" w:hAnsi="Times New Roman;Times;serif"/>
          <w:sz w:val="24"/>
          <w:u w:val="single"/>
        </w:rPr>
        <w:t>Owned Real Property</w:t>
      </w:r>
      <w:r>
        <w:rPr>
          <w:rFonts w:ascii="Times New Roman;Times;serif" w:hAnsi="Times New Roman;Times;serif"/>
          <w:sz w:val="24"/>
        </w:rPr>
        <w:t xml:space="preserve">” has the meaning set forth in </w:t>
      </w:r>
      <w:r>
        <w:rPr>
          <w:rFonts w:ascii="Times New Roman;Times;serif" w:hAnsi="Times New Roman;Times;serif"/>
          <w:sz w:val="24"/>
          <w:u w:val="single"/>
        </w:rPr>
        <w:t>Section 3.19(a)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Payroll Lien Amount</w:t>
      </w:r>
      <w:r>
        <w:rPr>
          <w:rFonts w:ascii="Times New Roman;Times;serif" w:hAnsi="Times New Roman;Times;serif"/>
          <w:sz w:val="24"/>
        </w:rPr>
        <w:t>” means an amount equal to $[***], which represents the U.S. federal payroll taxes owed by the Company for the U.S. federal payroll tax period ending [***] and which amount, for the avoidance of doubt, excludes any interest, penalties, fines, additions to tax in respect of the same, less amounts paid in satisfaction thereof in accordance with this Agreement.</w:t>
      </w:r>
    </w:p>
    <w:p>
      <w:pPr>
        <w:pStyle w:val="TextBody"/>
        <w:bidi w:val="0"/>
        <w:spacing w:before="0" w:after="0"/>
        <w:ind w:left="0" w:right="0" w:firstLine="720"/>
        <w:jc w:val="both"/>
        <w:rPr/>
      </w:pPr>
      <w:r>
        <w:rPr/>
        <w:t>“</w:t>
      </w:r>
      <w:r>
        <w:rPr>
          <w:rFonts w:ascii="Times New Roman;Times;serif" w:hAnsi="Times New Roman;Times;serif"/>
          <w:sz w:val="24"/>
          <w:u w:val="single"/>
        </w:rPr>
        <w:t>Permitted Liens</w:t>
      </w:r>
      <w:r>
        <w:rPr>
          <w:rFonts w:ascii="Times New Roman;Times;serif" w:hAnsi="Times New Roman;Times;serif"/>
          <w:sz w:val="24"/>
        </w:rPr>
        <w:t xml:space="preserve">” means </w:t>
      </w:r>
      <w:bookmarkStart w:id="2204" w:name="DocXTextRef39"/>
      <w:bookmarkEnd w:id="2204"/>
      <w:r>
        <w:rPr>
          <w:rFonts w:ascii="Times New Roman;Times;serif" w:hAnsi="Times New Roman;Times;serif"/>
          <w:sz w:val="24"/>
        </w:rPr>
        <w:t xml:space="preserve">(a) landlord’s, mechanic’s, carrier’s, workmen’s, repairmen’s or other similar statutory Liens arising or incurred in the Ordinary Course for amounts which are not due and payable, (b) Liens for Taxes or assessments and similar charges, which are not due and payable or being contested in good faith and for which appropriate reserves have been established in accordance with GAAP in the Financial Statements, (c) zoning, building and other land use regulations imposed by Government Entities having jurisdiction over the Real Property which are not violated by the current use and operations of the Real Property, and (d) covenants, conditions, restrictions, easements and other similar matters of record affecting title to the Real Property which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do not materially impair the occupancy or use of the Real Property by the Company or its Subsidiaries for the purposes for which it is currently used in connection with their business.</w:t>
      </w:r>
    </w:p>
    <w:p>
      <w:pPr>
        <w:pStyle w:val="TextBody"/>
        <w:bidi w:val="0"/>
        <w:spacing w:before="0" w:after="240"/>
        <w:ind w:left="0" w:right="0" w:firstLine="720"/>
        <w:jc w:val="both"/>
        <w:rPr/>
      </w:pPr>
      <w:r>
        <w:rPr/>
        <w:t>“</w:t>
      </w:r>
      <w:r>
        <w:rPr>
          <w:rFonts w:ascii="Times New Roman;Times;serif" w:hAnsi="Times New Roman;Times;serif"/>
          <w:sz w:val="24"/>
          <w:u w:val="single"/>
        </w:rPr>
        <w:t>Person</w:t>
      </w:r>
      <w:r>
        <w:rPr>
          <w:rFonts w:ascii="Times New Roman;Times;serif" w:hAnsi="Times New Roman;Times;serif"/>
          <w:sz w:val="24"/>
        </w:rPr>
        <w:t>” means an individual, partnership, corporation, limited liability company, association, joint stock company, trust, joint venture, unincorporated organization, Government Entity or department, agency or political subdivision thereof or other entity.</w:t>
      </w:r>
    </w:p>
    <w:p>
      <w:pPr>
        <w:pStyle w:val="TextBody"/>
        <w:bidi w:val="0"/>
        <w:spacing w:before="0" w:after="240"/>
        <w:ind w:left="0" w:right="0" w:firstLine="720"/>
        <w:jc w:val="both"/>
        <w:rPr/>
      </w:pPr>
      <w:r>
        <w:rPr/>
        <w:t>“</w:t>
      </w:r>
      <w:r>
        <w:rPr>
          <w:rFonts w:ascii="Times New Roman;Times;serif" w:hAnsi="Times New Roman;Times;serif"/>
          <w:sz w:val="24"/>
          <w:u w:val="single"/>
        </w:rPr>
        <w:t>Personal Information</w:t>
      </w:r>
      <w:r>
        <w:rPr>
          <w:rFonts w:ascii="Times New Roman;Times;serif" w:hAnsi="Times New Roman;Times;serif"/>
          <w:sz w:val="24"/>
        </w:rPr>
        <w:t xml:space="preserve">” means any data, alone or in combination, that </w:t>
      </w:r>
      <w:bookmarkStart w:id="2205" w:name="DocXTextRef42"/>
      <w:bookmarkEnd w:id="2205"/>
      <w:r>
        <w:rPr>
          <w:rFonts w:ascii="Times New Roman;Times;serif" w:hAnsi="Times New Roman;Times;serif"/>
          <w:sz w:val="24"/>
        </w:rPr>
        <w:t>(a) identifies, relates to, describes, is reasonably capable of being associated with, or could reasonably be associated or linked, directly or indirectly, with a particular individual, household, or device (</w:t>
      </w:r>
      <w:r>
        <w:rPr>
          <w:rFonts w:ascii="Times New Roman;Times;serif" w:hAnsi="Times New Roman;Times;serif"/>
          <w:i/>
          <w:sz w:val="24"/>
        </w:rPr>
        <w:t>e.g.</w:t>
      </w:r>
      <w:r>
        <w:rPr>
          <w:rFonts w:ascii="Times New Roman;Times;serif" w:hAnsi="Times New Roman;Times;serif"/>
          <w:sz w:val="24"/>
        </w:rPr>
        <w:t>, name, address, phone number, email address, financial account number, payment card data, government issued identifier, health or medical information, account user names and passwords, cookies and similar technologies, IP addresses, unique online identifiers and unique device identifiers), or (b) is otherwise protected by or subject to any Privacy and Security Law or defined as “</w:t>
      </w:r>
      <w:bookmarkStart w:id="2206" w:name="dtDNI16"/>
      <w:bookmarkEnd w:id="2206"/>
      <w:r>
        <w:rPr>
          <w:rFonts w:ascii="Times New Roman;Times;serif" w:hAnsi="Times New Roman;Times;serif"/>
          <w:sz w:val="24"/>
        </w:rPr>
        <w:t>personal information”, “</w:t>
      </w:r>
      <w:bookmarkStart w:id="2207" w:name="dtDNI17"/>
      <w:bookmarkEnd w:id="2207"/>
      <w:r>
        <w:rPr>
          <w:rFonts w:ascii="Times New Roman;Times;serif" w:hAnsi="Times New Roman;Times;serif"/>
          <w:sz w:val="24"/>
        </w:rPr>
        <w:t>personal data”, “</w:t>
      </w:r>
      <w:bookmarkStart w:id="2208" w:name="dtDNI18"/>
      <w:bookmarkEnd w:id="2208"/>
      <w:r>
        <w:rPr>
          <w:rFonts w:ascii="Times New Roman;Times;serif" w:hAnsi="Times New Roman;Times;serif"/>
          <w:sz w:val="24"/>
        </w:rPr>
        <w:t>personally identifiable information”, “</w:t>
      </w:r>
      <w:bookmarkStart w:id="2209" w:name="dtDNI19"/>
      <w:bookmarkEnd w:id="2209"/>
      <w:r>
        <w:rPr>
          <w:rFonts w:ascii="Times New Roman;Times;serif" w:hAnsi="Times New Roman;Times;serif"/>
          <w:sz w:val="24"/>
        </w:rPr>
        <w:t>personally identifiable data”, or “</w:t>
      </w:r>
      <w:bookmarkStart w:id="2210" w:name="dtDNI20"/>
      <w:bookmarkEnd w:id="2210"/>
      <w:r>
        <w:rPr>
          <w:rFonts w:ascii="Times New Roman;Times;serif" w:hAnsi="Times New Roman;Times;serif"/>
          <w:sz w:val="24"/>
        </w:rPr>
        <w:t>protected health information”.</w:t>
      </w:r>
    </w:p>
    <w:p>
      <w:pPr>
        <w:pStyle w:val="TextBody"/>
        <w:bidi w:val="0"/>
        <w:spacing w:before="0" w:after="240"/>
        <w:ind w:left="0" w:right="0" w:firstLine="720"/>
        <w:jc w:val="both"/>
        <w:rPr/>
      </w:pPr>
      <w:r>
        <w:rPr/>
        <w:t>“</w:t>
      </w:r>
      <w:r>
        <w:rPr>
          <w:rFonts w:ascii="Times New Roman;Times;serif" w:hAnsi="Times New Roman;Times;serif"/>
          <w:sz w:val="24"/>
          <w:u w:val="single"/>
        </w:rPr>
        <w:t>PPACA</w:t>
      </w:r>
      <w:r>
        <w:rPr>
          <w:rFonts w:ascii="Times New Roman;Times;serif" w:hAnsi="Times New Roman;Times;serif"/>
          <w:sz w:val="24"/>
        </w:rPr>
        <w:t xml:space="preserve">” has the meaning set forth in </w:t>
      </w:r>
      <w:r>
        <w:rPr>
          <w:rFonts w:ascii="Times New Roman;Times;serif" w:hAnsi="Times New Roman;Times;serif"/>
          <w:sz w:val="24"/>
          <w:u w:val="single"/>
        </w:rPr>
        <w:t>Section 3.15(c)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Pre-Closing Seller Premises Division Work</w:t>
      </w:r>
      <w:r>
        <w:rPr>
          <w:rFonts w:ascii="Times New Roman;Times;serif" w:hAnsi="Times New Roman;Times;serif"/>
          <w:sz w:val="24"/>
        </w:rPr>
        <w:t xml:space="preserve">” has the meaning set forth in </w:t>
      </w:r>
      <w:r>
        <w:rPr>
          <w:rFonts w:ascii="Times New Roman;Times;serif" w:hAnsi="Times New Roman;Times;serif"/>
          <w:sz w:val="24"/>
          <w:u w:val="single"/>
        </w:rPr>
        <w:t>Section 3.19(e)</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New Roman;Times;serif" w:hAnsi="Times New Roman;Times;serif"/>
          <w:sz w:val="24"/>
          <w:u w:val="single"/>
        </w:rPr>
        <w:t>Pre-Closing Tax Period</w:t>
      </w:r>
      <w:r>
        <w:rPr>
          <w:rFonts w:ascii="Times New Roman;Times;serif" w:hAnsi="Times New Roman;Times;serif"/>
          <w:sz w:val="24"/>
        </w:rPr>
        <w:t>” means all taxable periods ending on or before the Closing Date and the portion of any Straddle Period beginning on the first day of such Straddle Period and ending on the Closing Date.</w:t>
      </w:r>
    </w:p>
    <w:p>
      <w:pPr>
        <w:pStyle w:val="TextBody"/>
        <w:bidi w:val="0"/>
        <w:spacing w:before="0" w:after="0"/>
        <w:ind w:left="0" w:right="0" w:firstLine="720"/>
        <w:jc w:val="both"/>
        <w:rPr/>
      </w:pPr>
      <w:r>
        <w:rPr/>
        <w:t>“</w:t>
      </w:r>
      <w:r>
        <w:rPr>
          <w:rFonts w:ascii="Times New Roman;Times;serif" w:hAnsi="Times New Roman;Times;serif"/>
          <w:sz w:val="24"/>
          <w:u w:val="single"/>
        </w:rPr>
        <w:t>Pre-Closing Taxes</w:t>
      </w:r>
      <w:r>
        <w:rPr>
          <w:rFonts w:ascii="Times New Roman;Times;serif" w:hAnsi="Times New Roman;Times;serif"/>
          <w:sz w:val="24"/>
        </w:rPr>
        <w:t xml:space="preserve">” means, without duplication, </w:t>
      </w:r>
      <w:bookmarkStart w:id="2211" w:name="DocXTextRef43"/>
      <w:bookmarkEnd w:id="2211"/>
      <w:r>
        <w:rPr>
          <w:rFonts w:ascii="Times New Roman;Times;serif" w:hAnsi="Times New Roman;Times;serif"/>
          <w:sz w:val="24"/>
        </w:rPr>
        <w:t xml:space="preserve">(a) all Taxes (or the non-payment thereof) of Seller and any Excluded Entities, (b) all Taxes (or the non-payment thereof) of or imposed on the Company or any of its Subsidiaries for any Pre-Closing Tax Period, (c) all Taxes of any member of an Affiliated Group of which the Company or any of its Subsidiaries (or any predecessor of any of the foregoing) is or was a member on or prior to the Closing Date, including pursuant to Treasury Regulations Section 1.1502-6 or any analogous or similar U.S. state or local, or non-U.S. Law, (d)  all Taxes arising from the purchase and sale of the Company Shares as contemplated by this Agreement except as otherwise expressly allocated pursuant to this Agreement, (e) any obligation to indemnify, reimburse, or otherwise make payments to any Person in respect of Taxes pursuant to a Contract entered into prior to Closing, (f) any Taxes of any Person (other than the Company or any of its Subsidiaries) imposed on the Company or any of its Subsidiaries as a transferee or successor, by Contract or pursuant to any Law, which Taxes relate to an event or transaction occurring before the Closing, (g) any Taxes arising from the settlement, repayment, retirement, cancellation or elimination of any intercompany balances between the Company and any of its Subsidiaries or between any of the Company’s Subsidiaries existing as of the beginning of the day on the Closing Date, (h) any Taxes payable under Section 965 of the Code, regardless of whether an election under Section 965(h) of the Code has been made, (i) any Taxes incurred in connection with the Restructuring, (j) any Taxes resulting from any breach or non-fulfillment of any Tax covenant, agreement, or obligation of the Company or any of its Subsidiaries (prior to the Closing) and Seller contained in </w:t>
      </w:r>
      <w:r>
        <w:rPr>
          <w:rFonts w:ascii="Times New Roman;Times;serif" w:hAnsi="Times New Roman;Times;serif"/>
          <w:sz w:val="24"/>
          <w:u w:val="single"/>
        </w:rPr>
        <w:t>Section 6.1</w:t>
      </w:r>
      <w:r>
        <w:rPr>
          <w:rFonts w:ascii="Times New Roman;Times;serif" w:hAnsi="Times New Roman;Times;serif"/>
          <w:sz w:val="24"/>
        </w:rPr>
        <w:t xml:space="preserve">, and (k) any Taxes incurred by the Company or any of its Subsidiaries after the Closing as a result of (i) any deferred intercompany transaction described in Treasury Regulations under Section 1502 of the Code (or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any corresponding or similar provision of state, local, or non-U.S. income Tax Law) which occurred in a Pre-Closing Tax Period or excess loss account arising under Treasury Regulations Section 1.1502-19 (or any corresponding or similar provision of state, local or non-U.S. income Tax law) established in a Pre-Closing Tax Period, (ii) a change in method of accounting or Section 481 adjustment in a Pre-Closing Tax Period, (iii) any inclusion under Section 951(a) or Section 951A of the Code properly allocable to a Pre-Closing Tax Period, (iv) installment method of accounting or open transaction disposition entered into prior to the Closing, or (v) any prepaid amount received or paid in a Pre-Closing Tax Period; </w:t>
      </w:r>
      <w:r>
        <w:rPr>
          <w:rFonts w:ascii="Times New Roman;Times;serif" w:hAnsi="Times New Roman;Times;serif"/>
          <w:i/>
          <w:sz w:val="24"/>
        </w:rPr>
        <w:t>provided</w:t>
      </w:r>
      <w:r>
        <w:rPr>
          <w:rFonts w:ascii="Times New Roman;Times;serif" w:hAnsi="Times New Roman;Times;serif"/>
          <w:sz w:val="24"/>
        </w:rPr>
        <w:t xml:space="preserve">, however, that Pre-Closing Taxes shall not include (A) any Tax or Taxes accounted for or otherwise included in the calculation of Net Working Capital, Closing Indebtedness, Closing Payroll Taxes, or Unpaid Income Taxes, (B) any Taxes, other than Taxes described in clause (k)(i) above, resulting from action taken by Buyer or its Affiliates (including, after the Closing, the Company and its Subsidiaries) or any transactions entered into by Buyer or its Affiliates (including, after the Closing, the Company and its Subsidiaries) in each case outside the Ordinary Course occurring on the Closing Date after the Closing, unless contemplated by this Agreement, (C) Taxes due to the unavailability in any Tax periods (or portions thereof) beginning after the Closing Date of any net operating losses, credits, or other Tax attributes of the Company from a Tax period (or portion thereof) ending on or before the Closing Date, or (D) any Taxes resulting from a breach by Buyer of its obligations under </w:t>
      </w:r>
      <w:r>
        <w:rPr>
          <w:rFonts w:ascii="Times New Roman;Times;serif" w:hAnsi="Times New Roman;Times;serif"/>
          <w:sz w:val="24"/>
          <w:u w:val="single"/>
        </w:rPr>
        <w:t>Section 6.1(c)(i)</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New Roman;Times;serif" w:hAnsi="Times New Roman;Times;serif"/>
          <w:sz w:val="24"/>
          <w:u w:val="single"/>
        </w:rPr>
        <w:t>Preliminary Closing Statement</w:t>
      </w:r>
      <w:r>
        <w:rPr>
          <w:rFonts w:ascii="Times New Roman;Times;serif" w:hAnsi="Times New Roman;Times;serif"/>
          <w:sz w:val="24"/>
        </w:rPr>
        <w:t xml:space="preserve">” has the meaning set forth in </w:t>
      </w:r>
      <w:r>
        <w:rPr>
          <w:rFonts w:ascii="Times New Roman;Times;serif" w:hAnsi="Times New Roman;Times;serif"/>
          <w:sz w:val="24"/>
          <w:u w:val="single"/>
        </w:rPr>
        <w:t>Section 2.3(a)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Privacy and Security Laws</w:t>
      </w:r>
      <w:r>
        <w:rPr>
          <w:rFonts w:ascii="Times New Roman;Times;serif" w:hAnsi="Times New Roman;Times;serif"/>
          <w:sz w:val="24"/>
        </w:rPr>
        <w:t xml:space="preserve">” means all </w:t>
      </w:r>
      <w:bookmarkStart w:id="2212" w:name="DocXTextRef48"/>
      <w:bookmarkEnd w:id="2212"/>
      <w:r>
        <w:rPr>
          <w:rFonts w:ascii="Times New Roman;Times;serif" w:hAnsi="Times New Roman;Times;serif"/>
          <w:sz w:val="24"/>
        </w:rPr>
        <w:t>(a) applicable Laws concerning Processing, Personal Information, data protection, privacy, security or other similar Laws (including any security breach notification requirements); (b) mandatory industry guidelines (whether statutory or non-statutory) or mandatory codes of practice issued by the relevant supervisory authority relating to data protection, privacy or security; and (c) Contracts to which the Company is a party or otherwise bound.  </w:t>
      </w:r>
    </w:p>
    <w:p>
      <w:pPr>
        <w:pStyle w:val="TextBody"/>
        <w:bidi w:val="0"/>
        <w:spacing w:before="0" w:after="240"/>
        <w:ind w:left="0" w:right="0" w:firstLine="720"/>
        <w:jc w:val="both"/>
        <w:rPr/>
      </w:pPr>
      <w:r>
        <w:rPr/>
        <w:t>“</w:t>
      </w:r>
      <w:r>
        <w:rPr>
          <w:rFonts w:ascii="Times New Roman;Times;serif" w:hAnsi="Times New Roman;Times;serif"/>
          <w:sz w:val="24"/>
          <w:u w:val="single"/>
        </w:rPr>
        <w:t>Process</w:t>
      </w:r>
      <w:r>
        <w:rPr>
          <w:rFonts w:ascii="Times New Roman;Times;serif" w:hAnsi="Times New Roman;Times;serif"/>
          <w:sz w:val="24"/>
        </w:rPr>
        <w:t>” (or “</w:t>
      </w:r>
      <w:r>
        <w:rPr>
          <w:rFonts w:ascii="Times New Roman;Times;serif" w:hAnsi="Times New Roman;Times;serif"/>
          <w:sz w:val="24"/>
          <w:u w:val="single"/>
        </w:rPr>
        <w:t>Processing</w:t>
      </w:r>
      <w:r>
        <w:rPr>
          <w:rFonts w:ascii="Times New Roman;Times;serif" w:hAnsi="Times New Roman;Times;serif"/>
          <w:sz w:val="24"/>
        </w:rPr>
        <w:t>” or “</w:t>
      </w:r>
      <w:r>
        <w:rPr>
          <w:rFonts w:ascii="Times New Roman;Times;serif" w:hAnsi="Times New Roman;Times;serif"/>
          <w:sz w:val="24"/>
          <w:u w:val="single"/>
        </w:rPr>
        <w:t>Processed</w:t>
      </w:r>
      <w:r>
        <w:rPr>
          <w:rFonts w:ascii="Times New Roman;Times;serif" w:hAnsi="Times New Roman;Times;serif"/>
          <w:sz w:val="24"/>
        </w:rPr>
        <w:t>”) means any operation or set of operations, whether or not by automatic means, which is performed on Data, sets of Data or a Company System.</w:t>
      </w:r>
    </w:p>
    <w:p>
      <w:pPr>
        <w:pStyle w:val="TextBody"/>
        <w:bidi w:val="0"/>
        <w:spacing w:before="0" w:after="240"/>
        <w:ind w:left="0" w:right="0" w:firstLine="720"/>
        <w:jc w:val="both"/>
        <w:rPr/>
      </w:pPr>
      <w:r>
        <w:rPr/>
        <w:t>“</w:t>
      </w:r>
      <w:r>
        <w:rPr>
          <w:rFonts w:ascii="Times New Roman;Times;serif" w:hAnsi="Times New Roman;Times;serif"/>
          <w:sz w:val="24"/>
          <w:u w:val="single"/>
        </w:rPr>
        <w:t>Prohibited Behavior</w:t>
      </w:r>
      <w:r>
        <w:rPr>
          <w:rFonts w:ascii="Times New Roman;Times;serif" w:hAnsi="Times New Roman;Times;serif"/>
          <w:sz w:val="24"/>
        </w:rPr>
        <w:t>” means (a) any form of harassment, discrimination or retaliation or (b) any type of misconduct on the basis of a protected status or classification.</w:t>
      </w:r>
    </w:p>
    <w:p>
      <w:pPr>
        <w:pStyle w:val="TextBody"/>
        <w:bidi w:val="0"/>
        <w:ind w:left="0" w:right="0" w:firstLine="720"/>
        <w:jc w:val="both"/>
        <w:rPr/>
      </w:pPr>
      <w:r>
        <w:rPr/>
        <w:t>“</w:t>
      </w:r>
      <w:r>
        <w:rPr>
          <w:rFonts w:ascii="Times New Roman;Times;serif" w:hAnsi="Times New Roman;Times;serif"/>
          <w:sz w:val="24"/>
          <w:u w:val="single"/>
        </w:rPr>
        <w:t>Public Company</w:t>
      </w:r>
      <w:r>
        <w:rPr>
          <w:rFonts w:ascii="Times New Roman;Times;serif" w:hAnsi="Times New Roman;Times;serif"/>
          <w:sz w:val="22"/>
        </w:rPr>
        <w:t xml:space="preserve">” </w:t>
      </w:r>
      <w:r>
        <w:rPr>
          <w:rFonts w:ascii="Times New Roman;Times;serif" w:hAnsi="Times New Roman;Times;serif"/>
          <w:sz w:val="24"/>
        </w:rPr>
        <w:t>shall mean any entity having securities which are listed on any tier of the New York Stock Exchange or the NASDAQ Stock Market or any other similar national or international securities exchange or quoted on any tier of the OTC Markets Group (including the OTCQX, OTCQB and OTC Pink marketplace) or any other similar national or international quotation service.</w:t>
      </w:r>
    </w:p>
    <w:p>
      <w:pPr>
        <w:pStyle w:val="TextBody"/>
        <w:bidi w:val="0"/>
        <w:spacing w:before="0" w:after="240"/>
        <w:ind w:left="0" w:right="0" w:firstLine="720"/>
        <w:jc w:val="both"/>
        <w:rPr/>
      </w:pPr>
      <w:r>
        <w:rPr/>
        <w:t>“</w:t>
      </w:r>
      <w:r>
        <w:rPr>
          <w:rFonts w:ascii="Times New Roman;Times;serif" w:hAnsi="Times New Roman;Times;serif"/>
          <w:sz w:val="24"/>
          <w:u w:val="single"/>
        </w:rPr>
        <w:t>Purchase Price</w:t>
      </w:r>
      <w:r>
        <w:rPr>
          <w:rFonts w:ascii="Times New Roman;Times;serif" w:hAnsi="Times New Roman;Times;serif"/>
          <w:sz w:val="24"/>
        </w:rPr>
        <w:t xml:space="preserve">” means the Base Purchase Price </w:t>
      </w:r>
      <w:r>
        <w:rPr>
          <w:rFonts w:ascii="Times New Roman;Times;serif" w:hAnsi="Times New Roman;Times;serif"/>
          <w:sz w:val="24"/>
          <w:u w:val="single"/>
        </w:rPr>
        <w:t>plus</w:t>
      </w:r>
      <w:r>
        <w:rPr>
          <w:rFonts w:ascii="Times New Roman;Times;serif" w:hAnsi="Times New Roman;Times;serif"/>
          <w:sz w:val="24"/>
        </w:rPr>
        <w:t xml:space="preserve"> the Adjustment Amount.</w:t>
      </w:r>
    </w:p>
    <w:p>
      <w:pPr>
        <w:pStyle w:val="TextBody"/>
        <w:bidi w:val="0"/>
        <w:spacing w:before="0" w:after="240"/>
        <w:ind w:left="0" w:right="0" w:firstLine="720"/>
        <w:jc w:val="both"/>
        <w:rPr/>
      </w:pPr>
      <w:r>
        <w:rPr/>
        <w:t>“</w:t>
      </w:r>
      <w:r>
        <w:rPr>
          <w:rFonts w:ascii="Times New Roman;Times;serif" w:hAnsi="Times New Roman;Times;serif"/>
          <w:sz w:val="24"/>
          <w:u w:val="single"/>
        </w:rPr>
        <w:t>R&amp;W Insurance Policy</w:t>
      </w:r>
      <w:r>
        <w:rPr>
          <w:rFonts w:ascii="Times New Roman;Times;serif" w:hAnsi="Times New Roman;Times;serif"/>
          <w:sz w:val="24"/>
        </w:rPr>
        <w:t xml:space="preserve">” means the Buyer-side representations and warranties insurance policy to be procured and issued to Buyer with respect to this Agreement. </w:t>
      </w:r>
    </w:p>
    <w:p>
      <w:pPr>
        <w:pStyle w:val="TextBody"/>
        <w:bidi w:val="0"/>
        <w:spacing w:before="0" w:after="240"/>
        <w:ind w:left="0" w:right="0" w:firstLine="720"/>
        <w:jc w:val="both"/>
        <w:rPr/>
      </w:pPr>
      <w:r>
        <w:rPr/>
        <w:t>“</w:t>
      </w:r>
      <w:r>
        <w:rPr>
          <w:rFonts w:ascii="Times New Roman;Times;serif" w:hAnsi="Times New Roman;Times;serif"/>
          <w:sz w:val="24"/>
          <w:u w:val="single"/>
        </w:rPr>
        <w:t>Real Property</w:t>
      </w:r>
      <w:r>
        <w:rPr>
          <w:rFonts w:ascii="Times New Roman;Times;serif" w:hAnsi="Times New Roman;Times;serif"/>
          <w:sz w:val="24"/>
        </w:rPr>
        <w:t xml:space="preserve">” has the meaning set forth in </w:t>
      </w:r>
      <w:r>
        <w:rPr>
          <w:rFonts w:ascii="Times New Roman;Times;serif" w:hAnsi="Times New Roman;Times;serif"/>
          <w:sz w:val="24"/>
          <w:u w:val="single"/>
        </w:rPr>
        <w:t>Section 3.19(c)</w:t>
      </w:r>
      <w:r>
        <w:rPr>
          <w:rFonts w:ascii="Times New Roman;Times;serif" w:hAnsi="Times New Roman;Times;serif"/>
          <w:sz w:val="24"/>
        </w:rPr>
        <w: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4"/>
          <w:u w:val="single"/>
        </w:rPr>
        <w:t>Reinsurance Agreements</w:t>
      </w:r>
      <w:r>
        <w:rPr>
          <w:rFonts w:ascii="Times New Roman;Times;serif" w:hAnsi="Times New Roman;Times;serif"/>
          <w:sz w:val="24"/>
        </w:rPr>
        <w:t xml:space="preserve">” has the meaning set forth in </w:t>
      </w:r>
      <w:r>
        <w:rPr>
          <w:rFonts w:ascii="Times New Roman;Times;serif" w:hAnsi="Times New Roman;Times;serif"/>
          <w:sz w:val="24"/>
          <w:u w:val="single"/>
        </w:rPr>
        <w:t>Section 3.22(f)</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Released Persons</w:t>
      </w:r>
      <w:r>
        <w:rPr>
          <w:rFonts w:ascii="Times New Roman;Times;serif" w:hAnsi="Times New Roman;Times;serif"/>
          <w:sz w:val="24"/>
        </w:rPr>
        <w:t xml:space="preserve">” has the meaning set forth in </w:t>
      </w:r>
      <w:bookmarkStart w:id="2213" w:name="_9kMHG5YVt4ADGLNNNjOpqgv0"/>
      <w:bookmarkEnd w:id="2213"/>
      <w:r>
        <w:rPr>
          <w:rFonts w:ascii="Times New Roman;Times;serif" w:hAnsi="Times New Roman;Times;serif"/>
          <w:sz w:val="24"/>
          <w:u w:val="single"/>
        </w:rPr>
        <w:t>Section </w:t>
      </w:r>
      <w:bookmarkStart w:id="2214" w:name="_9kMJI5YVt4BEGKMNNjOpqgv0"/>
      <w:bookmarkEnd w:id="2214"/>
      <w:r>
        <w:rPr>
          <w:rFonts w:ascii="Times New Roman;Times;serif" w:hAnsi="Times New Roman;Times;serif"/>
          <w:sz w:val="24"/>
          <w:u w:val="single"/>
        </w:rPr>
        <w:t>6.7</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Repair Shops</w:t>
      </w:r>
      <w:r>
        <w:rPr>
          <w:rFonts w:ascii="Times New Roman;Times;serif" w:hAnsi="Times New Roman;Times;serif"/>
          <w:sz w:val="24"/>
        </w:rPr>
        <w:t>” has the meaning set forth in the Recitals.</w:t>
      </w:r>
    </w:p>
    <w:p>
      <w:pPr>
        <w:pStyle w:val="TextBody"/>
        <w:bidi w:val="0"/>
        <w:spacing w:before="0" w:after="240"/>
        <w:ind w:left="0" w:right="0" w:firstLine="720"/>
        <w:jc w:val="both"/>
        <w:rPr/>
      </w:pPr>
      <w:r>
        <w:rPr/>
        <w:t>“</w:t>
      </w:r>
      <w:r>
        <w:rPr>
          <w:rFonts w:ascii="Times New Roman;Times;serif" w:hAnsi="Times New Roman;Times;serif"/>
          <w:sz w:val="24"/>
          <w:u w:val="single"/>
        </w:rPr>
        <w:t>Resolution Period</w:t>
      </w:r>
      <w:r>
        <w:rPr>
          <w:rFonts w:ascii="Times New Roman;Times;serif" w:hAnsi="Times New Roman;Times;serif"/>
          <w:sz w:val="24"/>
        </w:rPr>
        <w:t xml:space="preserve">” has the meaning set forth in </w:t>
      </w:r>
      <w:r>
        <w:rPr>
          <w:rFonts w:ascii="Times New Roman;Times;serif" w:hAnsi="Times New Roman;Times;serif"/>
          <w:sz w:val="24"/>
          <w:u w:val="single"/>
        </w:rPr>
        <w:t>Section 2.3(d)(iii)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Responsible Party</w:t>
      </w:r>
      <w:r>
        <w:rPr>
          <w:rFonts w:ascii="Times New Roman;Times;serif" w:hAnsi="Times New Roman;Times;serif"/>
          <w:sz w:val="24"/>
        </w:rPr>
        <w:t xml:space="preserve">” has the meaning set forth in </w:t>
      </w:r>
      <w:bookmarkStart w:id="2215" w:name="_9kMIH5YVt4ADGLIHKjTp0wVNwGOiQvt6H"/>
      <w:bookmarkEnd w:id="2215"/>
      <w:r>
        <w:rPr>
          <w:rFonts w:ascii="Times New Roman;Times;serif" w:hAnsi="Times New Roman;Times;serif"/>
          <w:sz w:val="24"/>
          <w:u w:val="single"/>
        </w:rPr>
        <w:t>Section 5.5(a)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Restructuring</w:t>
      </w:r>
      <w:r>
        <w:rPr>
          <w:rFonts w:ascii="Times New Roman;Times;serif" w:hAnsi="Times New Roman;Times;serif"/>
          <w:sz w:val="24"/>
        </w:rPr>
        <w:t>” has the meaning set forth in the Recitals.</w:t>
      </w:r>
    </w:p>
    <w:p>
      <w:pPr>
        <w:pStyle w:val="TextBody"/>
        <w:bidi w:val="0"/>
        <w:spacing w:before="0" w:after="240"/>
        <w:ind w:left="0" w:right="0" w:firstLine="720"/>
        <w:jc w:val="both"/>
        <w:rPr/>
      </w:pPr>
      <w:r>
        <w:rPr/>
        <w:t>“</w:t>
      </w:r>
      <w:bookmarkStart w:id="2216" w:name="_9kMIH5YVt4CFGJEbMuAACyyHG521SV18J46MS"/>
      <w:bookmarkEnd w:id="2216"/>
      <w:r>
        <w:rPr>
          <w:rFonts w:ascii="Times New Roman;Times;serif" w:hAnsi="Times New Roman;Times;serif"/>
          <w:sz w:val="24"/>
          <w:u w:val="single"/>
        </w:rPr>
        <w:t>Restructuring Documents</w:t>
      </w:r>
      <w:r>
        <w:rPr>
          <w:rFonts w:ascii="Times New Roman;Times;serif" w:hAnsi="Times New Roman;Times;serif"/>
          <w:sz w:val="24"/>
        </w:rPr>
        <w:t xml:space="preserve">” means each agreement, instrument, certificate, consent, approval, filing, notice, assignment, conveyance, transfer document and other document contemplated by </w:t>
      </w:r>
      <w:r>
        <w:rPr>
          <w:rFonts w:ascii="Times New Roman;Times;serif" w:hAnsi="Times New Roman;Times;serif"/>
          <w:sz w:val="24"/>
          <w:u w:val="single"/>
        </w:rPr>
        <w:t>Exhibit B</w:t>
      </w:r>
      <w:r>
        <w:rPr>
          <w:rFonts w:ascii="Times New Roman;Times;serif" w:hAnsi="Times New Roman;Times;serif"/>
          <w:sz w:val="24"/>
        </w:rPr>
        <w:t xml:space="preserve"> or to be otherwise entered into, delivered or filed by Seller Guarantor or any of its Subsidiaries (including the Company) or any other party contemplated to be party thereto in accordance with </w:t>
      </w:r>
      <w:r>
        <w:rPr>
          <w:rFonts w:ascii="Times New Roman;Times;serif" w:hAnsi="Times New Roman;Times;serif"/>
          <w:sz w:val="24"/>
          <w:u w:val="single"/>
        </w:rPr>
        <w:t>Exhibit B</w:t>
      </w:r>
      <w:r>
        <w:rPr>
          <w:rFonts w:ascii="Times New Roman;Times;serif" w:hAnsi="Times New Roman;Times;serif"/>
          <w:sz w:val="24"/>
        </w:rPr>
        <w:t xml:space="preserve">, as may be necessary or appropriate to consummate the Restructuring in accordance with </w:t>
      </w:r>
      <w:r>
        <w:rPr>
          <w:rFonts w:ascii="Times New Roman;Times;serif" w:hAnsi="Times New Roman;Times;serif"/>
          <w:sz w:val="24"/>
          <w:u w:val="single"/>
        </w:rPr>
        <w:t>Section 6.18</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New Roman;Times;serif" w:hAnsi="Times New Roman;Times;serif"/>
          <w:sz w:val="24"/>
          <w:u w:val="single"/>
        </w:rPr>
        <w:t>Retained Lease</w:t>
      </w:r>
      <w:r>
        <w:rPr>
          <w:rFonts w:ascii="Times New Roman;Times;serif" w:hAnsi="Times New Roman;Times;serif"/>
          <w:sz w:val="24"/>
        </w:rPr>
        <w:t xml:space="preserve">” has the meaning set forth in </w:t>
      </w:r>
      <w:r>
        <w:rPr>
          <w:rFonts w:ascii="Times New Roman;Times;serif" w:hAnsi="Times New Roman;Times;serif"/>
          <w:sz w:val="24"/>
          <w:u w:val="single"/>
        </w:rPr>
        <w:t>Section 6.22(a)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Reverse Termination Fee</w:t>
      </w:r>
      <w:r>
        <w:rPr>
          <w:rFonts w:ascii="Times New Roman;Times;serif" w:hAnsi="Times New Roman;Times;serif"/>
          <w:sz w:val="24"/>
        </w:rPr>
        <w:t xml:space="preserve">” has the meaning set forth in </w:t>
      </w:r>
      <w:r>
        <w:rPr>
          <w:rFonts w:ascii="Times New Roman;Times;serif" w:hAnsi="Times New Roman;Times;serif"/>
          <w:sz w:val="24"/>
          <w:u w:val="single"/>
        </w:rPr>
        <w:t>Section 8.2(b).</w:t>
      </w:r>
    </w:p>
    <w:p>
      <w:pPr>
        <w:pStyle w:val="TextBody"/>
        <w:bidi w:val="0"/>
        <w:spacing w:before="0" w:after="240"/>
        <w:ind w:left="0" w:right="0" w:firstLine="720"/>
        <w:jc w:val="both"/>
        <w:rPr/>
      </w:pPr>
      <w:r>
        <w:rPr/>
        <w:t>“</w:t>
      </w:r>
      <w:r>
        <w:rPr>
          <w:rFonts w:ascii="Times New Roman;Times;serif" w:hAnsi="Times New Roman;Times;serif"/>
          <w:sz w:val="24"/>
          <w:u w:val="single"/>
        </w:rPr>
        <w:t>Schedules</w:t>
      </w:r>
      <w:r>
        <w:rPr>
          <w:rFonts w:ascii="Times New Roman;Times;serif" w:hAnsi="Times New Roman;Times;serif"/>
          <w:sz w:val="24"/>
        </w:rPr>
        <w:t xml:space="preserve">” has the meaning set forth in the preamble to </w:t>
      </w:r>
      <w:r>
        <w:rPr>
          <w:rFonts w:ascii="Times New Roman;Times;serif" w:hAnsi="Times New Roman;Times;serif"/>
          <w:sz w:val="24"/>
          <w:u w:val="single"/>
        </w:rPr>
        <w:t>Article III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Security Incident</w:t>
      </w:r>
      <w:r>
        <w:rPr>
          <w:rFonts w:ascii="Times New Roman;Times;serif" w:hAnsi="Times New Roman;Times;serif"/>
          <w:sz w:val="24"/>
        </w:rPr>
        <w:t>” means (a) actual, suspected, or alleged unauthorized access, acquisition, interruption, alteration or modification, loss, theft, corruption or other unauthorized Processing of Personal Information or other Data, (b) inadvertent, unauthorized, and/or unlawful sale, or rental of Personal Information or other Data, or (c) any breach of the security of or other unauthorized access to or use of or other compromise to the integrity or availability of the Company Systems.</w:t>
      </w:r>
    </w:p>
    <w:p>
      <w:pPr>
        <w:pStyle w:val="TextBody"/>
        <w:bidi w:val="0"/>
        <w:spacing w:before="0" w:after="240"/>
        <w:ind w:left="0" w:right="0" w:firstLine="720"/>
        <w:jc w:val="both"/>
        <w:rPr/>
      </w:pPr>
      <w:r>
        <w:rPr/>
        <w:t>“</w:t>
      </w:r>
      <w:r>
        <w:rPr>
          <w:rFonts w:ascii="Times New Roman;Times;serif" w:hAnsi="Times New Roman;Times;serif"/>
          <w:sz w:val="24"/>
          <w:u w:val="single"/>
        </w:rPr>
        <w:t>Seller</w:t>
      </w:r>
      <w:r>
        <w:rPr>
          <w:rFonts w:ascii="Times New Roman;Times;serif" w:hAnsi="Times New Roman;Times;serif"/>
          <w:sz w:val="24"/>
        </w:rPr>
        <w:t>” has the meaning set forth in the preamble to this Agreement.</w:t>
      </w:r>
    </w:p>
    <w:p>
      <w:pPr>
        <w:pStyle w:val="TextBody"/>
        <w:bidi w:val="0"/>
        <w:spacing w:before="0" w:after="240"/>
        <w:ind w:left="0" w:right="0" w:firstLine="720"/>
        <w:jc w:val="both"/>
        <w:rPr/>
      </w:pPr>
      <w:r>
        <w:rPr/>
        <w:t>“</w:t>
      </w:r>
      <w:r>
        <w:rPr>
          <w:rFonts w:ascii="Times New Roman;Times;serif" w:hAnsi="Times New Roman;Times;serif"/>
          <w:sz w:val="24"/>
          <w:u w:val="single"/>
        </w:rPr>
        <w:t>Seller Credit Support</w:t>
      </w:r>
      <w:r>
        <w:rPr>
          <w:rFonts w:ascii="Times New Roman;Times;serif" w:hAnsi="Times New Roman;Times;serif"/>
          <w:sz w:val="24"/>
        </w:rPr>
        <w:t xml:space="preserve">” means all letters of credit, surety bonds, guarantees or other credit support instruments issued for the benefit of or posted by or on behalf of Seller Guarantor or any of its Affiliates, including Colchester, the Company or any of its Subsidiaries exclusively in connection with the Business, described on </w:t>
      </w:r>
      <w:r>
        <w:rPr>
          <w:rFonts w:ascii="Times New Roman;Times;serif" w:hAnsi="Times New Roman;Times;serif"/>
          <w:sz w:val="24"/>
          <w:u w:val="single"/>
        </w:rPr>
        <w:t>Schedule 3.5(d).</w:t>
      </w:r>
    </w:p>
    <w:p>
      <w:pPr>
        <w:pStyle w:val="TextBody"/>
        <w:bidi w:val="0"/>
        <w:spacing w:before="0" w:after="240"/>
        <w:ind w:left="0" w:right="0" w:firstLine="720"/>
        <w:jc w:val="both"/>
        <w:rPr/>
      </w:pPr>
      <w:r>
        <w:rPr/>
        <w:t>“</w:t>
      </w:r>
      <w:r>
        <w:rPr>
          <w:rFonts w:ascii="Times New Roman;Times;serif" w:hAnsi="Times New Roman;Times;serif"/>
          <w:sz w:val="24"/>
          <w:u w:val="single"/>
        </w:rPr>
        <w:t>Seller Contest</w:t>
      </w:r>
      <w:r>
        <w:rPr>
          <w:rFonts w:ascii="Times New Roman;Times;serif" w:hAnsi="Times New Roman;Times;serif"/>
          <w:sz w:val="24"/>
        </w:rPr>
        <w:t xml:space="preserve">” has the meaning set forth in </w:t>
      </w:r>
      <w:r>
        <w:rPr>
          <w:rFonts w:ascii="Times New Roman;Times;serif" w:hAnsi="Times New Roman;Times;serif"/>
          <w:sz w:val="24"/>
          <w:u w:val="single"/>
        </w:rPr>
        <w:t>Section 6.1(g)</w:t>
      </w:r>
      <w:r>
        <w:rPr>
          <w:rFonts w:ascii="Times New Roman;Times;serif" w:hAnsi="Times New Roman;Times;serif"/>
          <w:sz w:val="24"/>
        </w:rPr>
        <w:t>.</w:t>
      </w:r>
    </w:p>
    <w:p>
      <w:pPr>
        <w:pStyle w:val="TextBody"/>
        <w:bidi w:val="0"/>
        <w:spacing w:before="0" w:after="0"/>
        <w:ind w:left="0" w:right="0" w:firstLine="720"/>
        <w:jc w:val="both"/>
        <w:rPr/>
      </w:pPr>
      <w:r>
        <w:rPr/>
        <w:t>“</w:t>
      </w:r>
      <w:r>
        <w:rPr>
          <w:rFonts w:ascii="Times New Roman;Times;serif" w:hAnsi="Times New Roman;Times;serif"/>
          <w:sz w:val="24"/>
          <w:u w:val="single"/>
        </w:rPr>
        <w:t>Seller Expenses</w:t>
      </w:r>
      <w:r>
        <w:rPr>
          <w:rFonts w:ascii="Times New Roman;Times;serif" w:hAnsi="Times New Roman;Times;serif"/>
          <w:sz w:val="24"/>
        </w:rPr>
        <w:t xml:space="preserve">” means the aggregate amount of </w:t>
      </w:r>
      <w:bookmarkStart w:id="2217" w:name="DocXTextRef55"/>
      <w:bookmarkEnd w:id="2217"/>
      <w:r>
        <w:rPr>
          <w:rFonts w:ascii="Times New Roman;Times;serif" w:hAnsi="Times New Roman;Times;serif"/>
          <w:sz w:val="24"/>
        </w:rPr>
        <w:t xml:space="preserve">(a) any fees, expenses, commissions or other amounts payable by the Company or any of its Subsidiaries (whether on behalf of the Company or any of its Subsidiaries or Seller or any of their respective Affiliates) or that is subject to payment or reimbursement by the Company or any of its Subsidiaries in connection with this Agreement, the other Transaction Documents and the transactions contemplated hereby and thereby, including the fees and expenses of any advisors, experts, brokers, finders, consultants, accountants, auditors, lawyers, investment bankers or other advisors, (b) any Change of Control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Payments, (c) Closing Payroll Taxes, (d) 50% of any fees and expenses to the Escrow Agent pursuant to the Escrow Agreement which shall be prepaid for the full escrow term at the Closing.</w:t>
      </w:r>
    </w:p>
    <w:p>
      <w:pPr>
        <w:pStyle w:val="TextBody"/>
        <w:bidi w:val="0"/>
        <w:spacing w:before="0" w:after="240"/>
        <w:ind w:left="0" w:right="0" w:firstLine="720"/>
        <w:jc w:val="both"/>
        <w:rPr/>
      </w:pPr>
      <w:bookmarkStart w:id="2218" w:name="_cp_change_428"/>
      <w:bookmarkEnd w:id="2218"/>
      <w:r>
        <w:rPr/>
        <w:t>“</w:t>
      </w:r>
      <w:r>
        <w:rPr>
          <w:rFonts w:ascii="Times New Roman;Times;serif" w:hAnsi="Times New Roman;Times;serif"/>
          <w:sz w:val="24"/>
          <w:u w:val="single"/>
        </w:rPr>
        <w:t>Seller Guaranteed Obligations</w:t>
      </w:r>
      <w:r>
        <w:rPr>
          <w:rFonts w:ascii="Times New Roman;Times;serif" w:hAnsi="Times New Roman;Times;serif"/>
          <w:sz w:val="24"/>
        </w:rPr>
        <w:t xml:space="preserve">” has the meaning set forth in </w:t>
      </w:r>
      <w:bookmarkStart w:id="2219" w:name="_cp_change_431"/>
      <w:bookmarkStart w:id="2220" w:name="_9kMHG5YVt4ADGMGGJfPpxrybZ0yzwGS"/>
      <w:bookmarkEnd w:id="2219"/>
      <w:bookmarkEnd w:id="2220"/>
      <w:r>
        <w:rPr>
          <w:rFonts w:ascii="Times New Roman;Times;serif" w:hAnsi="Times New Roman;Times;serif"/>
          <w:sz w:val="24"/>
          <w:u w:val="single"/>
        </w:rPr>
        <w:t>Section 9.2(a)</w:t>
      </w:r>
      <w:r>
        <w:rPr>
          <w:rFonts w:ascii="Times New Roman;Times;serif" w:hAnsi="Times New Roman;Times;serif"/>
          <w:sz w:val="24"/>
        </w:rPr>
        <w:t>.</w:t>
      </w:r>
    </w:p>
    <w:p>
      <w:pPr>
        <w:pStyle w:val="TextBody"/>
        <w:bidi w:val="0"/>
        <w:spacing w:before="0" w:after="240"/>
        <w:ind w:left="0" w:right="0" w:firstLine="720"/>
        <w:jc w:val="both"/>
        <w:rPr/>
      </w:pPr>
      <w:bookmarkStart w:id="2221" w:name="_cp_change_433"/>
      <w:bookmarkEnd w:id="2221"/>
      <w:r>
        <w:rPr/>
        <w:t>“</w:t>
      </w:r>
      <w:r>
        <w:rPr>
          <w:rFonts w:ascii="Times New Roman;Times;serif" w:hAnsi="Times New Roman;Times;serif"/>
          <w:sz w:val="24"/>
          <w:u w:val="single"/>
        </w:rPr>
        <w:t>Seller Guarantor</w:t>
      </w:r>
      <w:r>
        <w:rPr>
          <w:rFonts w:ascii="Times New Roman;Times;serif" w:hAnsi="Times New Roman;Times;serif"/>
          <w:sz w:val="24"/>
        </w:rPr>
        <w:t>” has the meaning set forth in the preamble to this Agreement.</w:t>
      </w:r>
    </w:p>
    <w:p>
      <w:pPr>
        <w:pStyle w:val="TextBody"/>
        <w:bidi w:val="0"/>
        <w:spacing w:before="0" w:after="240"/>
        <w:ind w:left="0" w:right="0" w:firstLine="720"/>
        <w:jc w:val="both"/>
        <w:rPr/>
      </w:pPr>
      <w:bookmarkStart w:id="2222" w:name="_cp_change_434"/>
      <w:bookmarkEnd w:id="2222"/>
      <w:r>
        <w:rPr/>
        <w:t>“</w:t>
      </w:r>
      <w:r>
        <w:rPr>
          <w:rFonts w:ascii="Times New Roman;Times;serif" w:hAnsi="Times New Roman;Times;serif"/>
          <w:sz w:val="24"/>
          <w:u w:val="single"/>
        </w:rPr>
        <w:t>Seller Guaranty</w:t>
      </w:r>
      <w:r>
        <w:rPr>
          <w:rFonts w:ascii="Times New Roman;Times;serif" w:hAnsi="Times New Roman;Times;serif"/>
          <w:sz w:val="24"/>
        </w:rPr>
        <w:t xml:space="preserve">” has the meaning set forth in </w:t>
      </w:r>
      <w:bookmarkStart w:id="2223" w:name="_9kMIH5YVt4ADGMGGJfPpxrybZ0yzwGS"/>
      <w:bookmarkEnd w:id="2223"/>
      <w:r>
        <w:rPr>
          <w:rFonts w:ascii="Times New Roman;Times;serif" w:hAnsi="Times New Roman;Times;serif"/>
          <w:sz w:val="24"/>
          <w:u w:val="single"/>
        </w:rPr>
        <w:t>Section 9.2(a)</w:t>
      </w:r>
      <w:r>
        <w:rPr>
          <w:rFonts w:ascii="Times New Roman;Times;serif" w:hAnsi="Times New Roman;Times;serif"/>
          <w:sz w:val="24"/>
        </w:rPr>
        <w:t xml:space="preserve">. </w:t>
      </w:r>
    </w:p>
    <w:p>
      <w:pPr>
        <w:pStyle w:val="TextBody"/>
        <w:bidi w:val="0"/>
        <w:spacing w:before="0" w:after="240"/>
        <w:ind w:left="0" w:right="0" w:firstLine="720"/>
        <w:jc w:val="both"/>
        <w:rPr/>
      </w:pPr>
      <w:r>
        <w:rPr/>
        <w:t>“</w:t>
      </w:r>
      <w:r>
        <w:rPr>
          <w:rFonts w:ascii="Times New Roman;Times;serif" w:hAnsi="Times New Roman;Times;serif"/>
          <w:sz w:val="24"/>
          <w:u w:val="single"/>
        </w:rPr>
        <w:t>Seller Indemnified Persons</w:t>
      </w:r>
      <w:r>
        <w:rPr>
          <w:rFonts w:ascii="Times New Roman;Times;serif" w:hAnsi="Times New Roman;Times;serif"/>
          <w:sz w:val="24"/>
        </w:rPr>
        <w:t xml:space="preserve">” has the meaning set forth in </w:t>
      </w:r>
      <w:r>
        <w:rPr>
          <w:rFonts w:ascii="Times New Roman;Times;serif" w:hAnsi="Times New Roman;Times;serif"/>
          <w:sz w:val="24"/>
          <w:u w:val="single"/>
        </w:rPr>
        <w:t>Section 5.2(b)</w:t>
      </w:r>
      <w:r>
        <w:rPr>
          <w:rFonts w:ascii="Times New Roman;Times;serif" w:hAnsi="Times New Roman;Times;serif"/>
          <w:sz w:val="24"/>
        </w:rPr>
        <w:t>.</w:t>
      </w:r>
    </w:p>
    <w:p>
      <w:pPr>
        <w:pStyle w:val="TextBody"/>
        <w:bidi w:val="0"/>
        <w:spacing w:before="0" w:after="240"/>
        <w:ind w:left="0" w:right="0" w:firstLine="720"/>
        <w:jc w:val="both"/>
        <w:rPr/>
      </w:pPr>
      <w:bookmarkStart w:id="2224" w:name="_9kMNM5YVt488CFAbXrxFxty"/>
      <w:bookmarkEnd w:id="2224"/>
      <w:r>
        <w:rPr/>
        <w:t>“</w:t>
      </w:r>
      <w:r>
        <w:rPr>
          <w:rFonts w:ascii="Times New Roman;Times;serif" w:hAnsi="Times New Roman;Times;serif"/>
          <w:sz w:val="24"/>
          <w:u w:val="single"/>
        </w:rPr>
        <w:t>Software</w:t>
      </w:r>
      <w:r>
        <w:rPr>
          <w:rFonts w:ascii="Times New Roman;Times;serif" w:hAnsi="Times New Roman;Times;serif"/>
          <w:sz w:val="24"/>
        </w:rPr>
        <w:t>” means all data, databases, collections of data, computer programs, including all software implementation of algorithms, models and methodologies, whether in source code, object code, human readable form or other form, all documentation, including user manuals and other training or other documentation or media, relating to any of the foregoing.</w:t>
      </w:r>
    </w:p>
    <w:p>
      <w:pPr>
        <w:pStyle w:val="TextBody"/>
        <w:bidi w:val="0"/>
        <w:spacing w:before="0" w:after="240"/>
        <w:ind w:left="0" w:right="0" w:firstLine="720"/>
        <w:jc w:val="both"/>
        <w:rPr/>
      </w:pPr>
      <w:r>
        <w:rPr/>
        <w:t>“</w:t>
      </w:r>
      <w:r>
        <w:rPr>
          <w:rFonts w:ascii="Times New Roman;Times;serif" w:hAnsi="Times New Roman;Times;serif"/>
          <w:sz w:val="24"/>
          <w:u w:val="single"/>
        </w:rPr>
        <w:t>Straddle Period</w:t>
      </w:r>
      <w:r>
        <w:rPr>
          <w:rFonts w:ascii="Times New Roman;Times;serif" w:hAnsi="Times New Roman;Times;serif"/>
          <w:sz w:val="24"/>
        </w:rPr>
        <w:t>” means any taxable period that includes (but does not end on) the Closing Date.</w:t>
      </w:r>
    </w:p>
    <w:p>
      <w:pPr>
        <w:pStyle w:val="TextBody"/>
        <w:bidi w:val="0"/>
        <w:spacing w:before="0" w:after="240"/>
        <w:ind w:left="0" w:right="0" w:firstLine="720"/>
        <w:jc w:val="both"/>
        <w:rPr/>
      </w:pPr>
      <w:r>
        <w:rPr/>
        <w:t>“</w:t>
      </w:r>
      <w:r>
        <w:rPr>
          <w:rFonts w:ascii="Times New Roman;Times;serif" w:hAnsi="Times New Roman;Times;serif"/>
          <w:sz w:val="24"/>
          <w:u w:val="single"/>
        </w:rPr>
        <w:t>Subsidiary</w:t>
      </w:r>
      <w:r>
        <w:rPr>
          <w:rFonts w:ascii="Times New Roman;Times;serif" w:hAnsi="Times New Roman;Times;serif"/>
          <w:sz w:val="24"/>
        </w:rPr>
        <w:t>” of any Person means another Person, an amount of the voting securities, other voting ownership or voting partnership interest of which is sufficient to elect at least a majority of the board of directors or other governing body (or, if there are no such voting interests, 50% or more of the equity interest of which) is owned directly or indirectly by such first Person.</w:t>
      </w:r>
    </w:p>
    <w:p>
      <w:pPr>
        <w:pStyle w:val="TextBody"/>
        <w:bidi w:val="0"/>
        <w:spacing w:before="0" w:after="240"/>
        <w:ind w:left="0" w:right="0" w:firstLine="720"/>
        <w:jc w:val="both"/>
        <w:rPr/>
      </w:pPr>
      <w:r>
        <w:rPr/>
        <w:t>“</w:t>
      </w:r>
      <w:r>
        <w:rPr>
          <w:rFonts w:ascii="Times New Roman;Times;serif" w:hAnsi="Times New Roman;Times;serif"/>
          <w:sz w:val="24"/>
          <w:u w:val="single"/>
        </w:rPr>
        <w:t>Tax</w:t>
      </w:r>
      <w:r>
        <w:rPr>
          <w:rFonts w:ascii="Times New Roman;Times;serif" w:hAnsi="Times New Roman;Times;serif"/>
          <w:sz w:val="24"/>
        </w:rPr>
        <w:t xml:space="preserve">” means </w:t>
      </w:r>
      <w:bookmarkStart w:id="2225" w:name="_9kR3WTrAGBEDGQG6yimpN7Q12aNZsrs74zIRABG"/>
      <w:bookmarkStart w:id="2226" w:name="DocXTextRef59"/>
      <w:bookmarkEnd w:id="2225"/>
      <w:bookmarkEnd w:id="2226"/>
      <w:r>
        <w:rPr>
          <w:rFonts w:ascii="Times New Roman;Times;serif" w:hAnsi="Times New Roman;Times;serif"/>
          <w:sz w:val="24"/>
        </w:rPr>
        <w:t xml:space="preserve">(a) U.S. federal, state, local or non-U.S. or other taxes, including income, gross receipts, ad valorem, franchise, profits, windfall profits, value-added, goods and services, harmonized sales, sales, use, transfer, registration, excise, utility, environmental, communications, real or personal property, capital stock, license, payroll, wage or other withholding, employment, unemployment, disability, social security (or similar), health insurance, premiums, any state insurance premium-based tax (including premium tax, self-procurement tax, and surplus line tax), government pension plan, severance, stamp, occupation, alternative or add-on minimum, estimated, customs duties, assessments, charges and other taxes of any kind whatsoever, and (b) all interest, penalties, fines, additions to tax or additional amounts imposed by any Taxing Authority or Tax Law in connection with any item described in </w:t>
      </w:r>
      <w:bookmarkStart w:id="2227" w:name="_9kMHG5YVtCIDGFISI80korP9S34cPbutu961KTC"/>
      <w:bookmarkEnd w:id="2227"/>
      <w:r>
        <w:rPr>
          <w:rFonts w:ascii="Times New Roman;Times;serif" w:hAnsi="Times New Roman;Times;serif"/>
          <w:sz w:val="24"/>
        </w:rPr>
        <w:t>clause (a) above, including as a result of any failure to timely or properly file a Tax Return.</w:t>
      </w:r>
    </w:p>
    <w:p>
      <w:pPr>
        <w:pStyle w:val="TextBody"/>
        <w:bidi w:val="0"/>
        <w:spacing w:before="0" w:after="240"/>
        <w:ind w:left="0" w:right="0" w:firstLine="720"/>
        <w:jc w:val="both"/>
        <w:rPr/>
      </w:pPr>
      <w:r>
        <w:rPr/>
        <w:t>“</w:t>
      </w:r>
      <w:r>
        <w:rPr>
          <w:rFonts w:ascii="Times New Roman;Times;serif" w:hAnsi="Times New Roman;Times;serif"/>
          <w:sz w:val="24"/>
          <w:u w:val="single"/>
        </w:rPr>
        <w:t>Tax Return</w:t>
      </w:r>
      <w:r>
        <w:rPr>
          <w:rFonts w:ascii="Times New Roman;Times;serif" w:hAnsi="Times New Roman;Times;serif"/>
          <w:sz w:val="24"/>
        </w:rPr>
        <w:t>” means any return, declaration, report, claim for refund, estimate, information report, return statement or filing, filed or required to be filed relating to Taxes, including any schedule or attachment thereto and including any amendment thereof.</w:t>
      </w:r>
    </w:p>
    <w:p>
      <w:pPr>
        <w:pStyle w:val="TextBody"/>
        <w:bidi w:val="0"/>
        <w:spacing w:before="0" w:after="240"/>
        <w:ind w:left="0" w:right="0" w:firstLine="720"/>
        <w:jc w:val="both"/>
        <w:rPr/>
      </w:pPr>
      <w:r>
        <w:rPr/>
        <w:t>“</w:t>
      </w:r>
      <w:r>
        <w:rPr>
          <w:rFonts w:ascii="Times New Roman;Times;serif" w:hAnsi="Times New Roman;Times;serif"/>
          <w:sz w:val="24"/>
          <w:u w:val="single"/>
        </w:rPr>
        <w:t>Taxing Authority</w:t>
      </w:r>
      <w:r>
        <w:rPr>
          <w:rFonts w:ascii="Times New Roman;Times;serif" w:hAnsi="Times New Roman;Times;serif"/>
          <w:sz w:val="24"/>
        </w:rPr>
        <w:t>” means any Government Entity responsible for the administration, imposition or collection of any Tax.</w:t>
      </w:r>
    </w:p>
    <w:p>
      <w:pPr>
        <w:pStyle w:val="TextBody"/>
        <w:bidi w:val="0"/>
        <w:spacing w:before="0" w:after="240"/>
        <w:ind w:left="720" w:right="0" w:hanging="0"/>
        <w:jc w:val="both"/>
        <w:rPr/>
      </w:pPr>
      <w:bookmarkStart w:id="2228" w:name="_Hlk229661862"/>
      <w:bookmarkEnd w:id="2228"/>
      <w:r>
        <w:rPr/>
        <w:t>“</w:t>
      </w:r>
      <w:r>
        <w:rPr>
          <w:rFonts w:ascii="Times New Roman;Times;serif" w:hAnsi="Times New Roman;Times;serif"/>
          <w:sz w:val="24"/>
        </w:rPr>
        <w:t xml:space="preserve">[***] </w:t>
      </w:r>
      <w:r>
        <w:rPr>
          <w:rFonts w:ascii="Times New Roman;Times;serif" w:hAnsi="Times New Roman;Times;serif"/>
          <w:sz w:val="24"/>
          <w:u w:val="single"/>
        </w:rPr>
        <w:t>Escrow Amount</w:t>
      </w:r>
      <w:r>
        <w:rPr>
          <w:rFonts w:ascii="Times New Roman;Times;serif" w:hAnsi="Times New Roman;Times;serif"/>
          <w:sz w:val="24"/>
        </w:rPr>
        <w:t xml:space="preserve">” has the meaning set forth in </w:t>
      </w:r>
      <w:bookmarkStart w:id="2229" w:name="_9kMHG5YVt4ADGLMMHGjRw5xzsz84AZVIOP"/>
      <w:bookmarkEnd w:id="2229"/>
      <w:r>
        <w:rPr>
          <w:rFonts w:ascii="Times New Roman;Times;serif" w:hAnsi="Times New Roman;Times;serif"/>
          <w:sz w:val="24"/>
          <w:u w:val="single"/>
        </w:rPr>
        <w:t>Section 2.3(b)(i)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rPr>
        <w:t xml:space="preserve">[***] </w:t>
      </w:r>
      <w:r>
        <w:rPr>
          <w:rFonts w:ascii="Times New Roman;Times;serif" w:hAnsi="Times New Roman;Times;serif"/>
          <w:sz w:val="24"/>
          <w:u w:val="single"/>
        </w:rPr>
        <w:t>Escrow Fund</w:t>
      </w:r>
      <w:r>
        <w:rPr>
          <w:rFonts w:ascii="Times New Roman;Times;serif" w:hAnsi="Times New Roman;Times;serif"/>
          <w:sz w:val="24"/>
        </w:rPr>
        <w:t xml:space="preserve">” has the meaning set forth in </w:t>
      </w:r>
      <w:r>
        <w:rPr>
          <w:rFonts w:ascii="Times New Roman;Times;serif" w:hAnsi="Times New Roman;Times;serif"/>
          <w:sz w:val="24"/>
          <w:u w:val="single"/>
        </w:rPr>
        <w:t>Section 2.4.</w:t>
      </w:r>
    </w:p>
    <w:p>
      <w:pPr>
        <w:pStyle w:val="TextBody"/>
        <w:bidi w:val="0"/>
        <w:spacing w:before="0" w:after="240"/>
        <w:ind w:left="0" w:right="0" w:firstLine="720"/>
        <w:jc w:val="both"/>
        <w:rPr/>
      </w:pPr>
      <w:r>
        <w:rPr/>
        <w:t>“</w:t>
      </w:r>
      <w:r>
        <w:rPr>
          <w:rFonts w:ascii="Times New Roman;Times;serif" w:hAnsi="Times New Roman;Times;serif"/>
          <w:sz w:val="24"/>
        </w:rPr>
        <w:t xml:space="preserve">[***] </w:t>
      </w:r>
      <w:r>
        <w:rPr>
          <w:rFonts w:ascii="Times New Roman;Times;serif" w:hAnsi="Times New Roman;Times;serif"/>
          <w:sz w:val="24"/>
          <w:u w:val="single"/>
        </w:rPr>
        <w:t>Statement</w:t>
      </w:r>
      <w:r>
        <w:rPr>
          <w:rFonts w:ascii="Times New Roman;Times;serif" w:hAnsi="Times New Roman;Times;serif"/>
          <w:sz w:val="24"/>
        </w:rPr>
        <w:t xml:space="preserve">” has the meaning set forth in </w:t>
      </w:r>
      <w:r>
        <w:rPr>
          <w:rFonts w:ascii="Times New Roman;Times;serif" w:hAnsi="Times New Roman;Times;serif"/>
          <w:sz w:val="24"/>
          <w:u w:val="single"/>
        </w:rPr>
        <w:t>Section 6.11(a).</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4"/>
        </w:rPr>
        <w:t xml:space="preserve">[***] </w:t>
      </w:r>
      <w:r>
        <w:rPr>
          <w:rFonts w:ascii="Times New Roman;Times;serif" w:hAnsi="Times New Roman;Times;serif"/>
          <w:sz w:val="24"/>
          <w:u w:val="single"/>
        </w:rPr>
        <w:t>Statement Review Period</w:t>
      </w:r>
      <w:r>
        <w:rPr>
          <w:rFonts w:ascii="Times New Roman;Times;serif" w:hAnsi="Times New Roman;Times;serif"/>
          <w:sz w:val="24"/>
        </w:rPr>
        <w:t xml:space="preserve">” has the meaning set forth in </w:t>
      </w:r>
      <w:r>
        <w:rPr>
          <w:rFonts w:ascii="Times New Roman;Times;serif" w:hAnsi="Times New Roman;Times;serif"/>
          <w:sz w:val="24"/>
          <w:u w:val="single"/>
        </w:rPr>
        <w:t>Section 6.11(a).</w:t>
      </w:r>
    </w:p>
    <w:p>
      <w:pPr>
        <w:pStyle w:val="TextBody"/>
        <w:bidi w:val="0"/>
        <w:spacing w:before="0" w:after="240"/>
        <w:ind w:left="0" w:right="0" w:firstLine="720"/>
        <w:jc w:val="both"/>
        <w:rPr/>
      </w:pPr>
      <w:r>
        <w:rPr/>
        <w:t>“</w:t>
      </w:r>
      <w:r>
        <w:rPr>
          <w:rFonts w:ascii="Times New Roman;Times;serif" w:hAnsi="Times New Roman;Times;serif"/>
          <w:sz w:val="24"/>
          <w:u w:val="single"/>
        </w:rPr>
        <w:t>Third Party Claim</w:t>
      </w:r>
      <w:r>
        <w:rPr>
          <w:rFonts w:ascii="Times New Roman;Times;serif" w:hAnsi="Times New Roman;Times;serif"/>
          <w:sz w:val="24"/>
        </w:rPr>
        <w:t xml:space="preserve">” has the meaning set forth in </w:t>
      </w:r>
      <w:bookmarkStart w:id="2230" w:name="_9kMJI5YVt4ADGLIHKjTp0wVNwGOiQvt6H"/>
      <w:bookmarkEnd w:id="2230"/>
      <w:r>
        <w:rPr>
          <w:rFonts w:ascii="Times New Roman;Times;serif" w:hAnsi="Times New Roman;Times;serif"/>
          <w:sz w:val="24"/>
          <w:u w:val="single"/>
        </w:rPr>
        <w:t>Section 5.5(a)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Trade Secrets</w:t>
      </w:r>
      <w:r>
        <w:rPr>
          <w:rFonts w:ascii="Times New Roman;Times;serif" w:hAnsi="Times New Roman;Times;serif"/>
          <w:sz w:val="24"/>
        </w:rPr>
        <w:t xml:space="preserve">” means, collectively, </w:t>
      </w:r>
      <w:bookmarkStart w:id="2231" w:name="DocXTextRef63"/>
      <w:bookmarkEnd w:id="2231"/>
      <w:r>
        <w:rPr>
          <w:rFonts w:ascii="Times New Roman;Times;serif" w:hAnsi="Times New Roman;Times;serif"/>
          <w:sz w:val="24"/>
        </w:rPr>
        <w:t>(a) trade secrets and other confidential or sensitive information (including of third parties), Personal Information, Data, inventions (whether or not patentable or reduced to practice), ideas, know-how, processes, methods, techniques, research and development, source code, drawings, specifications, layouts, designs, formulae, algorithms, compositions, industrial models, architectures, plans, proposals, technical data, financial, business and marketing plans and proposals, customer and supplier lists, and price and cost information, and (b) privileged or proprietary information which, if compromised through any theft, interruption, modification, corruption, loss, misuse or unauthorized access or disclosure, could cause serious harm to the organization owning it.</w:t>
      </w:r>
    </w:p>
    <w:p>
      <w:pPr>
        <w:pStyle w:val="TextBody"/>
        <w:bidi w:val="0"/>
        <w:spacing w:before="0" w:after="240"/>
        <w:ind w:left="0" w:right="0" w:firstLine="720"/>
        <w:jc w:val="both"/>
        <w:rPr/>
      </w:pPr>
      <w:r>
        <w:rPr/>
        <w:t>“</w:t>
      </w:r>
      <w:r>
        <w:rPr>
          <w:rFonts w:ascii="Times New Roman;Times;serif" w:hAnsi="Times New Roman;Times;serif"/>
          <w:sz w:val="24"/>
          <w:u w:val="single"/>
        </w:rPr>
        <w:t>Trademarks</w:t>
      </w:r>
      <w:r>
        <w:rPr>
          <w:rFonts w:ascii="Times New Roman;Times;serif" w:hAnsi="Times New Roman;Times;serif"/>
          <w:sz w:val="24"/>
        </w:rPr>
        <w:t>” means any and all trademarks, service marks, brands, certification marks, collective marks, trade dress, trade names, slogans, product designations, logos, Internet domain names, corporate names, rights in telephone numbers, rights in and to usernames, handles, tags, and other online identifiers, profiles, and accounts, for all third party social media, advertising, e-commerce, and other similar online sites, and any other indicia of source or origin (including “</w:t>
      </w:r>
      <w:bookmarkStart w:id="2232" w:name="dtDNI24"/>
      <w:bookmarkEnd w:id="2232"/>
      <w:r>
        <w:rPr>
          <w:rFonts w:ascii="Times New Roman;Times;serif" w:hAnsi="Times New Roman;Times;serif"/>
          <w:sz w:val="24"/>
        </w:rPr>
        <w:t>look and feel”), together with all translations, adaptations, derivations, abbreviations, acronyms, and combinations thereof, all applications, registrations, and renewals in connection therewith, and all goodwill associated with each of the foregoing.</w:t>
      </w:r>
    </w:p>
    <w:p>
      <w:pPr>
        <w:pStyle w:val="TextBody"/>
        <w:bidi w:val="0"/>
        <w:spacing w:before="0" w:after="240"/>
        <w:ind w:left="0" w:right="0" w:firstLine="720"/>
        <w:jc w:val="both"/>
        <w:rPr/>
      </w:pPr>
      <w:r>
        <w:rPr/>
        <w:t>“</w:t>
      </w:r>
      <w:r>
        <w:rPr>
          <w:rFonts w:ascii="Times New Roman;Times;serif" w:hAnsi="Times New Roman;Times;serif"/>
          <w:sz w:val="24"/>
          <w:u w:val="single"/>
        </w:rPr>
        <w:t>Transaction Documents</w:t>
      </w:r>
      <w:r>
        <w:rPr>
          <w:rFonts w:ascii="Times New Roman;Times;serif" w:hAnsi="Times New Roman;Times;serif"/>
          <w:sz w:val="24"/>
        </w:rPr>
        <w:t xml:space="preserve">” means, collectively, this Agreement, the </w:t>
      </w:r>
      <w:bookmarkStart w:id="2233" w:name="_9kMIH5YVt4CFGJGXGcrwFItvvvxzFdL98w568OU"/>
      <w:bookmarkEnd w:id="2233"/>
      <w:r>
        <w:rPr>
          <w:rFonts w:ascii="Times New Roman;Times;serif" w:hAnsi="Times New Roman;Times;serif"/>
          <w:sz w:val="24"/>
        </w:rPr>
        <w:t xml:space="preserve">Lease Amendment Agreements, the </w:t>
      </w:r>
      <w:bookmarkStart w:id="2234" w:name="_9kMIH5YVt4CFGJJcIyngwosix2LI65t235LR"/>
      <w:bookmarkEnd w:id="2234"/>
      <w:r>
        <w:rPr>
          <w:rFonts w:ascii="Times New Roman;Times;serif" w:hAnsi="Times New Roman;Times;serif"/>
          <w:sz w:val="24"/>
        </w:rPr>
        <w:t xml:space="preserve">New Sublease Agreements, the </w:t>
      </w:r>
      <w:bookmarkStart w:id="2235" w:name="_9kMIH5YVt4CFGJKUNss5BYD10oxy0G"/>
      <w:bookmarkEnd w:id="2235"/>
      <w:r>
        <w:rPr>
          <w:rFonts w:ascii="Times New Roman;Times;serif" w:hAnsi="Times New Roman;Times;serif"/>
          <w:sz w:val="24"/>
        </w:rPr>
        <w:t>Escrow Agreement, the Transition Services Agreement, the Restructuring Documents, and all other agreements, certificates and instruments contemplated by this Agreement.</w:t>
      </w:r>
    </w:p>
    <w:p>
      <w:pPr>
        <w:pStyle w:val="TextBody"/>
        <w:bidi w:val="0"/>
        <w:spacing w:before="0" w:after="240"/>
        <w:ind w:left="0" w:right="0" w:firstLine="720"/>
        <w:jc w:val="both"/>
        <w:rPr/>
      </w:pPr>
      <w:r>
        <w:rPr/>
        <w:t>“</w:t>
      </w:r>
      <w:r>
        <w:rPr>
          <w:rFonts w:ascii="Times New Roman;Times;serif" w:hAnsi="Times New Roman;Times;serif"/>
          <w:sz w:val="24"/>
          <w:u w:val="single"/>
        </w:rPr>
        <w:t>Transfer Taxes</w:t>
      </w:r>
      <w:r>
        <w:rPr>
          <w:rFonts w:ascii="Times New Roman;Times;serif" w:hAnsi="Times New Roman;Times;serif"/>
          <w:sz w:val="24"/>
        </w:rPr>
        <w:t xml:space="preserve">” has the meaning set forth in </w:t>
      </w:r>
      <w:r>
        <w:rPr>
          <w:rFonts w:ascii="Times New Roman;Times;serif" w:hAnsi="Times New Roman;Times;serif"/>
          <w:sz w:val="24"/>
          <w:u w:val="single"/>
        </w:rPr>
        <w:t>Section 6.1(f)</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sz w:val="24"/>
          <w:u w:val="single"/>
        </w:rPr>
        <w:t>Transition Services Agreement</w:t>
      </w:r>
      <w:r>
        <w:rPr>
          <w:rFonts w:ascii="Times New Roman;Times;serif" w:hAnsi="Times New Roman;Times;serif"/>
          <w:sz w:val="24"/>
        </w:rPr>
        <w:t xml:space="preserve">” means that certain Transition Services Agreement to be entered into by and between Buyer and Seller on the Closing Date, substantially in the form attached hereto as </w:t>
      </w:r>
      <w:bookmarkStart w:id="2236" w:name="_9kMIH5YVtCIDFKNKKtNKiro27nzBFLJFE5w7MBv"/>
      <w:bookmarkEnd w:id="2236"/>
      <w:r>
        <w:rPr>
          <w:rFonts w:ascii="Times New Roman;Times;serif" w:hAnsi="Times New Roman;Times;serif"/>
          <w:sz w:val="24"/>
          <w:u w:val="single"/>
        </w:rPr>
        <w:t>Exhibit M</w:t>
      </w:r>
      <w:r>
        <w:rPr>
          <w:rFonts w:ascii="Times New Roman;Times;serif" w:hAnsi="Times New Roman;Times;serif"/>
          <w:sz w:val="24"/>
        </w:rPr>
        <w:t>, pursuant to which (a) the Company, through the Corporate Employees, will provide certain services to Seller and its Affiliates, and (b) Seller and its Affiliates will provide certain services to the Company and its Subsidiaries.</w:t>
      </w:r>
    </w:p>
    <w:p>
      <w:pPr>
        <w:pStyle w:val="TextBody"/>
        <w:bidi w:val="0"/>
        <w:spacing w:before="0" w:after="240"/>
        <w:ind w:left="0" w:right="0" w:firstLine="720"/>
        <w:jc w:val="both"/>
        <w:rPr/>
      </w:pPr>
      <w:r>
        <w:rPr/>
        <w:t>“</w:t>
      </w:r>
      <w:r>
        <w:rPr>
          <w:rFonts w:ascii="Times New Roman;Times;serif" w:hAnsi="Times New Roman;Times;serif"/>
          <w:sz w:val="24"/>
          <w:u w:val="single"/>
        </w:rPr>
        <w:t>Treasury Regulations</w:t>
      </w:r>
      <w:r>
        <w:rPr>
          <w:rFonts w:ascii="Times New Roman;Times;serif" w:hAnsi="Times New Roman;Times;serif"/>
          <w:sz w:val="24"/>
        </w:rPr>
        <w:t>” means the United States Treasury Regulations promulgated under the Code.</w:t>
      </w:r>
    </w:p>
    <w:p>
      <w:pPr>
        <w:pStyle w:val="TextBody"/>
        <w:bidi w:val="0"/>
        <w:spacing w:before="0" w:after="240"/>
        <w:ind w:left="0" w:right="0" w:firstLine="720"/>
        <w:jc w:val="both"/>
        <w:rPr/>
      </w:pPr>
      <w:r>
        <w:rPr/>
        <w:t>“</w:t>
      </w:r>
      <w:r>
        <w:rPr>
          <w:rFonts w:ascii="Times New Roman;Times;serif" w:hAnsi="Times New Roman;Times;serif"/>
          <w:sz w:val="24"/>
          <w:u w:val="single"/>
        </w:rPr>
        <w:t>Unpaid Seller Expenses</w:t>
      </w:r>
      <w:r>
        <w:rPr>
          <w:rFonts w:ascii="Times New Roman;Times;serif" w:hAnsi="Times New Roman;Times;serif"/>
          <w:sz w:val="24"/>
        </w:rPr>
        <w:t>” means those Seller Expenses that have not been paid as of immediately prior to the Closing.</w:t>
      </w:r>
    </w:p>
    <w:p>
      <w:pPr>
        <w:pStyle w:val="TextBody"/>
        <w:bidi w:val="0"/>
        <w:spacing w:before="0" w:after="0"/>
        <w:ind w:left="0" w:right="0" w:firstLine="720"/>
        <w:jc w:val="both"/>
        <w:rPr/>
      </w:pPr>
      <w:r>
        <w:rPr/>
        <w:t>“</w:t>
      </w:r>
      <w:r>
        <w:rPr>
          <w:rFonts w:ascii="Times New Roman;Times;serif" w:hAnsi="Times New Roman;Times;serif"/>
          <w:sz w:val="24"/>
          <w:u w:val="single"/>
        </w:rPr>
        <w:t>Unpaid Income Taxes</w:t>
      </w:r>
      <w:r>
        <w:rPr>
          <w:rFonts w:ascii="Times New Roman;Times;serif" w:hAnsi="Times New Roman;Times;serif"/>
          <w:sz w:val="24"/>
        </w:rPr>
        <w:t xml:space="preserve">” means the amount (which shall not be less than zero) of any accrued and unpaid federal, state, local and non-U.S. Taxes of the Company and its Subsidiaries based on or measured by reference to gross or net income or receipts, including any gross receipts Tax, franchise Tax, commercial activity Tax or business and occupations Tax (to the extent, in each case, such Tax is imposed in lieu of an income Tax) and that are attributable to the Pre-Closing Tax Period (as apportioned with respect to any Straddle Period, pursuant to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u w:val="single"/>
        </w:rPr>
        <w:t>Section 6.1(a))</w:t>
      </w:r>
      <w:r>
        <w:rPr>
          <w:rFonts w:ascii="Times New Roman;Times;serif" w:hAnsi="Times New Roman;Times;serif"/>
          <w:sz w:val="24"/>
        </w:rPr>
        <w:t>, determined on a jurisdiction-by-jurisdiction basis, including any Taxes payable under Section 965 of the Code, regardless of whether an election under Section 965(h) of the Code has been made.</w:t>
      </w:r>
    </w:p>
    <w:p>
      <w:pPr>
        <w:pStyle w:val="TextBody"/>
        <w:bidi w:val="0"/>
        <w:spacing w:before="0" w:after="240"/>
        <w:ind w:left="0" w:right="0" w:firstLine="720"/>
        <w:jc w:val="both"/>
        <w:rPr/>
      </w:pPr>
      <w:r>
        <w:rPr/>
        <w:t>“</w:t>
      </w:r>
      <w:r>
        <w:rPr>
          <w:rFonts w:ascii="Times New Roman;Times;serif" w:hAnsi="Times New Roman;Times;serif"/>
          <w:sz w:val="24"/>
          <w:u w:val="single"/>
        </w:rPr>
        <w:t>WARN Act</w:t>
      </w:r>
      <w:r>
        <w:rPr>
          <w:rFonts w:ascii="Times New Roman;Times;serif" w:hAnsi="Times New Roman;Times;serif"/>
          <w:sz w:val="24"/>
        </w:rPr>
        <w:t xml:space="preserve">” has the meaning set forth in </w:t>
      </w:r>
      <w:r>
        <w:rPr>
          <w:rFonts w:ascii="Times New Roman;Times;serif" w:hAnsi="Times New Roman;Times;serif"/>
          <w:sz w:val="24"/>
          <w:u w:val="single"/>
        </w:rPr>
        <w:t>Section 3.14(c)</w:t>
      </w:r>
      <w:r>
        <w:rPr>
          <w:rFonts w:ascii="Times New Roman;Times;serif" w:hAnsi="Times New Roman;Times;serif"/>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II</w:t>
      </w:r>
      <w:r>
        <w:rPr>
          <w:rFonts w:ascii="Times New Roman;Times;serif" w:hAnsi="Times New Roman;Times;serif"/>
          <w:b/>
          <w:sz w:val="24"/>
        </w:rPr>
        <w:t>​</w:t>
        <w:br/>
      </w:r>
      <w:bookmarkStart w:id="2237" w:name="_Toc235366485"/>
      <w:bookmarkStart w:id="2238" w:name="_Toc235204763"/>
      <w:bookmarkStart w:id="2239" w:name="_Toc235142668"/>
      <w:bookmarkStart w:id="2240" w:name="_Toc228481551"/>
      <w:bookmarkStart w:id="2241" w:name="_Ref83652476"/>
      <w:bookmarkStart w:id="2242" w:name="_Toc892090"/>
      <w:bookmarkStart w:id="2243" w:name="_Ref507269715"/>
      <w:bookmarkStart w:id="2244" w:name="_Ref507269428"/>
      <w:bookmarkStart w:id="2245" w:name="_Toc465317273"/>
      <w:bookmarkStart w:id="2246" w:name="_Toc464684529"/>
      <w:bookmarkStart w:id="2247" w:name="_Toc464561839"/>
      <w:bookmarkStart w:id="2248" w:name="_Toc440773728"/>
      <w:bookmarkStart w:id="2249" w:name="_Ref440767592"/>
      <w:bookmarkStart w:id="2250" w:name="_Toc440766863"/>
      <w:bookmarkStart w:id="2251" w:name="_Toc440765275"/>
      <w:bookmarkStart w:id="2252" w:name="_Toc440764515"/>
      <w:bookmarkStart w:id="2253" w:name="_Toc440760955"/>
      <w:bookmarkStart w:id="2254" w:name="_Ref416482761"/>
      <w:bookmarkStart w:id="2255" w:name="_Toc416469679"/>
      <w:bookmarkStart w:id="2256" w:name="_Toc128463256"/>
      <w:bookmarkStart w:id="2257" w:name="_Toc101210298"/>
      <w:bookmarkStart w:id="2258" w:name="_Toc518197918"/>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r>
        <w:rPr>
          <w:rFonts w:ascii="Times New Roman;Times;serif" w:hAnsi="Times New Roman;Times;serif"/>
          <w:b/>
          <w:sz w:val="24"/>
        </w:rPr>
        <w:t>Stock Purchase; Closing</w:t>
      </w:r>
      <w:bookmarkStart w:id="2259" w:name="_Toc128463257"/>
      <w:bookmarkStart w:id="2260" w:name="_Ref107686994"/>
      <w:bookmarkStart w:id="2261" w:name="_Ref107678250"/>
      <w:bookmarkStart w:id="2262" w:name="_Ref107678240"/>
      <w:bookmarkStart w:id="2263" w:name="_Ref107678053"/>
      <w:bookmarkStart w:id="2264" w:name="_Toc101210299"/>
      <w:bookmarkStart w:id="2265" w:name="_Ref23053608"/>
      <w:bookmarkStart w:id="2266" w:name="_Toc518197920"/>
      <w:bookmarkEnd w:id="2259"/>
      <w:bookmarkEnd w:id="2260"/>
      <w:bookmarkEnd w:id="2261"/>
      <w:bookmarkEnd w:id="2262"/>
      <w:bookmarkEnd w:id="2263"/>
      <w:bookmarkEnd w:id="2264"/>
      <w:bookmarkEnd w:id="2265"/>
      <w:bookmarkEnd w:id="2266"/>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2.1</w:t>
      </w:r>
      <w:bookmarkStart w:id="2267" w:name="_Toc235366486"/>
      <w:bookmarkStart w:id="2268" w:name="_Toc235204764"/>
      <w:bookmarkStart w:id="2269" w:name="_Toc235142669"/>
      <w:bookmarkStart w:id="2270" w:name="_Toc228481552"/>
      <w:bookmarkStart w:id="2271" w:name="_Ref83652477"/>
      <w:bookmarkStart w:id="2272" w:name="_Toc892091"/>
      <w:bookmarkStart w:id="2273" w:name="_Ref507269716"/>
      <w:bookmarkStart w:id="2274" w:name="_Ref507269429"/>
      <w:bookmarkStart w:id="2275" w:name="_Toc465317274"/>
      <w:bookmarkStart w:id="2276" w:name="_Toc464684530"/>
      <w:bookmarkStart w:id="2277" w:name="_Toc464561840"/>
      <w:bookmarkStart w:id="2278" w:name="_Toc440773729"/>
      <w:bookmarkStart w:id="2279" w:name="_Ref440767593"/>
      <w:bookmarkStart w:id="2280" w:name="_Toc440766864"/>
      <w:bookmarkStart w:id="2281" w:name="_Toc440765276"/>
      <w:bookmarkStart w:id="2282" w:name="_Toc440764516"/>
      <w:bookmarkStart w:id="2283" w:name="_Toc440760956"/>
      <w:bookmarkStart w:id="2284" w:name="_Ref416482762"/>
      <w:bookmarkStart w:id="2285" w:name="_Toc416469680"/>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r>
        <w:rPr>
          <w:rFonts w:ascii="Times New Roman;Times;serif" w:hAnsi="Times New Roman;Times;serif"/>
          <w:sz w:val="24"/>
          <w:u w:val="single"/>
        </w:rPr>
        <w:t>Purchase and Sale</w:t>
      </w:r>
      <w:r>
        <w:rPr>
          <w:rFonts w:ascii="Times New Roman;Times;serif" w:hAnsi="Times New Roman;Times;serif"/>
          <w:sz w:val="24"/>
        </w:rPr>
        <w:t xml:space="preserve">.  Subject to the terms and conditions of this Agreement, Seller shall sell, assign, transfer and convey to Buyer, free and clear of all Liens and restrictions on transfer (other than restrictions on transfer under applicable securities Laws), and Buyer shall purchase and acquire from Seller, all of the Company Shares and, in exchange, Buyer shall pay the Estimated Purchase Price to Seller (in accordance with </w:t>
      </w:r>
      <w:r>
        <w:rPr>
          <w:rFonts w:ascii="Times New Roman;Times;serif" w:hAnsi="Times New Roman;Times;serif"/>
          <w:sz w:val="24"/>
          <w:u w:val="single"/>
        </w:rPr>
        <w:t>Section 2.3</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2.2</w:t>
      </w:r>
      <w:bookmarkStart w:id="2286" w:name="_Hlk231652339"/>
      <w:bookmarkStart w:id="2287" w:name="_Toc235366487"/>
      <w:bookmarkStart w:id="2288" w:name="_Toc235204765"/>
      <w:bookmarkStart w:id="2289" w:name="_Toc235142670"/>
      <w:bookmarkStart w:id="2290" w:name="_Toc228481553"/>
      <w:bookmarkStart w:id="2291" w:name="_9kR3WTr28BEJD9CeRjFH083zy"/>
      <w:bookmarkStart w:id="2292" w:name="_Toc892092"/>
      <w:bookmarkStart w:id="2293" w:name="_Toc465317275"/>
      <w:bookmarkStart w:id="2294" w:name="_Toc464684531"/>
      <w:bookmarkStart w:id="2295" w:name="_Toc464561841"/>
      <w:bookmarkStart w:id="2296" w:name="_Toc440773730"/>
      <w:bookmarkStart w:id="2297" w:name="_Toc440766865"/>
      <w:bookmarkStart w:id="2298" w:name="_Toc440765277"/>
      <w:bookmarkStart w:id="2299" w:name="_Toc440764517"/>
      <w:bookmarkStart w:id="2300" w:name="_Toc440760957"/>
      <w:bookmarkStart w:id="2301" w:name="_Ref416485531"/>
      <w:bookmarkStart w:id="2302" w:name="_Ref416482763"/>
      <w:bookmarkStart w:id="2303" w:name="_Toc416469683"/>
      <w:bookmarkStart w:id="2304" w:name="_Ref331623424"/>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r>
        <w:rPr>
          <w:rFonts w:ascii="Times New Roman;Times;serif" w:hAnsi="Times New Roman;Times;serif"/>
          <w:sz w:val="24"/>
          <w:u w:val="single"/>
        </w:rPr>
        <w:t>Closing</w:t>
      </w:r>
      <w:r>
        <w:rPr>
          <w:rFonts w:ascii="Times New Roman;Times;serif" w:hAnsi="Times New Roman;Times;serif"/>
          <w:sz w:val="24"/>
        </w:rPr>
        <w:t>.  The consummation of the transactions contemplated by this Agreement (collectively, the “</w:t>
      </w:r>
      <w:r>
        <w:rPr>
          <w:rFonts w:ascii="Times New Roman;Times;serif" w:hAnsi="Times New Roman;Times;serif"/>
          <w:sz w:val="24"/>
          <w:u w:val="single"/>
        </w:rPr>
        <w:t>Closing</w:t>
      </w:r>
      <w:r>
        <w:rPr>
          <w:rFonts w:ascii="Times New Roman;Times;serif" w:hAnsi="Times New Roman;Times;serif"/>
          <w:sz w:val="24"/>
        </w:rPr>
        <w:t xml:space="preserve">”) will take place remotely by the exchange of documents and signatures (or their electronic counterparts), no later than five Business Days after the last of the conditions to Closing set forth in </w:t>
      </w:r>
      <w:r>
        <w:rPr>
          <w:rFonts w:ascii="Times New Roman;Times;serif" w:hAnsi="Times New Roman;Times;serif"/>
          <w:sz w:val="24"/>
          <w:u w:val="single"/>
        </w:rPr>
        <w:t>Article VII</w:t>
      </w:r>
      <w:r>
        <w:rPr>
          <w:rFonts w:ascii="Times New Roman;Times;serif" w:hAnsi="Times New Roman;Times;serif"/>
          <w:sz w:val="24"/>
        </w:rPr>
        <w:t xml:space="preserve"> has been satisfied or waived by the party or parties entitled to waive the same (other than conditions which, by their nature, are to be satisfied on the Closing Date, but are capable of being satisfied on the Closing Date), or at such other time or on such other date or at such other place as Seller and Buyer may mutually agree upon in writing, which date shall be referred to as the “</w:t>
      </w:r>
      <w:r>
        <w:rPr>
          <w:rFonts w:ascii="Times New Roman;Times;serif" w:hAnsi="Times New Roman;Times;serif"/>
          <w:sz w:val="24"/>
          <w:u w:val="single"/>
        </w:rPr>
        <w:t>Closing Date</w:t>
      </w:r>
      <w:r>
        <w:rPr>
          <w:rFonts w:ascii="Times New Roman;Times;serif" w:hAnsi="Times New Roman;Times;serif"/>
          <w:sz w:val="24"/>
        </w:rPr>
        <w:t>”.  The Closing shall be effective as of 12:01 a.m., Eastern Time, on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2.3</w:t>
      </w:r>
      <w:bookmarkStart w:id="2305" w:name="_Ref331602179"/>
      <w:bookmarkStart w:id="2306" w:name="_Ref331602484"/>
      <w:bookmarkStart w:id="2307" w:name="_Toc235366488"/>
      <w:bookmarkStart w:id="2308" w:name="_Toc235204766"/>
      <w:bookmarkStart w:id="2309" w:name="_Toc235142671"/>
      <w:bookmarkStart w:id="2310" w:name="_Ref231497452"/>
      <w:bookmarkStart w:id="2311" w:name="_Toc228481555"/>
      <w:bookmarkStart w:id="2312" w:name="_Ref228387369"/>
      <w:bookmarkStart w:id="2313" w:name="_Ref228348394"/>
      <w:bookmarkStart w:id="2314" w:name="_Ref228348268"/>
      <w:bookmarkStart w:id="2315" w:name="_Ref226592352"/>
      <w:bookmarkStart w:id="2316" w:name="_Ref225445036"/>
      <w:bookmarkStart w:id="2317" w:name="_Ref416482780"/>
      <w:bookmarkStart w:id="2318" w:name="_Ref507428910"/>
      <w:bookmarkStart w:id="2319" w:name="_Ref507428807"/>
      <w:bookmarkStart w:id="2320" w:name="_Ref440766482"/>
      <w:bookmarkStart w:id="2321" w:name="_Ref464614591"/>
      <w:bookmarkStart w:id="2322" w:name="_Ref436650222"/>
      <w:bookmarkStart w:id="2323" w:name="_Ref507428280"/>
      <w:bookmarkStart w:id="2324" w:name="_Ref83652480"/>
      <w:bookmarkStart w:id="2325" w:name="_Toc892094"/>
      <w:bookmarkStart w:id="2326" w:name="_Ref507269718"/>
      <w:bookmarkStart w:id="2327" w:name="_Ref507269437"/>
      <w:bookmarkStart w:id="2328" w:name="_Ref507181057"/>
      <w:bookmarkStart w:id="2329" w:name="_Toc465317277"/>
      <w:bookmarkStart w:id="2330" w:name="_Toc464684533"/>
      <w:bookmarkStart w:id="2331" w:name="_Toc464561843"/>
      <w:bookmarkStart w:id="2332" w:name="_Toc440773732"/>
      <w:bookmarkStart w:id="2333" w:name="_Ref440767598"/>
      <w:bookmarkStart w:id="2334" w:name="_Toc440766867"/>
      <w:bookmarkStart w:id="2335" w:name="_Toc440765279"/>
      <w:bookmarkStart w:id="2336" w:name="_Toc440764519"/>
      <w:bookmarkStart w:id="2337" w:name="_Toc440760959"/>
      <w:bookmarkStart w:id="2338" w:name="_Ref436650160"/>
      <w:bookmarkStart w:id="2339" w:name="_Ref436650157"/>
      <w:bookmarkStart w:id="2340" w:name="_Ref416484193"/>
      <w:bookmarkStart w:id="2341" w:name="_Toc416469685"/>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r>
        <w:rPr>
          <w:rFonts w:ascii="Times New Roman;Times;serif" w:hAnsi="Times New Roman;Times;serif"/>
          <w:sz w:val="24"/>
          <w:u w:val="single"/>
        </w:rPr>
        <w:t>Purchase Price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342" w:name="_Ref331609267"/>
      <w:bookmarkStart w:id="2343" w:name="_Ref507269438"/>
      <w:bookmarkStart w:id="2344" w:name="_Toc235204767"/>
      <w:bookmarkStart w:id="2345" w:name="_Ref234687859"/>
      <w:bookmarkStart w:id="2346" w:name="_Ref232457225"/>
      <w:bookmarkEnd w:id="2342"/>
      <w:bookmarkEnd w:id="2343"/>
      <w:bookmarkEnd w:id="2344"/>
      <w:bookmarkEnd w:id="2345"/>
      <w:bookmarkEnd w:id="2346"/>
      <w:r>
        <w:rPr>
          <w:rFonts w:ascii="Times New Roman;Times;serif" w:hAnsi="Times New Roman;Times;serif"/>
          <w:sz w:val="24"/>
          <w:u w:val="single"/>
        </w:rPr>
        <w:t>Estimated Purchase Price</w:t>
      </w:r>
      <w:r>
        <w:rPr>
          <w:rFonts w:ascii="Times New Roman;Times;serif" w:hAnsi="Times New Roman;Times;serif"/>
          <w:sz w:val="24"/>
        </w:rPr>
        <w:t>.  At least five Business Days prior to the Closing, Seller shall prepare and deliver to Buyer a good faith calculation and estimate (the “</w:t>
      </w:r>
      <w:r>
        <w:rPr>
          <w:rFonts w:ascii="Times New Roman;Times;serif" w:hAnsi="Times New Roman;Times;serif"/>
          <w:sz w:val="24"/>
          <w:u w:val="single"/>
        </w:rPr>
        <w:t>Preliminary Closing Statement</w:t>
      </w:r>
      <w:r>
        <w:rPr>
          <w:rFonts w:ascii="Times New Roman;Times;serif" w:hAnsi="Times New Roman;Times;serif"/>
          <w:sz w:val="24"/>
        </w:rPr>
        <w:t xml:space="preserve">”) of: </w:t>
      </w:r>
      <w:bookmarkStart w:id="2347" w:name="_9kR3WTrAGBEE89Enfzzlfo3CCCE1QRAID98YNAI"/>
      <w:bookmarkStart w:id="2348" w:name="DocXTextRef71"/>
      <w:bookmarkEnd w:id="2347"/>
      <w:bookmarkEnd w:id="2348"/>
      <w:r>
        <w:rPr>
          <w:rFonts w:ascii="Times New Roman;Times;serif" w:hAnsi="Times New Roman;Times;serif"/>
          <w:sz w:val="24"/>
        </w:rPr>
        <w:t>(i) the amount of Closing Cash and Cash Equivalents (the “</w:t>
      </w:r>
      <w:r>
        <w:rPr>
          <w:rFonts w:ascii="Times New Roman;Times;serif" w:hAnsi="Times New Roman;Times;serif"/>
          <w:sz w:val="24"/>
          <w:u w:val="single"/>
        </w:rPr>
        <w:t>Estimated Cash and Cash Equivalents</w:t>
      </w:r>
      <w:r>
        <w:rPr>
          <w:rFonts w:ascii="Times New Roman;Times;serif" w:hAnsi="Times New Roman;Times;serif"/>
          <w:sz w:val="24"/>
        </w:rPr>
        <w:t xml:space="preserve">”), </w:t>
      </w:r>
      <w:bookmarkStart w:id="2349" w:name="DocXTextRef72"/>
      <w:bookmarkEnd w:id="2349"/>
      <w:r>
        <w:rPr>
          <w:rFonts w:ascii="Times New Roman;Times;serif" w:hAnsi="Times New Roman;Times;serif"/>
          <w:sz w:val="24"/>
        </w:rPr>
        <w:t>(ii) the Net Working Capital and the resulting Net Working Capital Adjustment (the “</w:t>
      </w:r>
      <w:r>
        <w:rPr>
          <w:rFonts w:ascii="Times New Roman;Times;serif" w:hAnsi="Times New Roman;Times;serif"/>
          <w:sz w:val="24"/>
          <w:u w:val="single"/>
        </w:rPr>
        <w:t>Estimated Net Working Capital Adjustment</w:t>
      </w:r>
      <w:r>
        <w:rPr>
          <w:rFonts w:ascii="Times New Roman;Times;serif" w:hAnsi="Times New Roman;Times;serif"/>
          <w:sz w:val="24"/>
        </w:rPr>
        <w:t xml:space="preserve">”), </w:t>
      </w:r>
      <w:bookmarkStart w:id="2350" w:name="DocXTextRef73"/>
      <w:bookmarkEnd w:id="2350"/>
      <w:r>
        <w:rPr>
          <w:rFonts w:ascii="Times New Roman;Times;serif" w:hAnsi="Times New Roman;Times;serif"/>
          <w:sz w:val="24"/>
        </w:rPr>
        <w:t>(iii) the amount of Closing Indebtedness (the “</w:t>
      </w:r>
      <w:r>
        <w:rPr>
          <w:rFonts w:ascii="Times New Roman;Times;serif" w:hAnsi="Times New Roman;Times;serif"/>
          <w:sz w:val="24"/>
          <w:u w:val="single"/>
        </w:rPr>
        <w:t>Estimated Closing Indebtedness</w:t>
      </w:r>
      <w:r>
        <w:rPr>
          <w:rFonts w:ascii="Times New Roman;Times;serif" w:hAnsi="Times New Roman;Times;serif"/>
          <w:sz w:val="24"/>
        </w:rPr>
        <w:t xml:space="preserve">”), </w:t>
      </w:r>
      <w:bookmarkStart w:id="2351" w:name="DocXTextRef74"/>
      <w:bookmarkEnd w:id="2351"/>
      <w:r>
        <w:rPr>
          <w:rFonts w:ascii="Times New Roman;Times;serif" w:hAnsi="Times New Roman;Times;serif"/>
          <w:sz w:val="24"/>
        </w:rPr>
        <w:t>(iv) the amount of Unpaid Seller Expenses (the “</w:t>
      </w:r>
      <w:r>
        <w:rPr>
          <w:rFonts w:ascii="Times New Roman;Times;serif" w:hAnsi="Times New Roman;Times;serif"/>
          <w:sz w:val="24"/>
          <w:u w:val="single"/>
        </w:rPr>
        <w:t>Estimated Unpaid Seller Expenses</w:t>
      </w:r>
      <w:r>
        <w:rPr>
          <w:rFonts w:ascii="Times New Roman;Times;serif" w:hAnsi="Times New Roman;Times;serif"/>
          <w:sz w:val="24"/>
        </w:rPr>
        <w:t xml:space="preserve">”), </w:t>
      </w:r>
      <w:bookmarkStart w:id="2352" w:name="_9kR3WTrAGBEE9AEnsCzlfo3CCCE1ilD1vzldEJF"/>
      <w:bookmarkStart w:id="2353" w:name="DocXTextRef75"/>
      <w:bookmarkEnd w:id="2352"/>
      <w:bookmarkEnd w:id="2353"/>
      <w:r>
        <w:rPr>
          <w:rFonts w:ascii="Times New Roman;Times;serif" w:hAnsi="Times New Roman;Times;serif"/>
          <w:sz w:val="24"/>
        </w:rPr>
        <w:t>(v) the amount of Unpaid Income Taxes (the “</w:t>
      </w:r>
      <w:r>
        <w:rPr>
          <w:rFonts w:ascii="Times New Roman;Times;serif" w:hAnsi="Times New Roman;Times;serif"/>
          <w:sz w:val="24"/>
          <w:u w:val="single"/>
        </w:rPr>
        <w:t>Estimated Unpaid Income Taxes</w:t>
      </w:r>
      <w:r>
        <w:rPr>
          <w:rFonts w:ascii="Times New Roman;Times;serif" w:hAnsi="Times New Roman;Times;serif"/>
          <w:sz w:val="24"/>
        </w:rPr>
        <w:t xml:space="preserve">”) and (vi) using the amounts referred to in </w:t>
      </w:r>
      <w:bookmarkStart w:id="2354" w:name="_9kMHG5YVtCIDGGABGph11nhq5EEEG3STCKFBAaP"/>
      <w:bookmarkEnd w:id="2354"/>
      <w:r>
        <w:rPr>
          <w:rFonts w:ascii="Times New Roman;Times;serif" w:hAnsi="Times New Roman;Times;serif"/>
          <w:sz w:val="24"/>
        </w:rPr>
        <w:t>clauses </w:t>
      </w:r>
      <w:bookmarkStart w:id="2355" w:name="DocXTextRef76"/>
      <w:bookmarkEnd w:id="2355"/>
      <w:r>
        <w:rPr>
          <w:rFonts w:ascii="Times New Roman;Times;serif" w:hAnsi="Times New Roman;Times;serif"/>
          <w:sz w:val="24"/>
        </w:rPr>
        <w:t xml:space="preserve">(i) through </w:t>
      </w:r>
      <w:bookmarkStart w:id="2356" w:name="_9kMHG5YVtCIDGGBCGpuE1nhq5EEEG3knF3x1nfG"/>
      <w:bookmarkStart w:id="2357" w:name="DocXTextRef77"/>
      <w:bookmarkEnd w:id="2356"/>
      <w:bookmarkEnd w:id="2357"/>
      <w:r>
        <w:rPr>
          <w:rFonts w:ascii="Times New Roman;Times;serif" w:hAnsi="Times New Roman;Times;serif"/>
          <w:sz w:val="24"/>
        </w:rPr>
        <w:t>(v), the resulting calculation of the Estimated Purchase Price, together with reasonable supporting detail and documentation.  The Preliminary Closing Statement, and each element of the Preliminary Closing Statement shall be prepared in accordance with the Accounting Principles and the applicable definitions herein.  Buyer shall have the right to review and comment on the Preliminary Closing Statement and Seller shall consider such comments in good faith and revise the Preliminary Closing Statement as appropriate to reflect any agreed adjustments thereto, it being understood and agreed that Buyer’s proposal of revisions or failure to propose any revisions to the Preliminary Closing Statement shall not be deemed to waive or otherwise impair any rights of Buyer pursuant to this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358" w:name="_Toc235204768"/>
      <w:bookmarkStart w:id="2359" w:name="_Ref507251467"/>
      <w:bookmarkEnd w:id="2358"/>
      <w:bookmarkEnd w:id="2359"/>
      <w:r>
        <w:rPr>
          <w:rFonts w:ascii="Times New Roman;Times;serif" w:hAnsi="Times New Roman;Times;serif"/>
          <w:sz w:val="24"/>
          <w:u w:val="single"/>
        </w:rPr>
        <w:t>Closing Payments</w:t>
      </w:r>
      <w:r>
        <w:rPr>
          <w:rFonts w:ascii="Times New Roman;Times;serif" w:hAnsi="Times New Roman;Times;serif"/>
          <w:sz w:val="24"/>
        </w:rPr>
        <w:t>.  At the Closing, Buyer shall pay or cause to be paid by wire transfer of immediately available funds, the Estimated Purchase Price as follows:</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2360" w:name="_Ref416482783"/>
      <w:bookmarkStart w:id="2361" w:name="_Ref331783994"/>
      <w:bookmarkStart w:id="2362" w:name="_Ref416482781"/>
      <w:bookmarkStart w:id="2363" w:name="_Ref440766626"/>
      <w:bookmarkStart w:id="2364" w:name="_Ref507269439"/>
      <w:bookmarkStart w:id="2365" w:name="_Ref7364804"/>
      <w:bookmarkEnd w:id="2360"/>
      <w:bookmarkEnd w:id="2361"/>
      <w:bookmarkEnd w:id="2362"/>
      <w:bookmarkEnd w:id="2363"/>
      <w:bookmarkEnd w:id="2364"/>
      <w:bookmarkEnd w:id="2365"/>
      <w:r>
        <w:rPr>
          <w:rFonts w:ascii="Times New Roman;Times;serif" w:hAnsi="Times New Roman;Times;serif"/>
          <w:sz w:val="24"/>
        </w:rPr>
        <w:t>$[***] (the “</w:t>
      </w:r>
      <w:r>
        <w:rPr>
          <w:rFonts w:ascii="Times New Roman;Times;serif" w:hAnsi="Times New Roman;Times;serif"/>
          <w:sz w:val="24"/>
          <w:u w:val="single"/>
        </w:rPr>
        <w:t>Adjustment Escrow Amount</w:t>
      </w:r>
      <w:r>
        <w:rPr>
          <w:rFonts w:ascii="Times New Roman;Times;serif" w:hAnsi="Times New Roman;Times;serif"/>
          <w:sz w:val="24"/>
        </w:rPr>
        <w:t xml:space="preserve">”) and $[***] (the “[***] </w:t>
      </w:r>
      <w:r>
        <w:rPr>
          <w:rFonts w:ascii="Times New Roman;Times;serif" w:hAnsi="Times New Roman;Times;serif"/>
          <w:sz w:val="24"/>
          <w:u w:val="single"/>
        </w:rPr>
        <w:t>Escrow Amount</w:t>
      </w:r>
      <w:r>
        <w:rPr>
          <w:rFonts w:ascii="Times New Roman;Times;serif" w:hAnsi="Times New Roman;Times;serif"/>
          <w:sz w:val="24"/>
        </w:rPr>
        <w:t>”) to the Escrow Agent, which amount shall be deposited into segregated accounts established and maintained at Western Alliance Bank (the “</w:t>
      </w:r>
      <w:r>
        <w:rPr>
          <w:rFonts w:ascii="Times New Roman;Times;serif" w:hAnsi="Times New Roman;Times;serif"/>
          <w:sz w:val="24"/>
          <w:u w:val="single"/>
        </w:rPr>
        <w:t>Escrow Agent</w:t>
      </w:r>
      <w:r>
        <w:rPr>
          <w:rFonts w:ascii="Times New Roman;Times;serif" w:hAnsi="Times New Roman;Times;serif"/>
          <w:sz w:val="24"/>
        </w:rPr>
        <w:t xml:space="preserve">”) for credit toward, respectively, the Adjustment Escrow Fund and the [***]Escrow Fund with each to be held and delivered by the Escrow Agent in accordance with the terms and provisions of this Agreement and the </w:t>
      </w:r>
      <w:bookmarkStart w:id="2366" w:name="_9kMNM5YVt4CFGJKUNss5BYD10oxy0G"/>
      <w:bookmarkEnd w:id="2366"/>
      <w:r>
        <w:rPr>
          <w:rFonts w:ascii="Times New Roman;Times;serif" w:hAnsi="Times New Roman;Times;serif"/>
          <w:sz w:val="24"/>
        </w:rPr>
        <w:t>Escrow Agreement;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2367" w:name="_9kR3WTr29CEHJHEogop11nyzvsp3zr6H6CF1XZI"/>
      <w:bookmarkStart w:id="2368" w:name="_Ref440767599"/>
      <w:bookmarkStart w:id="2369" w:name="_Ref331783995"/>
      <w:bookmarkEnd w:id="2367"/>
      <w:bookmarkEnd w:id="2368"/>
      <w:bookmarkEnd w:id="2369"/>
      <w:r>
        <w:rPr>
          <w:rFonts w:ascii="Times New Roman;Times;serif" w:hAnsi="Times New Roman;Times;serif"/>
          <w:sz w:val="24"/>
        </w:rPr>
        <w:t xml:space="preserve">the remainder of the Estimated Purchase Price after taking into account the payment described in the preceding clause (i), which amount shall be deposited into the account designated in writing by Seller at least two Business Days </w:t>
      </w:r>
      <w:bookmarkStart w:id="2370" w:name="_Ref440767788"/>
      <w:bookmarkEnd w:id="2370"/>
      <w:r>
        <w:rPr>
          <w:rFonts w:ascii="Times New Roman;Times;serif" w:hAnsi="Times New Roman;Times;serif"/>
          <w:sz w:val="24"/>
        </w:rPr>
        <w:t>prior to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2371" w:name="_Toc235204769"/>
      <w:bookmarkStart w:id="2372" w:name="_Ref83652481"/>
      <w:bookmarkEnd w:id="2371"/>
      <w:bookmarkEnd w:id="2372"/>
      <w:r>
        <w:rPr>
          <w:rFonts w:ascii="Times New Roman;Times;serif" w:hAnsi="Times New Roman;Times;serif"/>
          <w:sz w:val="24"/>
          <w:u w:val="single"/>
        </w:rPr>
        <w:t>Other Payments</w:t>
      </w:r>
      <w:r>
        <w:rPr>
          <w:rFonts w:ascii="Times New Roman;Times;serif" w:hAnsi="Times New Roman;Times;serif"/>
          <w:sz w:val="24"/>
        </w:rPr>
        <w:t>.  At the Closing, Buyer shall pay, or shall cause to be paid, by wire transfer of immediately available funds, each the following payments: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2373" w:name="_Ref83652482"/>
      <w:bookmarkEnd w:id="2373"/>
      <w:r>
        <w:rPr>
          <w:rFonts w:ascii="Times New Roman;Times;serif" w:hAnsi="Times New Roman;Times;serif"/>
          <w:sz w:val="24"/>
        </w:rPr>
        <w:t xml:space="preserve">the portion of Estimated Closing Indebtedness payable to each applicable third party to whom Estimated Closing Indebtedness is owed as of the Closing, in accordance with the terms of the applicable payoff letter or release and related wire instructions from each such creditor or recipient thereof delivered pursuant to </w:t>
      </w:r>
      <w:r>
        <w:rPr>
          <w:rFonts w:ascii="Times New Roman;Times;serif" w:hAnsi="Times New Roman;Times;serif"/>
          <w:sz w:val="24"/>
          <w:u w:val="single"/>
        </w:rPr>
        <w:t>Section 7.2(g)</w:t>
      </w:r>
      <w:r>
        <w:rPr>
          <w:rFonts w:ascii="Times New Roman;Times;serif" w:hAnsi="Times New Roman;Times;serif"/>
          <w:sz w:val="24"/>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2374" w:name="_Ref83652483"/>
      <w:bookmarkEnd w:id="2374"/>
      <w:r>
        <w:rPr>
          <w:rFonts w:ascii="Times New Roman;Times;serif" w:hAnsi="Times New Roman;Times;serif"/>
          <w:sz w:val="24"/>
        </w:rPr>
        <w:t>the portion of the Estimated Unpaid Seller Expenses (other than Change of Control Payments and Closing Payroll Taxes related thereto) payable to each applicable third party to whom Estimated Unpaid Seller Expenses are owed as of the Closing, in accordance with invoices and payment instructions, including wire instructions, provided by Seller at least five Business Days prior to the Closing Date; and</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(iii)</w:t>
      </w:r>
      <w:bookmarkStart w:id="2375" w:name="_Ref83652484"/>
      <w:bookmarkEnd w:id="2375"/>
      <w:r>
        <w:rPr>
          <w:rFonts w:ascii="Times New Roman;Times;serif" w:hAnsi="Times New Roman;Times;serif"/>
          <w:sz w:val="24"/>
        </w:rPr>
        <w:t>the amount of all Change of Control Payments plus the Closing Payroll Taxes related thereto to the Company, which amount shall be deposited into an account of the Company designated in writing by Seller at least five Business Days prior to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2376" w:name="_Toc235204770"/>
      <w:bookmarkStart w:id="2377" w:name="_Ref331603310"/>
      <w:bookmarkEnd w:id="2376"/>
      <w:bookmarkEnd w:id="2377"/>
      <w:r>
        <w:rPr>
          <w:rFonts w:ascii="Times New Roman;Times;serif" w:hAnsi="Times New Roman;Times;serif"/>
          <w:sz w:val="24"/>
          <w:u w:val="single"/>
        </w:rPr>
        <w:t>Determination of Final Purchase Price</w:t>
      </w:r>
      <w:r>
        <w:rPr>
          <w:rFonts w:ascii="Times New Roman;Times;serif" w:hAnsi="Times New Roman;Times;serif"/>
          <w:sz w:val="24"/>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2378" w:name="_Ref22707054"/>
      <w:bookmarkStart w:id="2379" w:name="_Ref107682231"/>
      <w:bookmarkStart w:id="2380" w:name="_Ref75871248"/>
      <w:bookmarkStart w:id="2381" w:name="_Ref22705672"/>
      <w:bookmarkStart w:id="2382" w:name="_Ref418022382"/>
      <w:bookmarkEnd w:id="2378"/>
      <w:bookmarkEnd w:id="2379"/>
      <w:bookmarkEnd w:id="2380"/>
      <w:bookmarkEnd w:id="2381"/>
      <w:bookmarkEnd w:id="2382"/>
      <w:r>
        <w:rPr>
          <w:rFonts w:ascii="Times New Roman;Times;serif" w:hAnsi="Times New Roman;Times;serif"/>
          <w:sz w:val="24"/>
        </w:rPr>
        <w:t>Within 90 days after the Closing Date, Buyer shall deliver to Seller a good faith calculation (the “</w:t>
      </w:r>
      <w:r>
        <w:rPr>
          <w:rFonts w:ascii="Times New Roman;Times;serif" w:hAnsi="Times New Roman;Times;serif"/>
          <w:sz w:val="24"/>
          <w:u w:val="single"/>
        </w:rPr>
        <w:t>Closing Statement</w:t>
      </w:r>
      <w:r>
        <w:rPr>
          <w:rFonts w:ascii="Times New Roman;Times;serif" w:hAnsi="Times New Roman;Times;serif"/>
          <w:sz w:val="24"/>
        </w:rPr>
        <w:t xml:space="preserve">”) of: </w:t>
      </w:r>
      <w:bookmarkStart w:id="2383" w:name="_9kR3WTrAGBEEABEqiGM0mgp4DDDF2RSBJEA9ZOB"/>
      <w:bookmarkStart w:id="2384" w:name="DocXTextRef85"/>
      <w:bookmarkEnd w:id="2383"/>
      <w:bookmarkEnd w:id="2384"/>
      <w:r>
        <w:rPr>
          <w:rFonts w:ascii="Times New Roman;Times;serif" w:hAnsi="Times New Roman;Times;serif"/>
          <w:sz w:val="24"/>
        </w:rPr>
        <w:t xml:space="preserve">(A) the amount of Closing Cash and Cash Equivalents, </w:t>
      </w:r>
      <w:bookmarkStart w:id="2385" w:name="DocXTextRef86"/>
      <w:bookmarkEnd w:id="2385"/>
      <w:r>
        <w:rPr>
          <w:rFonts w:ascii="Times New Roman;Times;serif" w:hAnsi="Times New Roman;Times;serif"/>
          <w:sz w:val="24"/>
        </w:rPr>
        <w:t xml:space="preserve">(B) the Net Working Capital and the resulting Net Working Capital Adjustment, </w:t>
      </w:r>
      <w:bookmarkStart w:id="2386" w:name="DocXTextRef87"/>
      <w:bookmarkEnd w:id="2386"/>
      <w:r>
        <w:rPr>
          <w:rFonts w:ascii="Times New Roman;Times;serif" w:hAnsi="Times New Roman;Times;serif"/>
          <w:sz w:val="24"/>
        </w:rPr>
        <w:t xml:space="preserve">(C) the amount of Closing Indebtedness, </w:t>
      </w:r>
      <w:bookmarkStart w:id="2387" w:name="DocXTextRef88"/>
      <w:bookmarkEnd w:id="2387"/>
      <w:r>
        <w:rPr>
          <w:rFonts w:ascii="Times New Roman;Times;serif" w:hAnsi="Times New Roman;Times;serif"/>
          <w:sz w:val="24"/>
        </w:rPr>
        <w:t xml:space="preserve">(D) the amount of Unpaid Seller Expenses, </w:t>
      </w:r>
      <w:bookmarkStart w:id="2388" w:name="_9kR3WTrAGBEEBCEqiKQ0mgp4DDDF2jmE2w0meFK"/>
      <w:bookmarkStart w:id="2389" w:name="DocXTextRef89"/>
      <w:bookmarkEnd w:id="2388"/>
      <w:bookmarkEnd w:id="2389"/>
      <w:r>
        <w:rPr>
          <w:rFonts w:ascii="Times New Roman;Times;serif" w:hAnsi="Times New Roman;Times;serif"/>
          <w:sz w:val="24"/>
        </w:rPr>
        <w:t xml:space="preserve">(E) the amount of Unpaid Income Taxes and </w:t>
      </w:r>
      <w:bookmarkStart w:id="2390" w:name="DocXTextRef90"/>
      <w:bookmarkEnd w:id="2390"/>
      <w:r>
        <w:rPr>
          <w:rFonts w:ascii="Times New Roman;Times;serif" w:hAnsi="Times New Roman;Times;serif"/>
          <w:sz w:val="24"/>
        </w:rPr>
        <w:t xml:space="preserve">(F) using the amounts referred to in </w:t>
      </w:r>
      <w:bookmarkStart w:id="2391" w:name="_9kMHG5YVtCIDGGCDGskIO2oir6FFFH4TUDLGCBb"/>
      <w:bookmarkEnd w:id="2391"/>
      <w:r>
        <w:rPr>
          <w:rFonts w:ascii="Times New Roman;Times;serif" w:hAnsi="Times New Roman;Times;serif"/>
          <w:sz w:val="24"/>
        </w:rPr>
        <w:t xml:space="preserve">clauses (A) through </w:t>
      </w:r>
      <w:bookmarkStart w:id="2392" w:name="_9kMHG5YVtCIDGGDEGskMS2oir6FFFH4loG4y2og"/>
      <w:bookmarkStart w:id="2393" w:name="DocXTextRef91"/>
      <w:bookmarkEnd w:id="2392"/>
      <w:bookmarkEnd w:id="2393"/>
      <w:r>
        <w:rPr>
          <w:rFonts w:ascii="Times New Roman;Times;serif" w:hAnsi="Times New Roman;Times;serif"/>
          <w:sz w:val="24"/>
        </w:rPr>
        <w:t>(E), a calculation of the Final Purchase Price.  The Closing Statement, and each element of the Closing Statement, shall be prepared in accordance with the Accounting Principles and the applicable definitions herein, and be accompanied by reasonable supporting detail.</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2394" w:name="_Ref418022750"/>
      <w:bookmarkStart w:id="2395" w:name="_Ref435554552"/>
      <w:bookmarkEnd w:id="2394"/>
      <w:bookmarkEnd w:id="2395"/>
      <w:r>
        <w:rPr>
          <w:rFonts w:ascii="Times New Roman;Times;serif" w:hAnsi="Times New Roman;Times;serif"/>
          <w:sz w:val="24"/>
        </w:rPr>
        <w:t>During the 45 days immediately following Buyer’s delivery to Seller of the Closing Statement (the “</w:t>
      </w:r>
      <w:r>
        <w:rPr>
          <w:rFonts w:ascii="Times New Roman;Times;serif" w:hAnsi="Times New Roman;Times;serif"/>
          <w:sz w:val="24"/>
          <w:u w:val="single"/>
        </w:rPr>
        <w:t>Closing Statement Review Period</w:t>
      </w:r>
      <w:r>
        <w:rPr>
          <w:rFonts w:ascii="Times New Roman;Times;serif" w:hAnsi="Times New Roman;Times;serif"/>
          <w:sz w:val="24"/>
        </w:rPr>
        <w:t xml:space="preserve">”), </w:t>
      </w:r>
      <w:bookmarkStart w:id="2396" w:name="_Hlk229591982"/>
      <w:bookmarkEnd w:id="2396"/>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sz w:val="24"/>
        </w:rPr>
        <w:t xml:space="preserve">Buyer shall provide Seller and its representatives reasonable access to the books and records of the Company and such information that Seller reasonably requests that Buyer used to prepare the Closing Statement for the purpose of reviewing the Closing Statement and preparing a Notice of Disagreement, if any.  Notwithstanding the foregoing, Buyer shall not be required to provide access to any information that would violate </w:t>
      </w:r>
      <w:bookmarkStart w:id="2397" w:name="_9kR3WTrAGBEECDEqioH4oDFtrzvo2B7DE7w6IA6"/>
      <w:bookmarkStart w:id="2398" w:name="DocXTextRef93"/>
      <w:bookmarkEnd w:id="2397"/>
      <w:bookmarkEnd w:id="2398"/>
      <w:r>
        <w:rPr>
          <w:rFonts w:ascii="Times New Roman;Times;serif" w:hAnsi="Times New Roman;Times;serif"/>
          <w:sz w:val="24"/>
        </w:rPr>
        <w:t xml:space="preserve">(A) any obligation of confidentiality to which </w:t>
      </w:r>
      <w:bookmarkStart w:id="2399" w:name="_cp_change_545"/>
      <w:bookmarkEnd w:id="2399"/>
      <w:r>
        <w:rPr>
          <w:rFonts w:ascii="Times New Roman;Times;serif" w:hAnsi="Times New Roman;Times;serif"/>
          <w:sz w:val="24"/>
        </w:rPr>
        <w:t xml:space="preserve">Buyer or any of its Affiliates </w:t>
      </w:r>
      <w:bookmarkStart w:id="2400" w:name="_cp_change_547"/>
      <w:bookmarkEnd w:id="2400"/>
      <w:r>
        <w:rPr>
          <w:rFonts w:ascii="Times New Roman;Times;serif" w:hAnsi="Times New Roman;Times;serif"/>
          <w:sz w:val="24"/>
        </w:rPr>
        <w:t xml:space="preserve">may be subject, </w:t>
      </w:r>
      <w:bookmarkStart w:id="2401" w:name="_9kR3WTrAGBEEDEEqioI5oD1xHDCC0CBz606MPOI"/>
      <w:bookmarkEnd w:id="2401"/>
      <w:r>
        <w:rPr>
          <w:rFonts w:ascii="Times New Roman;Times;serif" w:hAnsi="Times New Roman;Times;serif"/>
          <w:sz w:val="24"/>
        </w:rPr>
        <w:t xml:space="preserve">(B) any attorney-client privilege, attorney work product protection or other privilege associated with such information or </w:t>
      </w:r>
      <w:bookmarkStart w:id="2402" w:name="_9kR3WTrAGBEEEFEqioJ6oD1t960sllx1cTBUSI4"/>
      <w:bookmarkStart w:id="2403" w:name="DocXTextRef94"/>
      <w:bookmarkEnd w:id="2402"/>
      <w:bookmarkEnd w:id="2403"/>
      <w:r>
        <w:rPr>
          <w:rFonts w:ascii="Times New Roman;Times;serif" w:hAnsi="Times New Roman;Times;serif"/>
          <w:sz w:val="24"/>
        </w:rPr>
        <w:t xml:space="preserve">(C) any applicable Laws (the matters referred to in </w:t>
      </w:r>
      <w:bookmarkStart w:id="2404" w:name="_9kMHG5YVtCIDGGEFGskqJ6qFHvt1xq4D9FG9y8K"/>
      <w:bookmarkEnd w:id="2404"/>
      <w:r>
        <w:rPr>
          <w:rFonts w:ascii="Times New Roman;Times;serif" w:hAnsi="Times New Roman;Times;serif"/>
          <w:sz w:val="24"/>
        </w:rPr>
        <w:t xml:space="preserve">clauses (A), </w:t>
      </w:r>
      <w:bookmarkStart w:id="2405" w:name="_9kMHG5YVtCIDGGFGGskqK7qF3zJFEE2ED1828OR"/>
      <w:bookmarkEnd w:id="2405"/>
      <w:r>
        <w:rPr>
          <w:rFonts w:ascii="Times New Roman;Times;serif" w:hAnsi="Times New Roman;Times;serif"/>
          <w:sz w:val="24"/>
        </w:rPr>
        <w:t xml:space="preserve">(B) and </w:t>
      </w:r>
      <w:bookmarkStart w:id="2406" w:name="_9kMHG5YVtCIDGGGHGskqL8qF3vB82unnz3eVDWU"/>
      <w:bookmarkEnd w:id="2406"/>
      <w:r>
        <w:rPr>
          <w:rFonts w:ascii="Times New Roman;Times;serif" w:hAnsi="Times New Roman;Times;serif"/>
          <w:sz w:val="24"/>
        </w:rPr>
        <w:t>(C), the “</w:t>
      </w:r>
      <w:r>
        <w:rPr>
          <w:rFonts w:ascii="Times New Roman;Times;serif" w:hAnsi="Times New Roman;Times;serif"/>
          <w:sz w:val="24"/>
          <w:u w:val="single"/>
        </w:rPr>
        <w:t>Access Limitations</w:t>
      </w:r>
      <w:r>
        <w:rPr>
          <w:rFonts w:ascii="Times New Roman;Times;serif" w:hAnsi="Times New Roman;Times;serif"/>
          <w:sz w:val="24"/>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(iii)</w:t>
      </w:r>
      <w:bookmarkStart w:id="2407" w:name="_Ref416482787"/>
      <w:bookmarkStart w:id="2408" w:name="_Ref435554609"/>
      <w:bookmarkEnd w:id="2407"/>
      <w:bookmarkEnd w:id="2408"/>
      <w:r>
        <w:rPr>
          <w:rFonts w:ascii="Times New Roman;Times;serif" w:hAnsi="Times New Roman;Times;serif"/>
          <w:sz w:val="24"/>
        </w:rPr>
        <w:t>If Seller disagrees with any of the items included in the Closing Statement, then Seller may, on or prior to the last day of the Closing Statement Review Period, deliver a written notice of the specific item in disagreement to Buyer (a “</w:t>
      </w:r>
      <w:r>
        <w:rPr>
          <w:rFonts w:ascii="Times New Roman;Times;serif" w:hAnsi="Times New Roman;Times;serif"/>
          <w:sz w:val="24"/>
          <w:u w:val="single"/>
        </w:rPr>
        <w:t>Notice of Disagreement</w:t>
      </w:r>
      <w:r>
        <w:rPr>
          <w:rFonts w:ascii="Times New Roman;Times;serif" w:hAnsi="Times New Roman;Times;serif"/>
          <w:sz w:val="24"/>
        </w:rPr>
        <w:t xml:space="preserve">”).  Each disagreement contained in a Notice of Disagreement must specify in reasonable detail the nature and amount of such disagreement, </w:t>
      </w:r>
      <w:bookmarkStart w:id="2409" w:name="_cp_change_557"/>
      <w:bookmarkEnd w:id="2409"/>
      <w:r>
        <w:rPr>
          <w:rFonts w:ascii="Times New Roman;Times;serif" w:hAnsi="Times New Roman;Times;serif"/>
          <w:sz w:val="24"/>
        </w:rPr>
        <w:t xml:space="preserve">as well as a reasonable basis therefor and relevant supporting documentation and calculations (each specific item in disagreement </w:t>
      </w:r>
      <w:bookmarkStart w:id="2410" w:name="_cp_change_558"/>
      <w:bookmarkEnd w:id="2410"/>
      <w:r>
        <w:rPr>
          <w:rFonts w:ascii="Times New Roman;Times;serif" w:hAnsi="Times New Roman;Times;serif"/>
          <w:sz w:val="24"/>
        </w:rPr>
        <w:t xml:space="preserve">meeting the requirements of this </w:t>
      </w:r>
      <w:r>
        <w:rPr>
          <w:rFonts w:ascii="Times New Roman;Times;serif" w:hAnsi="Times New Roman;Times;serif"/>
          <w:sz w:val="24"/>
          <w:u w:val="single"/>
        </w:rPr>
        <w:t>Section 2.3(d)(iii)</w:t>
      </w:r>
      <w:r>
        <w:rPr>
          <w:rFonts w:ascii="Times New Roman;Times;serif" w:hAnsi="Times New Roman;Times;serif"/>
          <w:sz w:val="24"/>
        </w:rPr>
        <w:t xml:space="preserve"> and included in a timely Notice of Disagreement, a “</w:t>
      </w:r>
      <w:r>
        <w:rPr>
          <w:rFonts w:ascii="Times New Roman;Times;serif" w:hAnsi="Times New Roman;Times;serif"/>
          <w:sz w:val="24"/>
          <w:u w:val="single"/>
        </w:rPr>
        <w:t>Disputed Item</w:t>
      </w:r>
      <w:r>
        <w:rPr>
          <w:rFonts w:ascii="Times New Roman;Times;serif" w:hAnsi="Times New Roman;Times;serif"/>
          <w:sz w:val="24"/>
        </w:rPr>
        <w:t xml:space="preserve">”), and any other items and amounts that are not Disputed Items, and the calculation thereof, set forth in the Closing Statement shall be final and binding on the Parties.  If Seller does not deliver a timely Notice of Disagreement </w:t>
      </w:r>
      <w:bookmarkStart w:id="2411" w:name="_cp_change_560"/>
      <w:bookmarkEnd w:id="2411"/>
      <w:r>
        <w:rPr>
          <w:rFonts w:ascii="Times New Roman;Times;serif" w:hAnsi="Times New Roman;Times;serif"/>
          <w:sz w:val="24"/>
        </w:rPr>
        <w:t xml:space="preserve">meeting the requirements of this </w:t>
      </w:r>
      <w:bookmarkStart w:id="2412" w:name="_cp_change_561"/>
      <w:bookmarkEnd w:id="2412"/>
      <w:r>
        <w:rPr>
          <w:rFonts w:ascii="Times New Roman;Times;serif" w:hAnsi="Times New Roman;Times;serif"/>
          <w:sz w:val="24"/>
          <w:u w:val="single"/>
        </w:rPr>
        <w:t>Section 2.3(d)(iii)</w:t>
      </w:r>
      <w:r>
        <w:rPr>
          <w:rFonts w:ascii="Times New Roman;Times;serif" w:hAnsi="Times New Roman;Times;serif"/>
          <w:sz w:val="24"/>
        </w:rPr>
        <w:t xml:space="preserve"> during the Closing Statement Review Period, then the Closing Statement delivered by Buyer pursuant to </w:t>
      </w:r>
      <w:r>
        <w:rPr>
          <w:rFonts w:ascii="Times New Roman;Times;serif" w:hAnsi="Times New Roman;Times;serif"/>
          <w:sz w:val="24"/>
          <w:u w:val="single"/>
        </w:rPr>
        <w:t>Section 2.3(d)(i)</w:t>
      </w:r>
      <w:r>
        <w:rPr>
          <w:rFonts w:ascii="Times New Roman;Times;serif" w:hAnsi="Times New Roman;Times;serif"/>
          <w:sz w:val="24"/>
        </w:rPr>
        <w:t xml:space="preserve"> above shall be final and binding on the Parties and deemed to set forth the Final Purchase Price.  If Seller delivers a timely Notice of Disagreement meeting the requirements of this </w:t>
      </w:r>
      <w:r>
        <w:rPr>
          <w:rFonts w:ascii="Times New Roman;Times;serif" w:hAnsi="Times New Roman;Times;serif"/>
          <w:sz w:val="24"/>
          <w:u w:val="single"/>
        </w:rPr>
        <w:t>Section 2.3(d)(iii)</w:t>
      </w:r>
      <w:r>
        <w:rPr>
          <w:rFonts w:ascii="Times New Roman;Times;serif" w:hAnsi="Times New Roman;Times;serif"/>
          <w:sz w:val="24"/>
        </w:rPr>
        <w:t>, then, during the 30-day period following delivery of such Notice of Disagreement (the “</w:t>
      </w:r>
      <w:r>
        <w:rPr>
          <w:rFonts w:ascii="Times New Roman;Times;serif" w:hAnsi="Times New Roman;Times;serif"/>
          <w:sz w:val="24"/>
          <w:u w:val="single"/>
        </w:rPr>
        <w:t>Resolution Period</w:t>
      </w:r>
      <w:r>
        <w:rPr>
          <w:rFonts w:ascii="Times New Roman;Times;serif" w:hAnsi="Times New Roman;Times;serif"/>
          <w:sz w:val="24"/>
        </w:rPr>
        <w:t xml:space="preserve">”), Buyer and Seller shall seek in good faith to resolve the Disputed Item(s).  During the Resolution Period, Seller shall provide Buyer and its representatives with access to information that Buyer reasonably requests relating to the Notice of Disagreement and Seller’s preparation thereof; </w:t>
      </w:r>
      <w:r>
        <w:rPr>
          <w:rFonts w:ascii="Times New Roman;Times;serif" w:hAnsi="Times New Roman;Times;serif"/>
          <w:i/>
          <w:sz w:val="24"/>
        </w:rPr>
        <w:t>provided</w:t>
      </w:r>
      <w:r>
        <w:rPr>
          <w:rFonts w:ascii="Times New Roman;Times;serif" w:hAnsi="Times New Roman;Times;serif"/>
          <w:sz w:val="24"/>
        </w:rPr>
        <w:t>, that Seller shall not be required to provide access to information that would violate the Access Limitations.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(iv)</w:t>
      </w:r>
      <w:bookmarkStart w:id="2413" w:name="_Ref440767602"/>
      <w:bookmarkEnd w:id="2413"/>
      <w:r>
        <w:rPr>
          <w:rFonts w:ascii="Times New Roman;Times;serif" w:hAnsi="Times New Roman;Times;serif"/>
          <w:sz w:val="24"/>
        </w:rPr>
        <w:t>If, at the end of the Resolution Period, Buyer and Seller have not resolved each Disputed Item, then Buyer and Seller shall submit each unresolved Disputed Item(s) to RSM, or if RSM is unwilling or unable to serve, a nationally recognized accounting or consulting firm, mutually agreed to by Seller and Buyer (the “</w:t>
      </w:r>
      <w:r>
        <w:rPr>
          <w:rFonts w:ascii="Times New Roman;Times;serif" w:hAnsi="Times New Roman;Times;serif"/>
          <w:sz w:val="24"/>
          <w:u w:val="single"/>
        </w:rPr>
        <w:t>Independent Auditor</w:t>
      </w:r>
      <w:r>
        <w:rPr>
          <w:rFonts w:ascii="Times New Roman;Times;serif" w:hAnsi="Times New Roman;Times;serif"/>
          <w:sz w:val="24"/>
        </w:rPr>
        <w:t xml:space="preserve">”) for review and resolution.  The Independent Auditor shall, and Buyer and Seller shall cause the Independent Auditor to, </w:t>
      </w:r>
      <w:bookmarkStart w:id="2414" w:name="DocXTextRef97"/>
      <w:bookmarkEnd w:id="2414"/>
      <w:r>
        <w:rPr>
          <w:rFonts w:ascii="Times New Roman;Times;serif" w:hAnsi="Times New Roman;Times;serif"/>
          <w:sz w:val="24"/>
        </w:rPr>
        <w:t xml:space="preserve">(A) act as an expert and not an arbitrator, </w:t>
      </w:r>
      <w:bookmarkStart w:id="2415" w:name="DocXTextRef98"/>
      <w:bookmarkEnd w:id="2415"/>
      <w:r>
        <w:rPr>
          <w:rFonts w:ascii="Times New Roman;Times;serif" w:hAnsi="Times New Roman;Times;serif"/>
          <w:sz w:val="24"/>
        </w:rPr>
        <w:t xml:space="preserve">(B) make a final determination based solely on the applicable provisions of this Agreement (and not by independent review), </w:t>
      </w:r>
      <w:bookmarkStart w:id="2416" w:name="DocXTextRef99"/>
      <w:bookmarkEnd w:id="2416"/>
      <w:r>
        <w:rPr>
          <w:rFonts w:ascii="Times New Roman;Times;serif" w:hAnsi="Times New Roman;Times;serif"/>
          <w:sz w:val="24"/>
        </w:rPr>
        <w:t xml:space="preserve">(C) base its decision on any presentation(s) submitted in writing by each of Buyer and Seller and on any written response(s) to each such presentation (unless the Independent Auditor requests an additional response from either Buyer or Seller), and not on independent investigation, and </w:t>
      </w:r>
      <w:bookmarkStart w:id="2417" w:name="DocXTextRef100"/>
      <w:bookmarkEnd w:id="2417"/>
      <w:r>
        <w:rPr>
          <w:rFonts w:ascii="Times New Roman;Times;serif" w:hAnsi="Times New Roman;Times;serif"/>
          <w:sz w:val="24"/>
        </w:rPr>
        <w:t xml:space="preserve">(D) with respect to each unresolved Disputed Item, render a determination that must be within the ranges of values claimed by each of Buyer and Seller (which shall not be greater than or less than the values set forth in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sz w:val="24"/>
        </w:rPr>
        <w:t>the Closing Statement or the Notice of Disagreement, as applicable).  Each of Seller and Buyer shall use commercially reasonable efforts to cause the Independent Auditor to render a final determination as to each Disputed Item within 45 days following the end of the Resolution Period (the “</w:t>
      </w:r>
      <w:r>
        <w:rPr>
          <w:rFonts w:ascii="Times New Roman;Times;serif" w:hAnsi="Times New Roman;Times;serif"/>
          <w:sz w:val="24"/>
          <w:u w:val="single"/>
        </w:rPr>
        <w:t>Auditor Review Period</w:t>
      </w:r>
      <w:r>
        <w:rPr>
          <w:rFonts w:ascii="Times New Roman;Times;serif" w:hAnsi="Times New Roman;Times;serif"/>
          <w:sz w:val="24"/>
        </w:rPr>
        <w:t xml:space="preserve">”).  During the Auditor Review Period, each of Buyer and Seller shall provide the Independent Auditor with reasonable access to information relating to any Disputed Item; </w:t>
      </w:r>
      <w:r>
        <w:rPr>
          <w:rFonts w:ascii="Times New Roman;Times;serif" w:hAnsi="Times New Roman;Times;serif"/>
          <w:i/>
          <w:sz w:val="24"/>
        </w:rPr>
        <w:t>provided</w:t>
      </w:r>
      <w:r>
        <w:rPr>
          <w:rFonts w:ascii="Times New Roman;Times;serif" w:hAnsi="Times New Roman;Times;serif"/>
          <w:sz w:val="24"/>
        </w:rPr>
        <w:t>, that neither Buyer nor Seller will be required to provide access to information that would violate the Access Limitations.  The fees and expenses of the Independent Auditor shall be borne by Seller, on the one hand, and Buyer, on the other hand, in the same proportion that the aggregate amount of the items unsuccessfully disputed by each (as finally determined by the Independent Auditor) bears to the aggregate amount of the Disputed Items submitted to the Independent Auditor for review and resolution.</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w:t>
      </w:r>
      <w:bookmarkStart w:id="2418" w:name="_Ref440767603"/>
      <w:bookmarkEnd w:id="2418"/>
      <w:r>
        <w:rPr>
          <w:rFonts w:ascii="Times New Roman;Times;serif" w:hAnsi="Times New Roman;Times;serif"/>
          <w:sz w:val="24"/>
        </w:rPr>
        <w:t xml:space="preserve">The final determination as to each Disputed Item as determined by the Independent Auditor shall be final and binding on the Parties, absent a showing of fraud or willful misconduct.  The Purchase Price, as finally determined pursuant to this </w:t>
      </w:r>
      <w:r>
        <w:rPr>
          <w:rFonts w:ascii="Times New Roman;Times;serif" w:hAnsi="Times New Roman;Times;serif"/>
          <w:sz w:val="24"/>
          <w:u w:val="single"/>
        </w:rPr>
        <w:t>Section 2.3(d)</w:t>
      </w:r>
      <w:r>
        <w:rPr>
          <w:rFonts w:ascii="Times New Roman;Times;serif" w:hAnsi="Times New Roman;Times;serif"/>
          <w:sz w:val="24"/>
        </w:rPr>
        <w:t>, shall be referred to herein as the “</w:t>
      </w:r>
      <w:r>
        <w:rPr>
          <w:rFonts w:ascii="Times New Roman;Times;serif" w:hAnsi="Times New Roman;Times;serif"/>
          <w:sz w:val="24"/>
          <w:u w:val="single"/>
        </w:rPr>
        <w:t>Final Purchase Price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2419" w:name="_Ref331574916"/>
      <w:bookmarkStart w:id="2420" w:name="_Ref137830553"/>
      <w:bookmarkStart w:id="2421" w:name="_Toc235204771"/>
      <w:bookmarkStart w:id="2422" w:name="_Ref416482785"/>
      <w:bookmarkEnd w:id="2419"/>
      <w:bookmarkEnd w:id="2420"/>
      <w:bookmarkEnd w:id="2421"/>
      <w:bookmarkEnd w:id="2422"/>
      <w:r>
        <w:rPr>
          <w:rFonts w:ascii="Times New Roman;Times;serif" w:hAnsi="Times New Roman;Times;serif"/>
          <w:sz w:val="24"/>
          <w:u w:val="single"/>
        </w:rPr>
        <w:t>Adjustment to Estimated Purchase Price</w:t>
      </w:r>
      <w:r>
        <w:rPr>
          <w:rFonts w:ascii="Times New Roman;Times;serif" w:hAnsi="Times New Roman;Times;serif"/>
          <w:sz w:val="24"/>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2423" w:name="_Ref331784005"/>
      <w:bookmarkEnd w:id="2423"/>
      <w:r>
        <w:rPr>
          <w:rFonts w:ascii="Times New Roman;Times;serif" w:hAnsi="Times New Roman;Times;serif"/>
          <w:sz w:val="24"/>
        </w:rPr>
        <w:t xml:space="preserve">If the Final Purchase Price is greater than the Estimated Purchase Price, then (A) Buyer shall pay, or cause to be paid, an aggregate amount equal to such excess to Seller, and (B) </w:t>
      </w:r>
      <w:bookmarkStart w:id="2424" w:name="_Hlk229591244"/>
      <w:bookmarkEnd w:id="2424"/>
      <w:r>
        <w:rPr>
          <w:rFonts w:ascii="Times New Roman;Times;serif" w:hAnsi="Times New Roman;Times;serif"/>
          <w:sz w:val="24"/>
        </w:rPr>
        <w:t>Buyer and Seller shall deliver joint written instructions, instructing the Escrow Agent to release the amounts from the Adjustment Escrow Fund to Seller, in each case, by wire transfer of immediately available funds to an account designated in writing by Seller, within five Business Days of the final determination of the Final Purchase Price.</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2425" w:name="_Ref440767604"/>
      <w:bookmarkStart w:id="2426" w:name="_Ref507269443"/>
      <w:bookmarkStart w:id="2427" w:name="_Ref416482786"/>
      <w:bookmarkStart w:id="2428" w:name="_Ref331784007"/>
      <w:bookmarkEnd w:id="2425"/>
      <w:bookmarkEnd w:id="2426"/>
      <w:bookmarkEnd w:id="2427"/>
      <w:bookmarkEnd w:id="2428"/>
      <w:r>
        <w:rPr>
          <w:rFonts w:ascii="Times New Roman;Times;serif" w:hAnsi="Times New Roman;Times;serif"/>
          <w:sz w:val="24"/>
        </w:rPr>
        <w:t xml:space="preserve">If the Final Purchase Price is less than the Estimated Purchase Price, then Buyer and Seller shall deliver joint written instructions, instructing the Escrow Agent to pay to Buyer an aggregate amount equal to such shortfall from the Adjustment Escrow Funds, and to release the remainder, if any, of the amounts from the Adjustment Escrow Fund to Seller, in each case, within five Business Days of the determination of the Final Purchase Price, by wire transfer of immediately available funds to one or more accounts as designated in writing by Buyer and, if applicable, Seller; </w:t>
      </w:r>
      <w:r>
        <w:rPr>
          <w:rFonts w:ascii="Times New Roman;Times;serif" w:hAnsi="Times New Roman;Times;serif"/>
          <w:i/>
          <w:sz w:val="24"/>
        </w:rPr>
        <w:t>provided</w:t>
      </w:r>
      <w:r>
        <w:rPr>
          <w:rFonts w:ascii="Times New Roman;Times;serif" w:hAnsi="Times New Roman;Times;serif"/>
          <w:sz w:val="24"/>
        </w:rPr>
        <w:t>, that if the aggregate amount of such shortfall exceeds the Adjustment Escrow Funds, then Seller shall pay, within five Business Days, to Buyer, by wire transfer of immediately available funds to an account designated in writing by Buyer, an amount equal to such shortfall.</w:t>
      </w:r>
      <w:bookmarkStart w:id="2429" w:name="_Ref319541261"/>
      <w:bookmarkEnd w:id="2429"/>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2430" w:name="_Toc235204772"/>
      <w:bookmarkStart w:id="2431" w:name="_Ref83652485"/>
      <w:bookmarkEnd w:id="2430"/>
      <w:bookmarkEnd w:id="2431"/>
      <w:r>
        <w:rPr>
          <w:rFonts w:ascii="Times New Roman;Times;serif" w:hAnsi="Times New Roman;Times;serif"/>
          <w:sz w:val="24"/>
          <w:u w:val="single"/>
        </w:rPr>
        <w:t>Treatment</w:t>
      </w:r>
      <w:bookmarkStart w:id="2432" w:name="_Ref83652486"/>
      <w:bookmarkEnd w:id="2432"/>
      <w:r>
        <w:rPr>
          <w:rFonts w:ascii="Times New Roman;Times;serif" w:hAnsi="Times New Roman;Times;serif"/>
          <w:sz w:val="24"/>
        </w:rPr>
        <w:t xml:space="preserve">.  For the avoidance of doubt, all payments made under this </w:t>
      </w:r>
      <w:r>
        <w:rPr>
          <w:rFonts w:ascii="Times New Roman;Times;serif" w:hAnsi="Times New Roman;Times;serif"/>
          <w:sz w:val="24"/>
          <w:u w:val="single"/>
        </w:rPr>
        <w:t>Section 2.3</w:t>
      </w:r>
      <w:r>
        <w:rPr>
          <w:rFonts w:ascii="Times New Roman;Times;serif" w:hAnsi="Times New Roman;Times;serif"/>
          <w:sz w:val="24"/>
        </w:rPr>
        <w:t xml:space="preserve"> shall constitute an adjustment to the Final Purchase Price for Tax purposes.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2.4</w:t>
      </w:r>
      <w:bookmarkStart w:id="2433" w:name="_Toc235366489"/>
      <w:bookmarkStart w:id="2434" w:name="_Toc235204773"/>
      <w:bookmarkStart w:id="2435" w:name="_Toc235142672"/>
      <w:bookmarkStart w:id="2436" w:name="_Toc228481556"/>
      <w:bookmarkStart w:id="2437" w:name="_9kR3WTr28BEJEAFSNss5B"/>
      <w:bookmarkStart w:id="2438" w:name="_Toc892095"/>
      <w:bookmarkStart w:id="2439" w:name="_Toc465317278"/>
      <w:bookmarkStart w:id="2440" w:name="_Toc464684534"/>
      <w:bookmarkStart w:id="2441" w:name="_Ref464590810"/>
      <w:bookmarkEnd w:id="2433"/>
      <w:bookmarkEnd w:id="2434"/>
      <w:bookmarkEnd w:id="2435"/>
      <w:bookmarkEnd w:id="2436"/>
      <w:bookmarkEnd w:id="2437"/>
      <w:bookmarkEnd w:id="2438"/>
      <w:bookmarkEnd w:id="2439"/>
      <w:bookmarkEnd w:id="2440"/>
      <w:bookmarkEnd w:id="2441"/>
      <w:r>
        <w:rPr>
          <w:rFonts w:ascii="Times New Roman;Times;serif" w:hAnsi="Times New Roman;Times;serif"/>
          <w:sz w:val="24"/>
          <w:u w:val="single"/>
        </w:rPr>
        <w:t>Escrow</w:t>
      </w:r>
      <w:bookmarkStart w:id="2442" w:name="_Toc464684535"/>
      <w:bookmarkStart w:id="2443" w:name="_Toc464677451"/>
      <w:bookmarkStart w:id="2444" w:name="_Toc465317279"/>
      <w:bookmarkEnd w:id="2442"/>
      <w:bookmarkEnd w:id="2443"/>
      <w:bookmarkEnd w:id="2444"/>
      <w:r>
        <w:rPr>
          <w:rFonts w:ascii="Times New Roman;Times;serif" w:hAnsi="Times New Roman;Times;serif"/>
          <w:sz w:val="24"/>
          <w:u w:val="single"/>
        </w:rPr>
        <w:t xml:space="preserve"> Funds</w:t>
      </w:r>
      <w:r>
        <w:rPr>
          <w:rFonts w:ascii="Times New Roman;Times;serif" w:hAnsi="Times New Roman;Times;serif"/>
          <w:sz w:val="24"/>
        </w:rPr>
        <w:t xml:space="preserve">.  At the Closing, the Company, Seller, Buyer and the Escrow Agent shall enter into an </w:t>
      </w:r>
      <w:bookmarkStart w:id="2445" w:name="_9kMPO5YVt4CFGJKUNss5BYD10oxy0G"/>
      <w:bookmarkEnd w:id="2445"/>
      <w:r>
        <w:rPr>
          <w:rFonts w:ascii="Times New Roman;Times;serif" w:hAnsi="Times New Roman;Times;serif"/>
          <w:sz w:val="24"/>
        </w:rPr>
        <w:t xml:space="preserve">escrow agreement, substantially in the form attached hereto as </w:t>
      </w:r>
      <w:bookmarkStart w:id="2446" w:name="_9kMHG5YVtCIDGGHJKtOQvogllpov2us3IMAFQG7"/>
      <w:bookmarkEnd w:id="2446"/>
      <w:r>
        <w:rPr>
          <w:rFonts w:ascii="Times New Roman;Times;serif" w:hAnsi="Times New Roman;Times;serif"/>
          <w:sz w:val="24"/>
          <w:u w:val="single"/>
        </w:rPr>
        <w:t>Exhibit N</w:t>
      </w:r>
      <w:r>
        <w:rPr>
          <w:rFonts w:ascii="Times New Roman;Times;serif" w:hAnsi="Times New Roman;Times;serif"/>
          <w:sz w:val="24"/>
        </w:rPr>
        <w:t xml:space="preserve">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rFonts w:ascii="Times New Roman;Times;serif" w:hAnsi="Times New Roman;Times;serif"/>
          <w:b w:val="false"/>
          <w:i w:val="false"/>
          <w:caps w:val="false"/>
          <w:smallCaps w:val="false"/>
          <w:sz w:val="24"/>
        </w:rPr>
        <w:t>(the “</w:t>
      </w:r>
      <w:bookmarkStart w:id="2447" w:name="_9kMHzG6ZWu5DGHKLVOtt6CZE21pyz1H"/>
      <w:bookmarkEnd w:id="2447"/>
      <w:r>
        <w:rPr>
          <w:rFonts w:ascii="Times New Roman;Times;serif" w:hAnsi="Times New Roman;Times;serif"/>
          <w:b w:val="false"/>
          <w:i w:val="false"/>
          <w:caps w:val="false"/>
          <w:smallCaps w:val="false"/>
          <w:sz w:val="24"/>
          <w:u w:val="single"/>
        </w:rPr>
        <w:t>Escrow Agreement</w:t>
      </w:r>
      <w:r>
        <w:rPr>
          <w:caps w:val="false"/>
          <w:smallCaps w:val="false"/>
        </w:rPr>
        <w:t>”</w:t>
      </w:r>
      <w:r>
        <w:rPr>
          <w:rFonts w:ascii="Times New Roman;Times;serif" w:hAnsi="Times New Roman;Times;serif"/>
          <w:b w:val="false"/>
          <w:i w:val="false"/>
          <w:caps w:val="false"/>
          <w:smallCaps w:val="false"/>
          <w:sz w:val="24"/>
        </w:rPr>
        <w:t xml:space="preserve">), pursuant to which: (a) the Adjustment Escrow Amount shall be deposited into an escrow account with the Escrow Agent for the purpose of funding Seller’s obligations pursuant to </w:t>
      </w:r>
      <w:r>
        <w:rPr>
          <w:rFonts w:ascii="Times New Roman;Times;serif" w:hAnsi="Times New Roman;Times;serif"/>
          <w:b w:val="false"/>
          <w:i w:val="false"/>
          <w:caps w:val="false"/>
          <w:smallCaps w:val="false"/>
          <w:sz w:val="24"/>
          <w:u w:val="single"/>
        </w:rPr>
        <w:t>Section 2.3(e)</w:t>
      </w:r>
      <w:r>
        <w:rPr>
          <w:caps w:val="false"/>
          <w:smallCaps w:val="false"/>
        </w:rPr>
        <w:t xml:space="preserve"> </w:t>
      </w:r>
      <w:r>
        <w:rPr>
          <w:rFonts w:ascii="Times New Roman;Times;serif" w:hAnsi="Times New Roman;Times;serif"/>
          <w:b w:val="false"/>
          <w:i w:val="false"/>
          <w:caps w:val="false"/>
          <w:smallCaps w:val="false"/>
          <w:sz w:val="24"/>
        </w:rPr>
        <w:t>(such amount held by the Escrow Agent pursuant to the Escrow Agreement, the “</w:t>
      </w:r>
      <w:r>
        <w:rPr>
          <w:rFonts w:ascii="Times New Roman;Times;serif" w:hAnsi="Times New Roman;Times;serif"/>
          <w:b w:val="false"/>
          <w:i w:val="false"/>
          <w:caps w:val="false"/>
          <w:smallCaps w:val="false"/>
          <w:sz w:val="24"/>
          <w:u w:val="single"/>
        </w:rPr>
        <w:t>Adjustment Escrow Fund</w:t>
      </w:r>
      <w:r>
        <w:rPr>
          <w:caps w:val="false"/>
          <w:smallCaps w:val="false"/>
        </w:rPr>
        <w:t>”</w:t>
      </w:r>
      <w:r>
        <w:rPr>
          <w:rFonts w:ascii="Times New Roman;Times;serif" w:hAnsi="Times New Roman;Times;serif"/>
          <w:b w:val="false"/>
          <w:i w:val="false"/>
          <w:caps w:val="false"/>
          <w:smallCaps w:val="false"/>
          <w:sz w:val="24"/>
        </w:rPr>
        <w:t xml:space="preserve">), and (b) the [***] Escrow Amount shall be deposited into an escrow account with the Escrow Agent for the purpose of funding Seller’s obligations pursuant to </w:t>
      </w:r>
      <w:r>
        <w:rPr>
          <w:rFonts w:ascii="Times New Roman;Times;serif" w:hAnsi="Times New Roman;Times;serif"/>
          <w:b w:val="false"/>
          <w:i w:val="false"/>
          <w:caps w:val="false"/>
          <w:smallCaps w:val="false"/>
          <w:sz w:val="24"/>
          <w:u w:val="single"/>
        </w:rPr>
        <w:t>Section 6.11</w:t>
      </w:r>
      <w:r>
        <w:rPr>
          <w:caps w:val="false"/>
          <w:smallCaps w:val="false"/>
        </w:rPr>
        <w:t xml:space="preserve"> </w:t>
      </w:r>
      <w:r>
        <w:rPr>
          <w:rFonts w:ascii="Times New Roman;Times;serif" w:hAnsi="Times New Roman;Times;serif"/>
          <w:b w:val="false"/>
          <w:i w:val="false"/>
          <w:caps w:val="false"/>
          <w:smallCaps w:val="false"/>
          <w:sz w:val="24"/>
        </w:rPr>
        <w:t xml:space="preserve">(such amount held by the Escrow Agent pursuant to the Escrow Agreement, the “[***] </w:t>
      </w:r>
      <w:r>
        <w:rPr>
          <w:rFonts w:ascii="Times New Roman;Times;serif" w:hAnsi="Times New Roman;Times;serif"/>
          <w:b w:val="false"/>
          <w:i w:val="false"/>
          <w:caps w:val="false"/>
          <w:smallCaps w:val="false"/>
          <w:sz w:val="24"/>
          <w:u w:val="single"/>
        </w:rPr>
        <w:t>Escrow Fund</w:t>
      </w:r>
      <w:r>
        <w:rPr>
          <w:caps w:val="false"/>
          <w:smallCaps w:val="false"/>
        </w:rPr>
        <w:t>”</w:t>
      </w:r>
      <w:r>
        <w:rPr>
          <w:rFonts w:ascii="Times New Roman;Times;serif" w:hAnsi="Times New Roman;Times;serif"/>
          <w:b w:val="false"/>
          <w:i w:val="false"/>
          <w:caps w:val="false"/>
          <w:smallCaps w:val="false"/>
          <w:sz w:val="24"/>
        </w:rPr>
        <w:t xml:space="preserve">).  Pursuant to the terms of the </w:t>
      </w:r>
      <w:bookmarkStart w:id="2448" w:name="_9kMH0H6ZWu5DGHKLVOtt6CZE21pyz1H"/>
      <w:bookmarkEnd w:id="2448"/>
      <w:r>
        <w:rPr>
          <w:rFonts w:ascii="Times New Roman;Times;serif" w:hAnsi="Times New Roman;Times;serif"/>
          <w:b w:val="false"/>
          <w:i w:val="false"/>
          <w:caps w:val="false"/>
          <w:smallCaps w:val="false"/>
          <w:sz w:val="24"/>
        </w:rPr>
        <w:t xml:space="preserve">Escrow Agreement, any funds remaining in the Adjustment Escrow Fund shall be released by the Escrow Agent for distribution upon final determination of the Final Purchase Price in accordance with </w:t>
      </w:r>
      <w:r>
        <w:rPr>
          <w:rFonts w:ascii="Times New Roman;Times;serif" w:hAnsi="Times New Roman;Times;serif"/>
          <w:b w:val="false"/>
          <w:i w:val="false"/>
          <w:caps w:val="false"/>
          <w:smallCaps w:val="false"/>
          <w:sz w:val="24"/>
          <w:u w:val="single"/>
        </w:rPr>
        <w:t>Section 2.3</w:t>
      </w:r>
      <w:r>
        <w:rPr>
          <w:rFonts w:ascii="Times New Roman;Times;serif" w:hAnsi="Times New Roman;Times;serif"/>
          <w:b w:val="false"/>
          <w:i w:val="false"/>
          <w:caps w:val="false"/>
          <w:smallCaps w:val="false"/>
          <w:sz w:val="24"/>
        </w:rPr>
        <w:t xml:space="preserve">.  Pursuant to the terms of the Escrow Agreement, any funds remaining in the [***] Escrow Fund shall be released by the Escrow Agent for distribution upon final determination of the [***]in accordance with </w:t>
      </w:r>
      <w:r>
        <w:rPr>
          <w:rFonts w:ascii="Times New Roman;Times;serif" w:hAnsi="Times New Roman;Times;serif"/>
          <w:b w:val="false"/>
          <w:i w:val="false"/>
          <w:caps w:val="false"/>
          <w:smallCaps w:val="false"/>
          <w:sz w:val="24"/>
          <w:u w:val="single"/>
        </w:rPr>
        <w:t>Section 6.11</w:t>
      </w:r>
      <w:r>
        <w:rPr>
          <w:rFonts w:ascii="Times New Roman;Times;serif" w:hAnsi="Times New Roman;Times;serif"/>
          <w:b w:val="false"/>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2.5</w:t>
      </w:r>
      <w:bookmarkStart w:id="2449" w:name="_Toc235366490"/>
      <w:bookmarkStart w:id="2450" w:name="_Toc235204774"/>
      <w:bookmarkStart w:id="2451" w:name="_Toc235142673"/>
      <w:bookmarkStart w:id="2452" w:name="_Toc228481557"/>
      <w:bookmarkStart w:id="2453" w:name="_Ref83652487"/>
      <w:bookmarkStart w:id="2454" w:name="_Toc892096"/>
      <w:bookmarkStart w:id="2455" w:name="_Ref507269719"/>
      <w:bookmarkStart w:id="2456" w:name="_Ref507269445"/>
      <w:bookmarkStart w:id="2457" w:name="_Toc465317280"/>
      <w:bookmarkStart w:id="2458" w:name="_Toc464684536"/>
      <w:bookmarkStart w:id="2459" w:name="_Toc464561845"/>
      <w:bookmarkStart w:id="2460" w:name="_Toc440773733"/>
      <w:bookmarkStart w:id="2461" w:name="_Ref440767605"/>
      <w:bookmarkStart w:id="2462" w:name="_Toc440766868"/>
      <w:bookmarkStart w:id="2463" w:name="_Toc440765280"/>
      <w:bookmarkStart w:id="2464" w:name="_Toc440764520"/>
      <w:bookmarkStart w:id="2465" w:name="_Toc440760960"/>
      <w:bookmarkStart w:id="2466" w:name="_Ref416482789"/>
      <w:bookmarkStart w:id="2467" w:name="_Toc416469686"/>
      <w:bookmarkStart w:id="2468" w:name="_Toc224918865"/>
      <w:bookmarkStart w:id="2469" w:name="_Toc224918767"/>
      <w:bookmarkStart w:id="2470" w:name="_Toc224914145"/>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r>
        <w:rPr>
          <w:rFonts w:ascii="Times New Roman;Times;serif" w:hAnsi="Times New Roman;Times;serif"/>
          <w:sz w:val="24"/>
          <w:u w:val="single"/>
        </w:rPr>
        <w:t>Withholding</w:t>
      </w:r>
      <w:r>
        <w:rPr>
          <w:rFonts w:ascii="Times New Roman;Times;serif" w:hAnsi="Times New Roman;Times;serif"/>
          <w:sz w:val="24"/>
        </w:rPr>
        <w:t xml:space="preserve">.  Buyer and the Escrow Agent and any of their respective agents or Affiliates shall be entitled to deduct and withhold (or cause to be deducted and withheld) from any amount otherwise payable with respect to this Agreement (including any amounts payable pursuant to the </w:t>
      </w:r>
      <w:bookmarkStart w:id="2471" w:name="_9kMH1I6ZWu5DGHKLVOtt6CZE21pyz1H"/>
      <w:bookmarkEnd w:id="2471"/>
      <w:r>
        <w:rPr>
          <w:rFonts w:ascii="Times New Roman;Times;serif" w:hAnsi="Times New Roman;Times;serif"/>
          <w:sz w:val="24"/>
        </w:rPr>
        <w:t xml:space="preserve">Escrow Agreement) such amounts as may be required to be deducted and withheld therefrom or with respect thereto under the Code or other applicable Law.  To the extent that amounts are so deducted or withheld, such amounts shall be treated for all purposes of this Agreement as having been paid to the Person in respect of which such deduction and withholding was made.  Buyer timely shall remit such withheld amounts to the appropriate Taxing Authority in accordance with applicable Law.  If Buyer believes that any such deduction or withholding is required (other than deductions or withholding (i) with respect to compensatory payments or (ii) as a result of Seller’s failure to deliver the IRS Form W-9 pursuant to </w:t>
      </w:r>
      <w:r>
        <w:rPr>
          <w:rFonts w:ascii="Times New Roman;Times;serif" w:hAnsi="Times New Roman;Times;serif"/>
          <w:sz w:val="24"/>
          <w:u w:val="single"/>
        </w:rPr>
        <w:t>Section 7.2(j)</w:t>
      </w:r>
      <w:r>
        <w:rPr>
          <w:rFonts w:ascii="Times New Roman;Times;serif" w:hAnsi="Times New Roman;Times;serif"/>
          <w:sz w:val="24"/>
        </w:rPr>
        <w:t>), Buyer will use commercially reasonable efforts to notify Seller, no later than five days prior to payment of amounts subject to such deduction or withholding of the amounts to be so deducted and reasonably cooperate with Seller to reduce or eliminate such deduction or withholding to the extent permitted by applicable Law.</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III</w:t>
      </w:r>
      <w:r>
        <w:rPr>
          <w:rFonts w:ascii="Times New Roman;Times;serif" w:hAnsi="Times New Roman;Times;serif"/>
          <w:b/>
          <w:sz w:val="24"/>
        </w:rPr>
        <w:t>​</w:t>
        <w:br/>
      </w:r>
      <w:bookmarkStart w:id="2472" w:name="_Toc235366491"/>
      <w:bookmarkStart w:id="2473" w:name="_Toc235204775"/>
      <w:bookmarkStart w:id="2474" w:name="_Toc235142674"/>
      <w:bookmarkStart w:id="2475" w:name="_Toc228481558"/>
      <w:bookmarkStart w:id="2476" w:name="_Ref225382721"/>
      <w:bookmarkStart w:id="2477" w:name="_Ref416482791"/>
      <w:bookmarkStart w:id="2478" w:name="_Ref416484233"/>
      <w:bookmarkStart w:id="2479" w:name="_Ref416485017"/>
      <w:bookmarkStart w:id="2480" w:name="_Ref433250925"/>
      <w:bookmarkStart w:id="2481" w:name="_Ref83652488"/>
      <w:bookmarkStart w:id="2482" w:name="_Toc892097"/>
      <w:bookmarkStart w:id="2483" w:name="_Ref507269721"/>
      <w:bookmarkStart w:id="2484" w:name="_Ref507269447"/>
      <w:bookmarkStart w:id="2485" w:name="_Toc465317282"/>
      <w:bookmarkStart w:id="2486" w:name="_Toc464684538"/>
      <w:bookmarkStart w:id="2487" w:name="_Toc464561847"/>
      <w:bookmarkStart w:id="2488" w:name="_Toc440773735"/>
      <w:bookmarkStart w:id="2489" w:name="_Ref440767607"/>
      <w:bookmarkStart w:id="2490" w:name="_Toc440766870"/>
      <w:bookmarkStart w:id="2491" w:name="_Toc440765282"/>
      <w:bookmarkStart w:id="2492" w:name="_Toc440764522"/>
      <w:bookmarkStart w:id="2493" w:name="_Toc440760962"/>
      <w:bookmarkStart w:id="2494" w:name="_Ref416485032"/>
      <w:bookmarkStart w:id="2495" w:name="_Toc416469689"/>
      <w:bookmarkStart w:id="2496" w:name="_Ref331594404"/>
      <w:bookmarkStart w:id="2497" w:name="_Toc128463260"/>
      <w:bookmarkStart w:id="2498" w:name="_Ref107720063"/>
      <w:bookmarkStart w:id="2499" w:name="_Toc101210302"/>
      <w:bookmarkStart w:id="2500" w:name="_Ref22721886"/>
      <w:bookmarkStart w:id="2501" w:name="_Ref22721616"/>
      <w:bookmarkStart w:id="2502" w:name="_Ref22721031"/>
      <w:bookmarkStart w:id="2503" w:name="_Ref22720962"/>
      <w:bookmarkStart w:id="2504" w:name="_Ref22718170"/>
      <w:bookmarkStart w:id="2505" w:name="_Ref22717843"/>
      <w:bookmarkStart w:id="2506" w:name="_Ref22717511"/>
      <w:bookmarkStart w:id="2507" w:name="_Toc518197934"/>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r>
        <w:rPr>
          <w:rFonts w:ascii="Times New Roman;Times;serif" w:hAnsi="Times New Roman;Times;serif"/>
          <w:b/>
          <w:sz w:val="24"/>
        </w:rPr>
        <w:t>Representations and Warranties of Seller on behalf of itself and of the Company and its Subsidiaries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Seller makes to Buyer the representations and warranties contained in this </w:t>
      </w:r>
      <w:r>
        <w:rPr>
          <w:rFonts w:ascii="Times New Roman;Times;serif" w:hAnsi="Times New Roman;Times;serif"/>
          <w:sz w:val="24"/>
          <w:u w:val="single"/>
        </w:rPr>
        <w:t>Article III</w:t>
      </w:r>
      <w:r>
        <w:rPr>
          <w:rFonts w:ascii="Times New Roman;Times;serif" w:hAnsi="Times New Roman;Times;serif"/>
          <w:sz w:val="24"/>
        </w:rPr>
        <w:t xml:space="preserve"> as of the date hereof</w:t>
      </w:r>
      <w:bookmarkStart w:id="2508" w:name="_Ref440767795"/>
      <w:bookmarkEnd w:id="2508"/>
      <w:r>
        <w:rPr>
          <w:rFonts w:ascii="Times New Roman;Times;serif" w:hAnsi="Times New Roman;Times;serif"/>
          <w:sz w:val="24"/>
        </w:rPr>
        <w:t xml:space="preserve"> and as of the Closing Date, except as disclosed by Seller in the written </w:t>
      </w:r>
      <w:bookmarkStart w:id="2509" w:name="DocXTextRef110"/>
      <w:bookmarkEnd w:id="2509"/>
      <w:r>
        <w:rPr>
          <w:rFonts w:ascii="Times New Roman;Times;serif" w:hAnsi="Times New Roman;Times;serif"/>
          <w:sz w:val="24"/>
        </w:rPr>
        <w:t>schedules delivered in final form to Buyer as of the date hereof (the “</w:t>
      </w:r>
      <w:r>
        <w:rPr>
          <w:rFonts w:ascii="Times New Roman;Times;serif" w:hAnsi="Times New Roman;Times;serif"/>
          <w:sz w:val="24"/>
          <w:u w:val="single"/>
        </w:rPr>
        <w:t>Schedules</w:t>
      </w:r>
      <w:r>
        <w:rPr>
          <w:rFonts w:ascii="Times New Roman;Times;serif" w:hAnsi="Times New Roman;Times;serif"/>
          <w:sz w:val="24"/>
        </w:rPr>
        <w:t xml:space="preserve">”).  The </w:t>
      </w:r>
      <w:bookmarkStart w:id="2510" w:name="DocXTextRef111"/>
      <w:bookmarkEnd w:id="2510"/>
      <w:r>
        <w:rPr>
          <w:rFonts w:ascii="Times New Roman;Times;serif" w:hAnsi="Times New Roman;Times;serif"/>
          <w:sz w:val="24"/>
        </w:rPr>
        <w:t xml:space="preserve">Schedules shall be arranged in sections and subsections corresponding to the numbered and lettered sections and subsections contained in this </w:t>
      </w:r>
      <w:r>
        <w:rPr>
          <w:rFonts w:ascii="Times New Roman;Times;serif" w:hAnsi="Times New Roman;Times;serif"/>
          <w:sz w:val="24"/>
          <w:u w:val="single"/>
        </w:rPr>
        <w:t>Article III</w:t>
      </w:r>
      <w:r>
        <w:rPr>
          <w:rFonts w:ascii="Times New Roman;Times;serif" w:hAnsi="Times New Roman;Times;serif"/>
          <w:sz w:val="24"/>
        </w:rPr>
        <w:t xml:space="preserve">.  The disclosures in any section or subsection of the </w:t>
      </w:r>
      <w:bookmarkStart w:id="2511" w:name="DocXTextRef112"/>
      <w:bookmarkEnd w:id="2511"/>
      <w:r>
        <w:rPr>
          <w:rFonts w:ascii="Times New Roman;Times;serif" w:hAnsi="Times New Roman;Times;serif"/>
          <w:sz w:val="24"/>
        </w:rPr>
        <w:t xml:space="preserve">Schedules corresponding to any section or subsection of this </w:t>
      </w:r>
      <w:r>
        <w:rPr>
          <w:rFonts w:ascii="Times New Roman;Times;serif" w:hAnsi="Times New Roman;Times;serif"/>
          <w:sz w:val="24"/>
          <w:u w:val="single"/>
        </w:rPr>
        <w:t>Article III</w:t>
      </w:r>
      <w:r>
        <w:rPr>
          <w:rFonts w:ascii="Times New Roman;Times;serif" w:hAnsi="Times New Roman;Times;serif"/>
          <w:sz w:val="24"/>
        </w:rPr>
        <w:t xml:space="preserve"> shall qualify other sections and subsections in this </w:t>
      </w:r>
      <w:r>
        <w:rPr>
          <w:rFonts w:ascii="Times New Roman;Times;serif" w:hAnsi="Times New Roman;Times;serif"/>
          <w:sz w:val="24"/>
          <w:u w:val="single"/>
        </w:rPr>
        <w:t>Article III</w:t>
      </w:r>
      <w:r>
        <w:rPr>
          <w:rFonts w:ascii="Times New Roman;Times;serif" w:hAnsi="Times New Roman;Times;serif"/>
          <w:sz w:val="24"/>
        </w:rPr>
        <w:t xml:space="preserve"> only if indicated by cross-references to such other sections and subsections or if the applicability of such matter to such other section or subsection is reasonably apparent from the face of such disclosure.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w:t>
      </w:r>
      <w:bookmarkStart w:id="2512" w:name="_Toc235366492"/>
      <w:bookmarkStart w:id="2513" w:name="_Toc235204776"/>
      <w:bookmarkStart w:id="2514" w:name="_Toc235142675"/>
      <w:bookmarkStart w:id="2515" w:name="_Ref232511640"/>
      <w:bookmarkStart w:id="2516" w:name="_Toc228481559"/>
      <w:bookmarkStart w:id="2517" w:name="_Ref225157753"/>
      <w:bookmarkStart w:id="2518" w:name="_Ref83652489"/>
      <w:bookmarkStart w:id="2519" w:name="_Toc892098"/>
      <w:bookmarkStart w:id="2520" w:name="_Ref416486229"/>
      <w:bookmarkStart w:id="2521" w:name="_Ref507269722"/>
      <w:bookmarkStart w:id="2522" w:name="_Ref507269448"/>
      <w:bookmarkStart w:id="2523" w:name="_Toc465317283"/>
      <w:bookmarkStart w:id="2524" w:name="_Toc464684539"/>
      <w:bookmarkStart w:id="2525" w:name="_Toc464561848"/>
      <w:bookmarkStart w:id="2526" w:name="_Toc440773736"/>
      <w:bookmarkStart w:id="2527" w:name="_Ref440767608"/>
      <w:bookmarkStart w:id="2528" w:name="_Toc440766871"/>
      <w:bookmarkStart w:id="2529" w:name="_Toc440765283"/>
      <w:bookmarkStart w:id="2530" w:name="_Toc440764523"/>
      <w:bookmarkStart w:id="2531" w:name="_Toc440760963"/>
      <w:bookmarkStart w:id="2532" w:name="_Ref416487075"/>
      <w:bookmarkStart w:id="2533" w:name="_Ref416482792"/>
      <w:bookmarkStart w:id="2534" w:name="_Toc416469690"/>
      <w:bookmarkStart w:id="2535" w:name="_Ref137904077"/>
      <w:bookmarkStart w:id="2536" w:name="_Toc128463261"/>
      <w:bookmarkStart w:id="2537" w:name="_Toc101210303"/>
      <w:bookmarkStart w:id="2538" w:name="_Ref23061705"/>
      <w:bookmarkStart w:id="2539" w:name="_Ref22735912"/>
      <w:bookmarkStart w:id="2540" w:name="_Ref22719143"/>
      <w:bookmarkStart w:id="2541" w:name="_Toc518197935"/>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r>
        <w:rPr>
          <w:rFonts w:ascii="Times New Roman;Times;serif" w:hAnsi="Times New Roman;Times;serif"/>
          <w:sz w:val="24"/>
          <w:u w:val="single"/>
        </w:rPr>
        <w:t>Organization; Good Standing; Power</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542" w:name="_Ref440767609"/>
      <w:bookmarkStart w:id="2543" w:name="_Ref507269449"/>
      <w:bookmarkStart w:id="2544" w:name="_Toc235204777"/>
      <w:bookmarkStart w:id="2545" w:name="_Ref225150171"/>
      <w:bookmarkEnd w:id="2542"/>
      <w:bookmarkEnd w:id="2543"/>
      <w:bookmarkEnd w:id="2544"/>
      <w:bookmarkEnd w:id="2545"/>
      <w:r>
        <w:rPr>
          <w:rFonts w:ascii="Times New Roman;Times;serif" w:hAnsi="Times New Roman;Times;serif"/>
          <w:sz w:val="24"/>
        </w:rPr>
        <w:t xml:space="preserve">Seller is duly organized, validly existing and in good standing under the Laws of the state of Delaware.  Seller possesses full power and authority necessary to own and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operate its properties and assets and to carry on the Business in all material respects as presently conducted.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546" w:name="_Toc235204778"/>
      <w:bookmarkEnd w:id="2546"/>
      <w:r>
        <w:rPr>
          <w:rFonts w:ascii="Times New Roman;Times;serif" w:hAnsi="Times New Roman;Times;serif"/>
          <w:sz w:val="24"/>
        </w:rPr>
        <w:t>The Company is duly incorporated, validly existing and in good standing under the Laws of the jurisdiction of the state of Delaware and is licensed or qualified to conduct the Business and is in good standing in each jurisdiction where such licensing or qualification is necessary to conduct the Business, except where the failure to be so licensed, qualified or in good standing would not be material to the Company and its Subsidiaries taken as a whole.  The Company possesses full power and authority necessary to own and operate its properties and assets and to carry on the Business in all material respects as presently conducted.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2547" w:name="_Toc235204779"/>
      <w:bookmarkStart w:id="2548" w:name="_Ref507269450"/>
      <w:bookmarkEnd w:id="2547"/>
      <w:bookmarkEnd w:id="2548"/>
      <w:r>
        <w:rPr>
          <w:rFonts w:ascii="Times New Roman;Times;serif" w:hAnsi="Times New Roman;Times;serif"/>
          <w:sz w:val="24"/>
        </w:rPr>
        <w:t xml:space="preserve">Except as set forth on </w:t>
      </w:r>
      <w:r>
        <w:rPr>
          <w:rFonts w:ascii="Times New Roman;Times;serif" w:hAnsi="Times New Roman;Times;serif"/>
          <w:sz w:val="24"/>
          <w:u w:val="single"/>
        </w:rPr>
        <w:t>Schedule 3.1(c)</w:t>
      </w:r>
      <w:r>
        <w:rPr>
          <w:rFonts w:ascii="Times New Roman;Times;serif" w:hAnsi="Times New Roman;Times;serif"/>
          <w:sz w:val="24"/>
        </w:rPr>
        <w:t>, each Subsidiary of the Company is duly organized, validly existing and in good standing (or the similar equivalent in any jurisdiction) under the Laws of the jurisdiction of its formation or organization and is licensed or qualified to conduct the Business and is in good standing (or the similar equivalent in any jurisdiction) in each jurisdiction where such licensing or qualification is necessary to conduct the Business, except where the failure to be so licensed, qualified or in good standing would not be material to the Company and its Subsidiaries taken as a whole.  Each Subsidiary of the Company possesses full power and authority necessary to own and operate its properties and assets and to carry on its businesses in all material respects as presently conducted.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2549" w:name="_Toc235204780"/>
      <w:bookmarkEnd w:id="2549"/>
      <w:r>
        <w:rPr>
          <w:rFonts w:ascii="Times New Roman;Times;serif" w:hAnsi="Times New Roman;Times;serif"/>
          <w:sz w:val="24"/>
        </w:rPr>
        <w:t>Colchester holds all material Licenses required under applicable Laws for the conduct of its business as currently conducted, including all Licenses required by its jurisdiction of incorporation and any other jurisdiction in which Colchester is required to be licensed or authorized, and all such Licenses are in full force and effect and will remain in full force and effect immediately after the Closing.  No loss or expiration of any License of Colchester is pending or, to the Knowledge of Seller, threatened or reasonably foreseeable (including as a result of the transactions contemplated by this Agreement).  Colchester is not subject to any Order of any Government Entity restricting, limiting or conditioning its authority to conduct business.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2550" w:name="_Toc235204781"/>
      <w:bookmarkStart w:id="2551" w:name="_Ref440767610"/>
      <w:bookmarkEnd w:id="2550"/>
      <w:bookmarkEnd w:id="2551"/>
      <w:r>
        <w:rPr>
          <w:rFonts w:ascii="Times New Roman;Times;serif" w:hAnsi="Times New Roman;Times;serif"/>
          <w:sz w:val="24"/>
        </w:rPr>
        <w:t>Seller has made available true, complete and correct copies of the certificate of incorporation and bylaws (or other comparable organizational documents) of the Company and each of its Subsidiaries, each as amended and in effect as of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w:t>
      </w:r>
      <w:bookmarkStart w:id="2552" w:name="_Toc235366493"/>
      <w:bookmarkStart w:id="2553" w:name="_Toc235204782"/>
      <w:bookmarkStart w:id="2554" w:name="_Toc235142676"/>
      <w:bookmarkStart w:id="2555" w:name="_Toc228481560"/>
      <w:bookmarkStart w:id="2556" w:name="_Ref225150261"/>
      <w:bookmarkEnd w:id="2552"/>
      <w:bookmarkEnd w:id="2553"/>
      <w:bookmarkEnd w:id="2554"/>
      <w:bookmarkEnd w:id="2555"/>
      <w:bookmarkEnd w:id="2556"/>
      <w:r>
        <w:rPr>
          <w:rFonts w:ascii="Times New Roman;Times;serif" w:hAnsi="Times New Roman;Times;serif"/>
          <w:sz w:val="24"/>
          <w:u w:val="single"/>
        </w:rPr>
        <w:t>Authorization; Execution and Enforceability; No Breach</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557" w:name="_Toc235204783"/>
      <w:bookmarkEnd w:id="2557"/>
      <w:r>
        <w:rPr>
          <w:rFonts w:ascii="Times New Roman;Times;serif" w:hAnsi="Times New Roman;Times;serif"/>
          <w:sz w:val="24"/>
        </w:rPr>
        <w:t xml:space="preserve">Seller, the Company, and each of its Subsidiaries (as applicable) possess full legal right and all requisite power and authority, and have taken all actions necessary, to authorize, execute, deliver and perform this Agreement and each other Transaction Document to which Seller is a party, and to consummate the transactions contemplated hereby and thereby, in accordance with the terms of this Agreement and the other Transaction Documents.  No other entity action on the part of Seller, the Company, or any of its Subsidiaries is necessary to authorize the execution, delivery and performance of this Agreement or any other Transaction Document or the consummation of the transactions contemplated hereby and thereby.  Each Transaction Document to which Seller, the Company or any of its Subsidiaries is or will be a party has been, or upon execution will be, duly and validly executed and delivered by such party, and constitutes, or upon its execution and delivery will constitute (in each case, assuming due execution and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delivery by each other party thereto), a valid and legally binding obligation of such party, enforceable against such party in accordance with its terms and conditions, subject to applicable bankruptcy, insolvency, reorganization, moratorium and similar Laws affecting creditors’ rights generally, and subject, as to enforceability, to general principles of equity.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558" w:name="_Toc235204784"/>
      <w:bookmarkStart w:id="2559" w:name="_Ref232491859"/>
      <w:bookmarkEnd w:id="2558"/>
      <w:bookmarkEnd w:id="2559"/>
      <w:r>
        <w:rPr>
          <w:rFonts w:ascii="Times New Roman;Times;serif" w:hAnsi="Times New Roman;Times;serif"/>
          <w:sz w:val="24"/>
        </w:rPr>
        <w:t xml:space="preserve">Except as set forth on </w:t>
      </w:r>
      <w:r>
        <w:rPr>
          <w:rFonts w:ascii="Times New Roman;Times;serif" w:hAnsi="Times New Roman;Times;serif"/>
          <w:sz w:val="24"/>
          <w:u w:val="single"/>
        </w:rPr>
        <w:t>Schedule 3.2(b)</w:t>
      </w:r>
      <w:r>
        <w:rPr>
          <w:rFonts w:ascii="Times New Roman;Times;serif" w:hAnsi="Times New Roman;Times;serif"/>
          <w:sz w:val="24"/>
        </w:rPr>
        <w:t xml:space="preserve">, and as required for compliance with and filings under the Hart-Scott-Rodino Antitrust Improvements Act of 1976 and the expiration or termination of any applicable waiting period thereunder, no material filing with or notice to, and no material permit, authorization, registration, consent or approval of, any Government Entity is required on the part of Seller, the Company or any Subsidiary of the Company for the execution, delivery and performance by Seller, the Company and the Company’s Subsidiaries of this Agreement and the other Transaction Documents nor the consummation of the transactions contemplated by this Agreement and the other Transaction Documents.  Neither the execution, delivery or performance by Seller, the Company or any of the Company’s Subsidiaries of this Agreement and the other Transaction Documents nor the consummation of the transactions contemplated by this Agreement and the other Transaction Documents, will (i) conflict with or result in a breach, violation or infringement of the terms, conditions or provisions of, (ii) constitute a default under (whether with or without the passage of time, the giving of notice or both), (iii) result in the creation of any Lien (except for a Permitted Lien), (iv) give any Person the right to modify, cancel, terminate, suspend, revoke or accelerate or increase any obligation under, or (v) result in a violation of (A) the certificate of incorporation or bylaws (or other comparable organizational documents) of Seller, the Company or any of its Subsidiaries, </w:t>
      </w:r>
      <w:bookmarkStart w:id="2560" w:name="_9kR3WTrAGBEEGIDmt1I5oDmJ1GCni4s7NLPJ622"/>
      <w:bookmarkEnd w:id="2560"/>
      <w:r>
        <w:rPr>
          <w:rFonts w:ascii="Times New Roman;Times;serif" w:hAnsi="Times New Roman;Times;serif"/>
          <w:sz w:val="24"/>
        </w:rPr>
        <w:t xml:space="preserve">(B) any Law or Order to which Seller, the Company, any of its Subsidiaries or any of their respective properties or assets is subject or bound, or </w:t>
      </w:r>
      <w:bookmarkStart w:id="2561" w:name="_9kR3WTrAGBEEHJDmt1J6oDDqy327rvYWEKP7tDV"/>
      <w:bookmarkEnd w:id="2561"/>
      <w:r>
        <w:rPr>
          <w:rFonts w:ascii="Times New Roman;Times;serif" w:hAnsi="Times New Roman;Times;serif"/>
          <w:sz w:val="24"/>
        </w:rPr>
        <w:t xml:space="preserve">(C) any material Contract to which Seller, the Company or any of its Subsidiaries is a party or by which its properties, rights or assets is subject or bound or any Material Contract, except in the case of </w:t>
      </w:r>
      <w:bookmarkStart w:id="2562" w:name="_9kMHG5YVtCIDGGIKFov3K7qFoL3IEpk6u9PNRL8"/>
      <w:bookmarkEnd w:id="2562"/>
      <w:r>
        <w:rPr>
          <w:rFonts w:ascii="Times New Roman;Times;serif" w:hAnsi="Times New Roman;Times;serif"/>
          <w:sz w:val="24"/>
        </w:rPr>
        <w:t xml:space="preserve">clauses (B) and </w:t>
      </w:r>
      <w:bookmarkStart w:id="2563" w:name="_9kMHG5YVtCIDGGJLFov3L8qFFs0549txaYGMR9v"/>
      <w:bookmarkEnd w:id="2563"/>
      <w:r>
        <w:rPr>
          <w:rFonts w:ascii="Times New Roman;Times;serif" w:hAnsi="Times New Roman;Times;serif"/>
          <w:sz w:val="24"/>
        </w:rPr>
        <w:t xml:space="preserve">(C), for breaches, violations, infringements or Liens that would not be expected to </w:t>
      </w:r>
      <w:bookmarkStart w:id="2564" w:name="_cp_change_606"/>
      <w:bookmarkEnd w:id="2564"/>
      <w:r>
        <w:rPr>
          <w:rFonts w:ascii="Times New Roman;Times;serif" w:hAnsi="Times New Roman;Times;serif"/>
          <w:sz w:val="24"/>
        </w:rPr>
        <w:t xml:space="preserve">(1) prevent, hinder or materially delay any of the transactions completed by this Agreement, (2) materially impair the ability </w:t>
      </w:r>
      <w:bookmarkStart w:id="2565" w:name="_cp_change_607"/>
      <w:bookmarkEnd w:id="2565"/>
      <w:r>
        <w:rPr>
          <w:rFonts w:ascii="Times New Roman;Times;serif" w:hAnsi="Times New Roman;Times;serif"/>
          <w:sz w:val="24"/>
        </w:rPr>
        <w:t xml:space="preserve">of Seller to perform its obligations </w:t>
      </w:r>
      <w:bookmarkStart w:id="2566" w:name="_cp_change_609"/>
      <w:bookmarkEnd w:id="2566"/>
      <w:r>
        <w:rPr>
          <w:rFonts w:ascii="Times New Roman;Times;serif" w:hAnsi="Times New Roman;Times;serif"/>
          <w:sz w:val="24"/>
        </w:rPr>
        <w:t>under this Agreement and the other Transaction Documents, or (3) be material to the Company and its Subsidiaries taken as a whole.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3.3</w:t>
      </w:r>
      <w:bookmarkStart w:id="2567" w:name="_Toc235366494"/>
      <w:bookmarkStart w:id="2568" w:name="_Toc235204785"/>
      <w:bookmarkStart w:id="2569" w:name="_Toc235142677"/>
      <w:bookmarkStart w:id="2570" w:name="_Toc228481561"/>
      <w:bookmarkStart w:id="2571" w:name="_Ref225149426"/>
      <w:bookmarkEnd w:id="2567"/>
      <w:bookmarkEnd w:id="2568"/>
      <w:bookmarkEnd w:id="2569"/>
      <w:bookmarkEnd w:id="2570"/>
      <w:bookmarkEnd w:id="2571"/>
      <w:r>
        <w:rPr>
          <w:rFonts w:ascii="Times New Roman;Times;serif" w:hAnsi="Times New Roman;Times;serif"/>
          <w:sz w:val="24"/>
          <w:u w:val="single"/>
        </w:rPr>
        <w:t>Title to Company Shares</w:t>
      </w:r>
      <w:bookmarkStart w:id="2572" w:name="_Ref225149424"/>
      <w:bookmarkEnd w:id="2572"/>
      <w:r>
        <w:rPr>
          <w:rFonts w:ascii="Times New Roman;Times;serif" w:hAnsi="Times New Roman;Times;serif"/>
          <w:sz w:val="24"/>
        </w:rPr>
        <w:t>.  Seller owns of record and beneficially all of the Company Shares.  Seller has good and valid title to such Company Shares, free and clear of all Liens and restrictions on transfer (other than restrictions on transfer under applicable securities Laws) and, at the Closing, Seller will deliver to Buyer good and valid title to such Company Shares, free and clear of all Liens and restrictions on transfer (other than restrictions on transfer under applicable securities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3.4</w:t>
      </w:r>
      <w:bookmarkStart w:id="2573" w:name="_Toc235366495"/>
      <w:bookmarkStart w:id="2574" w:name="_Toc235204786"/>
      <w:bookmarkStart w:id="2575" w:name="_Toc235142678"/>
      <w:bookmarkStart w:id="2576" w:name="_Toc228481562"/>
      <w:bookmarkStart w:id="2577" w:name="_Toc892099"/>
      <w:bookmarkStart w:id="2578" w:name="_Toc465317284"/>
      <w:bookmarkStart w:id="2579" w:name="_Toc464684540"/>
      <w:bookmarkStart w:id="2580" w:name="_Toc464561849"/>
      <w:bookmarkStart w:id="2581" w:name="_Toc440773737"/>
      <w:bookmarkStart w:id="2582" w:name="_Toc440766872"/>
      <w:bookmarkStart w:id="2583" w:name="_Toc440765284"/>
      <w:bookmarkStart w:id="2584" w:name="_Toc440764524"/>
      <w:bookmarkStart w:id="2585" w:name="_Toc440760964"/>
      <w:bookmarkStart w:id="2586" w:name="_Toc416469691"/>
      <w:bookmarkStart w:id="2587" w:name="_Ref331788431"/>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r>
        <w:rPr>
          <w:rFonts w:ascii="Times New Roman;Times;serif" w:hAnsi="Times New Roman;Times;serif"/>
          <w:sz w:val="24"/>
          <w:u w:val="single"/>
        </w:rPr>
        <w:t>Capitalization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588" w:name="_Ref331781124"/>
      <w:bookmarkStart w:id="2589" w:name="_Toc235204787"/>
      <w:bookmarkStart w:id="2590" w:name="_Ref440766300"/>
      <w:bookmarkStart w:id="2591" w:name="_Ref416482793"/>
      <w:bookmarkStart w:id="2592" w:name="_Ref507269451"/>
      <w:bookmarkEnd w:id="2588"/>
      <w:bookmarkEnd w:id="2589"/>
      <w:bookmarkEnd w:id="2590"/>
      <w:bookmarkEnd w:id="2591"/>
      <w:bookmarkEnd w:id="2592"/>
      <w:r>
        <w:rPr>
          <w:rFonts w:ascii="Times New Roman;Times;serif" w:hAnsi="Times New Roman;Times;serif"/>
          <w:sz w:val="24"/>
        </w:rPr>
        <w:t>The Company Shares constitute all of the issued and outstanding capital stock of the Company and are duly authorized, validly issued, fully paid and non-assessable.  The Company Shares were offered, issued, sold and delivered in material compliance with all applicable Laws governing the issuance of securities and were not issued in violation of (or subject to) any preemptive rights, rights of first refusal or offer or other similar rights.  Except for the Company Shares, the Company does not have any outstanding Equity or Equity Equivalents.  There are no declared or accrued but unpaid dividends with respect to any of the Company Shares.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There are no voting trusts, proxies or other agreements among any of the Company’s stockholders with respect to the voting or transfer of any Equity or Equity Equivalents of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593" w:name="_Toc235204788"/>
      <w:bookmarkStart w:id="2594" w:name="_Ref436577971"/>
      <w:bookmarkStart w:id="2595" w:name="_Ref83652490"/>
      <w:bookmarkStart w:id="2596" w:name="_Ref507269452"/>
      <w:bookmarkStart w:id="2597" w:name="_Ref331781151"/>
      <w:bookmarkEnd w:id="2593"/>
      <w:bookmarkEnd w:id="2594"/>
      <w:bookmarkEnd w:id="2595"/>
      <w:bookmarkEnd w:id="2596"/>
      <w:bookmarkEnd w:id="2597"/>
      <w:r>
        <w:rPr>
          <w:rFonts w:ascii="Times New Roman;Times;serif" w:hAnsi="Times New Roman;Times;serif"/>
          <w:sz w:val="24"/>
          <w:u w:val="single"/>
        </w:rPr>
        <w:t>Schedule 3.4(b)</w:t>
      </w:r>
      <w:r>
        <w:rPr>
          <w:rFonts w:ascii="Times New Roman;Times;serif" w:hAnsi="Times New Roman;Times;serif"/>
          <w:sz w:val="24"/>
        </w:rPr>
        <w:t xml:space="preserve"> sets forth each Subsidiary of the Company and such Subsidiary’s jurisdiction of organization or formation, as applicable, and except for such Subsidiaries, the Company does not own or control, directly or indirectly, any Equity or Equity Equivalents in or interest convertible into or exchangeable or exercisable for Equity or Equity Equivalents in or have any obligation to invest in or purchase any Equity or Equity Equivalents of any Person.  The authorized, issued and outstanding Equity or Equity Equivalents of each Subsidiary of the Company is set forth on </w:t>
      </w:r>
      <w:r>
        <w:rPr>
          <w:rFonts w:ascii="Times New Roman;Times;serif" w:hAnsi="Times New Roman;Times;serif"/>
          <w:sz w:val="24"/>
          <w:u w:val="single"/>
        </w:rPr>
        <w:t>Schedule 3.4(b)</w:t>
      </w:r>
      <w:r>
        <w:rPr>
          <w:rFonts w:ascii="Times New Roman;Times;serif" w:hAnsi="Times New Roman;Times;serif"/>
          <w:sz w:val="24"/>
        </w:rPr>
        <w:t xml:space="preserve">, all of which is duly authorized, validly issued, fully paid and non-assessable and is held beneficially and of record as set forth on </w:t>
      </w:r>
      <w:r>
        <w:rPr>
          <w:rFonts w:ascii="Times New Roman;Times;serif" w:hAnsi="Times New Roman;Times;serif"/>
          <w:sz w:val="24"/>
          <w:u w:val="single"/>
        </w:rPr>
        <w:t>Schedule 3.4(b)</w:t>
      </w:r>
      <w:r>
        <w:rPr>
          <w:rFonts w:ascii="Times New Roman;Times;serif" w:hAnsi="Times New Roman;Times;serif"/>
          <w:sz w:val="24"/>
        </w:rPr>
        <w:t xml:space="preserve">, free and clear of any Liens or restrictions on transfer (other than restrictions on transfer under applicable securities Laws), was offered, issued, sold and delivered in material compliance with all applicable Laws governing the issuance or transfer of securities and was not issued in violation of (or subject to) any preemptive rights, rights of first refusal or offer or other similar rights.  Except as set forth on </w:t>
      </w:r>
      <w:r>
        <w:rPr>
          <w:rFonts w:ascii="Times New Roman;Times;serif" w:hAnsi="Times New Roman;Times;serif"/>
          <w:sz w:val="24"/>
          <w:u w:val="single"/>
        </w:rPr>
        <w:t>Schedule 3.4(b)</w:t>
      </w:r>
      <w:r>
        <w:rPr>
          <w:rFonts w:ascii="Times New Roman;Times;serif" w:hAnsi="Times New Roman;Times;serif"/>
          <w:sz w:val="24"/>
        </w:rPr>
        <w:t>, no Subsidiary of the Company has any outstanding Equity or Equity Equivalents.  There are no voting trusts, proxies or other agreements among the equityholders of any Subsidiary of the Company with respect to the voting or transfer of any Equity or Equity Equivalents of such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3.5</w:t>
      </w:r>
      <w:bookmarkStart w:id="2598" w:name="_Toc235366496"/>
      <w:bookmarkStart w:id="2599" w:name="_Toc235204789"/>
      <w:bookmarkStart w:id="2600" w:name="_Toc235142679"/>
      <w:bookmarkStart w:id="2601" w:name="_Toc228481563"/>
      <w:bookmarkStart w:id="2602" w:name="_Ref83652493"/>
      <w:bookmarkStart w:id="2603" w:name="_Toc892101"/>
      <w:bookmarkStart w:id="2604" w:name="_Ref507269724"/>
      <w:bookmarkStart w:id="2605" w:name="_Ref507269456"/>
      <w:bookmarkStart w:id="2606" w:name="_Toc465317286"/>
      <w:bookmarkStart w:id="2607" w:name="_Toc464684542"/>
      <w:bookmarkStart w:id="2608" w:name="_Toc464561851"/>
      <w:bookmarkStart w:id="2609" w:name="_Toc440773739"/>
      <w:bookmarkStart w:id="2610" w:name="_Ref440767615"/>
      <w:bookmarkStart w:id="2611" w:name="_Toc440766874"/>
      <w:bookmarkStart w:id="2612" w:name="_Toc440765286"/>
      <w:bookmarkStart w:id="2613" w:name="_Toc440764526"/>
      <w:bookmarkStart w:id="2614" w:name="_Toc440760966"/>
      <w:bookmarkStart w:id="2615" w:name="_Ref433250682"/>
      <w:bookmarkStart w:id="2616" w:name="_Ref416487098"/>
      <w:bookmarkStart w:id="2617" w:name="_Ref416482796"/>
      <w:bookmarkStart w:id="2618" w:name="_Toc416469693"/>
      <w:bookmarkStart w:id="2619" w:name="_Ref331786069"/>
      <w:bookmarkStart w:id="2620" w:name="_Ref138007666"/>
      <w:bookmarkStart w:id="2621" w:name="_Ref137904107"/>
      <w:bookmarkStart w:id="2622" w:name="_Ref137830653"/>
      <w:bookmarkStart w:id="2623" w:name="_Toc128463265"/>
      <w:bookmarkStart w:id="2624" w:name="_Toc101210307"/>
      <w:bookmarkStart w:id="2625" w:name="_Ref23061729"/>
      <w:bookmarkStart w:id="2626" w:name="_Ref22719208"/>
      <w:bookmarkStart w:id="2627" w:name="_Ref22707624"/>
      <w:bookmarkStart w:id="2628" w:name="_Toc518197939"/>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r>
        <w:rPr>
          <w:rFonts w:ascii="Times New Roman;Times;serif" w:hAnsi="Times New Roman;Times;serif"/>
          <w:sz w:val="24"/>
          <w:u w:val="single"/>
        </w:rPr>
        <w:t>Financial Statements; Indebtedness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629" w:name="_Toc235204790"/>
      <w:bookmarkStart w:id="2630" w:name="_Ref416482797"/>
      <w:bookmarkEnd w:id="2629"/>
      <w:bookmarkEnd w:id="2630"/>
      <w:r>
        <w:rPr>
          <w:rFonts w:ascii="Times New Roman;Times;serif" w:hAnsi="Times New Roman;Times;serif"/>
          <w:sz w:val="24"/>
          <w:u w:val="single"/>
        </w:rPr>
        <w:t>Schedule 3.5(a)</w:t>
      </w:r>
      <w:r>
        <w:rPr>
          <w:rFonts w:ascii="Times New Roman;Times;serif" w:hAnsi="Times New Roman;Times;serif"/>
          <w:sz w:val="24"/>
        </w:rPr>
        <w:t xml:space="preserve"> sets forth true, complete and correct copies of </w:t>
      </w:r>
      <w:bookmarkStart w:id="2631" w:name="DocXTextRef127"/>
      <w:bookmarkEnd w:id="2631"/>
      <w:r>
        <w:rPr>
          <w:rFonts w:ascii="Times New Roman;Times;serif" w:hAnsi="Times New Roman;Times;serif"/>
          <w:sz w:val="24"/>
        </w:rPr>
        <w:t xml:space="preserve">the </w:t>
      </w:r>
      <w:bookmarkStart w:id="2632" w:name="_9kR3WTrAGBEF9AGofgtxm30lkw7vs52ts4GLNHC"/>
      <w:bookmarkEnd w:id="2632"/>
      <w:r>
        <w:rPr>
          <w:rFonts w:ascii="Times New Roman;Times;serif" w:hAnsi="Times New Roman;Times;serif"/>
          <w:sz w:val="24"/>
        </w:rPr>
        <w:t>(i) audited combined consolidated balance sheets, statements of income, and statements of cash flows of the Company and American Driveline Systems, Inc. as of December 31, 2025 and December 31, 2024, and for the years then ended, respectively (the balance sheets as of December 31, 2025, the “</w:t>
      </w:r>
      <w:r>
        <w:rPr>
          <w:rFonts w:ascii="Times New Roman;Times;serif" w:hAnsi="Times New Roman;Times;serif"/>
          <w:sz w:val="24"/>
          <w:u w:val="single"/>
        </w:rPr>
        <w:t>Most Recent Audited Balance Sheet</w:t>
      </w:r>
      <w:r>
        <w:rPr>
          <w:rFonts w:ascii="Times New Roman;Times;serif" w:hAnsi="Times New Roman;Times;serif"/>
          <w:sz w:val="24"/>
        </w:rPr>
        <w:t>” and December 31, 2025, the “</w:t>
      </w:r>
      <w:r>
        <w:rPr>
          <w:rFonts w:ascii="Times New Roman;Times;serif" w:hAnsi="Times New Roman;Times;serif"/>
          <w:sz w:val="24"/>
          <w:u w:val="single"/>
        </w:rPr>
        <w:t>Most Recent Audit Date</w:t>
      </w:r>
      <w:r>
        <w:rPr>
          <w:rFonts w:ascii="Times New Roman;Times;serif" w:hAnsi="Times New Roman;Times;serif"/>
          <w:sz w:val="24"/>
        </w:rPr>
        <w:t xml:space="preserve">”), and </w:t>
      </w:r>
      <w:bookmarkStart w:id="2633" w:name="_9kR3WTrAGBEFABGofo17ow0p63onzBGIC70tAF0"/>
      <w:bookmarkEnd w:id="2633"/>
      <w:r>
        <w:rPr>
          <w:rFonts w:ascii="Times New Roman;Times;serif" w:hAnsi="Times New Roman;Times;serif"/>
          <w:sz w:val="24"/>
        </w:rPr>
        <w:t>(ii) unaudited consolidated balance sheet and income statement of the Company (excluding Precision Auto Care, Inc. and AEP PLC) as of May 31, 2026 (the “</w:t>
      </w:r>
      <w:r>
        <w:rPr>
          <w:rFonts w:ascii="Times New Roman;Times;serif" w:hAnsi="Times New Roman;Times;serif"/>
          <w:sz w:val="24"/>
          <w:u w:val="single"/>
        </w:rPr>
        <w:t>Most Recent Balance Sheet Date</w:t>
      </w:r>
      <w:r>
        <w:rPr>
          <w:rFonts w:ascii="Times New Roman;Times;serif" w:hAnsi="Times New Roman;Times;serif"/>
          <w:sz w:val="24"/>
        </w:rPr>
        <w:t>” and such balance sheet, the “</w:t>
      </w:r>
      <w:r>
        <w:rPr>
          <w:rFonts w:ascii="Times New Roman;Times;serif" w:hAnsi="Times New Roman;Times;serif"/>
          <w:sz w:val="24"/>
          <w:u w:val="single"/>
        </w:rPr>
        <w:t>Most Recent Balance Sheet</w:t>
      </w:r>
      <w:r>
        <w:rPr>
          <w:rFonts w:ascii="Times New Roman;Times;serif" w:hAnsi="Times New Roman;Times;serif"/>
          <w:sz w:val="24"/>
        </w:rPr>
        <w:t xml:space="preserve">”) and for the five-month period then ended (such balance sheets and statements in </w:t>
      </w:r>
      <w:bookmarkStart w:id="2634" w:name="_9kMHG5YVtCIDGHBCIqhivzo52nmy9xu74vu6INP"/>
      <w:bookmarkEnd w:id="2634"/>
      <w:r>
        <w:rPr>
          <w:rFonts w:ascii="Times New Roman;Times;serif" w:hAnsi="Times New Roman;Times;serif"/>
          <w:sz w:val="24"/>
        </w:rPr>
        <w:t xml:space="preserve">clauses (i) and </w:t>
      </w:r>
      <w:bookmarkStart w:id="2635" w:name="_9kMHG5YVtCIDGHCDIqhq39qy2r85qp1DIKE92vC"/>
      <w:bookmarkEnd w:id="2635"/>
      <w:r>
        <w:rPr>
          <w:rFonts w:ascii="Times New Roman;Times;serif" w:hAnsi="Times New Roman;Times;serif"/>
          <w:sz w:val="24"/>
        </w:rPr>
        <w:t>(ii) above are referred to collectively as the “</w:t>
      </w:r>
      <w:r>
        <w:rPr>
          <w:rFonts w:ascii="Times New Roman;Times;serif" w:hAnsi="Times New Roman;Times;serif"/>
          <w:sz w:val="24"/>
          <w:u w:val="single"/>
        </w:rPr>
        <w:t>Financial Statements</w:t>
      </w:r>
      <w:r>
        <w:rPr>
          <w:rFonts w:ascii="Times New Roman;Times;serif" w:hAnsi="Times New Roman;Times;serif"/>
          <w:sz w:val="24"/>
        </w:rPr>
        <w:t xml:space="preserve">”).  Each of the Financial Statements (including the notes thereto, if any) </w:t>
      </w:r>
      <w:bookmarkStart w:id="2636" w:name="_cp_change_619"/>
      <w:bookmarkEnd w:id="2636"/>
      <w:r>
        <w:rPr>
          <w:rFonts w:ascii="Times New Roman;Times;serif" w:hAnsi="Times New Roman;Times;serif"/>
          <w:sz w:val="24"/>
        </w:rPr>
        <w:t xml:space="preserve">has been prepared from, and is consistent with, </w:t>
      </w:r>
      <w:bookmarkStart w:id="2637" w:name="_cp_change_620"/>
      <w:bookmarkEnd w:id="2637"/>
      <w:r>
        <w:rPr>
          <w:rFonts w:ascii="Times New Roman;Times;serif" w:hAnsi="Times New Roman;Times;serif"/>
          <w:sz w:val="24"/>
        </w:rPr>
        <w:t>the books and records of the Company and its Subsidiaries, and fairly presents the financial condition of the Company and its Subsidiaries as of the dates thereof and the results of operations and cash flows for the periods then ended, and has been prepared in accordance with GAAP (except that unaudited interim financial statements are subject to normal and recurring year-end adjustments, none of which are, individually or in the aggregate, material in amount or effect and do not include footnotes).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638" w:name="_Toc235204791"/>
      <w:bookmarkStart w:id="2639" w:name="_Ref229730048"/>
      <w:bookmarkStart w:id="2640" w:name="_cp_change_623"/>
      <w:bookmarkEnd w:id="2638"/>
      <w:bookmarkEnd w:id="2639"/>
      <w:bookmarkEnd w:id="2640"/>
      <w:r>
        <w:rPr>
          <w:rFonts w:ascii="Times New Roman;Times;serif" w:hAnsi="Times New Roman;Times;serif"/>
          <w:sz w:val="24"/>
        </w:rPr>
        <w:t xml:space="preserve">The Company and its Subsidiaries have established and adhered to a system of internal accounting controls that are designed to provide reasonable assurance regarding the reliability of financial reporting.  Except as set forth on </w:t>
      </w:r>
      <w:r>
        <w:rPr>
          <w:rFonts w:ascii="Times New Roman;Times;serif" w:hAnsi="Times New Roman;Times;serif"/>
          <w:sz w:val="24"/>
          <w:u w:val="single"/>
        </w:rPr>
        <w:t>Schedule 3.5(b)</w:t>
      </w:r>
      <w:r>
        <w:rPr>
          <w:rFonts w:ascii="Times New Roman;Times;serif" w:hAnsi="Times New Roman;Times;serif"/>
          <w:sz w:val="24"/>
        </w:rPr>
        <w:t xml:space="preserve">, since February 4, 2016 there has not been (i) any significant deficiency or material weakness in any system of internal accounting controls used by </w:t>
      </w:r>
      <w:bookmarkStart w:id="2641" w:name="_cp_change_624"/>
      <w:bookmarkEnd w:id="2641"/>
      <w:r>
        <w:rPr>
          <w:rFonts w:ascii="Times New Roman;Times;serif" w:hAnsi="Times New Roman;Times;serif"/>
          <w:sz w:val="24"/>
        </w:rPr>
        <w:t xml:space="preserve">the Company or any of its Subsidiaries, </w:t>
      </w:r>
      <w:bookmarkStart w:id="2642" w:name="_cp_change_629"/>
      <w:bookmarkEnd w:id="2642"/>
      <w:r>
        <w:rPr>
          <w:rFonts w:ascii="Times New Roman;Times;serif" w:hAnsi="Times New Roman;Times;serif"/>
          <w:sz w:val="24"/>
        </w:rPr>
        <w:t xml:space="preserve">(ii) any fraud or other wrongdoing that involves any of the management or other employees of the Company or any of its Subsidiaries who have a role in the preparation of financial statements or the internal accounting controls used by the Company and its Subsidiaries, or (iii) any claim or allegation regarding any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of the foregoing.  Since December 31, 2025, there has been no change in any of the accounting (and Tax accounting) policies, practices or procedures of the Company and its Subsidiaries other than as contemplated to occur in connection with the </w:t>
      </w:r>
      <w:bookmarkStart w:id="2643" w:name="_9kMJI5YVt4CFGJEbMuAACyyHG521SV18J46MS"/>
      <w:bookmarkEnd w:id="2643"/>
      <w:r>
        <w:rPr>
          <w:rFonts w:ascii="Times New Roman;Times;serif" w:hAnsi="Times New Roman;Times;serif"/>
          <w:sz w:val="24"/>
        </w:rPr>
        <w:t xml:space="preserve">Restructuring and pursuant to the Restructuring Documents and specifically described on </w:t>
      </w:r>
      <w:r>
        <w:rPr>
          <w:rFonts w:ascii="Times New Roman;Times;serif" w:hAnsi="Times New Roman;Times;serif"/>
          <w:sz w:val="24"/>
          <w:u w:val="single"/>
        </w:rPr>
        <w:t>Exhibit B</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2644" w:name="_Toc235204792"/>
      <w:bookmarkStart w:id="2645" w:name="_Ref231469562"/>
      <w:bookmarkEnd w:id="2644"/>
      <w:bookmarkEnd w:id="2645"/>
      <w:r>
        <w:rPr>
          <w:rFonts w:ascii="Times New Roman;Times;serif" w:hAnsi="Times New Roman;Times;serif"/>
          <w:sz w:val="24"/>
        </w:rPr>
        <w:t xml:space="preserve">(i) Except as set forth on </w:t>
      </w:r>
      <w:r>
        <w:rPr>
          <w:rFonts w:ascii="Times New Roman;Times;serif" w:hAnsi="Times New Roman;Times;serif"/>
          <w:sz w:val="24"/>
          <w:u w:val="single"/>
        </w:rPr>
        <w:t>Schedule 3.5(c)</w:t>
      </w:r>
      <w:r>
        <w:rPr>
          <w:rFonts w:ascii="Times New Roman;Times;serif" w:hAnsi="Times New Roman;Times;serif"/>
          <w:sz w:val="24"/>
        </w:rPr>
        <w:t>, the reserves of Colchester for losses, loss adjustment expenses and unearned premiums (collectively, the “</w:t>
      </w:r>
      <w:r>
        <w:rPr>
          <w:rFonts w:ascii="Times New Roman;Times;serif" w:hAnsi="Times New Roman;Times;serif"/>
          <w:sz w:val="24"/>
          <w:u w:val="single"/>
        </w:rPr>
        <w:t>Captive Reserves</w:t>
      </w:r>
      <w:r>
        <w:rPr>
          <w:rFonts w:ascii="Times New Roman;Times;serif" w:hAnsi="Times New Roman;Times;serif"/>
          <w:sz w:val="24"/>
        </w:rPr>
        <w:t xml:space="preserve">”) have been established in accordance with generally accepted actuarial principles and practices consistently applied, are fairly stated in all material respects in the Financial Statements and statutory financial statements of Colchester, and represent a good faith estimate of the ultimate net cost of all reported and unreported losses and loss adjustment expenses incurred through the respective dates of such Financial Statements and statutory financial statements; (ii) Colchester’s capital and surplus satisfy, in all material respects, the minimum capital and surplus requirements imposed by its domiciliary jurisdiction and any other jurisdiction that imposes such requirements on Colchester; and (iii) </w:t>
      </w:r>
      <w:r>
        <w:rPr>
          <w:rFonts w:ascii="Times New Roman;Times;serif" w:hAnsi="Times New Roman;Times;serif"/>
          <w:sz w:val="24"/>
          <w:u w:val="single"/>
        </w:rPr>
        <w:t>Schedule 3.5(c)</w:t>
      </w:r>
      <w:r>
        <w:rPr>
          <w:rFonts w:ascii="Times New Roman;Times;serif" w:hAnsi="Times New Roman;Times;serif"/>
          <w:sz w:val="24"/>
        </w:rPr>
        <w:t xml:space="preserve"> sets forth the most recent actuarial report, reserve study or analysis prepared by or on behalf of Colchester or Seller with respect to the Captive Reserves, and the data underlying such report was accurate and complete in all material respects as of the date of such report</w:t>
      </w:r>
      <w:bookmarkStart w:id="2646" w:name="_Ref232504592"/>
      <w:bookmarkStart w:id="2647" w:name="_Ref232503735"/>
      <w:bookmarkEnd w:id="2646"/>
      <w:bookmarkEnd w:id="2647"/>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2648" w:name="_Toc235204793"/>
      <w:bookmarkStart w:id="2649" w:name="_Ref233642767"/>
      <w:bookmarkStart w:id="2650" w:name="_Ref232589460"/>
      <w:bookmarkEnd w:id="2648"/>
      <w:bookmarkEnd w:id="2649"/>
      <w:bookmarkEnd w:id="2650"/>
      <w:r>
        <w:rPr>
          <w:rFonts w:ascii="Times New Roman;Times;serif" w:hAnsi="Times New Roman;Times;serif"/>
          <w:sz w:val="24"/>
          <w:u w:val="single"/>
        </w:rPr>
        <w:t xml:space="preserve">Schedule 3.5(d) </w:t>
      </w:r>
      <w:r>
        <w:rPr>
          <w:rFonts w:ascii="Times New Roman;Times;serif" w:hAnsi="Times New Roman;Times;serif"/>
          <w:sz w:val="24"/>
        </w:rPr>
        <w:t xml:space="preserve">sets forth a true, complete and correct list of </w:t>
      </w:r>
      <w:bookmarkStart w:id="2651" w:name="_Hlk233644258"/>
      <w:bookmarkEnd w:id="2651"/>
      <w:r>
        <w:rPr>
          <w:rFonts w:ascii="Times New Roman;Times;serif" w:hAnsi="Times New Roman;Times;serif"/>
          <w:sz w:val="24"/>
        </w:rPr>
        <w:t>all letters of credit, surety bonds, guarantees or other credit support instruments issued for the benefit of or posted by or on behalf of Seller Guarantor or any of its Affiliates, including Colchester, the Company or any of its Subsidiaries in connection with the Business.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3.6</w:t>
      </w:r>
      <w:bookmarkStart w:id="2652" w:name="_Toc235366497"/>
      <w:bookmarkStart w:id="2653" w:name="_Toc235204794"/>
      <w:bookmarkStart w:id="2654" w:name="_Toc235142680"/>
      <w:bookmarkStart w:id="2655" w:name="_Ref231218962"/>
      <w:bookmarkStart w:id="2656" w:name="_Toc228481564"/>
      <w:bookmarkStart w:id="2657" w:name="_Ref83652495"/>
      <w:bookmarkStart w:id="2658" w:name="_Toc892102"/>
      <w:bookmarkStart w:id="2659" w:name="_Ref507269725"/>
      <w:bookmarkStart w:id="2660" w:name="_Ref507269458"/>
      <w:bookmarkStart w:id="2661" w:name="_Toc465317287"/>
      <w:bookmarkStart w:id="2662" w:name="_Toc464684543"/>
      <w:bookmarkStart w:id="2663" w:name="_Toc464561852"/>
      <w:bookmarkStart w:id="2664" w:name="_Toc440773740"/>
      <w:bookmarkStart w:id="2665" w:name="_Ref440767616"/>
      <w:bookmarkStart w:id="2666" w:name="_Toc440766875"/>
      <w:bookmarkStart w:id="2667" w:name="_Toc440765287"/>
      <w:bookmarkStart w:id="2668" w:name="_Toc440764527"/>
      <w:bookmarkStart w:id="2669" w:name="_Toc440760967"/>
      <w:bookmarkStart w:id="2670" w:name="_Ref433250517"/>
      <w:bookmarkStart w:id="2671" w:name="_Ref416487104"/>
      <w:bookmarkStart w:id="2672" w:name="_Ref416486377"/>
      <w:bookmarkStart w:id="2673" w:name="_Ref416482799"/>
      <w:bookmarkStart w:id="2674" w:name="_Toc416469694"/>
      <w:bookmarkStart w:id="2675" w:name="_Toc128463266"/>
      <w:bookmarkStart w:id="2676" w:name="_Toc101210308"/>
      <w:bookmarkStart w:id="2677" w:name="_Ref23240618"/>
      <w:bookmarkStart w:id="2678" w:name="_Ref23061731"/>
      <w:bookmarkStart w:id="2679" w:name="_Ref22719228"/>
      <w:bookmarkStart w:id="2680" w:name="_Toc518197940"/>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r>
        <w:rPr>
          <w:rFonts w:ascii="Times New Roman;Times;serif" w:hAnsi="Times New Roman;Times;serif"/>
          <w:sz w:val="24"/>
          <w:u w:val="single"/>
        </w:rPr>
        <w:t>Absence of Undisclosed Liabilities</w:t>
      </w:r>
      <w:r>
        <w:rPr>
          <w:rFonts w:ascii="Times New Roman;Times;serif" w:hAnsi="Times New Roman;Times;serif"/>
          <w:sz w:val="24"/>
        </w:rPr>
        <w:t xml:space="preserve">.  Neither the Company nor any of its Subsidiaries has any Liabilities, except for </w:t>
      </w:r>
      <w:bookmarkStart w:id="2681" w:name="DocXTextRef130"/>
      <w:bookmarkEnd w:id="2681"/>
      <w:r>
        <w:rPr>
          <w:rFonts w:ascii="Times New Roman;Times;serif" w:hAnsi="Times New Roman;Times;serif"/>
          <w:sz w:val="24"/>
        </w:rPr>
        <w:t>(a)</w:t>
      </w:r>
      <w:r>
        <w:rPr>
          <w:rFonts w:ascii="Times New Roman;Times;serif" w:hAnsi="Times New Roman;Times;serif"/>
          <w:color w:val="FF0000"/>
          <w:sz w:val="24"/>
        </w:rPr>
        <w:t xml:space="preserve"> </w:t>
      </w:r>
      <w:r>
        <w:rPr>
          <w:rFonts w:ascii="Times New Roman;Times;serif" w:hAnsi="Times New Roman;Times;serif"/>
          <w:sz w:val="24"/>
        </w:rPr>
        <w:t xml:space="preserve">Liabilities specifically reflected on, and adequately reserved against in the Most Recent Audited Balance Sheet (or notes thereto), </w:t>
      </w:r>
      <w:bookmarkStart w:id="2682" w:name="DocXTextRef131"/>
      <w:bookmarkEnd w:id="2682"/>
      <w:r>
        <w:rPr>
          <w:rFonts w:ascii="Times New Roman;Times;serif" w:hAnsi="Times New Roman;Times;serif"/>
          <w:sz w:val="24"/>
        </w:rPr>
        <w:t xml:space="preserve">(b) Liabilities that have arisen after the Most Recent Audit Date in the Ordinary Course (none of which is a Liability resulting from noncompliance with any applicable Law or Licenses, breach of contract, breach of warranty, tort, infringement, misappropriation, dilution or Claim), or </w:t>
      </w:r>
      <w:bookmarkStart w:id="2683" w:name="DocXTextRef132"/>
      <w:bookmarkEnd w:id="2683"/>
      <w:r>
        <w:rPr>
          <w:rFonts w:ascii="Times New Roman;Times;serif" w:hAnsi="Times New Roman;Times;serif"/>
          <w:sz w:val="24"/>
        </w:rPr>
        <w:t xml:space="preserve">(c) Liabilities that are not, individually or in the aggregate, material to the </w:t>
      </w:r>
      <w:bookmarkStart w:id="2684" w:name="_cp_change_634"/>
      <w:bookmarkEnd w:id="2684"/>
      <w:r>
        <w:rPr>
          <w:rFonts w:ascii="Times New Roman;Times;serif" w:hAnsi="Times New Roman;Times;serif"/>
          <w:sz w:val="24"/>
        </w:rPr>
        <w:t>Company and its Subsidiaries, taken as a whole.  Neither the Company nor any of its Subsidiaries is a party to, or has any commitment to become a party to, any joint venture, off-balance sheet partnership or any similar Contract relating to any transaction or relationship between or among the Company or any of its Subsidiaries, on the one hand, and any unconsolidated affiliate, including any structured finance, special purpose or limited purpose Person, on the other hand, or any “</w:t>
      </w:r>
      <w:bookmarkStart w:id="2685" w:name="dtDNI26"/>
      <w:bookmarkEnd w:id="2685"/>
      <w:r>
        <w:rPr>
          <w:rFonts w:ascii="Times New Roman;Times;serif" w:hAnsi="Times New Roman;Times;serif"/>
          <w:sz w:val="24"/>
        </w:rPr>
        <w:t xml:space="preserve">off-balance sheet arrangement” (as defined in Item </w:t>
      </w:r>
      <w:bookmarkStart w:id="2686" w:name="DocXTextRef129"/>
      <w:bookmarkEnd w:id="2686"/>
      <w:r>
        <w:rPr>
          <w:rFonts w:ascii="Times New Roman;Times;serif" w:hAnsi="Times New Roman;Times;serif"/>
          <w:sz w:val="24"/>
        </w:rPr>
        <w:t>303(a) of Regulation S-K promulgated by the SEC).  Except as reflected in the Financial Statements, neither the Company nor any of its Subsidiaries has any material amount of Liability under any escheat, abandoned or unclaimed property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3.7</w:t>
      </w:r>
      <w:bookmarkStart w:id="2687" w:name="_Toc235366498"/>
      <w:bookmarkStart w:id="2688" w:name="_Toc235204795"/>
      <w:bookmarkStart w:id="2689" w:name="_Toc235142681"/>
      <w:bookmarkStart w:id="2690" w:name="_Ref232509742"/>
      <w:bookmarkStart w:id="2691" w:name="_Toc228481565"/>
      <w:bookmarkStart w:id="2692" w:name="_Ref225157434"/>
      <w:bookmarkStart w:id="2693" w:name="_Ref224507807"/>
      <w:bookmarkStart w:id="2694" w:name="_Ref464671271"/>
      <w:bookmarkStart w:id="2695" w:name="_Ref83652496"/>
      <w:bookmarkStart w:id="2696" w:name="_Toc892103"/>
      <w:bookmarkStart w:id="2697" w:name="_Ref507269726"/>
      <w:bookmarkStart w:id="2698" w:name="_Ref507269459"/>
      <w:bookmarkStart w:id="2699" w:name="_Toc465317288"/>
      <w:bookmarkStart w:id="2700" w:name="_Toc464684544"/>
      <w:bookmarkStart w:id="2701" w:name="_Ref464671274"/>
      <w:bookmarkStart w:id="2702" w:name="_Toc464561853"/>
      <w:bookmarkStart w:id="2703" w:name="_Toc440773741"/>
      <w:bookmarkStart w:id="2704" w:name="_Ref440767617"/>
      <w:bookmarkStart w:id="2705" w:name="_Toc440766876"/>
      <w:bookmarkStart w:id="2706" w:name="_Toc440765288"/>
      <w:bookmarkStart w:id="2707" w:name="_Toc440764528"/>
      <w:bookmarkStart w:id="2708" w:name="_Toc440760968"/>
      <w:bookmarkStart w:id="2709" w:name="_Ref433250520"/>
      <w:bookmarkStart w:id="2710" w:name="_Ref416487129"/>
      <w:bookmarkStart w:id="2711" w:name="_Ref416486390"/>
      <w:bookmarkStart w:id="2712" w:name="_Ref416482800"/>
      <w:bookmarkStart w:id="2713" w:name="_Toc416469695"/>
      <w:bookmarkStart w:id="2714" w:name="_Toc128463271"/>
      <w:bookmarkStart w:id="2715" w:name="_Ref103143725"/>
      <w:bookmarkStart w:id="2716" w:name="_Ref103143559"/>
      <w:bookmarkStart w:id="2717" w:name="_Toc101210311"/>
      <w:bookmarkStart w:id="2718" w:name="_Ref75808058"/>
      <w:bookmarkStart w:id="2719" w:name="_Ref23061814"/>
      <w:bookmarkStart w:id="2720" w:name="_Ref22719423"/>
      <w:bookmarkStart w:id="2721" w:name="_Ref22706480"/>
      <w:bookmarkStart w:id="2722" w:name="_Toc518197943"/>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r>
        <w:rPr>
          <w:rFonts w:ascii="Times New Roman;Times;serif" w:hAnsi="Times New Roman;Times;serif"/>
          <w:sz w:val="24"/>
          <w:u w:val="single"/>
        </w:rPr>
        <w:t>Absence of Changes</w:t>
      </w:r>
      <w:r>
        <w:rPr>
          <w:rFonts w:ascii="Times New Roman;Times;serif" w:hAnsi="Times New Roman;Times;serif"/>
          <w:sz w:val="24"/>
        </w:rPr>
        <w:t xml:space="preserve">.  Since the Most Recent Audit Date </w:t>
      </w:r>
      <w:bookmarkStart w:id="2723" w:name="DocXTextRef133"/>
      <w:bookmarkEnd w:id="2723"/>
      <w:r>
        <w:rPr>
          <w:rFonts w:ascii="Times New Roman;Times;serif" w:hAnsi="Times New Roman;Times;serif"/>
          <w:sz w:val="24"/>
        </w:rPr>
        <w:t xml:space="preserve">(a) there has occurred no result, occurrence, fact, change, event or effect that has had, or would reasonably be expected to have, a Material Adverse Effect, and </w:t>
      </w:r>
      <w:bookmarkStart w:id="2724" w:name="DocXTextRef134"/>
      <w:bookmarkEnd w:id="2724"/>
      <w:r>
        <w:rPr>
          <w:rFonts w:ascii="Times New Roman;Times;serif" w:hAnsi="Times New Roman;Times;serif"/>
          <w:sz w:val="24"/>
        </w:rPr>
        <w:t xml:space="preserve">(b) through the date of this Agreement, the Company and its Subsidiaries have </w:t>
      </w:r>
      <w:bookmarkStart w:id="2725" w:name="DocXTextRef135"/>
      <w:bookmarkEnd w:id="2725"/>
      <w:r>
        <w:rPr>
          <w:rFonts w:ascii="Times New Roman;Times;serif" w:hAnsi="Times New Roman;Times;serif"/>
          <w:sz w:val="24"/>
        </w:rPr>
        <w:t xml:space="preserve">(i) conducted their businesses in the Ordinary Course and (ii) not taken or agreed to take any of the following actions, other than in accordance with </w:t>
      </w:r>
      <w:r>
        <w:rPr>
          <w:rFonts w:ascii="Times New Roman;Times;serif" w:hAnsi="Times New Roman;Times;serif"/>
          <w:sz w:val="24"/>
          <w:u w:val="single"/>
        </w:rPr>
        <w:t>Exhibit B</w:t>
      </w:r>
      <w:r>
        <w:rPr>
          <w:rFonts w:ascii="Times New Roman;Times;serif" w:hAnsi="Times New Roman;Times;serif"/>
          <w:sz w:val="24"/>
        </w:rPr>
        <w:t xml:space="preserve">, </w:t>
      </w:r>
      <w:r>
        <w:rPr>
          <w:rFonts w:ascii="Times New Roman;Times;serif" w:hAnsi="Times New Roman;Times;serif"/>
          <w:sz w:val="24"/>
          <w:u w:val="single"/>
        </w:rPr>
        <w:t>Section 6.18</w:t>
      </w:r>
      <w:r>
        <w:rPr>
          <w:rFonts w:ascii="Times New Roman;Times;serif" w:hAnsi="Times New Roman;Times;serif"/>
          <w:sz w:val="24"/>
        </w:rPr>
        <w:t xml:space="preserve"> or the terms of the applicable Restructuring Documents:</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(A)</w:t>
      </w:r>
      <w:bookmarkStart w:id="2726" w:name="_9kR3WTrAGBEC8CIr82lqssklwB0rqx4wuAF19NG"/>
      <w:bookmarkStart w:id="2727" w:name="_9kR3WTrAGBDKNIIr82lqssklwB0rqx4wuAF19NG"/>
      <w:bookmarkEnd w:id="2726"/>
      <w:bookmarkEnd w:id="2727"/>
      <w:r>
        <w:rPr>
          <w:rFonts w:ascii="Times New Roman;Times;serif" w:hAnsi="Times New Roman;Times;serif"/>
          <w:sz w:val="24"/>
        </w:rPr>
        <w:t>amended or changed the organizational documents of the Company or any of its Subsidiaries;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(B)</w:t>
      </w:r>
      <w:bookmarkStart w:id="2728" w:name="_9kR3WTrAGBDIMJIr9Blr7zyzmr2EGyyNO5FNADA"/>
      <w:bookmarkEnd w:id="2728"/>
      <w:r>
        <w:rPr>
          <w:rFonts w:ascii="Times New Roman;Times;serif" w:hAnsi="Times New Roman;Times;serif"/>
          <w:sz w:val="24"/>
        </w:rPr>
        <w:t>(i) entered into any new line of business, or incurred or committed to incur any capital expenditures or Liabilities in connection therewith or (ii) abandoned or discontinued any existing lines of business;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(C)</w:t>
      </w:r>
      <w:bookmarkStart w:id="2729" w:name="_9kR3WTrAGBDJEAIrAGldigqF5iw5A3w1EQ8773K"/>
      <w:bookmarkEnd w:id="2729"/>
      <w:r>
        <w:rPr>
          <w:rFonts w:ascii="Times New Roman;Times;serif" w:hAnsi="Times New Roman;Times;serif"/>
          <w:sz w:val="24"/>
        </w:rPr>
        <w:t>made any capital expenditures in excess of $[***] in the aggregate;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(D)</w:t>
      </w:r>
      <w:bookmarkStart w:id="2730" w:name="_9kR3WTrAGBEC9DIrBHldigqF3izIBABDEAGHABO"/>
      <w:bookmarkEnd w:id="2730"/>
      <w:r>
        <w:rPr>
          <w:rFonts w:ascii="Times New Roman;Times;serif" w:hAnsi="Times New Roman;Times;serif"/>
          <w:sz w:val="24"/>
        </w:rPr>
        <w:t>made any acquisition of, or invested in, any assets (other than Inventory in the Ordinary Course), business, equity interests or other securities or Indebtedness, having an aggregate value in excess of $[***];</w:t>
      </w:r>
      <w:bookmarkStart w:id="2731" w:name="_Ref169822527"/>
      <w:bookmarkEnd w:id="2731"/>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(E)</w:t>
      </w:r>
      <w:bookmarkStart w:id="2732" w:name="_9kR3WTrAGBECAEIrCEtqwznlwB0yAFHB6zs9EzA"/>
      <w:bookmarkEnd w:id="2732"/>
      <w:r>
        <w:rPr>
          <w:rFonts w:ascii="Times New Roman;Times;serif" w:hAnsi="Times New Roman;Times;serif"/>
          <w:sz w:val="24"/>
        </w:rPr>
        <w:t>(i) merged or consolidated or agreed to merge or consolidate with or into any other Person or (ii) entered into any joint ventures, strategic alliance, partnership, sharing of profit arrangement or similar arrangement;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(F)</w:t>
      </w:r>
      <w:bookmarkStart w:id="2733" w:name="_9kR3WTrAGBECBFIrDFtmejhrGF6wwF3pB925xEP"/>
      <w:bookmarkEnd w:id="2733"/>
      <w:r>
        <w:rPr>
          <w:rFonts w:ascii="Times New Roman;Times;serif" w:hAnsi="Times New Roman;Times;serif"/>
          <w:sz w:val="24"/>
        </w:rPr>
        <w:t>(i) made any loans, advances or capital contributions to, or guarantees for the benefit of, or investments in, any other Person or (ii) canceled or forgiven any debts owed to it or claims held by it, except, in each case, in the Ordinary Course;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(G)</w:t>
      </w:r>
      <w:bookmarkStart w:id="2734" w:name="_9kR3WTrAGBECCGIrER9ro70n0E2pm2LC176x57x"/>
      <w:bookmarkEnd w:id="2734"/>
      <w:r>
        <w:rPr>
          <w:rFonts w:ascii="Times New Roman;Times;serif" w:hAnsi="Times New Roman;Times;serif"/>
          <w:sz w:val="24"/>
        </w:rPr>
        <w:t>transferred, assigned, leased, sold, licensed, sublicensed, covenanted not to sue, exercise, or assert, abandoned, lost, let lapse, let expire or otherwise disposed of or encumbered any material asset, including any material Company Owned IP, except in the Ordinary Course;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(H)</w:t>
      </w:r>
      <w:bookmarkStart w:id="2735" w:name="_9kR3WTrAGBECDHIrF9cr4A0lwB0y9BB1ABwt67A"/>
      <w:bookmarkEnd w:id="2735"/>
      <w:r>
        <w:rPr>
          <w:rFonts w:ascii="Times New Roman;Times;serif" w:hAnsi="Times New Roman;Times;serif"/>
          <w:sz w:val="24"/>
        </w:rPr>
        <w:t>, adopted or completed a partial plan of liquidation, dissolution, restructuring, recapitalization, bankruptcy, suspension or payments or other reorganization;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(I)</w:t>
      </w:r>
      <w:r>
        <w:rPr>
          <w:rFonts w:ascii="Times New Roman;Times;serif" w:hAnsi="Times New Roman;Times;serif"/>
          <w:sz w:val="24"/>
        </w:rPr>
        <w:t>mortgaged, pledged or subjected to any Lien (other than Permitted Liens) any asset, including any Owned Real Property or Leased Real Property;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(J)</w:t>
      </w:r>
      <w:bookmarkStart w:id="2736" w:name="_9kR3WTrAGBEDBEIrHJtmejhrGC2x25p49AFBNI4"/>
      <w:bookmarkEnd w:id="2736"/>
      <w:r>
        <w:rPr>
          <w:rFonts w:ascii="Times New Roman;Times;serif" w:hAnsi="Times New Roman;Times;serif"/>
          <w:sz w:val="24"/>
        </w:rPr>
        <w:t xml:space="preserve">(i) made any increases in the compensation or benefits payable to any of its current or former directors, officers, employees or other individual service providers, other than (A) in the case of employees who are not officers or directors, normal annual increases in base salaries, wage rates or annual (or shorter period) bonuses or commissions in the Ordinary Course, or (B) as required by the terms of any Employee Benefit Plan existing on the date hereof that is listed on </w:t>
      </w:r>
      <w:r>
        <w:rPr>
          <w:rFonts w:ascii="Times New Roman;Times;serif" w:hAnsi="Times New Roman;Times;serif"/>
          <w:sz w:val="24"/>
          <w:u w:val="single"/>
        </w:rPr>
        <w:t>Schedule 3.15(a)</w:t>
      </w:r>
      <w:r>
        <w:rPr>
          <w:rFonts w:ascii="Times New Roman;Times;serif" w:hAnsi="Times New Roman;Times;serif"/>
          <w:sz w:val="24"/>
        </w:rPr>
        <w:t xml:space="preserve">, (ii) except to the extent required by applicable Law or by written agreements existing on the date of this Agreement that have been disclosed on </w:t>
      </w:r>
      <w:r>
        <w:rPr>
          <w:rFonts w:ascii="Times New Roman;Times;serif" w:hAnsi="Times New Roman;Times;serif"/>
          <w:sz w:val="24"/>
          <w:u w:val="single"/>
        </w:rPr>
        <w:t>Schedule 3.15(a)</w:t>
      </w:r>
      <w:r>
        <w:rPr>
          <w:rFonts w:ascii="Times New Roman;Times;serif" w:hAnsi="Times New Roman;Times;serif"/>
          <w:sz w:val="24"/>
        </w:rPr>
        <w:t xml:space="preserve">, entered into or amended any Contracts of employment or any individual contractor, individual consulting, bonus, severance, retention, change in control, retirement or similar agreement, except for employment agreements, offer letters or other service agreements for newly hired employees or other service providers in the Ordinary Course, (iii) except as required to ensure that any Employee Benefit Plan is not then out of compliance with applicable Law, entered into or adopted any new, or increased compensation or benefits under or renewed, amended or terminated any existing Employee Benefit Plan or benefit arrangement or any collective bargaining agreement (or any arrangement that would be an Employee Benefit Plan if in effect on the date hereof) other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than in the Ordinary Course in connection with annual open enrollment, (iv) taken any action to cause to accelerate the payment, funding, right to payment or vesting of any compensation or benefits (except as required pursuant to this Agreement), (v) terminated the employment or services of any employee or contractor of the Company or any of its Subsidiaries with an annual base salary, wage rate or fee that exceeds $[***], or (vi) granted or announced any equity based incentive awards;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(K)</w:t>
      </w:r>
      <w:bookmarkStart w:id="2737" w:name="_9kR3WTrAGBEDFIIrIOldigqFFs0549tx0xw3A2G"/>
      <w:bookmarkEnd w:id="2737"/>
      <w:r>
        <w:rPr>
          <w:rFonts w:ascii="Times New Roman;Times;serif" w:hAnsi="Times New Roman;Times;serif"/>
          <w:sz w:val="24"/>
        </w:rPr>
        <w:t>made any material change to the operation or security of any Company Systems or the Company’s or any of its Subsidiaries’ respective rules, policies, or procedures with respect to Data Privacy and Security Requirements or Data (including the Processing thereof), except to the extent required by applicable Law or otherwise in the Ordinary Course;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(L)</w:t>
      </w:r>
      <w:r>
        <w:rPr>
          <w:rFonts w:ascii="Times New Roman;Times;serif" w:hAnsi="Times New Roman;Times;serif"/>
          <w:sz w:val="24"/>
        </w:rPr>
        <w:t>implemented or announced any layoff of employees that would reasonably be expected to implicate the WARN Act;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(M)</w:t>
      </w:r>
      <w:bookmarkStart w:id="2738" w:name="_9kR3WTrAGBEICAIrKWvxD6slwB0y9BHHD8FCyv6"/>
      <w:bookmarkEnd w:id="2738"/>
      <w:r>
        <w:rPr>
          <w:rFonts w:ascii="Times New Roman;Times;serif" w:hAnsi="Times New Roman;Times;serif"/>
          <w:sz w:val="24"/>
        </w:rPr>
        <w:t xml:space="preserve">settled or compromised any Claim </w:t>
      </w:r>
      <w:bookmarkStart w:id="2739" w:name="_cp_change_679"/>
      <w:bookmarkEnd w:id="2739"/>
      <w:r>
        <w:rPr>
          <w:rFonts w:ascii="Times New Roman;Times;serif" w:hAnsi="Times New Roman;Times;serif"/>
          <w:sz w:val="24"/>
        </w:rPr>
        <w:t>(i) involving the payment of, or an agreement to pay overtime, in cash, notes or other property, in the aggregate, an amount exceeding $[***], (ii) which after the Closing Date will require the Company or any of its Subsidiaries to satisfy any obligation or (iii) which imposed any equitable or injunctive relief;</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(N)</w:t>
      </w:r>
      <w:bookmarkStart w:id="2740" w:name="_9kR3WTrAGBDILIIrLIgpm05lx9DJHDC3u5K9t58"/>
      <w:bookmarkEnd w:id="2740"/>
      <w:r>
        <w:rPr>
          <w:rFonts w:ascii="Times New Roman;Times;serif" w:hAnsi="Times New Roman;Times;serif"/>
          <w:sz w:val="24"/>
        </w:rPr>
        <w:t>delayed, postponed or cancelled the payment of any accounts payable or any other Liability, agreed to negotiate with any party to extend the payment date of any accounts payable or accelerated the collection of any accounts or notes receivable or otherwise changed any of its practices with respect to payables, receivables or cash management;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(O)</w:t>
      </w:r>
      <w:bookmarkStart w:id="2741" w:name="_Ref225901306"/>
      <w:bookmarkStart w:id="2742" w:name="_9kR3WTrAGBEEFHIrMOtmejjnmt0sq1GK8DOE5zw"/>
      <w:bookmarkEnd w:id="2741"/>
      <w:bookmarkEnd w:id="2742"/>
      <w:r>
        <w:rPr>
          <w:rFonts w:ascii="Times New Roman;Times;serif" w:hAnsi="Times New Roman;Times;serif"/>
          <w:sz w:val="24"/>
        </w:rPr>
        <w:t xml:space="preserve">(i) made, changed or revoked any income Tax election (other than income Tax elections made in the Ordinary Course for the filing of the Company’s 2025 income Tax Returns in a manner consistent with past practice and that will not materially and adversely affect Buyer, the Company, or any of its Subsidiaries in any taxable period beginning after the Closing Date) or other material Tax election, (ii) changed any Tax annual accounting period, adopted or changed any material accounting method, (iii) filed any amended Tax Return, (iv) entered into any “closing agreement” as described in Section 7121 of the Code (or any corresponding or similar provision of state, local or non-U.S. income Tax Law), (v) settled, compromised, conceded or abandoned any material Tax claims or assessments relating to the Company or any of its Subsidiaries, (vi) surrendered any right to claim a refund of any material amount of Taxes, or (vii) consented to any extension or waiver of the limitation period applicable to any Tax claim as it became due;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color w:val="010000"/>
          <w:sz w:val="24"/>
        </w:rPr>
        <w:t>(P)</w:t>
      </w:r>
      <w:r>
        <w:rPr>
          <w:rFonts w:ascii="Times New Roman;Times;serif" w:hAnsi="Times New Roman;Times;serif"/>
          <w:sz w:val="24"/>
        </w:rPr>
        <w:t xml:space="preserve">authorized, resolved to take or agreed (in writing or otherwise) to take any action described in this </w:t>
      </w:r>
      <w:r>
        <w:rPr>
          <w:rFonts w:ascii="Times New Roman;Times;serif" w:hAnsi="Times New Roman;Times;serif"/>
          <w:sz w:val="24"/>
          <w:u w:val="single"/>
        </w:rPr>
        <w:t>Section 3.7</w:t>
      </w:r>
      <w:bookmarkStart w:id="2743" w:name="_Ref440767798"/>
      <w:bookmarkEnd w:id="2743"/>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3.8</w:t>
      </w:r>
      <w:bookmarkStart w:id="2744" w:name="_Toc235366499"/>
      <w:bookmarkStart w:id="2745" w:name="_Toc235204796"/>
      <w:bookmarkStart w:id="2746" w:name="_Toc235142682"/>
      <w:bookmarkStart w:id="2747" w:name="_Ref234072073"/>
      <w:bookmarkStart w:id="2748" w:name="_Ref232511688"/>
      <w:bookmarkStart w:id="2749" w:name="_Toc228481566"/>
      <w:bookmarkStart w:id="2750" w:name="_Ref224511768"/>
      <w:bookmarkStart w:id="2751" w:name="_Ref83652497"/>
      <w:bookmarkStart w:id="2752" w:name="_Toc892104"/>
      <w:bookmarkStart w:id="2753" w:name="_Ref507269727"/>
      <w:bookmarkStart w:id="2754" w:name="_Ref507269460"/>
      <w:bookmarkStart w:id="2755" w:name="_Toc465317289"/>
      <w:bookmarkStart w:id="2756" w:name="_Toc464684545"/>
      <w:bookmarkStart w:id="2757" w:name="_Toc464561854"/>
      <w:bookmarkStart w:id="2758" w:name="_Toc440773742"/>
      <w:bookmarkStart w:id="2759" w:name="_Ref440767618"/>
      <w:bookmarkStart w:id="2760" w:name="_Toc440766877"/>
      <w:bookmarkStart w:id="2761" w:name="_Toc440765289"/>
      <w:bookmarkStart w:id="2762" w:name="_Toc440764529"/>
      <w:bookmarkStart w:id="2763" w:name="_Toc440760969"/>
      <w:bookmarkStart w:id="2764" w:name="_Ref416482801"/>
      <w:bookmarkStart w:id="2765" w:name="_Toc416469696"/>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r>
        <w:rPr>
          <w:rFonts w:ascii="Times New Roman;Times;serif" w:hAnsi="Times New Roman;Times;serif"/>
          <w:sz w:val="24"/>
          <w:u w:val="single"/>
        </w:rPr>
        <w:t>Assets</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766" w:name="_Toc235204797"/>
      <w:bookmarkStart w:id="2767" w:name="_Ref225905079"/>
      <w:bookmarkEnd w:id="2766"/>
      <w:bookmarkEnd w:id="2767"/>
      <w:r>
        <w:rPr>
          <w:rFonts w:ascii="Times New Roman;Times;serif" w:hAnsi="Times New Roman;Times;serif"/>
          <w:sz w:val="24"/>
        </w:rPr>
        <w:t xml:space="preserve">The Company and its Subsidiaries have good and valid title to, a valid leasehold interest in, or a valid License or other contractual right to use all properties and assets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shown on the Most Recent Balance Sheet or acquired thereafter, free and clear of all Liens, other than any Permitted Liens and the Liens set forth on </w:t>
      </w:r>
      <w:r>
        <w:rPr>
          <w:rFonts w:ascii="Times New Roman;Times;serif" w:hAnsi="Times New Roman;Times;serif"/>
          <w:sz w:val="24"/>
          <w:u w:val="single"/>
        </w:rPr>
        <w:t>Schedule 3.8</w:t>
      </w:r>
      <w:r>
        <w:rPr>
          <w:rFonts w:ascii="Times New Roman;Times;serif" w:hAnsi="Times New Roman;Times;serif"/>
          <w:sz w:val="24"/>
        </w:rPr>
        <w:t xml:space="preserve"> (the “</w:t>
      </w:r>
      <w:r>
        <w:rPr>
          <w:rFonts w:ascii="Times New Roman;Times;serif" w:hAnsi="Times New Roman;Times;serif"/>
          <w:sz w:val="24"/>
          <w:u w:val="single"/>
        </w:rPr>
        <w:t>Company Assets</w:t>
      </w:r>
      <w:r>
        <w:rPr>
          <w:rFonts w:ascii="Times New Roman;Times;serif" w:hAnsi="Times New Roman;Times;serif"/>
          <w:sz w:val="24"/>
        </w:rPr>
        <w:t xml:space="preserve">”).  Each tangible asset is, </w:t>
      </w:r>
      <w:bookmarkStart w:id="2768" w:name="_cp_change_698"/>
      <w:bookmarkEnd w:id="2768"/>
      <w:r>
        <w:rPr>
          <w:rFonts w:ascii="Times New Roman;Times;serif" w:hAnsi="Times New Roman;Times;serif"/>
          <w:sz w:val="24"/>
        </w:rPr>
        <w:t>free from</w:t>
      </w:r>
      <w:bookmarkStart w:id="2769" w:name="_cp_change_700"/>
      <w:bookmarkEnd w:id="2769"/>
      <w:r>
        <w:rPr>
          <w:rFonts w:ascii="Times New Roman;Times;serif" w:hAnsi="Times New Roman;Times;serif"/>
          <w:sz w:val="24"/>
        </w:rPr>
        <w:t xml:space="preserve"> material defects, has been maintained in accordance with normal industry practice, is in good operating condition, ordinary wear and tear excepted, and is adequate and suitable for the purpose for which it is presently being used, in each case in all material respects.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770" w:name="_Toc235204798"/>
      <w:bookmarkStart w:id="2771" w:name="_Ref225237993"/>
      <w:bookmarkStart w:id="2772" w:name="_cp_change_709"/>
      <w:bookmarkEnd w:id="2770"/>
      <w:bookmarkEnd w:id="2771"/>
      <w:bookmarkEnd w:id="2772"/>
      <w:r>
        <w:rPr>
          <w:rFonts w:ascii="Times New Roman;Times;serif" w:hAnsi="Times New Roman;Times;serif"/>
          <w:sz w:val="24"/>
        </w:rPr>
        <w:t xml:space="preserve">The Company Assets, together with (i) the services provided and rights granted to </w:t>
      </w:r>
      <w:bookmarkStart w:id="2773" w:name="_cp_change_710"/>
      <w:bookmarkEnd w:id="2773"/>
      <w:r>
        <w:rPr>
          <w:rFonts w:ascii="Times New Roman;Times;serif" w:hAnsi="Times New Roman;Times;serif"/>
          <w:sz w:val="24"/>
        </w:rPr>
        <w:t xml:space="preserve">Buyer, the Company or any of </w:t>
      </w:r>
      <w:bookmarkStart w:id="2774" w:name="_cp_change_715"/>
      <w:bookmarkEnd w:id="2774"/>
      <w:r>
        <w:rPr>
          <w:rFonts w:ascii="Times New Roman;Times;serif" w:hAnsi="Times New Roman;Times;serif"/>
          <w:sz w:val="24"/>
        </w:rPr>
        <w:t>their respective Subsidiaries under this Agreement or the other Transaction Documents, and (ii) all other rights under the Contracts and assets validly leased or licensed by the Company and its Subsidiaries, comprise all of the assets, properties and rights of every type and description, whether tangible or intangible, real or personal, that are necessary for and used in the conduct of the Business as currently conducted and such assets and rights are sufficient for the conduct of the Business as currently conducted in all material respects.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3.9</w:t>
      </w:r>
      <w:bookmarkStart w:id="2775" w:name="_Toc235366500"/>
      <w:bookmarkStart w:id="2776" w:name="_Toc235204799"/>
      <w:bookmarkStart w:id="2777" w:name="_Toc235142683"/>
      <w:bookmarkStart w:id="2778" w:name="_Ref232618827"/>
      <w:bookmarkEnd w:id="2775"/>
      <w:bookmarkEnd w:id="2776"/>
      <w:bookmarkEnd w:id="2777"/>
      <w:bookmarkEnd w:id="2778"/>
      <w:r>
        <w:rPr>
          <w:rFonts w:ascii="Times New Roman;Times;serif" w:hAnsi="Times New Roman;Times;serif"/>
          <w:sz w:val="24"/>
          <w:u w:val="single"/>
        </w:rPr>
        <w:t>Taxes</w:t>
      </w:r>
      <w:r>
        <w:rPr>
          <w:rFonts w:ascii="Times New Roman;Times;serif" w:hAnsi="Times New Roman;Times;serif"/>
          <w:sz w:val="24"/>
        </w:rPr>
        <w:t>.  For taxable periods or portions thereof beginning on or after February 4, 2016:</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779" w:name="_Toc235204800"/>
      <w:bookmarkStart w:id="2780" w:name="_Ref507269461"/>
      <w:bookmarkStart w:id="2781" w:name="_Ref416482802"/>
      <w:bookmarkStart w:id="2782" w:name="_Toc225902225"/>
      <w:bookmarkStart w:id="2783" w:name="_Toc225899032"/>
      <w:bookmarkEnd w:id="2779"/>
      <w:bookmarkEnd w:id="2780"/>
      <w:bookmarkEnd w:id="2781"/>
      <w:bookmarkEnd w:id="2782"/>
      <w:bookmarkEnd w:id="2783"/>
      <w:r>
        <w:rPr>
          <w:rFonts w:ascii="Times New Roman;Times;serif" w:hAnsi="Times New Roman;Times;serif"/>
          <w:sz w:val="24"/>
        </w:rPr>
        <w:t>Each of the Company and its Subsidiaries has duly and timely filed all income and other material Tax Returns required to be filed by or with respect to it under applicable Laws, and all such Tax Returns are true, complete and correct in all respects and have been prepared in compliance with all applicable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784" w:name="_Toc235204801"/>
      <w:bookmarkStart w:id="2785" w:name="_9kR3WTrAGBEFBCKtC6bjwv14qMR8AzyNB151IT3"/>
      <w:bookmarkStart w:id="2786" w:name="_Ref416482803"/>
      <w:bookmarkEnd w:id="2784"/>
      <w:bookmarkEnd w:id="2785"/>
      <w:bookmarkEnd w:id="2786"/>
      <w:r>
        <w:rPr>
          <w:rFonts w:ascii="Times New Roman;Times;serif" w:hAnsi="Times New Roman;Times;serif"/>
          <w:sz w:val="24"/>
        </w:rPr>
        <w:t>Each of the Company and its Subsidiaries has timely paid all income and other material Taxes, including all installments on account of Taxes for the current year, due and owing by it (whether or not such Taxes are related to, shown on or required to be shown on any Tax Return), and has timely withheld or deducted and paid over to the appropriate Taxing Authority all Taxes which it is required to withhold or deduct from amounts paid or owing (or deemed paid or owing) or benefits given to any employee, stockholder, creditor, or other Person, including for services performed outside the city, state, province or country where any employee is based.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2787" w:name="_Toc235204802"/>
      <w:bookmarkStart w:id="2788" w:name="_Ref416482805"/>
      <w:bookmarkEnd w:id="2787"/>
      <w:bookmarkEnd w:id="2788"/>
      <w:r>
        <w:rPr>
          <w:rFonts w:ascii="Times New Roman;Times;serif" w:hAnsi="Times New Roman;Times;serif"/>
          <w:sz w:val="24"/>
        </w:rPr>
        <w:t xml:space="preserve">None of the Company, any of its Subsidiaries or Seller has </w:t>
      </w:r>
      <w:bookmarkStart w:id="2789" w:name="DocXTextRef137"/>
      <w:bookmarkEnd w:id="2789"/>
      <w:r>
        <w:rPr>
          <w:rFonts w:ascii="Times New Roman;Times;serif" w:hAnsi="Times New Roman;Times;serif"/>
          <w:sz w:val="24"/>
        </w:rPr>
        <w:t>(i) waived any statute of limitations with respect to any Taxes of the Company or any of its Subsidiaries or agreed to any extension of time for filing any Tax Return of the Company or any of its Subsidiaries other than any automatic extensions of time to file such Tax Return obtained in the Ordinary Course or (ii) consented to any extension of time with respect to any Tax assessment or deficiency of the Company or any of its Subsidiaries, which waiver or extension of time is currently outstanding.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2790" w:name="_Toc235204803"/>
      <w:bookmarkStart w:id="2791" w:name="_Ref416482806"/>
      <w:bookmarkEnd w:id="2790"/>
      <w:bookmarkEnd w:id="2791"/>
      <w:r>
        <w:rPr>
          <w:rFonts w:ascii="Times New Roman;Times;serif" w:hAnsi="Times New Roman;Times;serif"/>
          <w:sz w:val="24"/>
        </w:rPr>
        <w:t>No Tax audits, assessments, proposed adjustments, requests for information, or administrative or judicial Claims are pending or threatened in writing with respect to any Tax Return of Company or any of its Subsidiaries, and, to the Knowledge of Seller, there are no matters under discussion, audit, or appeal with any Taxing Authority with respect to any Tax Returns of the Company or any of its Subsidiaries.</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2792" w:name="_Ref416482807"/>
      <w:bookmarkStart w:id="2793" w:name="_Toc235204804"/>
      <w:bookmarkEnd w:id="2792"/>
      <w:bookmarkEnd w:id="2793"/>
      <w:r>
        <w:rPr>
          <w:rFonts w:ascii="Times New Roman;Times;serif" w:hAnsi="Times New Roman;Times;serif"/>
          <w:sz w:val="24"/>
        </w:rPr>
        <w:t>Neither the Company nor any of its Subsidiaries has incurred any Liability for Taxes other than Taxes incurred in the Ordinary Course or Taxes incurred as a result of the transactions contemplated by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2794" w:name="_Toc235204805"/>
      <w:bookmarkEnd w:id="2794"/>
      <w:r>
        <w:rPr>
          <w:rFonts w:ascii="Times New Roman;Times;serif" w:hAnsi="Times New Roman;Times;serif"/>
          <w:sz w:val="24"/>
        </w:rPr>
        <w:t xml:space="preserve">There are no Liens on any of the assets of the Company or any of its Subsidiaries that arose in connection with any failure (or alleged failure) to pay any Tax, other than liens described in </w:t>
      </w:r>
      <w:bookmarkStart w:id="2795" w:name="_9kMHG5YVtCIDGHDEMvE8dlyx36sOTAC10PD373K"/>
      <w:bookmarkEnd w:id="2795"/>
      <w:r>
        <w:rPr>
          <w:rFonts w:ascii="Times New Roman;Times;serif" w:hAnsi="Times New Roman;Times;serif"/>
          <w:sz w:val="24"/>
        </w:rPr>
        <w:t>clause (b) of the definition of Permitted Liens.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2796" w:name="_Toc235204806"/>
      <w:bookmarkStart w:id="2797" w:name="_Ref416482808"/>
      <w:bookmarkEnd w:id="2796"/>
      <w:bookmarkEnd w:id="2797"/>
      <w:r>
        <w:rPr>
          <w:rFonts w:ascii="Times New Roman;Times;serif" w:hAnsi="Times New Roman;Times;serif"/>
          <w:sz w:val="24"/>
        </w:rPr>
        <w:t>No claim has been made by a Taxing Authority in a jurisdiction where the Company or any of its Subsidiaries does not file Tax Returns that the Company or any of its Subsidiaries is or may be subject to taxation by that jurisdiction, which claim has not been resolved, and neither the Company nor any of its Subsidiaries has a taxable presence or nexus other than in the jurisdictions in which it currently files Tax Returns.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2798" w:name="_Toc235204807"/>
      <w:bookmarkStart w:id="2799" w:name="_Ref416482809"/>
      <w:bookmarkEnd w:id="2798"/>
      <w:bookmarkEnd w:id="2799"/>
      <w:r>
        <w:rPr>
          <w:rFonts w:ascii="Times New Roman;Times;serif" w:hAnsi="Times New Roman;Times;serif"/>
          <w:sz w:val="24"/>
        </w:rPr>
        <w:t>Neither the Company nor any of its Subsidiaries (i) has been a member of an Affiliated Group, (ii) has any Liability for the Taxes of any Person other than itself under Section 1.1502-6 of the Treasury Regulations (or any similar provision of U.S. state or local or non-U.S. Law) as a transferee or successor or by Contract (other than any such Contract entered into in the Ordinary Course the principal purpose of which does not relate to Taxes), or (iii) is party to, bound by, or has any obligations under any Tax allocation, Tax sharing, Tax indemnification, or other similar Contract (other than any such Contract entered into in the Ordinary Course and the principal purpose of which is not the allocation or sharing of Taxes) and no charge to Tax will arise to the Company as a result of the Company ceasing to be a member of any Affiliated Group in connection with this Agreement, or (iv) is party to any Contract or arrangement to pay, indemnify, or make any payment with respect to any Tax liabilities of any stockholder, member, manager, director, officer or other employee or contractor of the Company, any of its Subsidiaries or Seller.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(i)</w:t>
      </w:r>
      <w:bookmarkStart w:id="2800" w:name="_Toc235204808"/>
      <w:bookmarkStart w:id="2801" w:name="_Ref416482810"/>
      <w:bookmarkEnd w:id="2800"/>
      <w:bookmarkEnd w:id="2801"/>
      <w:r>
        <w:rPr>
          <w:rFonts w:ascii="Times New Roman;Times;serif" w:hAnsi="Times New Roman;Times;serif"/>
          <w:sz w:val="24"/>
        </w:rPr>
        <w:t>Neither the Company nor any of its Subsidiaries is or has been a resident for Tax purposes in any jurisdiction other than the jurisdiction of its formation, or is or has had, any branch, agency, permanent establishment, or other taxable presence in any jurisdiction other than the jurisdiction of its formation.  Neither the Company nor any of its Subsidiaries is subject to Tax in any country other than its country of incorporation, organization or formation by virtue of having employees, a permanent establishment (as defined in any applicable Tax treaty or convention between the applicable country of incorporation, organization or formation and such foreign country) or other place of business in that foreign country.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(j)</w:t>
      </w:r>
      <w:bookmarkStart w:id="2802" w:name="_Toc235204809"/>
      <w:bookmarkStart w:id="2803" w:name="_Ref83652498"/>
      <w:bookmarkStart w:id="2804" w:name="_Ref416482811"/>
      <w:bookmarkEnd w:id="2802"/>
      <w:bookmarkEnd w:id="2803"/>
      <w:bookmarkEnd w:id="2804"/>
      <w:r>
        <w:rPr>
          <w:rFonts w:ascii="Times New Roman;Times;serif" w:hAnsi="Times New Roman;Times;serif"/>
          <w:sz w:val="24"/>
        </w:rPr>
        <w:t xml:space="preserve">Neither the Company nor any of its Subsidiaries has distributed stock of another Person, or has had its stock distributed by another Person, in a transaction that was purported or intended to be governed in whole or in part by </w:t>
      </w:r>
      <w:bookmarkStart w:id="2805" w:name="DocXTextRef140"/>
      <w:bookmarkEnd w:id="2805"/>
      <w:r>
        <w:rPr>
          <w:rFonts w:ascii="Times New Roman;Times;serif" w:hAnsi="Times New Roman;Times;serif"/>
          <w:sz w:val="24"/>
        </w:rPr>
        <w:t xml:space="preserve">Sections 355 or </w:t>
      </w:r>
      <w:bookmarkStart w:id="2806" w:name="DocXTextRef139"/>
      <w:bookmarkEnd w:id="2806"/>
      <w:r>
        <w:rPr>
          <w:rFonts w:ascii="Times New Roman;Times;serif" w:hAnsi="Times New Roman;Times;serif"/>
          <w:sz w:val="24"/>
        </w:rPr>
        <w:t>361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(k)</w:t>
      </w:r>
      <w:bookmarkStart w:id="2807" w:name="_Ref416482812"/>
      <w:bookmarkStart w:id="2808" w:name="_Toc235204810"/>
      <w:bookmarkEnd w:id="2807"/>
      <w:bookmarkEnd w:id="2808"/>
      <w:r>
        <w:rPr>
          <w:rFonts w:ascii="Times New Roman;Times;serif" w:hAnsi="Times New Roman;Times;serif"/>
          <w:sz w:val="24"/>
        </w:rPr>
        <w:t>Neither the Company nor any of its Subsidiaries has engaged in any “reportable transaction” within the meaning of Section 6707(a) of the Code or Treasury Regulations Section 1.6011-4.  The Company and each of its Subsidiaries has disclosed on its federal income Tax Returns all positions taken therein that could give rise to a substantial understatement of federal income Tax within the meaning of Section 6662 of the Code.</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(l)</w:t>
      </w:r>
      <w:bookmarkStart w:id="2809" w:name="_Toc235204811"/>
      <w:bookmarkEnd w:id="2809"/>
      <w:r>
        <w:rPr>
          <w:rFonts w:ascii="Times New Roman;Times;serif" w:hAnsi="Times New Roman;Times;serif"/>
          <w:sz w:val="24"/>
        </w:rPr>
        <w:t>Neither the Company nor any of its Subsidiaries nor Seller (with respect to the Company or any of its Subsidiaries) has requested or received a written ruling from any Taxing Authority or signed any binding agreement with any Taxing Authority other than an agreement with a Taxing Authority fully resolving an audit, assessment, proposed adjustment or administrative or judicial Claim.  The amount of Tax chargeable on the Company and each of its Subsidiaries does not depend, and has not depended, to any material extent, on any concession, agreement or other formal or informal arrangement with any Taxing Authority.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(m)</w:t>
      </w:r>
      <w:bookmarkStart w:id="2810" w:name="_Toc235204812"/>
      <w:bookmarkStart w:id="2811" w:name="_Ref83652499"/>
      <w:bookmarkStart w:id="2812" w:name="_Ref416482817"/>
      <w:bookmarkEnd w:id="2810"/>
      <w:bookmarkEnd w:id="2811"/>
      <w:bookmarkEnd w:id="2812"/>
      <w:r>
        <w:rPr>
          <w:rFonts w:ascii="Times New Roman;Times;serif" w:hAnsi="Times New Roman;Times;serif"/>
          <w:sz w:val="24"/>
        </w:rPr>
        <w:t xml:space="preserve">Neither the Company nor any of its Subsidiaries will be required to include any material item of income in, or exclude any material item of deduction from, taxable income for any taxable period (or portion thereof) ending after the Closing Date as a result of any </w:t>
      </w:r>
      <w:bookmarkStart w:id="2813" w:name="DocXTextRef143"/>
      <w:bookmarkEnd w:id="2813"/>
      <w:r>
        <w:rPr>
          <w:rFonts w:ascii="Times New Roman;Times;serif" w:hAnsi="Times New Roman;Times;serif"/>
          <w:sz w:val="24"/>
        </w:rPr>
        <w:t xml:space="preserve">(i) change in, or use of an improper method of, accounting for a taxable period ending on or prior to the Closing Date, (ii) “closing agreement” as described in Section 7121 of the Code (or any corresponding or similar provision of state, local or non-U.S. income Tax Law) executed on or prior to the Closing Date, (iii) intercompany transactions or any excess loss account described in Treasury Regulations under Section 1502 of the Code (or any corresponding or similar provision of state, local or non-U.S. income Tax Law), (iv) installment sale or open transaction disposition made on or prior to the Closing Date, </w:t>
      </w:r>
      <w:bookmarkStart w:id="2814" w:name="DocXTextRef144"/>
      <w:bookmarkEnd w:id="2814"/>
      <w:r>
        <w:rPr>
          <w:rFonts w:ascii="Times New Roman;Times;serif" w:hAnsi="Times New Roman;Times;serif"/>
          <w:sz w:val="24"/>
        </w:rPr>
        <w:t>(v) any transaction under which previously utilized Tax losses or credits may be recaptured (including a dual consolidated loss or an excess loss account), (vi) any gain recognition agreement entered into in a Pre-Closing Tax Period, or (vii) prepaid amount received or deferred revenue accrued on or prior to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(n)</w:t>
      </w:r>
      <w:bookmarkStart w:id="2815" w:name="_Ref416482818"/>
      <w:bookmarkStart w:id="2816" w:name="_Ref440767619"/>
      <w:bookmarkStart w:id="2817" w:name="_Toc235204813"/>
      <w:bookmarkStart w:id="2818" w:name="_Ref83652500"/>
      <w:bookmarkEnd w:id="2815"/>
      <w:bookmarkEnd w:id="2816"/>
      <w:bookmarkEnd w:id="2817"/>
      <w:bookmarkEnd w:id="2818"/>
      <w:r>
        <w:rPr>
          <w:rFonts w:ascii="Times New Roman;Times;serif" w:hAnsi="Times New Roman;Times;serif"/>
          <w:sz w:val="24"/>
        </w:rPr>
        <w:t xml:space="preserve">Neither the Company nor any of its Subsidiaries will be required to pay any Tax after the Closing Date as a result of an election made pursuant to </w:t>
      </w:r>
      <w:bookmarkStart w:id="2819" w:name="DocXTextRef147"/>
      <w:bookmarkEnd w:id="2819"/>
      <w:r>
        <w:rPr>
          <w:rFonts w:ascii="Times New Roman;Times;serif" w:hAnsi="Times New Roman;Times;serif"/>
          <w:sz w:val="24"/>
        </w:rPr>
        <w:t>Section 965(h)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(o)</w:t>
      </w:r>
      <w:bookmarkStart w:id="2820" w:name="_Toc235204814"/>
      <w:bookmarkStart w:id="2821" w:name="_Ref83652502"/>
      <w:bookmarkEnd w:id="2820"/>
      <w:bookmarkEnd w:id="2821"/>
      <w:r>
        <w:rPr>
          <w:rFonts w:ascii="Times New Roman;Times;serif" w:hAnsi="Times New Roman;Times;serif"/>
          <w:sz w:val="24"/>
        </w:rPr>
        <w:t>None of the Company’s Subsidiaries is or has been a “</w:t>
      </w:r>
      <w:bookmarkStart w:id="2822" w:name="dtDNI33"/>
      <w:bookmarkEnd w:id="2822"/>
      <w:r>
        <w:rPr>
          <w:rFonts w:ascii="Times New Roman;Times;serif" w:hAnsi="Times New Roman;Times;serif"/>
          <w:sz w:val="24"/>
        </w:rPr>
        <w:t xml:space="preserve">controlled foreign corporation” within the meaning of </w:t>
      </w:r>
      <w:bookmarkStart w:id="2823" w:name="DocXTextRef153"/>
      <w:bookmarkEnd w:id="2823"/>
      <w:r>
        <w:rPr>
          <w:rFonts w:ascii="Times New Roman;Times;serif" w:hAnsi="Times New Roman;Times;serif"/>
          <w:sz w:val="24"/>
        </w:rPr>
        <w:t>Section 957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(p)</w:t>
      </w:r>
      <w:bookmarkStart w:id="2824" w:name="_Toc235204815"/>
      <w:bookmarkStart w:id="2825" w:name="_Ref440767623"/>
      <w:bookmarkEnd w:id="2824"/>
      <w:bookmarkEnd w:id="2825"/>
      <w:r>
        <w:rPr>
          <w:rFonts w:ascii="Times New Roman;Times;serif" w:hAnsi="Times New Roman;Times;serif"/>
          <w:sz w:val="24"/>
        </w:rPr>
        <w:t xml:space="preserve">Neither the Company nor any of its Subsidiaries is, or at any time has been, subject to </w:t>
      </w:r>
      <w:bookmarkStart w:id="2826" w:name="DocXTextRef154"/>
      <w:bookmarkEnd w:id="2826"/>
      <w:r>
        <w:rPr>
          <w:rFonts w:ascii="Times New Roman;Times;serif" w:hAnsi="Times New Roman;Times;serif"/>
          <w:sz w:val="24"/>
        </w:rPr>
        <w:t xml:space="preserve">(i) the dual consolidated loss provisions of Section 1503(d) of the Code, (ii) the overall foreign loss provisions of </w:t>
      </w:r>
      <w:bookmarkStart w:id="2827" w:name="DocXTextRef155"/>
      <w:bookmarkEnd w:id="2827"/>
      <w:r>
        <w:rPr>
          <w:rFonts w:ascii="Times New Roman;Times;serif" w:hAnsi="Times New Roman;Times;serif"/>
          <w:sz w:val="24"/>
        </w:rPr>
        <w:t>Section 904(f) of the Code or (iii) the recharacterization provisions of Section 952(c)(2)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(q)</w:t>
      </w:r>
      <w:bookmarkStart w:id="2828" w:name="_Toc235204816"/>
      <w:bookmarkStart w:id="2829" w:name="_Ref507269463"/>
      <w:bookmarkEnd w:id="2828"/>
      <w:bookmarkEnd w:id="2829"/>
      <w:r>
        <w:rPr>
          <w:rFonts w:ascii="Times New Roman;Times;serif" w:hAnsi="Times New Roman;Times;serif"/>
          <w:sz w:val="24"/>
        </w:rPr>
        <w:t xml:space="preserve">No Person holds shares of Company Common Stock that are non-transferable and subject to a substantial risk of forfeiture within the meaning of </w:t>
      </w:r>
      <w:bookmarkStart w:id="2830" w:name="DocXTextRef157"/>
      <w:bookmarkEnd w:id="2830"/>
      <w:r>
        <w:rPr>
          <w:rFonts w:ascii="Times New Roman;Times;serif" w:hAnsi="Times New Roman;Times;serif"/>
          <w:sz w:val="24"/>
        </w:rPr>
        <w:t xml:space="preserve">Section 83 of the Code with respect to which a valid election under </w:t>
      </w:r>
      <w:bookmarkStart w:id="2831" w:name="DocXTextRef158"/>
      <w:bookmarkEnd w:id="2831"/>
      <w:r>
        <w:rPr>
          <w:rFonts w:ascii="Times New Roman;Times;serif" w:hAnsi="Times New Roman;Times;serif"/>
          <w:sz w:val="24"/>
        </w:rPr>
        <w:t>Section 83(b) of the Code has not been made.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(r)</w:t>
      </w:r>
      <w:bookmarkStart w:id="2832" w:name="_Toc235204817"/>
      <w:bookmarkStart w:id="2833" w:name="_Ref416482820"/>
      <w:bookmarkStart w:id="2834" w:name="_Ref331703647"/>
      <w:bookmarkEnd w:id="2832"/>
      <w:bookmarkEnd w:id="2833"/>
      <w:bookmarkEnd w:id="2834"/>
      <w:r>
        <w:rPr>
          <w:rFonts w:ascii="Times New Roman;Times;serif" w:hAnsi="Times New Roman;Times;serif"/>
          <w:sz w:val="24"/>
          <w:u w:val="single"/>
        </w:rPr>
        <w:t>Schedule 3.9(r)</w:t>
      </w:r>
      <w:r>
        <w:rPr>
          <w:rFonts w:ascii="Times New Roman;Times;serif" w:hAnsi="Times New Roman;Times;serif"/>
          <w:sz w:val="24"/>
        </w:rPr>
        <w:t xml:space="preserve"> sets forth a list of the entity classification of the Company and each of its Subsidiaries for U.S. federal income tax purposes and the U.S. and non-U.S. jurisdictions in which the Company and such Subsidiary files Tax Returns.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(s)</w:t>
      </w:r>
      <w:bookmarkStart w:id="2835" w:name="_Toc235204818"/>
      <w:bookmarkEnd w:id="2835"/>
      <w:r>
        <w:rPr>
          <w:rFonts w:ascii="Times New Roman;Times;serif" w:hAnsi="Times New Roman;Times;serif"/>
          <w:sz w:val="24"/>
        </w:rPr>
        <w:t>Neither the Company nor any of its Subsidiaries is a non-U.S. entity or has any equity interests in any non-U.S. entity.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(t)</w:t>
      </w:r>
      <w:bookmarkStart w:id="2836" w:name="_Toc235204819"/>
      <w:bookmarkStart w:id="2837" w:name="_Ref416482821"/>
      <w:bookmarkEnd w:id="2836"/>
      <w:bookmarkEnd w:id="2837"/>
      <w:r>
        <w:rPr>
          <w:rFonts w:ascii="Times New Roman;Times;serif" w:hAnsi="Times New Roman;Times;serif"/>
          <w:sz w:val="24"/>
        </w:rPr>
        <w:t xml:space="preserve">Neither the Company nor any of its Subsidiaries is a member of an entity classified as a partnership for U.S. federal income Tax purposes or a member of any collaboration, joint venture or arrangement, or agreement that may give rise to a partnership for U.S. federal income Tax purposes.  The prices and terms for the provision of any property or services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undertaken among the Company and its Subsidiaries are arm’s length for purposes of the relevant transfer pricing Laws, and all related documentation required by such Laws has been timely prepared or obtained and, if necessary, retained.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(u)</w:t>
      </w:r>
      <w:bookmarkStart w:id="2838" w:name="_Toc235204820"/>
      <w:bookmarkStart w:id="2839" w:name="_Ref83652503"/>
      <w:bookmarkStart w:id="2840" w:name="_Ref416482822"/>
      <w:bookmarkEnd w:id="2838"/>
      <w:bookmarkEnd w:id="2839"/>
      <w:bookmarkEnd w:id="2840"/>
      <w:r>
        <w:rPr>
          <w:rFonts w:ascii="Times New Roman;Times;serif" w:hAnsi="Times New Roman;Times;serif"/>
          <w:sz w:val="24"/>
        </w:rPr>
        <w:t>Each of the Company and its Subsidiaries has duly and timely collected all amounts on account of any material amounts of sales or transfer taxes, or other similar Taxes required by applicable Laws to be collected by it and has duly and timely remitted to the appropriate Taxing Authority any such amounts required by Law to be remitted by 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(v)</w:t>
      </w:r>
      <w:bookmarkStart w:id="2841" w:name="_Toc235204821"/>
      <w:bookmarkEnd w:id="2841"/>
      <w:r>
        <w:rPr>
          <w:rFonts w:ascii="Times New Roman;Times;serif" w:hAnsi="Times New Roman;Times;serif"/>
          <w:sz w:val="24"/>
        </w:rPr>
        <w:t>No power of attorney currently in force has been granted with respect to any matter relating to the Taxes of the Company which will be in force for any taxable period (or portion thereof) beginning after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(w)</w:t>
      </w:r>
      <w:bookmarkStart w:id="2842" w:name="_Toc235204822"/>
      <w:bookmarkEnd w:id="2842"/>
      <w:r>
        <w:rPr>
          <w:rFonts w:ascii="Times New Roman;Times;serif" w:hAnsi="Times New Roman;Times;serif"/>
          <w:sz w:val="24"/>
        </w:rPr>
        <w:t>Colchester is, and has been since February 4, 2016, properly treated as an “insurance company” within the meaning of Section 831(c) of the Code.  No Taxing Authority has asserted in writing that Colchester does not qualify as an insurance company for Tax purposes.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(x)</w:t>
      </w:r>
      <w:bookmarkStart w:id="2843" w:name="_Toc235204823"/>
      <w:bookmarkEnd w:id="2843"/>
      <w:r>
        <w:rPr>
          <w:rFonts w:ascii="Times New Roman;Times;serif" w:hAnsi="Times New Roman;Times;serif"/>
          <w:sz w:val="24"/>
        </w:rPr>
        <w:t>Colchester’s insurance arrangements constitute bona fide insurance for U.S. federal income Tax purposes, including the presence of insurance risk and risk distribution to the extent required under applicable Tax Law.</w:t>
      </w:r>
    </w:p>
    <w:p>
      <w:pPr>
        <w:pStyle w:val="TextBody"/>
        <w:bidi w:val="0"/>
        <w:spacing w:before="0" w:after="240"/>
        <w:ind w:left="0" w:right="0" w:firstLine="720"/>
        <w:jc w:val="both"/>
        <w:rPr>
          <w:rFonts w:ascii="Times New Roman;Times;serif" w:hAnsi="Times New Roman;Times;serif"/>
          <w:sz w:val="24"/>
        </w:rPr>
      </w:pPr>
      <w:bookmarkStart w:id="2844" w:name="_Toc235204824"/>
      <w:bookmarkEnd w:id="2844"/>
      <w:r>
        <w:rPr>
          <w:rFonts w:ascii="Times New Roman;Times;serif" w:hAnsi="Times New Roman;Times;serif"/>
          <w:sz w:val="24"/>
        </w:rPr>
        <w:t xml:space="preserve">For purposes of this </w:t>
      </w:r>
      <w:r>
        <w:rPr>
          <w:rFonts w:ascii="Times New Roman;Times;serif" w:hAnsi="Times New Roman;Times;serif"/>
          <w:sz w:val="24"/>
          <w:u w:val="single"/>
        </w:rPr>
        <w:t>Section 3.9</w:t>
      </w:r>
      <w:r>
        <w:rPr>
          <w:rFonts w:ascii="Times New Roman;Times;serif" w:hAnsi="Times New Roman;Times;serif"/>
          <w:sz w:val="24"/>
        </w:rPr>
        <w:t>, (a) all representations and warranties made with respect to the Company or any of its Subsidiaries are made with respect to any predecessor of the Company or such Subsidiary and (b) no representations and warranties are made with respect to the Excluded Entities.  Notwithstanding anything contained in this Agreement to the contrary, Seller does not make any representations or warranties with respect to the existence, availability, amount, usability, or limitations (or lack thereof) of any net operating loss, net operating loss carryforward, capital loss carryforward, basis amount, or other Tax attributes of the Company or any of its Subsidiaries for any Tax period (or portion thereof) beginning after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3.10</w:t>
      </w:r>
      <w:bookmarkStart w:id="2845" w:name="_Toc128463274"/>
      <w:bookmarkStart w:id="2846" w:name="_Toc101210314"/>
      <w:bookmarkStart w:id="2847" w:name="_Ref22719784"/>
      <w:bookmarkStart w:id="2848" w:name="_Ref22719755"/>
      <w:bookmarkStart w:id="2849" w:name="_Ref22719644"/>
      <w:bookmarkStart w:id="2850" w:name="_Toc235366501"/>
      <w:bookmarkStart w:id="2851" w:name="_Toc235204825"/>
      <w:bookmarkStart w:id="2852" w:name="_Toc235142684"/>
      <w:bookmarkStart w:id="2853" w:name="_Toc228481568"/>
      <w:bookmarkStart w:id="2854" w:name="_Ref83652505"/>
      <w:bookmarkStart w:id="2855" w:name="_Toc892106"/>
      <w:bookmarkStart w:id="2856" w:name="_Ref464554146"/>
      <w:bookmarkStart w:id="2857" w:name="_Ref507269728"/>
      <w:bookmarkStart w:id="2858" w:name="_Ref507269467"/>
      <w:bookmarkStart w:id="2859" w:name="_Toc465317291"/>
      <w:bookmarkStart w:id="2860" w:name="_Toc464684547"/>
      <w:bookmarkStart w:id="2861" w:name="_Toc464561856"/>
      <w:bookmarkStart w:id="2862" w:name="_Toc440773744"/>
      <w:bookmarkStart w:id="2863" w:name="_Ref440767625"/>
      <w:bookmarkStart w:id="2864" w:name="_Toc440766879"/>
      <w:bookmarkStart w:id="2865" w:name="_Toc440765291"/>
      <w:bookmarkStart w:id="2866" w:name="_Toc440764531"/>
      <w:bookmarkStart w:id="2867" w:name="_Toc440760971"/>
      <w:bookmarkStart w:id="2868" w:name="_Ref416487142"/>
      <w:bookmarkStart w:id="2869" w:name="_Ref416482824"/>
      <w:bookmarkStart w:id="2870" w:name="_Toc416469698"/>
      <w:bookmarkStart w:id="2871" w:name="_Toc518197946"/>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r>
        <w:rPr>
          <w:rFonts w:ascii="Times New Roman;Times;serif" w:hAnsi="Times New Roman;Times;serif"/>
          <w:sz w:val="24"/>
          <w:u w:val="single"/>
        </w:rPr>
        <w:t>Contracts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872" w:name="_Toc235204826"/>
      <w:bookmarkStart w:id="2873" w:name="_Ref22719638"/>
      <w:bookmarkEnd w:id="2872"/>
      <w:bookmarkEnd w:id="2873"/>
      <w:r>
        <w:rPr>
          <w:rFonts w:ascii="Times New Roman;Times;serif" w:hAnsi="Times New Roman;Times;serif"/>
          <w:sz w:val="24"/>
          <w:u w:val="single"/>
        </w:rPr>
        <w:t>Schedule 3.10(a)</w:t>
      </w:r>
      <w:r>
        <w:rPr>
          <w:rFonts w:ascii="Times New Roman;Times;serif" w:hAnsi="Times New Roman;Times;serif"/>
          <w:sz w:val="24"/>
        </w:rPr>
        <w:t xml:space="preserve"> sets forth a list (by each applicable subsection referenced below in this </w:t>
      </w:r>
      <w:r>
        <w:rPr>
          <w:rFonts w:ascii="Times New Roman;Times;serif" w:hAnsi="Times New Roman;Times;serif"/>
          <w:sz w:val="24"/>
          <w:u w:val="single"/>
        </w:rPr>
        <w:t>Section 3.10(a)</w:t>
      </w:r>
      <w:r>
        <w:rPr>
          <w:rFonts w:ascii="Times New Roman;Times;serif" w:hAnsi="Times New Roman;Times;serif"/>
          <w:sz w:val="24"/>
        </w:rPr>
        <w:t>) of all of the following Contracts to which the Company or any of its Subsidiaries is a party to or by which any of them or their respective properties or assets is bound:</w:t>
      </w:r>
      <w:bookmarkStart w:id="2874" w:name="_Ref319541325"/>
      <w:bookmarkEnd w:id="2874"/>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2875" w:name="_Ref416482825"/>
      <w:bookmarkEnd w:id="2875"/>
      <w:r>
        <w:rPr>
          <w:rFonts w:ascii="Times New Roman;Times;serif" w:hAnsi="Times New Roman;Times;serif"/>
          <w:sz w:val="24"/>
        </w:rPr>
        <w:t xml:space="preserve">any Contract providing for </w:t>
      </w:r>
      <w:bookmarkStart w:id="2876" w:name="DocXTextRef159"/>
      <w:bookmarkEnd w:id="2876"/>
      <w:r>
        <w:rPr>
          <w:rFonts w:ascii="Times New Roman;Times;serif" w:hAnsi="Times New Roman;Times;serif"/>
          <w:sz w:val="24"/>
        </w:rPr>
        <w:t xml:space="preserve">(A) payment by any Person to the Company or any of its Subsidiaries in excess of $[***] annually or </w:t>
      </w:r>
      <w:bookmarkStart w:id="2877" w:name="DocXTextRef160"/>
      <w:bookmarkEnd w:id="2877"/>
      <w:r>
        <w:rPr>
          <w:rFonts w:ascii="Times New Roman;Times;serif" w:hAnsi="Times New Roman;Times;serif"/>
          <w:sz w:val="24"/>
        </w:rPr>
        <w:t xml:space="preserve">(B) payment by the Company or any of its Subsidiaries to any Person in excess of $[***] annually (excluding any Contract disclosed on </w:t>
      </w:r>
      <w:r>
        <w:rPr>
          <w:rFonts w:ascii="Times New Roman;Times;serif" w:hAnsi="Times New Roman;Times;serif"/>
          <w:sz w:val="24"/>
          <w:u w:val="single"/>
        </w:rPr>
        <w:t>Schedule 3.15(a)</w:t>
      </w:r>
      <w:r>
        <w:rPr>
          <w:rFonts w:ascii="Times New Roman;Times;serif" w:hAnsi="Times New Roman;Times;serif"/>
          <w:sz w:val="24"/>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2878" w:name="_Ref416482827"/>
      <w:bookmarkStart w:id="2879" w:name="_Ref440767626"/>
      <w:bookmarkEnd w:id="2878"/>
      <w:bookmarkEnd w:id="2879"/>
      <w:r>
        <w:rPr>
          <w:rFonts w:ascii="Times New Roman;Times;serif" w:hAnsi="Times New Roman;Times;serif"/>
          <w:sz w:val="24"/>
        </w:rPr>
        <w:t>any Contract that involves non-cancelable commitments to make capital expenditures in excess of $[***] annually;</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(iii)</w:t>
      </w:r>
      <w:bookmarkStart w:id="2880" w:name="_Ref440767630"/>
      <w:bookmarkStart w:id="2881" w:name="_Ref416482833"/>
      <w:bookmarkEnd w:id="2880"/>
      <w:bookmarkEnd w:id="2881"/>
      <w:r>
        <w:rPr>
          <w:rFonts w:ascii="Times New Roman;Times;serif" w:hAnsi="Times New Roman;Times;serif"/>
          <w:sz w:val="24"/>
        </w:rPr>
        <w:t>any Contract establishing any joint ventures, strategic alliance, partnership, sharing of profit arrangement, minority equity investments or similar arrangement;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(iv)</w:t>
      </w:r>
      <w:bookmarkStart w:id="2882" w:name="_Ref440767628"/>
      <w:bookmarkStart w:id="2883" w:name="_Ref416482829"/>
      <w:bookmarkEnd w:id="2882"/>
      <w:bookmarkEnd w:id="2883"/>
      <w:r>
        <w:rPr>
          <w:rFonts w:ascii="Times New Roman;Times;serif" w:hAnsi="Times New Roman;Times;serif"/>
          <w:sz w:val="24"/>
        </w:rPr>
        <w:t xml:space="preserve">any Contract for the employment or service of any officer, individual employee, director, individual service provider or other Person providing for </w:t>
      </w:r>
      <w:bookmarkStart w:id="2884" w:name="DocXTextRef161"/>
      <w:bookmarkEnd w:id="2884"/>
      <w:r>
        <w:rPr>
          <w:rFonts w:ascii="Times New Roman;Times;serif" w:hAnsi="Times New Roman;Times;serif"/>
          <w:sz w:val="24"/>
        </w:rPr>
        <w:t>(A) fixed or variable compensation in the aggregate in excess of $[***] annually or (B) the payment of any severance, retention, change in control or similar payments;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w:t>
      </w:r>
      <w:bookmarkStart w:id="2885" w:name="_Ref440767629"/>
      <w:bookmarkEnd w:id="2885"/>
      <w:r>
        <w:rPr>
          <w:rFonts w:ascii="Times New Roman;Times;serif" w:hAnsi="Times New Roman;Times;serif"/>
          <w:sz w:val="24"/>
        </w:rPr>
        <w:t xml:space="preserve">any Contract or indenture under which the Company or any of its Subsidiaries has </w:t>
      </w:r>
      <w:bookmarkStart w:id="2886" w:name="DocXTextRef163"/>
      <w:bookmarkEnd w:id="2886"/>
      <w:r>
        <w:rPr>
          <w:rFonts w:ascii="Times New Roman;Times;serif" w:hAnsi="Times New Roman;Times;serif"/>
          <w:sz w:val="24"/>
        </w:rPr>
        <w:t xml:space="preserve">(A) created, incurred, assumed or guaranteed (or may create, incur, assume or guarantee) Indebtedness, </w:t>
      </w:r>
      <w:bookmarkStart w:id="2887" w:name="DocXTextRef164"/>
      <w:bookmarkEnd w:id="2887"/>
      <w:r>
        <w:rPr>
          <w:rFonts w:ascii="Times New Roman;Times;serif" w:hAnsi="Times New Roman;Times;serif"/>
          <w:sz w:val="24"/>
        </w:rPr>
        <w:t xml:space="preserve">(B) mortgaged, pledged or otherwise placed or granted a Lien (other than a Permitted Lien) on its properties or assets to secure such Indebtedness or </w:t>
      </w:r>
      <w:bookmarkStart w:id="2888" w:name="DocXTextRef165"/>
      <w:bookmarkEnd w:id="2888"/>
      <w:r>
        <w:rPr>
          <w:rFonts w:ascii="Times New Roman;Times;serif" w:hAnsi="Times New Roman;Times;serif"/>
          <w:sz w:val="24"/>
        </w:rPr>
        <w:t>(C) extended credit to any Person (including any loan or advance);</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(vi)</w:t>
      </w:r>
      <w:bookmarkStart w:id="2889" w:name="_Ref416482832"/>
      <w:bookmarkEnd w:id="2889"/>
      <w:r>
        <w:rPr>
          <w:rFonts w:ascii="Times New Roman;Times;serif" w:hAnsi="Times New Roman;Times;serif"/>
          <w:sz w:val="24"/>
        </w:rPr>
        <w:t xml:space="preserve">any Contract under which the Company or any of its Subsidiaries is a (A) lessee of or holds or operates any personal property, owned by any other Person, or </w:t>
      </w:r>
      <w:bookmarkStart w:id="2890" w:name="DocXTextRef166"/>
      <w:bookmarkEnd w:id="2890"/>
      <w:r>
        <w:rPr>
          <w:rFonts w:ascii="Times New Roman;Times;serif" w:hAnsi="Times New Roman;Times;serif"/>
          <w:sz w:val="24"/>
        </w:rPr>
        <w:t>(B) lessor of or permits any other Person (other than the Company and its Subsidiaries) to hold or operate any personal property owned or controlled by it;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(vii)</w:t>
      </w:r>
      <w:bookmarkStart w:id="2891" w:name="_Ref101252785"/>
      <w:bookmarkEnd w:id="2891"/>
      <w:r>
        <w:rPr>
          <w:rFonts w:ascii="Times New Roman;Times;serif" w:hAnsi="Times New Roman;Times;serif"/>
          <w:sz w:val="24"/>
        </w:rPr>
        <w:t xml:space="preserve">any </w:t>
      </w:r>
      <w:bookmarkStart w:id="2892" w:name="_9kR3WTrAGBEFCDCAkt2qJHwolxC45M6y6yv7MEE"/>
      <w:bookmarkStart w:id="2893" w:name="DocXTextRef167"/>
      <w:bookmarkEnd w:id="2892"/>
      <w:bookmarkEnd w:id="2893"/>
      <w:r>
        <w:rPr>
          <w:rFonts w:ascii="Times New Roman;Times;serif" w:hAnsi="Times New Roman;Times;serif"/>
          <w:sz w:val="24"/>
        </w:rPr>
        <w:t xml:space="preserve">(A) license, sublicense, release, option, royalty, indemnification, covenant not to sue, exercise, or assert (including coexistence, prior rights, or similar agreements), escrow, concurrent use, consent to use, ownership interest or other right to interest or other Contract relating to any Intellectual Property Rights (including any Contracts relating to the licensing or sublicensing of Intellectual Property Rights) (1) by any Person to the Company or any of its Subsidiaries, or (2) by the Company or any of its Subsidiaries to any person; and </w:t>
      </w:r>
      <w:bookmarkStart w:id="2894" w:name="_9kR3WTrAGBEFDECAkt2qKLA4q1aSAGL3p9Q8w22"/>
      <w:bookmarkStart w:id="2895" w:name="DocXTextRef168"/>
      <w:bookmarkEnd w:id="2894"/>
      <w:bookmarkEnd w:id="2895"/>
      <w:r>
        <w:rPr>
          <w:rFonts w:ascii="Times New Roman;Times;serif" w:hAnsi="Times New Roman;Times;serif"/>
          <w:sz w:val="24"/>
        </w:rPr>
        <w:t>(B) other Contracts affecting the Company’s or any of its Subsidiaries’ ability to own, enforce, use, license or disclose any Intellectual Property Rights or providing for the development or acquisition of any Intellectual Property Rights (including any Data) (</w:t>
      </w:r>
      <w:bookmarkStart w:id="2896" w:name="_9kMHG5YVtCIDGHEFECmv4sLJyqnzE67O8080x9O"/>
      <w:bookmarkEnd w:id="2896"/>
      <w:r>
        <w:rPr>
          <w:rFonts w:ascii="Times New Roman;Times;serif" w:hAnsi="Times New Roman;Times;serif"/>
          <w:sz w:val="24"/>
        </w:rPr>
        <w:t xml:space="preserve">clauses (A) and </w:t>
      </w:r>
      <w:bookmarkStart w:id="2897" w:name="_9kMHG5YVtCIDGHFGECmv4sMNC6s3cUCIN5rBSAy"/>
      <w:bookmarkStart w:id="2898" w:name="DocXTextRef169"/>
      <w:bookmarkEnd w:id="2897"/>
      <w:bookmarkEnd w:id="2898"/>
      <w:r>
        <w:rPr>
          <w:rFonts w:ascii="Times New Roman;Times;serif" w:hAnsi="Times New Roman;Times;serif"/>
          <w:sz w:val="24"/>
        </w:rPr>
        <w:t>(B), collectively, “</w:t>
      </w:r>
      <w:r>
        <w:rPr>
          <w:rFonts w:ascii="Times New Roman;Times;serif" w:hAnsi="Times New Roman;Times;serif"/>
          <w:sz w:val="24"/>
          <w:u w:val="single"/>
        </w:rPr>
        <w:t>IP Agreements</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licenses of Off-the-Shelf Software shall not be required to be set forth on </w:t>
      </w:r>
      <w:r>
        <w:rPr>
          <w:rFonts w:ascii="Times New Roman;Times;serif" w:hAnsi="Times New Roman;Times;serif"/>
          <w:sz w:val="24"/>
          <w:u w:val="single"/>
        </w:rPr>
        <w:t>Schedule 3.10(a)(vii)</w:t>
      </w:r>
      <w:r>
        <w:rPr>
          <w:rFonts w:ascii="Times New Roman;Times;serif" w:hAnsi="Times New Roman;Times;serif"/>
          <w:sz w:val="24"/>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(viii)</w:t>
      </w:r>
      <w:bookmarkStart w:id="2899" w:name="_Ref416482835"/>
      <w:bookmarkEnd w:id="2899"/>
      <w:r>
        <w:rPr>
          <w:rFonts w:ascii="Times New Roman;Times;serif" w:hAnsi="Times New Roman;Times;serif"/>
          <w:sz w:val="24"/>
        </w:rPr>
        <w:t>any agent, sales representative, referral, marketing or distribution agreement or any other agreement that requires payment by or to the Company of referral fees, commissions or other monetary or non-monetary compensation in respect of a referral;</w:t>
      </w:r>
      <w:bookmarkStart w:id="2900" w:name="_Ref416482837"/>
      <w:bookmarkEnd w:id="2900"/>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(ix)</w:t>
      </w:r>
      <w:bookmarkStart w:id="2901" w:name="_Ref440767631"/>
      <w:bookmarkStart w:id="2902" w:name="_Ref507269468"/>
      <w:bookmarkEnd w:id="2901"/>
      <w:bookmarkEnd w:id="2902"/>
      <w:r>
        <w:rPr>
          <w:rFonts w:ascii="Times New Roman;Times;serif" w:hAnsi="Times New Roman;Times;serif"/>
          <w:sz w:val="24"/>
        </w:rPr>
        <w:t>any Contract that limits the ability of the Company or any of its Affiliates to engage in any line of business or that contains a covenant not to compete applicable to the Company or any of its Affiliates;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w:t>
      </w:r>
      <w:bookmarkStart w:id="2903" w:name="_Ref464659632"/>
      <w:bookmarkEnd w:id="2903"/>
      <w:r>
        <w:rPr>
          <w:rFonts w:ascii="Times New Roman;Times;serif" w:hAnsi="Times New Roman;Times;serif"/>
          <w:sz w:val="24"/>
        </w:rPr>
        <w:t>any Contract that contains “</w:t>
      </w:r>
      <w:bookmarkStart w:id="2904" w:name="dtDNI35"/>
      <w:bookmarkEnd w:id="2904"/>
      <w:r>
        <w:rPr>
          <w:rFonts w:ascii="Times New Roman;Times;serif" w:hAnsi="Times New Roman;Times;serif"/>
          <w:sz w:val="24"/>
        </w:rPr>
        <w:t>most favored nations” pricing terms or grants to any customer, supplier or vendor any right of first offer or right of first refusal or exclusivity or any similar requirement;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(xi)</w:t>
      </w:r>
      <w:bookmarkStart w:id="2905" w:name="_Ref464659633"/>
      <w:bookmarkEnd w:id="2905"/>
      <w:r>
        <w:rPr>
          <w:rFonts w:ascii="Times New Roman;Times;serif" w:hAnsi="Times New Roman;Times;serif"/>
          <w:sz w:val="24"/>
        </w:rPr>
        <w:t>any Contract that contains any “</w:t>
      </w:r>
      <w:bookmarkStart w:id="2906" w:name="dtDNI36"/>
      <w:bookmarkEnd w:id="2906"/>
      <w:r>
        <w:rPr>
          <w:rFonts w:ascii="Times New Roman;Times;serif" w:hAnsi="Times New Roman;Times;serif"/>
          <w:sz w:val="24"/>
        </w:rPr>
        <w:t>no hire” or similar provisions which restrict the Company or any of its Affiliates from soliciting, hiring, engaging, retaining or employing any other Person’s current or former employees;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(xii)</w:t>
      </w:r>
      <w:bookmarkStart w:id="2907" w:name="_Ref83652507"/>
      <w:bookmarkStart w:id="2908" w:name="_Ref440767632"/>
      <w:bookmarkEnd w:id="2907"/>
      <w:bookmarkEnd w:id="2908"/>
      <w:r>
        <w:rPr>
          <w:rFonts w:ascii="Times New Roman;Times;serif" w:hAnsi="Times New Roman;Times;serif"/>
          <w:sz w:val="24"/>
        </w:rPr>
        <w:t>any settlement, conciliation or similar agreement entered into in the past three years or under which there are continuing obligations or Liabilities on the part of the Company or any of its Subsidiaries;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(xiii)</w:t>
      </w:r>
      <w:bookmarkStart w:id="2909" w:name="_Ref416482841"/>
      <w:bookmarkStart w:id="2910" w:name="_Ref319541328"/>
      <w:bookmarkEnd w:id="2909"/>
      <w:bookmarkEnd w:id="2910"/>
      <w:r>
        <w:rPr>
          <w:rFonts w:ascii="Times New Roman;Times;serif" w:hAnsi="Times New Roman;Times;serif"/>
          <w:sz w:val="24"/>
        </w:rPr>
        <w:t>any Contract to acquire or sell, transfer or divest any business, material assets or Real Property (other than purchases of Inventory or components in the Ordinary Course);</w:t>
      </w:r>
      <w:bookmarkStart w:id="2911" w:name="_Ref414395713"/>
      <w:bookmarkStart w:id="2912" w:name="_Ref440767633"/>
      <w:bookmarkEnd w:id="2911"/>
      <w:bookmarkEnd w:id="2912"/>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(xiv)</w:t>
      </w:r>
      <w:bookmarkStart w:id="2913" w:name="_Ref507269469"/>
      <w:bookmarkEnd w:id="2913"/>
      <w:r>
        <w:rPr>
          <w:rFonts w:ascii="Times New Roman;Times;serif" w:hAnsi="Times New Roman;Times;serif"/>
          <w:sz w:val="24"/>
        </w:rPr>
        <w:t>any Contract wherein or whereby the Company or any of its Subsidiaries has agreed to, or assumed, any obligation or duty to indemnify, reimburse, hold harmless, guarantee, or otherwise assume or incur any obligation or liability and such obligation or duty is uncapped or otherwise not limited or provides a right of rescission;</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(xv)</w:t>
      </w:r>
      <w:bookmarkStart w:id="2914" w:name="_Ref507269470"/>
      <w:bookmarkEnd w:id="2914"/>
      <w:r>
        <w:rPr>
          <w:rFonts w:ascii="Times New Roman;Times;serif" w:hAnsi="Times New Roman;Times;serif"/>
          <w:sz w:val="24"/>
        </w:rPr>
        <w:t xml:space="preserve">any Contract containing any provision or covenant that binds or </w:t>
      </w:r>
      <w:bookmarkStart w:id="2915" w:name="HH_1"/>
      <w:bookmarkEnd w:id="2915"/>
      <w:r>
        <w:rPr>
          <w:rFonts w:ascii="Times New Roman;Times;serif" w:hAnsi="Times New Roman;Times;serif"/>
          <w:sz w:val="24"/>
        </w:rPr>
        <w:t>purports to bind “</w:t>
      </w:r>
      <w:bookmarkStart w:id="2916" w:name="dtDNI38"/>
      <w:bookmarkEnd w:id="2916"/>
      <w:r>
        <w:rPr>
          <w:rFonts w:ascii="Times New Roman;Times;serif" w:hAnsi="Times New Roman;Times;serif"/>
          <w:sz w:val="24"/>
        </w:rPr>
        <w:t>Affiliates” of the Company or any of its Subsidiaries (other than Subsidiaries of the Company) or any of their respective assets or that would otherwise bind or purport to bind Buyer or any of its Affiliates, or any of its or their assets, after the Closing;</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(xvi)</w:t>
      </w:r>
      <w:bookmarkStart w:id="2917" w:name="_Ref440767634"/>
      <w:bookmarkEnd w:id="2917"/>
      <w:r>
        <w:rPr>
          <w:rFonts w:ascii="Times New Roman;Times;serif" w:hAnsi="Times New Roman;Times;serif"/>
          <w:sz w:val="24"/>
        </w:rPr>
        <w:t>any Contract between or among the Company or any of its Subsidiaries, on the one hand, and Seller or its Affiliates (other than the Company or any of its Subsidiaries), on the other hand, or any Affiliate Agreement;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(xvii)</w:t>
      </w:r>
      <w:bookmarkStart w:id="2918" w:name="_Ref507269471"/>
      <w:bookmarkStart w:id="2919" w:name="_Ref416482843"/>
      <w:bookmarkEnd w:id="2918"/>
      <w:bookmarkEnd w:id="2919"/>
      <w:r>
        <w:rPr>
          <w:rFonts w:ascii="Times New Roman;Times;serif" w:hAnsi="Times New Roman;Times;serif"/>
          <w:sz w:val="24"/>
        </w:rPr>
        <w:t>any Contract pursuant to which the Company or any of its Subsidiaries subcontracts work to a third party in connection with its business;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(xviii)</w:t>
      </w:r>
      <w:bookmarkStart w:id="2920" w:name="_Ref416482846"/>
      <w:bookmarkStart w:id="2921" w:name="_Ref440767635"/>
      <w:bookmarkEnd w:id="2920"/>
      <w:bookmarkEnd w:id="2921"/>
      <w:r>
        <w:rPr>
          <w:rFonts w:ascii="Times New Roman;Times;serif" w:hAnsi="Times New Roman;Times;serif"/>
          <w:sz w:val="24"/>
        </w:rPr>
        <w:t>any Contract with a Material Customer or Material Vendor;</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(xix)</w:t>
      </w:r>
      <w:bookmarkStart w:id="2922" w:name="_Ref507269472"/>
      <w:bookmarkEnd w:id="2922"/>
      <w:r>
        <w:rPr>
          <w:rFonts w:ascii="Times New Roman;Times;serif" w:hAnsi="Times New Roman;Times;serif"/>
          <w:sz w:val="24"/>
        </w:rPr>
        <w:t>any Contract pursuant to which any Person has authored, created, conceived, invented, developed, or reduced to practice any Intellectual Property Rights for, on behalf of or under the direction or supervision of the Company or any of its Subsidiaries;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(xx)</w:t>
      </w:r>
      <w:bookmarkStart w:id="2923" w:name="_Ref507269473"/>
      <w:bookmarkEnd w:id="2923"/>
      <w:r>
        <w:rPr>
          <w:rFonts w:ascii="Times New Roman;Times;serif" w:hAnsi="Times New Roman;Times;serif"/>
          <w:sz w:val="24"/>
        </w:rPr>
        <w:t xml:space="preserve">any Government Contract (including any facilities Contract or Lease for the use of government-owned facilities); </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(xxi)</w:t>
      </w:r>
      <w:r>
        <w:rPr>
          <w:rFonts w:ascii="Times New Roman;Times;serif" w:hAnsi="Times New Roman;Times;serif"/>
          <w:sz w:val="24"/>
        </w:rPr>
        <w:t xml:space="preserve">any Contract providing for an increased payment or benefit, or accelerated vesting or payment, upon the execution of this Agreement or any other Transaction Document, or in connection with the consummation of the transactions contemplated hereby or thereby;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(xxii)</w:t>
      </w:r>
      <w:r>
        <w:rPr>
          <w:rFonts w:ascii="Times New Roman;Times;serif" w:hAnsi="Times New Roman;Times;serif"/>
          <w:sz w:val="24"/>
        </w:rPr>
        <w:t>any power of attorney, agency authorization or similar arrangement granted by the Company or any of its Subsidiaries for any purpose; and</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(xxiii)</w:t>
      </w:r>
      <w:bookmarkStart w:id="2924" w:name="_Ref416482847"/>
      <w:bookmarkStart w:id="2925" w:name="_Ref414395715"/>
      <w:bookmarkEnd w:id="2924"/>
      <w:bookmarkEnd w:id="2925"/>
      <w:r>
        <w:rPr>
          <w:rFonts w:ascii="Times New Roman;Times;serif" w:hAnsi="Times New Roman;Times;serif"/>
          <w:sz w:val="24"/>
        </w:rPr>
        <w:t>any commitment or arrangement to enter into any of the foregoing.</w:t>
      </w:r>
      <w:bookmarkStart w:id="2926" w:name="_Ref416482848"/>
      <w:bookmarkStart w:id="2927" w:name="_Ref22917722"/>
      <w:bookmarkEnd w:id="2926"/>
      <w:bookmarkEnd w:id="2927"/>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928" w:name="_Toc235204827"/>
      <w:bookmarkStart w:id="2929" w:name="_Ref440767637"/>
      <w:bookmarkStart w:id="2930" w:name="_Ref507269474"/>
      <w:bookmarkEnd w:id="2928"/>
      <w:bookmarkEnd w:id="2929"/>
      <w:bookmarkEnd w:id="2930"/>
      <w:r>
        <w:rPr>
          <w:rFonts w:ascii="Times New Roman;Times;serif" w:hAnsi="Times New Roman;Times;serif"/>
          <w:sz w:val="24"/>
        </w:rPr>
        <w:t xml:space="preserve">(i) Each of the Contracts set forth or required to be set forth on </w:t>
      </w:r>
      <w:r>
        <w:rPr>
          <w:rFonts w:ascii="Times New Roman;Times;serif" w:hAnsi="Times New Roman;Times;serif"/>
          <w:sz w:val="24"/>
          <w:u w:val="single"/>
        </w:rPr>
        <w:t>Schedule 3.10(a)</w:t>
      </w:r>
      <w:r>
        <w:rPr>
          <w:rFonts w:ascii="Times New Roman;Times;serif" w:hAnsi="Times New Roman;Times;serif"/>
          <w:sz w:val="24"/>
        </w:rPr>
        <w:t xml:space="preserve"> (collectively, the “</w:t>
      </w:r>
      <w:r>
        <w:rPr>
          <w:rFonts w:ascii="Times New Roman;Times;serif" w:hAnsi="Times New Roman;Times;serif"/>
          <w:sz w:val="24"/>
          <w:u w:val="single"/>
        </w:rPr>
        <w:t>Material Contracts</w:t>
      </w:r>
      <w:r>
        <w:rPr>
          <w:rFonts w:ascii="Times New Roman;Times;serif" w:hAnsi="Times New Roman;Times;serif"/>
          <w:sz w:val="24"/>
        </w:rPr>
        <w:t>”) is in full force and effect and constitutes a valid, binding and enforceable obligation of the Company and its Subsidiaries a party thereto, except to the extent that its enforceability may be subject to applicable bankruptcy, insolvency, fraudulent conveyance, reorganization, moratorium and other similar Laws relating to or affecting creditors’ rights generally, general equitable principles (whether considered in a proceeding in equity or at law) and implied covenant of good faith and fair dealing.  To the Knowledge of Seller, the other parties thereto, (i) neither the Company nor any of its Subsidiaries is or, to the Knowledge of Seller, is alleged to be in breach of or default in any material respect under any Material Contract, and (ii) to the Knowledge of Seller, no counterparty is in breach of or default in any material respect under any Material Contract.</w:t>
      </w:r>
      <w:bookmarkStart w:id="2931" w:name="_Ref126755747"/>
      <w:bookmarkEnd w:id="2931"/>
      <w:r>
        <w:rPr>
          <w:rFonts w:ascii="Times New Roman;Times;serif" w:hAnsi="Times New Roman;Times;serif"/>
          <w:sz w:val="24"/>
        </w:rPr>
        <w:t xml:space="preserve">  Neither the Company nor any of its Subsidiaries has received written notice of an intention by a counterparty to a Material Contract of an intention to terminate such Contract or materially amend the terms of such Contract, other than in the Ordinary Course.  Neither the Company nor any of its Subsidiaries has waived any material rights under any Material Contract.  Seller has provided a true, complete and correct copy of each written Material Contract, together with all amendments, waivers or other changes thereto.  Neither the Company nor any of its Subsidiaries has entered into any oral Contracts that, if reduced to writing, would be required to be set forth on </w:t>
      </w:r>
      <w:r>
        <w:rPr>
          <w:rFonts w:ascii="Times New Roman;Times;serif" w:hAnsi="Times New Roman;Times;serif"/>
          <w:sz w:val="24"/>
          <w:u w:val="single"/>
        </w:rPr>
        <w:t>Schedule 3.10(a)</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3.11</w:t>
      </w:r>
      <w:bookmarkStart w:id="2932" w:name="_Toc128463275"/>
      <w:bookmarkStart w:id="2933" w:name="_Toc101210315"/>
      <w:bookmarkStart w:id="2934" w:name="_Ref22719865"/>
      <w:bookmarkStart w:id="2935" w:name="_Ref22719850"/>
      <w:bookmarkStart w:id="2936" w:name="_Ref22719810"/>
      <w:bookmarkStart w:id="2937" w:name="_Toc235366502"/>
      <w:bookmarkStart w:id="2938" w:name="_Toc235204829"/>
      <w:bookmarkStart w:id="2939" w:name="_Toc235142685"/>
      <w:bookmarkStart w:id="2940" w:name="_Toc228481569"/>
      <w:bookmarkStart w:id="2941" w:name="_Ref83652508"/>
      <w:bookmarkStart w:id="2942" w:name="_Toc892107"/>
      <w:bookmarkStart w:id="2943" w:name="_Ref507269729"/>
      <w:bookmarkStart w:id="2944" w:name="_Ref507269475"/>
      <w:bookmarkStart w:id="2945" w:name="_Toc465317292"/>
      <w:bookmarkStart w:id="2946" w:name="_Toc464684548"/>
      <w:bookmarkStart w:id="2947" w:name="_Toc464561857"/>
      <w:bookmarkStart w:id="2948" w:name="_Toc440773745"/>
      <w:bookmarkStart w:id="2949" w:name="_Ref440767638"/>
      <w:bookmarkStart w:id="2950" w:name="_Toc440766880"/>
      <w:bookmarkStart w:id="2951" w:name="_Toc440765292"/>
      <w:bookmarkStart w:id="2952" w:name="_Toc440764532"/>
      <w:bookmarkStart w:id="2953" w:name="_Toc440760972"/>
      <w:bookmarkStart w:id="2954" w:name="_Ref416482849"/>
      <w:bookmarkStart w:id="2955" w:name="_Toc416469699"/>
      <w:bookmarkStart w:id="2956" w:name="_Toc518197947"/>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r>
        <w:rPr>
          <w:rFonts w:ascii="Times New Roman;Times;serif" w:hAnsi="Times New Roman;Times;serif"/>
          <w:sz w:val="24"/>
          <w:u w:val="single"/>
        </w:rPr>
        <w:t>Intellectual Property Rights; Information Technology</w:t>
      </w:r>
      <w:bookmarkStart w:id="2957" w:name="_Ref440767639"/>
      <w:bookmarkEnd w:id="2957"/>
      <w:r>
        <w:rPr>
          <w:rFonts w:ascii="Times New Roman;Times;serif" w:hAnsi="Times New Roman;Times;serif"/>
          <w:sz w:val="24"/>
        </w:rPr>
        <w:t>.</w:t>
      </w:r>
      <w:bookmarkStart w:id="2958" w:name="_Ref436187950"/>
      <w:bookmarkStart w:id="2959" w:name="_Ref126758351"/>
      <w:bookmarkEnd w:id="2958"/>
      <w:bookmarkEnd w:id="2959"/>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960" w:name="_Ref440769274"/>
      <w:bookmarkStart w:id="2961" w:name="_Ref83652509"/>
      <w:bookmarkStart w:id="2962" w:name="_Toc235204830"/>
      <w:bookmarkEnd w:id="2960"/>
      <w:bookmarkEnd w:id="2961"/>
      <w:bookmarkEnd w:id="2962"/>
      <w:r>
        <w:rPr>
          <w:rFonts w:ascii="Times New Roman;Times;serif" w:hAnsi="Times New Roman;Times;serif"/>
          <w:sz w:val="24"/>
          <w:u w:val="single"/>
        </w:rPr>
        <w:t>Schedule 3.11(a)</w:t>
      </w:r>
      <w:r>
        <w:rPr>
          <w:rFonts w:ascii="Times New Roman;Times;serif" w:hAnsi="Times New Roman;Times;serif"/>
          <w:sz w:val="24"/>
        </w:rPr>
        <w:t xml:space="preserve"> includes a true, complete, and correct list of: (i) all issued, registered, or applications to issue or register Company Owned IP (collectively, the “</w:t>
      </w:r>
      <w:r>
        <w:rPr>
          <w:rFonts w:ascii="Times New Roman;Times;serif" w:hAnsi="Times New Roman;Times;serif"/>
          <w:sz w:val="24"/>
          <w:u w:val="single"/>
        </w:rPr>
        <w:t>Registered IP</w:t>
      </w:r>
      <w:r>
        <w:rPr>
          <w:rFonts w:ascii="Times New Roman;Times;serif" w:hAnsi="Times New Roman;Times;serif"/>
          <w:sz w:val="24"/>
        </w:rPr>
        <w:t>”), specifying as to each item, as applicable: (A) the nature of the item, including the title of the item, (B) the owner(s) of the item (and if different, the record owner(s) thereof) and for any domain names, the registrant and the registrar thereof, and for any social media identifiers, the account holder and platform, (C) the jurisdictions in which the item is issued or registered or in which an application for issuance or registration has been filed, and (D) the issuance, registration or application numbers and dates; (ii) all material unregistered Trademarks owned or purported to be owned by the Company; and (iii) all proprietary Software owned or purported to be owned by the Company.  The Registered IP is subsisting and in full force and effect, and all Registered IP (other than applications) is valid and enforceable.  All filings and fees necessary to maintain and update the records of the Registered IP have been timely submitted.  </w:t>
      </w:r>
      <w:r>
        <w:rPr>
          <w:rFonts w:ascii="Times New Roman;Times;serif" w:hAnsi="Times New Roman;Times;serif"/>
          <w:sz w:val="24"/>
          <w:u w:val="single"/>
        </w:rPr>
        <w:t>Schedule 3.11(a)</w:t>
      </w:r>
      <w:r>
        <w:rPr>
          <w:rFonts w:ascii="Times New Roman;Times;serif" w:hAnsi="Times New Roman;Times;serif"/>
          <w:sz w:val="24"/>
        </w:rPr>
        <w:t xml:space="preserve"> further sets forth a true, complete, and correct list of all material Business IP licensed or sublicensed to the Company or any of its Subsidiaries, other than Off-the-Shelf Software (“</w:t>
      </w:r>
      <w:r>
        <w:rPr>
          <w:rFonts w:ascii="Times New Roman;Times;serif" w:hAnsi="Times New Roman;Times;serif"/>
          <w:sz w:val="24"/>
          <w:u w:val="single"/>
        </w:rPr>
        <w:t>Material In-Licensed Business IP</w:t>
      </w:r>
      <w:r>
        <w:rPr>
          <w:rFonts w:ascii="Times New Roman;Times;serif" w:hAnsi="Times New Roman;Times;serif"/>
          <w:sz w:val="24"/>
        </w:rPr>
        <w:t>”).</w:t>
      </w:r>
      <w:bookmarkStart w:id="2963" w:name="_Ref440767640"/>
      <w:bookmarkEnd w:id="2963"/>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964" w:name="_Toc235204831"/>
      <w:bookmarkStart w:id="2965" w:name="_9kR3WTrAGBEFEFCBmhaUmIN46vuJLFGD4683IT3"/>
      <w:bookmarkEnd w:id="2964"/>
      <w:bookmarkEnd w:id="2965"/>
      <w:r>
        <w:rPr>
          <w:rFonts w:ascii="Times New Roman;Times;serif" w:hAnsi="Times New Roman;Times;serif"/>
          <w:sz w:val="24"/>
        </w:rPr>
        <w:t xml:space="preserve">Except as set forth on </w:t>
      </w:r>
      <w:r>
        <w:rPr>
          <w:rFonts w:ascii="Times New Roman;Times;serif" w:hAnsi="Times New Roman;Times;serif"/>
          <w:sz w:val="24"/>
          <w:u w:val="single"/>
        </w:rPr>
        <w:t>Schedule 3.11(b)</w:t>
      </w:r>
      <w:r>
        <w:rPr>
          <w:rFonts w:ascii="Times New Roman;Times;serif" w:hAnsi="Times New Roman;Times;serif"/>
          <w:sz w:val="24"/>
        </w:rPr>
        <w:t xml:space="preserve">, (i) the Company or one of its Subsidiaries solely and exclusively owns and possesses all right, title, and interest in and to the Company Owned IP, and </w:t>
      </w:r>
      <w:bookmarkStart w:id="2966" w:name="_9kR3WTrAGBEFFGCBmhp11nJO57wvK8y2yFQ0xDC"/>
      <w:bookmarkEnd w:id="2966"/>
      <w:r>
        <w:rPr>
          <w:rFonts w:ascii="Times New Roman;Times;serif" w:hAnsi="Times New Roman;Times;serif"/>
          <w:sz w:val="24"/>
        </w:rPr>
        <w:t xml:space="preserve">(ii) the Company and its Subsidiaries own or have the right to use or practice all Business IP as such Business IP is used in the Business, in each case of </w:t>
      </w:r>
      <w:bookmarkStart w:id="2967" w:name="_9kMHG5YVtCIDGHGHEDojcWoKP68xwLNHIF68A5K"/>
      <w:bookmarkEnd w:id="2967"/>
      <w:r>
        <w:rPr>
          <w:rFonts w:ascii="Times New Roman;Times;serif" w:hAnsi="Times New Roman;Times;serif"/>
          <w:sz w:val="24"/>
        </w:rPr>
        <w:t xml:space="preserve">clauses (i) and </w:t>
      </w:r>
      <w:bookmarkStart w:id="2968" w:name="_9kMHG5YVtCIDGHHIEDojr33pLQ79yxMA040HS2z"/>
      <w:bookmarkEnd w:id="2968"/>
      <w:r>
        <w:rPr>
          <w:rFonts w:ascii="Times New Roman;Times;serif" w:hAnsi="Times New Roman;Times;serif"/>
          <w:sz w:val="24"/>
        </w:rPr>
        <w:t xml:space="preserve">(ii), free and clear of all Liens, other than Permitted Liens.  The Company Owned IP, together with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Material In-Licensed Business IP, constitute all Intellectual Property Rights that are material and necessary for the conduct and operation of the Business as currently conducted and operated.  Without limiting the foregoing, no Intellectual Property Rights of Seller Guarantor or any of its Subsidiaries (other than the Company and its Subsidiaries) or any Excluded Entity have been or are currently used in the conduct or operation of the Business.  No current or former Affiliate (other than Company and its Subsidiaries), partner, director, stockholder, shareholder, officer, employee or consultant of Seller or any of its Affiliates (other than Company and its Subsidiaries) or, to the Knowledge of Seller, any other third party, owns, or will own after giving effect to the transactions contemplated by this Agreement or any other Transaction Document, any Business IP.</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2969" w:name="_Toc235204832"/>
      <w:bookmarkStart w:id="2970" w:name="_Ref83652510"/>
      <w:bookmarkStart w:id="2971" w:name="_Ref507269476"/>
      <w:bookmarkEnd w:id="2969"/>
      <w:bookmarkEnd w:id="2970"/>
      <w:bookmarkEnd w:id="2971"/>
      <w:r>
        <w:rPr>
          <w:rFonts w:ascii="Times New Roman;Times;serif" w:hAnsi="Times New Roman;Times;serif"/>
          <w:sz w:val="24"/>
        </w:rPr>
        <w:t xml:space="preserve">Except as set forth on </w:t>
      </w:r>
      <w:r>
        <w:rPr>
          <w:rFonts w:ascii="Times New Roman;Times;serif" w:hAnsi="Times New Roman;Times;serif"/>
          <w:sz w:val="24"/>
          <w:u w:val="single"/>
        </w:rPr>
        <w:t>Schedule 3.11(c)</w:t>
      </w:r>
      <w:r>
        <w:rPr>
          <w:rFonts w:ascii="Times New Roman;Times;serif" w:hAnsi="Times New Roman;Times;serif"/>
          <w:sz w:val="24"/>
        </w:rPr>
        <w:t xml:space="preserve">, </w:t>
      </w:r>
      <w:bookmarkStart w:id="2972" w:name="_Ref440767641"/>
      <w:bookmarkStart w:id="2973" w:name="_Ref507269477"/>
      <w:bookmarkEnd w:id="2972"/>
      <w:bookmarkEnd w:id="2973"/>
      <w:r>
        <w:rPr>
          <w:rFonts w:ascii="Times New Roman;Times;serif" w:hAnsi="Times New Roman;Times;serif"/>
          <w:sz w:val="24"/>
        </w:rPr>
        <w:t>there is not, and there has not been during the past three years, any Claim (including unsolicited offers, demands, or requests to license or for indemnification, or cease and desist letters) pending, threatened, sent, or received in writing by or against the Company or any of its Subsidiaries with respect to any Intellectual Property Right (including any Claim for infringement, misappropriation, dilution, or other violation thereof, or any Claim challenging the enforceability, use or practice, right to use or practice, ownership, inventorship, authorship, registrability or right to register, duration, priority, scope, licensing, effectiveness, transferability, or validity of any of the Company Owned IP or the Company’s and its Subsidiaries’ rights therein).  Neither the Company nor any of its Subsidiaries is subject to any Order that does or could reasonably be expected to restrict or impair the use of any Company Owned IP or any other material Business IP.  To the Knowledge of Seller, no Person has infringed, misappropriated, diluted or otherwise violated any of the Company Owned IP or any other material Business IP.</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2974" w:name="_Ref507269478"/>
      <w:bookmarkStart w:id="2975" w:name="_Ref512348001"/>
      <w:bookmarkStart w:id="2976" w:name="_Toc235204833"/>
      <w:bookmarkEnd w:id="2974"/>
      <w:bookmarkEnd w:id="2975"/>
      <w:bookmarkEnd w:id="2976"/>
      <w:r>
        <w:rPr>
          <w:rFonts w:ascii="Times New Roman;Times;serif" w:hAnsi="Times New Roman;Times;serif"/>
          <w:sz w:val="24"/>
        </w:rPr>
        <w:t xml:space="preserve">Except as set forth on </w:t>
      </w:r>
      <w:r>
        <w:rPr>
          <w:rFonts w:ascii="Times New Roman;Times;serif" w:hAnsi="Times New Roman;Times;serif"/>
          <w:sz w:val="24"/>
          <w:u w:val="single"/>
        </w:rPr>
        <w:t>Schedule 3.11(d)</w:t>
      </w:r>
      <w:r>
        <w:rPr>
          <w:rFonts w:ascii="Times New Roman;Times;serif" w:hAnsi="Times New Roman;Times;serif"/>
          <w:sz w:val="24"/>
        </w:rPr>
        <w:t xml:space="preserve">, none of the Registered IP is or has been involved in or the subject of any interference, opposition, cancellation, invalidity, unenforceability, reissue, reexamination, </w:t>
      </w:r>
      <w:r>
        <w:rPr>
          <w:rFonts w:ascii="Times New Roman;Times;serif" w:hAnsi="Times New Roman;Times;serif"/>
          <w:i/>
          <w:sz w:val="24"/>
        </w:rPr>
        <w:t>inter partes</w:t>
      </w:r>
      <w:r>
        <w:rPr>
          <w:rFonts w:ascii="Times New Roman;Times;serif" w:hAnsi="Times New Roman;Times;serif"/>
          <w:sz w:val="24"/>
        </w:rPr>
        <w:t xml:space="preserve">, </w:t>
      </w:r>
      <w:r>
        <w:rPr>
          <w:rFonts w:ascii="Times New Roman;Times;serif" w:hAnsi="Times New Roman;Times;serif"/>
          <w:i/>
          <w:sz w:val="24"/>
        </w:rPr>
        <w:t>ex parte</w:t>
      </w:r>
      <w:r>
        <w:rPr>
          <w:rFonts w:ascii="Times New Roman;Times;serif" w:hAnsi="Times New Roman;Times;serif"/>
          <w:sz w:val="24"/>
        </w:rPr>
        <w:t>, post-grant, or other similar proceeding.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2977" w:name="_Toc235204834"/>
      <w:bookmarkStart w:id="2978" w:name="_Ref231457844"/>
      <w:bookmarkEnd w:id="2977"/>
      <w:bookmarkEnd w:id="2978"/>
      <w:r>
        <w:rPr>
          <w:rFonts w:ascii="Times New Roman;Times;serif" w:hAnsi="Times New Roman;Times;serif"/>
          <w:sz w:val="24"/>
        </w:rPr>
        <w:t xml:space="preserve">Except as set forth on </w:t>
      </w:r>
      <w:r>
        <w:rPr>
          <w:rFonts w:ascii="Times New Roman;Times;serif" w:hAnsi="Times New Roman;Times;serif"/>
          <w:sz w:val="24"/>
          <w:u w:val="single"/>
        </w:rPr>
        <w:t>Schedule 3.11(e)</w:t>
      </w:r>
      <w:r>
        <w:rPr>
          <w:rFonts w:ascii="Times New Roman;Times;serif" w:hAnsi="Times New Roman;Times;serif"/>
          <w:sz w:val="24"/>
        </w:rPr>
        <w:t xml:space="preserve">, neither the Company, nor any of its Subsidiaries, or the conduct of the Business, infringes, misappropriates, dilutes, or otherwise violates, or during the past three years, has infringed, misappropriated, diluted, or otherwise violated, any Intellectual Property Rights of any Person.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2979" w:name="_Toc235204835"/>
      <w:bookmarkEnd w:id="2979"/>
      <w:r>
        <w:rPr>
          <w:rFonts w:ascii="Times New Roman;Times;serif" w:hAnsi="Times New Roman;Times;serif"/>
          <w:sz w:val="24"/>
        </w:rPr>
        <w:t>To the Knowledge of Seller, no Person has the right to claim, and neither the Company nor any of its Subsidiaries has received any written notice from any Person claiming to have, any ownership right or license in or to any material Business IP.  To the Knowledge of Seller, (i) no Person has been given access or gained access to any Trade Secret or material confidential information of the Company or any of its Subsidiaries who has not signed a valid and enforceable written Contract providing for the confidentiality and non-disclosure by such Person of all Trade Secrets and other confidential information of the Company or any of its Subsidiaries sufficient to protect the Company’s and its Subsidiaries’ interests therein, and (ii) no Person who has signed such a Contract is in breach of such Contract.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2980" w:name="_Toc235204836"/>
      <w:bookmarkEnd w:id="2980"/>
      <w:r>
        <w:rPr>
          <w:rFonts w:ascii="Times New Roman;Times;serif" w:hAnsi="Times New Roman;Times;serif"/>
          <w:sz w:val="24"/>
        </w:rPr>
        <w:t xml:space="preserve">The Company and its Subsidiaries have taken all commercially reasonable steps to protect, preserve, and maintain (i) the Business IP and (ii) the confidentiality of all Trade Secrets owned, in the possession of, or used by, any of them.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2981" w:name="_Toc235204837"/>
      <w:bookmarkStart w:id="2982" w:name="_Ref226037211"/>
      <w:bookmarkEnd w:id="2981"/>
      <w:bookmarkEnd w:id="2982"/>
      <w:r>
        <w:rPr>
          <w:rFonts w:ascii="Times New Roman;Times;serif" w:hAnsi="Times New Roman;Times;serif"/>
          <w:sz w:val="24"/>
          <w:u w:val="single"/>
        </w:rPr>
        <w:t>Schedule 3.11(h)</w:t>
      </w:r>
      <w:r>
        <w:rPr>
          <w:rFonts w:ascii="Times New Roman;Times;serif" w:hAnsi="Times New Roman;Times;serif"/>
          <w:sz w:val="24"/>
        </w:rPr>
        <w:t xml:space="preserve">, sets forth a true, complete, and correct list of the Software that was customized for the Company (whether developed internally or by a third party).  All databases that are in use for the data, content, and information owned or used by the Company or a Subsidiary are in good operating condition and usable in the Ordinary Course and will have at least the same data, content, information and functionality as of the date hereof immediately following Closing.  The Company and its Subsidiaries are and have been in full compliance with the terms and conditions of all licenses, including notice and attribution requirements, for any Open Source Software used by the Company and its Subsidiaries.  Except as set forth on </w:t>
      </w:r>
      <w:r>
        <w:rPr>
          <w:rFonts w:ascii="Times New Roman;Times;serif" w:hAnsi="Times New Roman;Times;serif"/>
          <w:sz w:val="24"/>
          <w:u w:val="single"/>
        </w:rPr>
        <w:t>Schedule 3.11(h)</w:t>
      </w:r>
      <w:r>
        <w:rPr>
          <w:rFonts w:ascii="Times New Roman;Times;serif" w:hAnsi="Times New Roman;Times;serif"/>
          <w:sz w:val="24"/>
        </w:rPr>
        <w:t>, neither the Company nor any of its Subsidiaries have used any Open Source Software in any manner that has created or will create a requirement that any Business IP be disclosed or distributed in source code form, licensed for the purpose of making derivative works or other modifications of the Business IP, or redistributable at no charge.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(i)</w:t>
      </w:r>
      <w:bookmarkStart w:id="2983" w:name="_Ref83652513"/>
      <w:bookmarkStart w:id="2984" w:name="_Ref507269479"/>
      <w:bookmarkStart w:id="2985" w:name="_Ref440767644"/>
      <w:bookmarkStart w:id="2986" w:name="_Toc235204838"/>
      <w:bookmarkEnd w:id="2983"/>
      <w:bookmarkEnd w:id="2984"/>
      <w:bookmarkEnd w:id="2985"/>
      <w:bookmarkEnd w:id="2986"/>
      <w:r>
        <w:rPr>
          <w:rFonts w:ascii="Times New Roman;Times;serif" w:hAnsi="Times New Roman;Times;serif"/>
          <w:sz w:val="24"/>
        </w:rPr>
        <w:t xml:space="preserve">The Company Systems are sufficient in all material respects for the needs of the Company and its Subsidiaries.  During the past three years, there have been no malfunctions, failures, breakdowns or continued substandard performance of any Company Systems which have caused a material disruption or interruption in or to the use of the Company Systems or the conduct or operation of the Business.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(j)</w:t>
      </w:r>
      <w:bookmarkStart w:id="2987" w:name="_Toc235204839"/>
      <w:bookmarkStart w:id="2988" w:name="_Ref83652514"/>
      <w:bookmarkEnd w:id="2987"/>
      <w:bookmarkEnd w:id="2988"/>
      <w:r>
        <w:rPr>
          <w:rFonts w:ascii="Times New Roman;Times;serif" w:hAnsi="Times New Roman;Times;serif"/>
          <w:sz w:val="24"/>
        </w:rPr>
        <w:t>The Company and its Subsidiaries have conducted commercially reasonable testing or audits regarding data privacy, data security, and organizational, administrative, physical, and technical safeguards, including with respect to Company Systems, at reasonable and appropriate intervals and have timely resolved or remediated any material issues or vulnerabilities identified.  Personal Information is Processed by and on behalf of the Company and its Subsidiaries in an encrypted manner.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(k)</w:t>
      </w:r>
      <w:bookmarkStart w:id="2989" w:name="_Ref83652515"/>
      <w:bookmarkStart w:id="2990" w:name="_Toc235204840"/>
      <w:bookmarkEnd w:id="2989"/>
      <w:bookmarkEnd w:id="2990"/>
      <w:r>
        <w:rPr>
          <w:rFonts w:ascii="Times New Roman;Times;serif" w:hAnsi="Times New Roman;Times;serif"/>
          <w:sz w:val="24"/>
        </w:rPr>
        <w:t xml:space="preserve">The Company and its Subsidiaries have established and are in compliance with an Information Security Program, and during the past three years there have been no material violations of said Information Security Program.  The Company has timely and reasonably remediated and addressed any material audit or security assessment findings during the past three years relating to Information Security Program.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3.12</w:t>
      </w:r>
      <w:bookmarkStart w:id="2991" w:name="_Toc235366503"/>
      <w:bookmarkStart w:id="2992" w:name="_Toc235204841"/>
      <w:bookmarkStart w:id="2993" w:name="_Toc235142686"/>
      <w:bookmarkStart w:id="2994" w:name="_Toc228481570"/>
      <w:bookmarkStart w:id="2995" w:name="_Ref83652516"/>
      <w:bookmarkEnd w:id="2991"/>
      <w:bookmarkEnd w:id="2992"/>
      <w:bookmarkEnd w:id="2993"/>
      <w:bookmarkEnd w:id="2994"/>
      <w:bookmarkEnd w:id="2995"/>
      <w:r>
        <w:rPr>
          <w:rFonts w:ascii="Times New Roman;Times;serif" w:hAnsi="Times New Roman;Times;serif"/>
          <w:sz w:val="24"/>
          <w:u w:val="single"/>
        </w:rPr>
        <w:t>Data Privacy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2996" w:name="_Ref507269482"/>
      <w:bookmarkStart w:id="2997" w:name="_Toc235204842"/>
      <w:bookmarkStart w:id="2998" w:name="_Ref83652518"/>
      <w:bookmarkEnd w:id="2996"/>
      <w:bookmarkEnd w:id="2997"/>
      <w:bookmarkEnd w:id="2998"/>
      <w:r>
        <w:rPr>
          <w:rFonts w:ascii="Times New Roman;Times;serif" w:hAnsi="Times New Roman;Times;serif"/>
          <w:sz w:val="24"/>
        </w:rPr>
        <w:t>The Company and its Subsidiaries are, and the conduct of the Business is, and at all times during the past three years have been, in compliance in all material respects with applicable Data Privacy and Security Requirements.  The Company or a Subsidiary, as applicable, has the right to Process all Data as currently Processed.  True and complete copies of all privacy policies that have been used by the Company and its Subsidiaries within the past three years have been made available to Buyer.  The transactions contemplated by this Agreement do not and will not violate or breach any Data Privacy and Security Requirements.</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2999" w:name="_Ref83652519"/>
      <w:bookmarkStart w:id="3000" w:name="_Toc235204843"/>
      <w:bookmarkEnd w:id="2999"/>
      <w:bookmarkEnd w:id="3000"/>
      <w:r>
        <w:rPr>
          <w:rFonts w:ascii="Times New Roman;Times;serif" w:hAnsi="Times New Roman;Times;serif"/>
          <w:sz w:val="24"/>
        </w:rPr>
        <w:t>During the past three years, there have been no Security Incidents with respect to any Company Systems, Company Owned IP, or Personal Information or other Data that is material to the business of the Company or any of its subsidiaries Processed by or on behalf of the Company or any of its Subsidiaries.  There is not, and during the past three years there has not been, any Claim pending or threatened in writing by or against the Company or any of its Subsidiaries with respect to any Personal Information, Data Privacy and Security Requirement, Security Incident, or Processing, or any indemnification in connection with any of the foregoing.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3001" w:name="_Toc235204844"/>
      <w:bookmarkStart w:id="3002" w:name="_Ref83652520"/>
      <w:bookmarkEnd w:id="3001"/>
      <w:bookmarkEnd w:id="3002"/>
      <w:r>
        <w:rPr>
          <w:rFonts w:ascii="Times New Roman;Times;serif" w:hAnsi="Times New Roman;Times;serif"/>
          <w:sz w:val="24"/>
        </w:rPr>
        <w:t>Neither the Company nor any of its Subsidiaries have, in the past three years, received any of the following: (i) written notice, request, correspondence, official notice (including an information notice, deregistration or enforcement notice), of investigation or other action under Privacy and Security Laws, or other communication or allegation from any data protection or privacy supervisory authority, alleging non-compliance with Privacy and Security Laws; or (ii) data protection enforcement action (including any fines or other sanctions) claim, complaint, correspondence or other written communication, action from or on behalf of a data subject or any other person alleging a breach or non-compliance with Privacy and Security Laws, or claiming a right to compensation under Privacy and Security Laws, including a claim for inaccuracy, loss or unauthorized disclosure by the Company and its Subsidiaries of Personal Information; or (iii) written claim, complaint, correspondence or other communication from a party to a third-party processing agreement, claiming that there has been any event which would constitute a default by the Company and its Subsidiaries of its contractual obligations under such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3003" w:name="_Ref83652521"/>
      <w:bookmarkStart w:id="3004" w:name="_Toc235204845"/>
      <w:bookmarkEnd w:id="3003"/>
      <w:bookmarkEnd w:id="3004"/>
      <w:r>
        <w:rPr>
          <w:rFonts w:ascii="Times New Roman;Times;serif" w:hAnsi="Times New Roman;Times;serif"/>
          <w:sz w:val="24"/>
        </w:rPr>
        <w:t>To the Knowledge of Seller, the Company and its Subsidiaries engage and have engaged in Processing (and cause third parties to engage in Processing) only with respect to such third party and customer Data as they are authorized to so engage (or to cause such engagement, as applicable) by Law and contract.  The Company has contractually obligated all third party service providers to appropriate contractual terms relating to the protection and use of Personal Information.  The Company has taken reasonable measures to ensure that third parties engaged in such Processing have complied with their contractual obligations in all material respects.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3005" w:name="_Toc235204846"/>
      <w:bookmarkStart w:id="3006" w:name="_Ref83652522"/>
      <w:bookmarkEnd w:id="3005"/>
      <w:bookmarkEnd w:id="3006"/>
      <w:r>
        <w:rPr>
          <w:rFonts w:ascii="Times New Roman;Times;serif" w:hAnsi="Times New Roman;Times;serif"/>
          <w:sz w:val="24"/>
        </w:rPr>
        <w:t>Neither the Company nor any of its Subsidiaries has received in writing any communication from any Person from whom it acquires, purchases, is provided, or engages in any other business relationship with respect to, any Data to the effect that, and neither the Company nor any of its Subsidiaries has any reason to believe that, any such Person will stop or decrease the rate of, or materially alter the terms of, the business it conducts with (or the Data it provides for) the Company or any such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3.13</w:t>
      </w:r>
      <w:bookmarkStart w:id="3007" w:name="_Toc235366504"/>
      <w:bookmarkStart w:id="3008" w:name="_Ref235350461"/>
      <w:bookmarkStart w:id="3009" w:name="_Toc235204847"/>
      <w:bookmarkStart w:id="3010" w:name="_Toc235142687"/>
      <w:bookmarkStart w:id="3011" w:name="_Toc228481571"/>
      <w:bookmarkStart w:id="3012" w:name="_Ref83652523"/>
      <w:bookmarkStart w:id="3013" w:name="_Toc892108"/>
      <w:bookmarkStart w:id="3014" w:name="_Ref507269730"/>
      <w:bookmarkStart w:id="3015" w:name="_Ref507269483"/>
      <w:bookmarkStart w:id="3016" w:name="_Toc465317293"/>
      <w:bookmarkStart w:id="3017" w:name="_Toc464684549"/>
      <w:bookmarkStart w:id="3018" w:name="_Toc464561858"/>
      <w:bookmarkStart w:id="3019" w:name="_Toc440773746"/>
      <w:bookmarkStart w:id="3020" w:name="_Ref440767646"/>
      <w:bookmarkStart w:id="3021" w:name="_Toc440766881"/>
      <w:bookmarkStart w:id="3022" w:name="_Toc440765293"/>
      <w:bookmarkStart w:id="3023" w:name="_Toc440764533"/>
      <w:bookmarkStart w:id="3024" w:name="_Toc440760973"/>
      <w:bookmarkStart w:id="3025" w:name="_Ref416487167"/>
      <w:bookmarkStart w:id="3026" w:name="_Ref416486600"/>
      <w:bookmarkStart w:id="3027" w:name="_Ref416482857"/>
      <w:bookmarkStart w:id="3028" w:name="_Toc416469700"/>
      <w:bookmarkStart w:id="3029" w:name="_Ref331576867"/>
      <w:bookmarkStart w:id="3030" w:name="_Ref137906221"/>
      <w:bookmarkStart w:id="3031" w:name="_Toc128463276"/>
      <w:bookmarkStart w:id="3032" w:name="_Ref127081670"/>
      <w:bookmarkStart w:id="3033" w:name="_Toc101210316"/>
      <w:bookmarkStart w:id="3034" w:name="_Ref23061839"/>
      <w:bookmarkStart w:id="3035" w:name="_Ref22720050"/>
      <w:bookmarkStart w:id="3036" w:name="_Toc518197948"/>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r>
        <w:rPr>
          <w:rFonts w:ascii="Times New Roman;Times;serif" w:hAnsi="Times New Roman;Times;serif"/>
          <w:sz w:val="24"/>
          <w:u w:val="single"/>
        </w:rPr>
        <w:t>Litigation</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037" w:name="_Toc235204848"/>
      <w:bookmarkEnd w:id="3037"/>
      <w:r>
        <w:rPr>
          <w:rFonts w:ascii="Times New Roman;Times;serif" w:hAnsi="Times New Roman;Times;serif"/>
          <w:sz w:val="24"/>
        </w:rPr>
        <w:t xml:space="preserve">There are no Claims pending or, to the Knowledge of Seller, threatened against or affecting Seller, the Company or any of its Subsidiaries (including the Excluded Entities) in which it is sought to restrain or prohibit </w:t>
      </w:r>
      <w:bookmarkStart w:id="3038" w:name="_cp_change_914"/>
      <w:bookmarkEnd w:id="3038"/>
      <w:r>
        <w:rPr>
          <w:rFonts w:ascii="Times New Roman;Times;serif" w:hAnsi="Times New Roman;Times;serif"/>
          <w:sz w:val="24"/>
        </w:rPr>
        <w:t>or to obtain damages or other relief in connection with the transactions contemplated by this Agreement and the other Transaction Documents.</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both"/>
        <w:rPr>
          <w:rFonts w:ascii="Times New Roman;Times;serif" w:hAnsi="Times New Roman;Times;serif"/>
          <w:sz w:val="24"/>
        </w:rPr>
      </w:pPr>
      <w:bookmarkStart w:id="3039" w:name="_Toc235204849"/>
      <w:bookmarkStart w:id="3040" w:name="_cp_change_n_916"/>
      <w:bookmarkEnd w:id="3039"/>
      <w:bookmarkEnd w:id="3040"/>
      <w:r>
        <w:rPr>
          <w:rFonts w:ascii="Times New Roman;Times;serif" w:hAnsi="Times New Roman;Times;serif"/>
          <w:sz w:val="24"/>
        </w:rPr>
        <w:t xml:space="preserve">(b) </w:t>
      </w:r>
      <w:bookmarkStart w:id="3041" w:name="_cp_change_918"/>
      <w:bookmarkEnd w:id="3041"/>
      <w:r>
        <w:rPr>
          <w:rFonts w:ascii="Times New Roman;Times;serif" w:hAnsi="Times New Roman;Times;serif"/>
          <w:sz w:val="24"/>
        </w:rPr>
        <w:t xml:space="preserve">Except as set forth on </w:t>
      </w:r>
      <w:r>
        <w:rPr>
          <w:rFonts w:ascii="Times New Roman;Times;serif" w:hAnsi="Times New Roman;Times;serif"/>
          <w:sz w:val="24"/>
          <w:u w:val="single"/>
        </w:rPr>
        <w:t>Schedule 3.13(b)</w:t>
      </w:r>
      <w:r>
        <w:rPr>
          <w:rFonts w:ascii="Times New Roman;Times;serif" w:hAnsi="Times New Roman;Times;serif"/>
          <w:sz w:val="24"/>
        </w:rPr>
        <w:t>, during the past three years, (x) there have been no material Claims (i) pending or, to the Knowledge of Seller, threatened against or affecting (A) the Business, the Company or any of its Subsidiaries, or (B) the Excluded Business or any of the Excluded Entities or, in each case, their respective assets, properties or rights or against any of their respective directors, managers, officers or employees (in each case, in their capacity as such) or (ii) initiated or threatened by or on behalf of the Company or any of its Subsidiaries, and (y) there have been no outstanding Orders to which the Company or any of its Subsidiaries is a party or to which the Company or any of its Subsidiaries or their respective assets or properties is bound.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3.14</w:t>
      </w:r>
      <w:bookmarkStart w:id="3042" w:name="_Toc235366505"/>
      <w:bookmarkStart w:id="3043" w:name="_Toc235204850"/>
      <w:bookmarkStart w:id="3044" w:name="_Toc235142688"/>
      <w:bookmarkStart w:id="3045" w:name="_Ref231390014"/>
      <w:bookmarkStart w:id="3046" w:name="_Toc228481572"/>
      <w:bookmarkStart w:id="3047" w:name="_Ref228289448"/>
      <w:bookmarkStart w:id="3048" w:name="_Ref226590294"/>
      <w:bookmarkStart w:id="3049" w:name="_Ref225157358"/>
      <w:bookmarkStart w:id="3050" w:name="_Ref83652524"/>
      <w:bookmarkStart w:id="3051" w:name="_Toc892109"/>
      <w:bookmarkStart w:id="3052" w:name="_Ref465874832"/>
      <w:bookmarkStart w:id="3053" w:name="_Ref465874825"/>
      <w:bookmarkStart w:id="3054" w:name="_Ref507269731"/>
      <w:bookmarkStart w:id="3055" w:name="_Ref507269484"/>
      <w:bookmarkStart w:id="3056" w:name="_Toc465317294"/>
      <w:bookmarkStart w:id="3057" w:name="_Toc464684550"/>
      <w:bookmarkStart w:id="3058" w:name="_Toc464561859"/>
      <w:bookmarkStart w:id="3059" w:name="_Toc440773747"/>
      <w:bookmarkStart w:id="3060" w:name="_Ref440767647"/>
      <w:bookmarkStart w:id="3061" w:name="_Toc440766882"/>
      <w:bookmarkStart w:id="3062" w:name="_Toc440765294"/>
      <w:bookmarkStart w:id="3063" w:name="_Toc440764534"/>
      <w:bookmarkStart w:id="3064" w:name="_Toc440760974"/>
      <w:bookmarkStart w:id="3065" w:name="_Ref416482860"/>
      <w:bookmarkStart w:id="3066" w:name="_Toc416469703"/>
      <w:bookmarkStart w:id="3067" w:name="_Toc128463279"/>
      <w:bookmarkStart w:id="3068" w:name="_Ref126749218"/>
      <w:bookmarkStart w:id="3069" w:name="_Ref126413422"/>
      <w:bookmarkStart w:id="3070" w:name="_Ref126413394"/>
      <w:bookmarkStart w:id="3071" w:name="_Ref126413349"/>
      <w:bookmarkStart w:id="3072" w:name="_Ref126413303"/>
      <w:bookmarkStart w:id="3073" w:name="_Ref107456130"/>
      <w:bookmarkStart w:id="3074" w:name="_Toc101210319"/>
      <w:bookmarkStart w:id="3075" w:name="_Ref75812365"/>
      <w:bookmarkStart w:id="3076" w:name="_Ref23061851"/>
      <w:bookmarkStart w:id="3077" w:name="_Ref22720276"/>
      <w:bookmarkStart w:id="3078" w:name="_Ref22720234"/>
      <w:bookmarkStart w:id="3079" w:name="_Toc51819795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r>
        <w:rPr>
          <w:rFonts w:ascii="Times New Roman;Times;serif" w:hAnsi="Times New Roman;Times;serif"/>
          <w:sz w:val="24"/>
          <w:u w:val="single"/>
        </w:rPr>
        <w:t>Labor Matters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080" w:name="_Toc101210320"/>
      <w:bookmarkStart w:id="3081" w:name="_Ref22721695"/>
      <w:bookmarkStart w:id="3082" w:name="_Ref22720364"/>
      <w:bookmarkStart w:id="3083" w:name="_Ref22720346"/>
      <w:bookmarkStart w:id="3084" w:name="_Toc518197952"/>
      <w:bookmarkStart w:id="3085" w:name="_Ref440767648"/>
      <w:bookmarkStart w:id="3086" w:name="_Ref137837018"/>
      <w:bookmarkStart w:id="3087" w:name="_Ref83732005"/>
      <w:bookmarkStart w:id="3088" w:name="_Ref83652526"/>
      <w:bookmarkStart w:id="3089" w:name="_Toc235204851"/>
      <w:bookmarkStart w:id="3090" w:name="_Ref126749936"/>
      <w:bookmarkStart w:id="3091" w:name="_Ref83652525"/>
      <w:bookmarkStart w:id="3092" w:name="_DV_M469"/>
      <w:bookmarkStart w:id="3093" w:name="_DV_M467"/>
      <w:bookmarkStart w:id="3094" w:name="_DV_M464"/>
      <w:bookmarkStart w:id="3095" w:name="_DV_M450"/>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r>
        <w:rPr>
          <w:rFonts w:ascii="Times New Roman;Times;serif" w:hAnsi="Times New Roman;Times;serif"/>
          <w:sz w:val="24"/>
          <w:u w:val="single"/>
        </w:rPr>
        <w:t>Schedule </w:t>
      </w:r>
      <w:bookmarkStart w:id="3096" w:name="_Ref21751546"/>
      <w:bookmarkEnd w:id="3096"/>
      <w:r>
        <w:rPr>
          <w:rFonts w:ascii="Times New Roman;Times;serif" w:hAnsi="Times New Roman;Times;serif"/>
          <w:sz w:val="24"/>
          <w:u w:val="single"/>
        </w:rPr>
        <w:t>3.14(a)</w:t>
      </w:r>
      <w:r>
        <w:rPr>
          <w:rFonts w:ascii="Times New Roman;Times;serif" w:hAnsi="Times New Roman;Times;serif"/>
          <w:sz w:val="24"/>
        </w:rPr>
        <w:t xml:space="preserve"> includes an accurate and complete list as of the date hereof of all employees of the Company and its Subsidiaries, including for each such employee: (i) name, (ii) job title, (iii) employing entity, (iv) Fair Labor Standards Act designation, (v) work location (identified by street address or, for store-level employees, store name or number), (vi) base salary or hourly wage rate, (vii) bonus or other incentives paid for the most recently completed fiscal year or other bonus period, (viii) material fringe benefits (other than employee benefits applicable to employees generally, which benefits are set forth on </w:t>
      </w:r>
      <w:r>
        <w:rPr>
          <w:rFonts w:ascii="Times New Roman;Times;serif" w:hAnsi="Times New Roman;Times;serif"/>
          <w:sz w:val="24"/>
          <w:u w:val="single"/>
        </w:rPr>
        <w:t>Schedule 3.15(a))</w:t>
      </w:r>
      <w:r>
        <w:rPr>
          <w:rFonts w:ascii="Times New Roman;Times;serif" w:hAnsi="Times New Roman;Times;serif"/>
          <w:sz w:val="24"/>
        </w:rPr>
        <w:t xml:space="preserve">, (ix) with respect to non-store level employees, a target bonus or other incentive opportunity for the current fiscal year or other bonus period, and (x) with respect to store level employees, the bonus or incentive compensation plan set forth on </w:t>
      </w:r>
      <w:r>
        <w:rPr>
          <w:rFonts w:ascii="Times New Roman;Times;serif" w:hAnsi="Times New Roman;Times;serif"/>
          <w:sz w:val="24"/>
          <w:u w:val="single"/>
        </w:rPr>
        <w:t>Schedule 3.15(a)</w:t>
      </w:r>
      <w:r>
        <w:rPr>
          <w:rFonts w:ascii="Times New Roman;Times;serif" w:hAnsi="Times New Roman;Times;serif"/>
          <w:sz w:val="24"/>
        </w:rPr>
        <w:t xml:space="preserve"> in which such employee is eligible to participate.  For each individual independent contractor or other non-</w:t>
      </w:r>
      <w:bookmarkStart w:id="3097" w:name="_9kMH1I6ZWu57AGLKSI000E5m1"/>
      <w:bookmarkEnd w:id="3097"/>
      <w:r>
        <w:rPr>
          <w:rFonts w:ascii="Times New Roman;Times;serif" w:hAnsi="Times New Roman;Times;serif"/>
          <w:sz w:val="24"/>
        </w:rPr>
        <w:t xml:space="preserve">employee service provider, </w:t>
      </w:r>
      <w:r>
        <w:rPr>
          <w:rFonts w:ascii="Times New Roman;Times;serif" w:hAnsi="Times New Roman;Times;serif"/>
          <w:sz w:val="24"/>
          <w:u w:val="single"/>
        </w:rPr>
        <w:t>Schedule 3.14(a)</w:t>
      </w:r>
      <w:r>
        <w:rPr>
          <w:rFonts w:ascii="Times New Roman;Times;serif" w:hAnsi="Times New Roman;Times;serif"/>
          <w:sz w:val="24"/>
        </w:rPr>
        <w:t xml:space="preserve"> lists the following information: name, work location, start date, department, and fees.  The Company and each of its Subsidiaries have, in all material respects, correctly classified those individuals performing services for the Company or any of its Subsidiaries as common law employees, leased employees, exempt or non-exempt employees, independent contractors or agents of the Company or any of its Subsidiaries, and the Company and its Subsidiaries have no Liability for improper classification of any such individual, including for unpaid overtime or by reason of an individual who performs or performed services for the Company or any of its Subsidiaries in any capacity being improperly excluded from participating in an Employee Benefit Plan.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098" w:name="_Toc235204852"/>
      <w:bookmarkEnd w:id="3098"/>
      <w:r>
        <w:rPr>
          <w:rFonts w:ascii="Times New Roman;Times;serif" w:hAnsi="Times New Roman;Times;serif"/>
          <w:sz w:val="24"/>
        </w:rPr>
        <w:t xml:space="preserve">Except as set forth on </w:t>
      </w:r>
      <w:r>
        <w:rPr>
          <w:rFonts w:ascii="Times New Roman;Times;serif" w:hAnsi="Times New Roman;Times;serif"/>
          <w:sz w:val="24"/>
          <w:u w:val="single"/>
        </w:rPr>
        <w:t>Schedule 3.14(b)</w:t>
      </w:r>
      <w:r>
        <w:rPr>
          <w:rFonts w:ascii="Times New Roman;Times;serif" w:hAnsi="Times New Roman;Times;serif"/>
          <w:sz w:val="24"/>
        </w:rPr>
        <w:t>, neither the Company nor any of its Subsidiaries has made any binding commitment to any directors, officers, employees or former employees or contractors with respect to compensation, benefits, promotion, retention, termination, severance, policies, change in control, other terms and conditions of employment or similar matters in connection with the transactions contemplated by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3099" w:name="_Ref465251350"/>
      <w:bookmarkStart w:id="3100" w:name="_Toc235204853"/>
      <w:bookmarkEnd w:id="3099"/>
      <w:bookmarkEnd w:id="3100"/>
      <w:r>
        <w:rPr>
          <w:rFonts w:ascii="Times New Roman;Times;serif" w:hAnsi="Times New Roman;Times;serif"/>
          <w:sz w:val="24"/>
        </w:rPr>
        <w:t xml:space="preserve">Neither the Company nor any of its Subsidiaries is a party to or otherwise bound by any collective bargaining agreement or similar Contract between one or more employees and a labor union, works council, trade union or other employee representative organization.  During the past three years, neither the Company nor any of its Subsidiaries: </w:t>
      </w:r>
      <w:bookmarkStart w:id="3101" w:name="DocXTextRef200"/>
      <w:bookmarkEnd w:id="3101"/>
      <w:r>
        <w:rPr>
          <w:rFonts w:ascii="Times New Roman;Times;serif" w:hAnsi="Times New Roman;Times;serif"/>
          <w:sz w:val="24"/>
        </w:rPr>
        <w:t>(i) has</w:t>
      </w:r>
      <w:bookmarkStart w:id="3102" w:name="_DV_M455"/>
      <w:bookmarkEnd w:id="3102"/>
      <w:r>
        <w:rPr>
          <w:rFonts w:ascii="Times New Roman;Times;serif" w:hAnsi="Times New Roman;Times;serif"/>
          <w:sz w:val="24"/>
        </w:rPr>
        <w:t xml:space="preserve"> experienced any strikes, work stoppages, walkouts or other labor disputes and no such dispute is pending or, to the Knowledge of Seller, threatened; (ii) has committed any unfair labor practice; (iii) to the Knowledge of Seller, has experienced any union organizational or decertification activities and no such activities are currently underway or threatened by, on behalf of or against any labor union, works council, trade union or other employee representative organization with respect to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employees of </w:t>
      </w:r>
      <w:bookmarkStart w:id="3103" w:name="_Ref83732040"/>
      <w:bookmarkStart w:id="3104" w:name="_DV_M461"/>
      <w:bookmarkEnd w:id="3103"/>
      <w:bookmarkEnd w:id="3104"/>
      <w:r>
        <w:rPr>
          <w:rFonts w:ascii="Times New Roman;Times;serif" w:hAnsi="Times New Roman;Times;serif"/>
          <w:sz w:val="24"/>
        </w:rPr>
        <w:t>the Company; or (iv) has implemented any plant closing or layoff of employees that could implicate the Worker Adjustment and Retraining Notification Act of 1988, as amended, or any similar foreign, state, provincial or local plant closing or mass layoff Law (collectively, the “</w:t>
      </w:r>
      <w:r>
        <w:rPr>
          <w:rFonts w:ascii="Times New Roman;Times;serif" w:hAnsi="Times New Roman;Times;serif"/>
          <w:sz w:val="24"/>
          <w:u w:val="single"/>
        </w:rPr>
        <w:t>WARN Act</w:t>
      </w:r>
      <w:r>
        <w:rPr>
          <w:rFonts w:ascii="Times New Roman;Times;serif" w:hAnsi="Times New Roman;Times;serif"/>
          <w:sz w:val="24"/>
        </w:rPr>
        <w:t>”).  There are no Claims pending or, to the Knowledge of Seller, threatened, before any Government Entity between the Company or any of its Subsidiaries on the one hand, and (i) any of their current or former employees, consultants, leased employees, temporary employees, independent contractors or any other individual who provides (or formerly provided) personal services to the Company or any of its Subsidiaries, including any Claims in relation to the engagement of any such individual, or (ii) any person seeking employment with the Company or any of its Subsidiaries, on the other.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3105" w:name="_Toc235204854"/>
      <w:bookmarkStart w:id="3106" w:name="_Ref83652527"/>
      <w:bookmarkEnd w:id="3105"/>
      <w:bookmarkEnd w:id="3106"/>
      <w:r>
        <w:rPr>
          <w:rFonts w:ascii="Times New Roman;Times;serif" w:hAnsi="Times New Roman;Times;serif"/>
          <w:sz w:val="24"/>
        </w:rPr>
        <w:t xml:space="preserve">The Company and its Subsidiaries are, and during the past three years, have been in compliance in all material respects with applicable Laws and Orders relating to labor and employment matters, including those relating to wages, hours, equal opportunity, fair labor standards, nondiscrimination, anti-harassment, workers compensation, collective bargaining, workplace safety, immigration (including with respect to Forms I-9), disability accommodation, protected paid or unpaid leave, administrative/reporting obligations, registrations, redundancies and workforce reductions, employee and worker classification, and the payment and withholding of social security and other payroll Taxes.  To the Knowledge of Seller, all employees of the Company and its Subsidiaries are authorized to work in the jurisdiction(s) in which they provide services on behalf of the Company and its Subsidiaries.  In all material respects, the Company and its Subsidiaries have completed a </w:t>
      </w:r>
      <w:bookmarkStart w:id="3107" w:name="_9kR3WTr2678DEPI10"/>
      <w:bookmarkEnd w:id="3107"/>
      <w:r>
        <w:rPr>
          <w:rFonts w:ascii="Times New Roman;Times;serif" w:hAnsi="Times New Roman;Times;serif"/>
          <w:sz w:val="24"/>
        </w:rPr>
        <w:t xml:space="preserve">Form I-9 (Employment Eligibility Verification) for each </w:t>
      </w:r>
      <w:bookmarkStart w:id="3108" w:name="_9kMI3J6ZWu578GGAPI000E5m1"/>
      <w:bookmarkEnd w:id="3108"/>
      <w:r>
        <w:rPr>
          <w:rFonts w:ascii="Times New Roman;Times;serif" w:hAnsi="Times New Roman;Times;serif"/>
          <w:sz w:val="24"/>
        </w:rPr>
        <w:t xml:space="preserve">employee of the Company or any of its Subsidiaries, and each such </w:t>
      </w:r>
      <w:bookmarkStart w:id="3109" w:name="_9kMHG5YVt489AFGRK32"/>
      <w:bookmarkEnd w:id="3109"/>
      <w:r>
        <w:rPr>
          <w:rFonts w:ascii="Times New Roman;Times;serif" w:hAnsi="Times New Roman;Times;serif"/>
          <w:sz w:val="24"/>
        </w:rPr>
        <w:t xml:space="preserve">Form I-9 for current employees and former employees who had been hired in the past three years or terminated in the past one year has since been updated as required by applicable Law and, to the Knowledge of Seller, is true, complete and correct and has been made available to Buyer.  To the Knowledge of Seller, no investigation by any Government Entity of the employment policies or practices of the Company is pending or threatened, nor has the Company or its Subsidiaries received any notice from any Government Entity indicating an intention to conduct the same in the future.  No </w:t>
      </w:r>
      <w:bookmarkStart w:id="3110" w:name="_9kMI4K6ZWu578GGAPI000E5m1"/>
      <w:bookmarkEnd w:id="3110"/>
      <w:r>
        <w:rPr>
          <w:rFonts w:ascii="Times New Roman;Times;serif" w:hAnsi="Times New Roman;Times;serif"/>
          <w:sz w:val="24"/>
        </w:rPr>
        <w:t>employee of the Company or its Subsidiaries has a principal place of employment outside the United States or, to the Knowledge of Seller, is subject to the labor and employment Laws of any country other than the United States.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3111" w:name="_Hlk225968243"/>
      <w:bookmarkStart w:id="3112" w:name="_Toc235204855"/>
      <w:bookmarkStart w:id="3113" w:name="_Ref228289450"/>
      <w:bookmarkStart w:id="3114" w:name="_Ref83652528"/>
      <w:bookmarkEnd w:id="3111"/>
      <w:bookmarkEnd w:id="3112"/>
      <w:bookmarkEnd w:id="3113"/>
      <w:bookmarkEnd w:id="3114"/>
      <w:r>
        <w:rPr>
          <w:rFonts w:ascii="Times New Roman;Times;serif" w:hAnsi="Times New Roman;Times;serif"/>
          <w:sz w:val="24"/>
        </w:rPr>
        <w:t>Each of the Company and its Subsidiaries has properly paid all wages, salaries, wage premiums, bonuses, commissions, fees and other compensation due and payable to its current and former employees and contractors pursuant to applicable Law, Contract or policy (to the extent required to have been paid).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3115" w:name="_Ref231390009"/>
      <w:bookmarkStart w:id="3116" w:name="_Toc235204856"/>
      <w:bookmarkStart w:id="3117" w:name="_Ref83652530"/>
      <w:bookmarkEnd w:id="3115"/>
      <w:bookmarkEnd w:id="3116"/>
      <w:bookmarkEnd w:id="3117"/>
      <w:r>
        <w:rPr>
          <w:rFonts w:ascii="Times New Roman;Times;serif" w:hAnsi="Times New Roman;Times;serif"/>
          <w:sz w:val="24"/>
        </w:rPr>
        <w:t xml:space="preserve">During the past three years, </w:t>
      </w:r>
      <w:bookmarkStart w:id="3118" w:name="DocXTextRef203"/>
      <w:bookmarkEnd w:id="3118"/>
      <w:r>
        <w:rPr>
          <w:rFonts w:ascii="Times New Roman;Times;serif" w:hAnsi="Times New Roman;Times;serif"/>
          <w:sz w:val="24"/>
        </w:rPr>
        <w:t>(i) there have not been any allegations made to or filed with the Company related to Prohibited Behavior, in each case by or against any current or former director or officer of the Company or any of its Subsidiaries, other than any allegations which were reviewed in accordance with Company policy determined by the Company to not have merit, (ii) neither the Company nor any of its Subsidiaries have entered into any settlement agreement related to any Prohibited Behavior by any current or former director, officer, or supervisory level employee of the Company or any of its Subsidiaries, and (iii) no currently-employed supervisory employee of the Company or any of its Subsidiaries has been subject to disciplinary action for Prohibited Behavior.</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3119" w:name="_Toc235204857"/>
      <w:bookmarkEnd w:id="3119"/>
      <w:r>
        <w:rPr>
          <w:rFonts w:ascii="Times New Roman;Times;serif" w:hAnsi="Times New Roman;Times;serif"/>
          <w:sz w:val="24"/>
          <w:u w:val="single"/>
        </w:rPr>
        <w:t>Exhibit H</w:t>
      </w:r>
      <w:r>
        <w:rPr>
          <w:rFonts w:ascii="Times New Roman;Times;serif" w:hAnsi="Times New Roman;Times;serif"/>
          <w:sz w:val="24"/>
        </w:rPr>
        <w:t xml:space="preserve"> includes an accurate and complete list as of the date hereof of all Persons employed by the Company or its Subsidiaries whose primary responsibilities consist of providing administrative, managerial, finance, legal, HR, IT, or other corporate functions or support services, or whose principal place of employment is one of the Company’s corporate headquarters.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3.15</w:t>
      </w:r>
      <w:bookmarkStart w:id="3120" w:name="_Toc128463280"/>
      <w:bookmarkStart w:id="3121" w:name="_Ref127085699"/>
      <w:bookmarkStart w:id="3122" w:name="_Ref127084626"/>
      <w:bookmarkStart w:id="3123" w:name="_Ref127084414"/>
      <w:bookmarkStart w:id="3124" w:name="_Toc235366506"/>
      <w:bookmarkStart w:id="3125" w:name="_Toc235204858"/>
      <w:bookmarkStart w:id="3126" w:name="_Toc235142689"/>
      <w:bookmarkStart w:id="3127" w:name="_Toc228481573"/>
      <w:bookmarkStart w:id="3128" w:name="_Ref228381242"/>
      <w:bookmarkStart w:id="3129" w:name="_Ref225901327"/>
      <w:bookmarkStart w:id="3130" w:name="_Ref7367258"/>
      <w:bookmarkStart w:id="3131" w:name="_Ref83652531"/>
      <w:bookmarkStart w:id="3132" w:name="_Toc892110"/>
      <w:bookmarkStart w:id="3133" w:name="_Ref507269732"/>
      <w:bookmarkStart w:id="3134" w:name="_Ref507269487"/>
      <w:bookmarkStart w:id="3135" w:name="_Toc465317295"/>
      <w:bookmarkStart w:id="3136" w:name="_Toc464684551"/>
      <w:bookmarkStart w:id="3137" w:name="_Toc464561860"/>
      <w:bookmarkStart w:id="3138" w:name="_Ref464552583"/>
      <w:bookmarkStart w:id="3139" w:name="_Ref464552436"/>
      <w:bookmarkStart w:id="3140" w:name="_Toc440773748"/>
      <w:bookmarkStart w:id="3141" w:name="_Ref440767649"/>
      <w:bookmarkStart w:id="3142" w:name="_Toc440766883"/>
      <w:bookmarkStart w:id="3143" w:name="_Toc440765295"/>
      <w:bookmarkStart w:id="3144" w:name="_Toc440764535"/>
      <w:bookmarkStart w:id="3145" w:name="_Toc440760975"/>
      <w:bookmarkStart w:id="3146" w:name="_Ref418023122"/>
      <w:bookmarkStart w:id="3147" w:name="_Ref418022017"/>
      <w:bookmarkStart w:id="3148" w:name="_Ref418021923"/>
      <w:bookmarkStart w:id="3149" w:name="_Ref416482861"/>
      <w:bookmarkStart w:id="3150" w:name="_Toc416469704"/>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r>
        <w:rPr>
          <w:rFonts w:ascii="Times New Roman;Times;serif" w:hAnsi="Times New Roman;Times;serif"/>
          <w:sz w:val="24"/>
          <w:u w:val="single"/>
        </w:rPr>
        <w:t>Employee Benefits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151" w:name="_Toc235204859"/>
      <w:bookmarkStart w:id="3152" w:name="_Ref433251116"/>
      <w:bookmarkEnd w:id="3151"/>
      <w:bookmarkEnd w:id="3152"/>
      <w:r>
        <w:rPr>
          <w:rFonts w:ascii="Times New Roman;Times;serif" w:hAnsi="Times New Roman;Times;serif"/>
          <w:sz w:val="24"/>
          <w:u w:val="single"/>
        </w:rPr>
        <w:t>Schedule 3.15(a)</w:t>
      </w:r>
      <w:r>
        <w:rPr>
          <w:rFonts w:ascii="Times New Roman;Times;serif" w:hAnsi="Times New Roman;Times;serif"/>
          <w:sz w:val="24"/>
        </w:rPr>
        <w:t xml:space="preserve"> sets forth a true, complete and correct list of each “</w:t>
      </w:r>
      <w:bookmarkStart w:id="3153" w:name="dtDNI39"/>
      <w:bookmarkEnd w:id="3153"/>
      <w:r>
        <w:rPr>
          <w:rFonts w:ascii="Times New Roman;Times;serif" w:hAnsi="Times New Roman;Times;serif"/>
          <w:sz w:val="24"/>
        </w:rPr>
        <w:t xml:space="preserve">employee benefit plan” (as such term is defined in Section 3(3) of ERISA, whether or not subject to ERISA), medical, dental, life insurance, equity or equity-based compensation, stock option, stock purchase, employee stock ownership, bonus or other incentive compensation, employment, consulting, profit sharing, disability, fringe benefit, salary continuation, severance, termination, indemnity, change in control, retention, retirement, pension, deferred compensation, vacation, sick pay or paid time off plan, program, arrangement or policy, and each other material benefit or compensation plan, policy, agreement (including employment and individual consulting agreements), program or arrangement, whether oral or written, funded or unfunded, terminated or ongoing, </w:t>
      </w:r>
      <w:bookmarkStart w:id="3154" w:name="DocXTextRef208"/>
      <w:bookmarkEnd w:id="3154"/>
      <w:r>
        <w:rPr>
          <w:rFonts w:ascii="Times New Roman;Times;serif" w:hAnsi="Times New Roman;Times;serif"/>
          <w:sz w:val="24"/>
        </w:rPr>
        <w:t xml:space="preserve">(A) that the Company or any of its Subsidiaries maintains, sponsors, contributes to or is required to contribute to, for the benefit of any current or former employee, officer, director or individual service provider of the Company or any of its Subsidiaries, (B) that an ERISA Affiliate of the Company maintains or sponsors for the benefit of any current or former employee, officer, director or individual service provider of the Company or any of its Subsidiaries or </w:t>
      </w:r>
      <w:bookmarkStart w:id="3155" w:name="DocXTextRef210"/>
      <w:bookmarkEnd w:id="3155"/>
      <w:r>
        <w:rPr>
          <w:rFonts w:ascii="Times New Roman;Times;serif" w:hAnsi="Times New Roman;Times;serif"/>
          <w:sz w:val="24"/>
        </w:rPr>
        <w:t>(C) under or with respect to which the Company or any of its Subsidiaries has any current or potential Liability (each, an “</w:t>
      </w:r>
      <w:r>
        <w:rPr>
          <w:rFonts w:ascii="Times New Roman;Times;serif" w:hAnsi="Times New Roman;Times;serif"/>
          <w:sz w:val="24"/>
          <w:u w:val="single"/>
        </w:rPr>
        <w:t>Employee Benefit Plan</w:t>
      </w:r>
      <w:r>
        <w:rPr>
          <w:rFonts w:ascii="Times New Roman;Times;serif" w:hAnsi="Times New Roman;Times;serif"/>
          <w:sz w:val="24"/>
        </w:rPr>
        <w:t>” and collectively, the “</w:t>
      </w:r>
      <w:r>
        <w:rPr>
          <w:rFonts w:ascii="Times New Roman;Times;serif" w:hAnsi="Times New Roman;Times;serif"/>
          <w:sz w:val="24"/>
          <w:u w:val="single"/>
        </w:rPr>
        <w:t>Employee Benefit Plans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156" w:name="_Toc235204860"/>
      <w:bookmarkStart w:id="3157" w:name="_Ref440767650"/>
      <w:bookmarkStart w:id="3158" w:name="_Ref416482862"/>
      <w:bookmarkEnd w:id="3156"/>
      <w:bookmarkEnd w:id="3157"/>
      <w:bookmarkEnd w:id="3158"/>
      <w:r>
        <w:rPr>
          <w:rFonts w:ascii="Times New Roman;Times;serif" w:hAnsi="Times New Roman;Times;serif"/>
          <w:sz w:val="24"/>
        </w:rPr>
        <w:t xml:space="preserve">With respect to each Employee Benefit Plan, Seller has provided true, complete and correct copies of, as applicable: </w:t>
      </w:r>
      <w:bookmarkStart w:id="3159" w:name="DocXTextRef213"/>
      <w:bookmarkEnd w:id="3159"/>
      <w:r>
        <w:rPr>
          <w:rFonts w:ascii="Times New Roman;Times;serif" w:hAnsi="Times New Roman;Times;serif"/>
          <w:sz w:val="24"/>
        </w:rPr>
        <w:t>(i) the governing plan and trust documents, with all amendments thereto (or for each Employee Benefit Plan that is not written, a description thereof); (ii) the most recent summary plan description and all related summaries of material modifications; (iii) the most recent determination or opinion letter received from the IRS; (iv) the three most recent annual reports (</w:t>
      </w:r>
      <w:bookmarkStart w:id="3160" w:name="_9kR3WTr266AECPI10FMIE7zz4s3"/>
      <w:bookmarkEnd w:id="3160"/>
      <w:r>
        <w:rPr>
          <w:rFonts w:ascii="Times New Roman;Times;serif" w:hAnsi="Times New Roman;Times;serif"/>
          <w:sz w:val="24"/>
        </w:rPr>
        <w:t xml:space="preserve">Form 5500-series, with all applicable </w:t>
      </w:r>
      <w:bookmarkStart w:id="3161" w:name="DocXTextRef211"/>
      <w:bookmarkEnd w:id="3161"/>
      <w:r>
        <w:rPr>
          <w:rFonts w:ascii="Times New Roman;Times;serif" w:hAnsi="Times New Roman;Times;serif"/>
          <w:sz w:val="24"/>
        </w:rPr>
        <w:t xml:space="preserve">schedules and attachments); </w:t>
      </w:r>
      <w:bookmarkStart w:id="3162" w:name="DocXTextRef214"/>
      <w:bookmarkEnd w:id="3162"/>
      <w:r>
        <w:rPr>
          <w:rFonts w:ascii="Times New Roman;Times;serif" w:hAnsi="Times New Roman;Times;serif"/>
          <w:sz w:val="24"/>
        </w:rPr>
        <w:t xml:space="preserve">(v) all related insurance Contracts, other funding arrangements and administrative services agreements; and (vi) all material or non-routine notices or correspondence from or with any Government Entity during the past three years.  Except as set forth on </w:t>
      </w:r>
      <w:r>
        <w:rPr>
          <w:rFonts w:ascii="Times New Roman;Times;serif" w:hAnsi="Times New Roman;Times;serif"/>
          <w:sz w:val="24"/>
          <w:u w:val="single"/>
        </w:rPr>
        <w:t>Schedule 3.15(b)</w:t>
      </w:r>
      <w:r>
        <w:rPr>
          <w:rFonts w:ascii="Times New Roman;Times;serif" w:hAnsi="Times New Roman;Times;serif"/>
          <w:sz w:val="24"/>
        </w:rPr>
        <w:t>, no Employee Benefit Plan that is sponsored or maintained by the Company or any of its Subsidiaries covers employees or individual service providers of any Person other than the Company and its Subsidiaries.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3163" w:name="_Toc235204861"/>
      <w:bookmarkStart w:id="3164" w:name="_Ref4203026"/>
      <w:bookmarkStart w:id="3165" w:name="_Ref127085717"/>
      <w:bookmarkEnd w:id="3163"/>
      <w:bookmarkEnd w:id="3164"/>
      <w:bookmarkEnd w:id="3165"/>
      <w:r>
        <w:rPr>
          <w:rFonts w:ascii="Times New Roman;Times;serif" w:hAnsi="Times New Roman;Times;serif"/>
          <w:sz w:val="24"/>
        </w:rPr>
        <w:t>Each Employee Benefit Plan (and each related trust, insurance Contract or fund) has been established, maintained, funded and administered, in all material respects, in accordance with its terms (and the terms of any applicable collective bargaining agreement, if applicable) and in compliance with all applicable requirements of ERISA, the Code and other applicable Laws.  The Company and each of its Subsidiaries have complied and are in all material respects in compliance with the requirements of Part </w:t>
      </w:r>
      <w:bookmarkStart w:id="3166" w:name="DocXTextRef215"/>
      <w:bookmarkEnd w:id="3166"/>
      <w:r>
        <w:rPr>
          <w:rFonts w:ascii="Times New Roman;Times;serif" w:hAnsi="Times New Roman;Times;serif"/>
          <w:sz w:val="24"/>
        </w:rPr>
        <w:t>6 of Subtitle B of Title I of ERISA, Section 4980B of the Code, and any similar state Laws (“</w:t>
      </w:r>
      <w:r>
        <w:rPr>
          <w:rFonts w:ascii="Times New Roman;Times;serif" w:hAnsi="Times New Roman;Times;serif"/>
          <w:sz w:val="24"/>
          <w:u w:val="single"/>
        </w:rPr>
        <w:t>COBRA</w:t>
      </w:r>
      <w:r>
        <w:rPr>
          <w:rFonts w:ascii="Times New Roman;Times;serif" w:hAnsi="Times New Roman;Times;serif"/>
          <w:sz w:val="24"/>
        </w:rPr>
        <w:t>”) and the Patient Protection and Affordable Care Act and the Health Care and Education Reconciliation Act of 2010, as amended, and any guidance issued thereunder (“</w:t>
      </w:r>
      <w:r>
        <w:rPr>
          <w:rFonts w:ascii="Times New Roman;Times;serif" w:hAnsi="Times New Roman;Times;serif"/>
          <w:sz w:val="24"/>
          <w:u w:val="single"/>
        </w:rPr>
        <w:t>PPACA</w:t>
      </w:r>
      <w:r>
        <w:rPr>
          <w:rFonts w:ascii="Times New Roman;Times;serif" w:hAnsi="Times New Roman;Times;serif"/>
          <w:sz w:val="24"/>
        </w:rPr>
        <w:t xml:space="preserve">”).  Neither the Company nor any of its Subsidiaries has incurred (whether or not assessed), or is reasonably expected to incur or to be subject to, any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Tax, penalty or other liability under PPACA (including with respect to the reporting requirements under Sections 6055 and </w:t>
      </w:r>
      <w:bookmarkStart w:id="3167" w:name="DocXTextRef217"/>
      <w:bookmarkEnd w:id="3167"/>
      <w:r>
        <w:rPr>
          <w:rFonts w:ascii="Times New Roman;Times;serif" w:hAnsi="Times New Roman;Times;serif"/>
          <w:sz w:val="24"/>
        </w:rPr>
        <w:t>6056 of the Code, as applicable) or under Section 4980B, 4980D or 4980H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3168" w:name="_Toc235204862"/>
      <w:bookmarkStart w:id="3169" w:name="_Ref416482863"/>
      <w:bookmarkEnd w:id="3168"/>
      <w:bookmarkEnd w:id="3169"/>
      <w:r>
        <w:rPr>
          <w:rFonts w:ascii="Times New Roman;Times;serif" w:hAnsi="Times New Roman;Times;serif"/>
          <w:sz w:val="24"/>
        </w:rPr>
        <w:t>Each Employee Benefit Plan that is intended to be “</w:t>
      </w:r>
      <w:bookmarkStart w:id="3170" w:name="dtDNI40"/>
      <w:bookmarkEnd w:id="3170"/>
      <w:r>
        <w:rPr>
          <w:rFonts w:ascii="Times New Roman;Times;serif" w:hAnsi="Times New Roman;Times;serif"/>
          <w:sz w:val="24"/>
        </w:rPr>
        <w:t xml:space="preserve">qualified” under </w:t>
      </w:r>
      <w:bookmarkStart w:id="3171" w:name="DocXTextRef218"/>
      <w:bookmarkEnd w:id="3171"/>
      <w:r>
        <w:rPr>
          <w:rFonts w:ascii="Times New Roman;Times;serif" w:hAnsi="Times New Roman;Times;serif"/>
          <w:sz w:val="24"/>
        </w:rPr>
        <w:t xml:space="preserve">Section 401(a) of the Code either has received a current favorable determination from the IRS or may rely upon a current favorable opinion letter from the IRS that such Employee Benefit Plan is so qualified, and, to the Knowledge of Seller, there are no facts or circumstances that could reasonably be expected to cause the </w:t>
      </w:r>
      <w:bookmarkStart w:id="3172" w:name="_9kMKJ5YVt467FFFbQ49wx"/>
      <w:bookmarkEnd w:id="3172"/>
      <w:r>
        <w:rPr>
          <w:rFonts w:ascii="Times New Roman;Times;serif" w:hAnsi="Times New Roman;Times;serif"/>
          <w:sz w:val="24"/>
        </w:rPr>
        <w:t>loss of such qualification or the imposition of Liability, penalty or Tax under ERISA, the Code or other applicable Law.  Each Employee Benefit Plan that is intended to be “qualified” under the Puerto Rico Code has received a current favorable determination from the Puerto Rico Hacienda that such Employee Benefit Plan is so qualified, and, to the Knowledge of Seller, there are no facts or circumstances that could reasonably be expected to cause the loss of such qualification or the imposition of Liability, penalty or Tax under applicable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3173" w:name="_Toc235204863"/>
      <w:bookmarkStart w:id="3174" w:name="_Ref416482864"/>
      <w:bookmarkEnd w:id="3173"/>
      <w:bookmarkEnd w:id="3174"/>
      <w:r>
        <w:rPr>
          <w:rFonts w:ascii="Times New Roman;Times;serif" w:hAnsi="Times New Roman;Times;serif"/>
          <w:sz w:val="24"/>
        </w:rPr>
        <w:t>With respect to each Employee Benefit Plan, all contributions, distributions, reimbursements and payments (including all employer contributions, employee salary reduction contributions, and premium payments) that are due have been made within the time periods prescribed by the terms of each Employee Benefit Plan, ERISA, the Code and other applicable Laws in all material respects, and all contributions, distributions, reimbursements or payments for any period ending on or before the Closing Date that are not yet due have been made or properly accrued in all material respects.  No Employee Benefit Plan has any unfunded Liability not reflected on the Financial Statements.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3175" w:name="_Toc235204864"/>
      <w:bookmarkStart w:id="3176" w:name="_Ref416482865"/>
      <w:bookmarkEnd w:id="3175"/>
      <w:bookmarkEnd w:id="3176"/>
      <w:r>
        <w:rPr>
          <w:rFonts w:ascii="Times New Roman;Times;serif" w:hAnsi="Times New Roman;Times;serif"/>
          <w:sz w:val="24"/>
        </w:rPr>
        <w:t xml:space="preserve">During the past three years, none of the Company, any of its Subsidiaries or any ERISA Affiliate maintains, sponsors, contributes to, has any obligation to contribute to, or has any current or potential Liability under or with respect to </w:t>
      </w:r>
      <w:bookmarkStart w:id="3177" w:name="DocXTextRef220"/>
      <w:bookmarkEnd w:id="3177"/>
      <w:r>
        <w:rPr>
          <w:rFonts w:ascii="Times New Roman;Times;serif" w:hAnsi="Times New Roman;Times;serif"/>
          <w:sz w:val="24"/>
        </w:rPr>
        <w:t>(i) any “</w:t>
      </w:r>
      <w:bookmarkStart w:id="3178" w:name="dtDNI41"/>
      <w:bookmarkEnd w:id="3178"/>
      <w:r>
        <w:rPr>
          <w:rFonts w:ascii="Times New Roman;Times;serif" w:hAnsi="Times New Roman;Times;serif"/>
          <w:sz w:val="24"/>
        </w:rPr>
        <w:t xml:space="preserve">defined benefit plan” (as defined in Section 3(35) of ERISA) or any other plan that is or was subject to the funding requirements of </w:t>
      </w:r>
      <w:bookmarkStart w:id="3179" w:name="DocXTextRef222"/>
      <w:bookmarkEnd w:id="3179"/>
      <w:r>
        <w:rPr>
          <w:rFonts w:ascii="Times New Roman;Times;serif" w:hAnsi="Times New Roman;Times;serif"/>
          <w:sz w:val="24"/>
        </w:rPr>
        <w:t xml:space="preserve">Section 412 or </w:t>
      </w:r>
      <w:bookmarkStart w:id="3180" w:name="DocXTextRef219"/>
      <w:bookmarkEnd w:id="3180"/>
      <w:r>
        <w:rPr>
          <w:rFonts w:ascii="Times New Roman;Times;serif" w:hAnsi="Times New Roman;Times;serif"/>
          <w:sz w:val="24"/>
        </w:rPr>
        <w:t xml:space="preserve">430 of the Code or </w:t>
      </w:r>
      <w:bookmarkStart w:id="3181" w:name="DocXTextRef223"/>
      <w:bookmarkEnd w:id="3181"/>
      <w:r>
        <w:rPr>
          <w:rFonts w:ascii="Times New Roman;Times;serif" w:hAnsi="Times New Roman;Times;serif"/>
          <w:sz w:val="24"/>
        </w:rPr>
        <w:t>Section 302 or Title IV of ERISA, (ii) any “</w:t>
      </w:r>
      <w:bookmarkStart w:id="3182" w:name="dtDNI42"/>
      <w:bookmarkEnd w:id="3182"/>
      <w:r>
        <w:rPr>
          <w:rFonts w:ascii="Times New Roman;Times;serif" w:hAnsi="Times New Roman;Times;serif"/>
          <w:sz w:val="24"/>
        </w:rPr>
        <w:t xml:space="preserve">multiemployer plan” (as defined in Section 3(37) or 4001(a)(3) of ERISA), (iii) any multiple employer welfare arrangement (within the meaning of Section 3(40) of ERISA), (iv) any multiple employer plan (as described in </w:t>
      </w:r>
      <w:bookmarkStart w:id="3183" w:name="DocXTextRef225"/>
      <w:bookmarkEnd w:id="3183"/>
      <w:r>
        <w:rPr>
          <w:rFonts w:ascii="Times New Roman;Times;serif" w:hAnsi="Times New Roman;Times;serif"/>
          <w:sz w:val="24"/>
        </w:rPr>
        <w:t xml:space="preserve">Section 413(c) of the Code), or </w:t>
      </w:r>
      <w:bookmarkStart w:id="3184" w:name="DocXTextRef221"/>
      <w:bookmarkEnd w:id="3184"/>
      <w:r>
        <w:rPr>
          <w:rFonts w:ascii="Times New Roman;Times;serif" w:hAnsi="Times New Roman;Times;serif"/>
          <w:sz w:val="24"/>
        </w:rPr>
        <w:t xml:space="preserve">(v) any plan, program or arrangement that provides for or promises post-retirement or post-employment medical, life insurance or other similar welfare benefits (other than health continuation coverage required by COBRA for which the covered Person pays the full cost of coverage).  Neither the Company nor any of its Subsidiaries has any Liability (whether current or contingent) as a result of at any time being treated as a single employer under </w:t>
      </w:r>
      <w:bookmarkStart w:id="3185" w:name="DocXTextRef224"/>
      <w:bookmarkEnd w:id="3185"/>
      <w:r>
        <w:rPr>
          <w:rFonts w:ascii="Times New Roman;Times;serif" w:hAnsi="Times New Roman;Times;serif"/>
          <w:sz w:val="24"/>
        </w:rPr>
        <w:t>Section 414 of the Code with any other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3186" w:name="_Toc235204865"/>
      <w:bookmarkStart w:id="3187" w:name="_Ref83652532"/>
      <w:bookmarkEnd w:id="3186"/>
      <w:bookmarkEnd w:id="3187"/>
      <w:r>
        <w:rPr>
          <w:rFonts w:ascii="Times New Roman;Times;serif" w:hAnsi="Times New Roman;Times;serif"/>
          <w:sz w:val="24"/>
        </w:rPr>
        <w:t xml:space="preserve">With respect to each Employee Benefit Plan, </w:t>
      </w:r>
      <w:bookmarkStart w:id="3188" w:name="DocXTextRef227"/>
      <w:bookmarkEnd w:id="3188"/>
      <w:r>
        <w:rPr>
          <w:rFonts w:ascii="Times New Roman;Times;serif" w:hAnsi="Times New Roman;Times;serif"/>
          <w:sz w:val="24"/>
        </w:rPr>
        <w:t>(i) there have been no non-exempt “</w:t>
      </w:r>
      <w:bookmarkStart w:id="3189" w:name="dtDNI43"/>
      <w:bookmarkEnd w:id="3189"/>
      <w:r>
        <w:rPr>
          <w:rFonts w:ascii="Times New Roman;Times;serif" w:hAnsi="Times New Roman;Times;serif"/>
          <w:sz w:val="24"/>
        </w:rPr>
        <w:t xml:space="preserve">prohibited transactions” (as defined in </w:t>
      </w:r>
      <w:bookmarkStart w:id="3190" w:name="DocXTextRef233"/>
      <w:bookmarkEnd w:id="3190"/>
      <w:r>
        <w:rPr>
          <w:rFonts w:ascii="Times New Roman;Times;serif" w:hAnsi="Times New Roman;Times;serif"/>
          <w:sz w:val="24"/>
        </w:rPr>
        <w:t>Section 406 of ERISA or Section 4975 of the Code) and (ii) no “</w:t>
      </w:r>
      <w:bookmarkStart w:id="3191" w:name="dtDNI44"/>
      <w:bookmarkEnd w:id="3191"/>
      <w:r>
        <w:rPr>
          <w:rFonts w:ascii="Times New Roman;Times;serif" w:hAnsi="Times New Roman;Times;serif"/>
          <w:sz w:val="24"/>
        </w:rPr>
        <w:t xml:space="preserve">fiduciary” (as defined under ERISA) has any Liability for breach of fiduciary duty or any other failure to act or comply in connection with the administration or investment of the assets of such Employee Benefit Plan.  With respect to each Employee Benefit Plan, no Claim (other than routine claims for benefits or appeals thereof) is pending or to the Knowledge of Seller threatened, and, to the Knowledge of Seller there are no facts that would give rise to or could reasonably be expected to give rise to any such Claim.  With respect to each Employee Benefit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Plan, no act, omission or transaction of the Company or any of its Subsidiaries has occurred which would result in the imposition on the Company or any of its Subsidiaries of </w:t>
      </w:r>
      <w:bookmarkStart w:id="3192" w:name="DocXTextRef228"/>
      <w:bookmarkEnd w:id="3192"/>
      <w:r>
        <w:rPr>
          <w:rFonts w:ascii="Times New Roman;Times;serif" w:hAnsi="Times New Roman;Times;serif"/>
          <w:sz w:val="24"/>
        </w:rPr>
        <w:t xml:space="preserve">(A) breach of fiduciary duty liability damages under </w:t>
      </w:r>
      <w:bookmarkStart w:id="3193" w:name="DocXTextRef234"/>
      <w:bookmarkEnd w:id="3193"/>
      <w:r>
        <w:rPr>
          <w:rFonts w:ascii="Times New Roman;Times;serif" w:hAnsi="Times New Roman;Times;serif"/>
          <w:sz w:val="24"/>
        </w:rPr>
        <w:t xml:space="preserve">Section 409 of ERISA, </w:t>
      </w:r>
      <w:bookmarkStart w:id="3194" w:name="DocXTextRef229"/>
      <w:bookmarkEnd w:id="3194"/>
      <w:r>
        <w:rPr>
          <w:rFonts w:ascii="Times New Roman;Times;serif" w:hAnsi="Times New Roman;Times;serif"/>
          <w:sz w:val="24"/>
        </w:rPr>
        <w:t xml:space="preserve">(B) a civil penalty assessed pursuant to subsections (c), </w:t>
      </w:r>
      <w:bookmarkStart w:id="3195" w:name="DocXTextRef230"/>
      <w:bookmarkEnd w:id="3195"/>
      <w:r>
        <w:rPr>
          <w:rFonts w:ascii="Times New Roman;Times;serif" w:hAnsi="Times New Roman;Times;serif"/>
          <w:sz w:val="24"/>
        </w:rPr>
        <w:t xml:space="preserve">(i) or </w:t>
      </w:r>
      <w:bookmarkStart w:id="3196" w:name="DocXTextRef231"/>
      <w:bookmarkEnd w:id="3196"/>
      <w:r>
        <w:rPr>
          <w:rFonts w:ascii="Times New Roman;Times;serif" w:hAnsi="Times New Roman;Times;serif"/>
          <w:sz w:val="24"/>
        </w:rPr>
        <w:t xml:space="preserve">(l) of </w:t>
      </w:r>
      <w:bookmarkStart w:id="3197" w:name="DocXTextRef235"/>
      <w:bookmarkEnd w:id="3197"/>
      <w:r>
        <w:rPr>
          <w:rFonts w:ascii="Times New Roman;Times;serif" w:hAnsi="Times New Roman;Times;serif"/>
          <w:sz w:val="24"/>
        </w:rPr>
        <w:t xml:space="preserve">Section 502 of ERISA, or </w:t>
      </w:r>
      <w:bookmarkStart w:id="3198" w:name="_9kR3WTr8E8AGDL"/>
      <w:bookmarkStart w:id="3199" w:name="_9kR3WTr8E8AFIR"/>
      <w:bookmarkStart w:id="3200" w:name="_9kR3WTr8E8AFFO"/>
      <w:bookmarkStart w:id="3201" w:name="DocXTextRef232"/>
      <w:bookmarkEnd w:id="3198"/>
      <w:bookmarkEnd w:id="3199"/>
      <w:bookmarkEnd w:id="3200"/>
      <w:bookmarkEnd w:id="3201"/>
      <w:r>
        <w:rPr>
          <w:rFonts w:ascii="Times New Roman;Times;serif" w:hAnsi="Times New Roman;Times;serif"/>
          <w:sz w:val="24"/>
        </w:rPr>
        <w:t>(C) a Tax, penalty or assessment imposed pursuant to Chapter 43 of Subtitle D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3202" w:name="_Ref367222325"/>
      <w:bookmarkStart w:id="3203" w:name="_Toc235204866"/>
      <w:bookmarkStart w:id="3204" w:name="_Ref225953384"/>
      <w:bookmarkEnd w:id="3202"/>
      <w:bookmarkEnd w:id="3203"/>
      <w:bookmarkEnd w:id="3204"/>
      <w:r>
        <w:rPr>
          <w:rFonts w:ascii="Times New Roman;Times;serif" w:hAnsi="Times New Roman;Times;serif"/>
          <w:sz w:val="24"/>
        </w:rPr>
        <w:t xml:space="preserve">Except as disclosed on </w:t>
      </w:r>
      <w:r>
        <w:rPr>
          <w:rFonts w:ascii="Times New Roman;Times;serif" w:hAnsi="Times New Roman;Times;serif"/>
          <w:sz w:val="24"/>
          <w:u w:val="single"/>
        </w:rPr>
        <w:t>Schedule 3.15(h)</w:t>
      </w:r>
      <w:r>
        <w:rPr>
          <w:rFonts w:ascii="Times New Roman;Times;serif" w:hAnsi="Times New Roman;Times;serif"/>
          <w:sz w:val="24"/>
        </w:rPr>
        <w:t xml:space="preserve">, the consummation of the transactions contemplated by this Agreement, alone, or in combination with any other event, shall not </w:t>
      </w:r>
      <w:bookmarkStart w:id="3205" w:name="DocXTextRef236"/>
      <w:bookmarkEnd w:id="3205"/>
      <w:r>
        <w:rPr>
          <w:rFonts w:ascii="Times New Roman;Times;serif" w:hAnsi="Times New Roman;Times;serif"/>
          <w:sz w:val="24"/>
        </w:rPr>
        <w:t>(i) entitle any current or former employee or other individual service provider of the Company or any of its Subsidiaries (or the beneficiaries of such individuals) to any severance, change in control, transaction bonus, retention, or other similar payment under any Employee Benefit Plan or otherwise or (ii) accelerate the time of payment, funding or vesting, or increase the amount of compensation or benefits due to any such employee or other individual service provider (or their beneficiaries), or otherwise give rise to any obligation to fund or any Liability under any Employee Benefit Plan or otherwise, or restrict or limit the ability to amend any Employee Benefit Plan.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(i)</w:t>
      </w:r>
      <w:bookmarkStart w:id="3206" w:name="_Ref418009599"/>
      <w:bookmarkStart w:id="3207" w:name="_Hlk233635846"/>
      <w:bookmarkStart w:id="3208" w:name="_Hlk235172365"/>
      <w:bookmarkStart w:id="3209" w:name="_Toc235204867"/>
      <w:bookmarkEnd w:id="3206"/>
      <w:bookmarkEnd w:id="3207"/>
      <w:bookmarkEnd w:id="3208"/>
      <w:bookmarkEnd w:id="3209"/>
      <w:r>
        <w:rPr>
          <w:rFonts w:ascii="Times New Roman;Times;serif" w:hAnsi="Times New Roman;Times;serif"/>
          <w:sz w:val="24"/>
        </w:rPr>
        <w:t>The transactions contemplated by this Agreement will not give rise to a change in the ownership or effective control of a “corporation”, or a change in the ownership of a substantial portion of the assets of a “corporation,” as determined under the Treasury Regulations issued under Section 280G of the Code.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(j)</w:t>
      </w:r>
      <w:bookmarkStart w:id="3210" w:name="_Toc235204868"/>
      <w:bookmarkStart w:id="3211" w:name="_Ref440767653"/>
      <w:bookmarkEnd w:id="3210"/>
      <w:bookmarkEnd w:id="3211"/>
      <w:r>
        <w:rPr>
          <w:rFonts w:ascii="Times New Roman;Times;serif" w:hAnsi="Times New Roman;Times;serif"/>
          <w:sz w:val="24"/>
        </w:rPr>
        <w:t xml:space="preserve">Neither the Company nor any of its Subsidiaries or Affiliates has any indemnity or gross-up obligation on or after the Closing for any Taxes imposed under Section 4999 or </w:t>
      </w:r>
      <w:bookmarkStart w:id="3212" w:name="DocXTextRef239"/>
      <w:bookmarkEnd w:id="3212"/>
      <w:r>
        <w:rPr>
          <w:rFonts w:ascii="Times New Roman;Times;serif" w:hAnsi="Times New Roman;Times;serif"/>
          <w:sz w:val="24"/>
        </w:rPr>
        <w:t xml:space="preserve">Section 409A of the Code (or any corresponding provisions of state, local, or </w:t>
      </w:r>
      <w:bookmarkStart w:id="3213" w:name="_9kMHG5YVt488CFG2yzgGGP0mK2"/>
      <w:bookmarkStart w:id="3214" w:name="_9kMHG5YVt488CFE0yzgGGP0mK2"/>
      <w:bookmarkEnd w:id="3213"/>
      <w:bookmarkEnd w:id="3214"/>
      <w:r>
        <w:rPr>
          <w:rFonts w:ascii="Times New Roman;Times;serif" w:hAnsi="Times New Roman;Times;serif"/>
          <w:sz w:val="24"/>
        </w:rPr>
        <w:t>non-U.S. Tax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(k)</w:t>
      </w:r>
      <w:bookmarkStart w:id="3215" w:name="_Toc235204869"/>
      <w:bookmarkEnd w:id="3215"/>
      <w:r>
        <w:rPr>
          <w:rFonts w:ascii="Times New Roman;Times;serif" w:hAnsi="Times New Roman;Times;serif"/>
          <w:sz w:val="24"/>
        </w:rPr>
        <w:t>Each Employee Benefit Plan that is a “</w:t>
      </w:r>
      <w:bookmarkStart w:id="3216" w:name="dtDNI46"/>
      <w:bookmarkEnd w:id="3216"/>
      <w:r>
        <w:rPr>
          <w:rFonts w:ascii="Times New Roman;Times;serif" w:hAnsi="Times New Roman;Times;serif"/>
          <w:sz w:val="24"/>
        </w:rPr>
        <w:t xml:space="preserve">nonqualified deferred compensation plan” (as defined under </w:t>
      </w:r>
      <w:bookmarkStart w:id="3217" w:name="DocXTextRef241"/>
      <w:bookmarkEnd w:id="3217"/>
      <w:r>
        <w:rPr>
          <w:rFonts w:ascii="Times New Roman;Times;serif" w:hAnsi="Times New Roman;Times;serif"/>
          <w:sz w:val="24"/>
        </w:rPr>
        <w:t xml:space="preserve">Section 409A(d)(1) of the Code) has been operated and administered in compliance with, and is in documentary compliance with, </w:t>
      </w:r>
      <w:bookmarkStart w:id="3218" w:name="DocXTextRef240"/>
      <w:bookmarkEnd w:id="3218"/>
      <w:r>
        <w:rPr>
          <w:rFonts w:ascii="Times New Roman;Times;serif" w:hAnsi="Times New Roman;Times;serif"/>
          <w:sz w:val="24"/>
        </w:rPr>
        <w:t>Section 409A of the Code and the Treasury Regulations and other official guidance promulgated 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3.16</w:t>
      </w:r>
      <w:bookmarkStart w:id="3219" w:name="_Toc235366507"/>
      <w:bookmarkStart w:id="3220" w:name="_Toc235204870"/>
      <w:bookmarkStart w:id="3221" w:name="_Toc235142690"/>
      <w:bookmarkStart w:id="3222" w:name="_Toc228481574"/>
      <w:bookmarkStart w:id="3223" w:name="_Ref83652534"/>
      <w:bookmarkStart w:id="3224" w:name="_Toc892111"/>
      <w:bookmarkStart w:id="3225" w:name="_Ref507269733"/>
      <w:bookmarkStart w:id="3226" w:name="_Ref507269491"/>
      <w:bookmarkStart w:id="3227" w:name="_Toc465317296"/>
      <w:bookmarkStart w:id="3228" w:name="_Toc464684552"/>
      <w:bookmarkStart w:id="3229" w:name="_Toc464561861"/>
      <w:bookmarkStart w:id="3230" w:name="_Toc440773749"/>
      <w:bookmarkStart w:id="3231" w:name="_Ref440767654"/>
      <w:bookmarkStart w:id="3232" w:name="_Toc440766884"/>
      <w:bookmarkStart w:id="3233" w:name="_Toc440765296"/>
      <w:bookmarkStart w:id="3234" w:name="_Toc440764536"/>
      <w:bookmarkStart w:id="3235" w:name="_Toc440760976"/>
      <w:bookmarkStart w:id="3236" w:name="_Ref416482871"/>
      <w:bookmarkStart w:id="3237" w:name="_Toc416469705"/>
      <w:bookmarkStart w:id="3238" w:name="_Toc128463281"/>
      <w:bookmarkStart w:id="3239" w:name="_Toc101210321"/>
      <w:bookmarkStart w:id="3240" w:name="_Ref76390965"/>
      <w:bookmarkStart w:id="3241" w:name="_Toc518197953"/>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r>
        <w:rPr>
          <w:rFonts w:ascii="Times New Roman;Times;serif" w:hAnsi="Times New Roman;Times;serif"/>
          <w:sz w:val="24"/>
          <w:u w:val="single"/>
        </w:rPr>
        <w:t>Compliance with Laws; Licenses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242" w:name="_Ref22720506"/>
      <w:bookmarkStart w:id="3243" w:name="_Toc235204871"/>
      <w:bookmarkEnd w:id="3242"/>
      <w:bookmarkEnd w:id="3243"/>
      <w:r>
        <w:rPr>
          <w:rFonts w:ascii="Times New Roman;Times;serif" w:hAnsi="Times New Roman;Times;serif"/>
          <w:sz w:val="24"/>
        </w:rPr>
        <w:t xml:space="preserve">Each of (i) the Company and its Subsidiaries (including the Excluded Entities) is, and for the past three years has been, in material compliance with all Laws and Orders applicable to their businesses, employees, operations, properties or assets.  No notices have been received by, and, to the Knowledge of Seller, no Claims have been made against the Company or any of its Subsidiaries (including the Excluded Entities) alleging a material violation of any Law or Order.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244" w:name="_Toc235204872"/>
      <w:bookmarkStart w:id="3245" w:name="_Ref228452404"/>
      <w:bookmarkEnd w:id="3244"/>
      <w:bookmarkEnd w:id="3245"/>
      <w:r>
        <w:rPr>
          <w:rFonts w:ascii="Times New Roman;Times;serif" w:hAnsi="Times New Roman;Times;serif"/>
          <w:sz w:val="24"/>
        </w:rPr>
        <w:t xml:space="preserve">Each of the Company and its Subsidiaries hold all material Licenses (including all certificates of occupancy and required business licenses for each Repair Shop) required for the conduct of its business and the ownership of and operations on its properties and assets, and </w:t>
      </w:r>
      <w:r>
        <w:rPr>
          <w:rFonts w:ascii="Times New Roman;Times;serif" w:hAnsi="Times New Roman;Times;serif"/>
          <w:sz w:val="24"/>
          <w:u w:val="single"/>
        </w:rPr>
        <w:t>Schedule 3.16(b)</w:t>
      </w:r>
      <w:r>
        <w:rPr>
          <w:rFonts w:ascii="Times New Roman;Times;serif" w:hAnsi="Times New Roman;Times;serif"/>
          <w:sz w:val="24"/>
        </w:rPr>
        <w:t xml:space="preserve"> sets forth a list as of the date hereof of all of such material Licenses held by the Company and its Subsidiaries.  No notices have been received by the Company or any of its Subsidiaries alleging the failure to hold any material License by any Government Entity.  Each of the Company and its Subsidiaries is in compliance with all material terms and conditions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all Licenses which it holds.  All of such material Licenses are in full force and effect and will remain in full force and effect and will be available for use by the Company and its Subsidiaries immediately after the Closing.  No loss or expiration of any material License is pending or, to the Knowledge of Seller, threatened or reasonably foreseeable (including as a result of the transactions contemplated by this Agreement) other than expiration in accordance with the terms thereof</w:t>
      </w:r>
      <w:bookmarkStart w:id="3246" w:name="_Ref107465864"/>
      <w:bookmarkStart w:id="3247" w:name="_Ref107291090"/>
      <w:bookmarkStart w:id="3248" w:name="_Toc101210322"/>
      <w:bookmarkStart w:id="3249" w:name="_Ref101192919"/>
      <w:bookmarkStart w:id="3250" w:name="_Ref23240789"/>
      <w:bookmarkStart w:id="3251" w:name="_Ref23061867"/>
      <w:bookmarkStart w:id="3252" w:name="_Ref22721708"/>
      <w:bookmarkStart w:id="3253" w:name="_Ref22720659"/>
      <w:bookmarkStart w:id="3254" w:name="_Ref22706600"/>
      <w:bookmarkStart w:id="3255" w:name="_Toc518197954"/>
      <w:bookmarkStart w:id="3256" w:name="_Toc107579195"/>
      <w:bookmarkEnd w:id="3246"/>
      <w:bookmarkEnd w:id="3247"/>
      <w:bookmarkEnd w:id="3248"/>
      <w:bookmarkEnd w:id="3249"/>
      <w:bookmarkEnd w:id="3250"/>
      <w:bookmarkEnd w:id="3251"/>
      <w:bookmarkEnd w:id="3252"/>
      <w:bookmarkEnd w:id="3253"/>
      <w:bookmarkEnd w:id="3254"/>
      <w:bookmarkEnd w:id="3255"/>
      <w:bookmarkEnd w:id="3256"/>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3.17</w:t>
      </w:r>
      <w:bookmarkStart w:id="3257" w:name="_Toc235366508"/>
      <w:bookmarkStart w:id="3258" w:name="_Toc235204873"/>
      <w:bookmarkStart w:id="3259" w:name="_Toc235142691"/>
      <w:bookmarkStart w:id="3260" w:name="_Toc228481575"/>
      <w:bookmarkEnd w:id="3257"/>
      <w:bookmarkEnd w:id="3258"/>
      <w:bookmarkEnd w:id="3259"/>
      <w:bookmarkEnd w:id="3260"/>
      <w:r>
        <w:rPr>
          <w:rFonts w:ascii="Times New Roman;Times;serif" w:hAnsi="Times New Roman;Times;serif"/>
          <w:sz w:val="24"/>
          <w:u w:val="single"/>
        </w:rPr>
        <w:t>Government Contracting</w:t>
      </w:r>
      <w:r>
        <w:rPr>
          <w:rFonts w:ascii="Times New Roman;Times;serif" w:hAnsi="Times New Roman;Times;serif"/>
          <w:sz w:val="24"/>
        </w:rPr>
        <w:t>.  During the past three years, neither the Company nor any of its Subsidiaries has (a) breached or violated, in any material respect, any Law, clause, provision, or requirement pertaining to a Government Contract or Government Bid; (b) made an inaccurate representation or certification in connection with a Government Contract or Government Bid; (c) been subject to audit or investigation by a Government Entity or other Person with respect to a Government Contract or Government Bid (other than government audits conducted in the Ordinary Course that are not reasonably expected to result in Liability to the Company or any of the Subsidiaries); (d) had a Government Contract terminated for default, cause, or failure to perform; (e) been notified of an actual or threatened dispute related to any Government Contract; or (f) been suspended, debarred, proposed for debarment or otherwise excluded from bidding on contracts with a Government Entity.  To the Knowledge of Seller, no circumstances exist that would reasonably warrant the institution of such suspension, debarment, or exclusion proceedings against the Company, any of its Subsidiaries, or any Principals (as defined at 48 C.F.R. § 2.101) of the Company or any of its Subsidiaries.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3.18</w:t>
      </w:r>
      <w:bookmarkStart w:id="3261" w:name="_Toc235366509"/>
      <w:bookmarkStart w:id="3262" w:name="_Toc235204874"/>
      <w:bookmarkStart w:id="3263" w:name="_Toc235142692"/>
      <w:bookmarkStart w:id="3264" w:name="_Toc228481576"/>
      <w:bookmarkStart w:id="3265" w:name="_Ref225157299"/>
      <w:bookmarkEnd w:id="3261"/>
      <w:bookmarkEnd w:id="3262"/>
      <w:bookmarkEnd w:id="3263"/>
      <w:bookmarkEnd w:id="3264"/>
      <w:bookmarkEnd w:id="3265"/>
      <w:r>
        <w:rPr>
          <w:rFonts w:ascii="Times New Roman;Times;serif" w:hAnsi="Times New Roman;Times;serif"/>
          <w:sz w:val="24"/>
          <w:u w:val="single"/>
        </w:rPr>
        <w:t>Inventory</w:t>
      </w:r>
      <w:r>
        <w:rPr>
          <w:rFonts w:ascii="Times New Roman;Times;serif" w:hAnsi="Times New Roman;Times;serif"/>
          <w:sz w:val="24"/>
        </w:rPr>
        <w:t xml:space="preserve">.  Except as set forth on </w:t>
      </w:r>
      <w:r>
        <w:rPr>
          <w:rFonts w:ascii="Times New Roman;Times;serif" w:hAnsi="Times New Roman;Times;serif"/>
          <w:sz w:val="24"/>
          <w:u w:val="single"/>
        </w:rPr>
        <w:t>Schedule 3.18</w:t>
      </w:r>
      <w:r>
        <w:rPr>
          <w:rFonts w:ascii="Times New Roman;Times;serif" w:hAnsi="Times New Roman;Times;serif"/>
          <w:sz w:val="24"/>
        </w:rPr>
        <w:t>, each item of Inventory consists of items which are free of any material defect or other deficiency and merchantable and are of a type, quality, quantity and composition presently useable and salable in the Ordinary Course.  All Inventory is owned by the Company or its Subsidiaries free and clear of any Liens (other than permitted Liens) and no Inventory is held on a consignment basis.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3.19</w:t>
      </w:r>
      <w:bookmarkStart w:id="3266" w:name="_Toc101210325"/>
      <w:bookmarkStart w:id="3267" w:name="_Ref22707883"/>
      <w:bookmarkStart w:id="3268" w:name="_Toc235366510"/>
      <w:bookmarkStart w:id="3269" w:name="_Toc235204875"/>
      <w:bookmarkStart w:id="3270" w:name="_Toc235142693"/>
      <w:bookmarkStart w:id="3271" w:name="_Ref231390762"/>
      <w:bookmarkStart w:id="3272" w:name="_Toc228481577"/>
      <w:bookmarkStart w:id="3273" w:name="_Ref228379509"/>
      <w:bookmarkStart w:id="3274" w:name="_Ref228379450"/>
      <w:bookmarkStart w:id="3275" w:name="_Ref225285186"/>
      <w:bookmarkStart w:id="3276" w:name="_Ref225157275"/>
      <w:bookmarkStart w:id="3277" w:name="_Ref83652536"/>
      <w:bookmarkStart w:id="3278" w:name="_Ref6862894"/>
      <w:bookmarkStart w:id="3279" w:name="_Toc892112"/>
      <w:bookmarkStart w:id="3280" w:name="_Ref507269734"/>
      <w:bookmarkStart w:id="3281" w:name="_Ref507269492"/>
      <w:bookmarkStart w:id="3282" w:name="_Toc465317297"/>
      <w:bookmarkStart w:id="3283" w:name="_Toc464684553"/>
      <w:bookmarkStart w:id="3284" w:name="_Toc464561862"/>
      <w:bookmarkStart w:id="3285" w:name="_Toc440773750"/>
      <w:bookmarkStart w:id="3286" w:name="_Ref440767655"/>
      <w:bookmarkStart w:id="3287" w:name="_Toc440766885"/>
      <w:bookmarkStart w:id="3288" w:name="_Toc440765297"/>
      <w:bookmarkStart w:id="3289" w:name="_Toc440764537"/>
      <w:bookmarkStart w:id="3290" w:name="_Toc440760977"/>
      <w:bookmarkStart w:id="3291" w:name="_Ref416482873"/>
      <w:bookmarkStart w:id="3292" w:name="_Toc416469706"/>
      <w:bookmarkStart w:id="3293" w:name="_Toc128463285"/>
      <w:bookmarkStart w:id="3294" w:name="_Ref126409688"/>
      <w:bookmarkStart w:id="3295" w:name="_Ref126409674"/>
      <w:bookmarkStart w:id="3296" w:name="_Toc518197957"/>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r>
        <w:rPr>
          <w:rFonts w:ascii="Times New Roman;Times;serif" w:hAnsi="Times New Roman;Times;serif"/>
          <w:sz w:val="24"/>
          <w:u w:val="single"/>
        </w:rPr>
        <w:t>Real Property</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297" w:name="_Ref22707863"/>
      <w:bookmarkStart w:id="3298" w:name="_Toc235204876"/>
      <w:bookmarkStart w:id="3299" w:name="_Ref225857387"/>
      <w:bookmarkStart w:id="3300" w:name="_Ref416482874"/>
      <w:bookmarkStart w:id="3301" w:name="_Ref507269493"/>
      <w:bookmarkEnd w:id="3297"/>
      <w:bookmarkEnd w:id="3298"/>
      <w:bookmarkEnd w:id="3299"/>
      <w:bookmarkEnd w:id="3300"/>
      <w:bookmarkEnd w:id="3301"/>
      <w:r>
        <w:rPr>
          <w:rFonts w:ascii="Times New Roman;Times;serif" w:hAnsi="Times New Roman;Times;serif"/>
          <w:sz w:val="24"/>
          <w:u w:val="single"/>
        </w:rPr>
        <w:t>Schedule 3.19(a)</w:t>
      </w:r>
      <w:r>
        <w:rPr>
          <w:rFonts w:ascii="Times New Roman;Times;serif" w:hAnsi="Times New Roman;Times;serif"/>
          <w:sz w:val="24"/>
        </w:rPr>
        <w:t xml:space="preserve"> sets forth a list as of the date hereof of the address of each owned real property of the Company and its Subsidiaries, including the Closed Owned Locations (the “</w:t>
      </w:r>
      <w:r>
        <w:rPr>
          <w:rFonts w:ascii="Times New Roman;Times;serif" w:hAnsi="Times New Roman;Times;serif"/>
          <w:sz w:val="24"/>
          <w:u w:val="single"/>
        </w:rPr>
        <w:t>Owned Real Property</w:t>
      </w:r>
      <w:r>
        <w:rPr>
          <w:rFonts w:ascii="Times New Roman;Times;serif" w:hAnsi="Times New Roman;Times;serif"/>
          <w:sz w:val="24"/>
        </w:rPr>
        <w:t xml:space="preserve">”).  Seller has provided, to the extent in Seller’s possession, true, complete and correct, copies of each deed and other instrument (as recorded) by which the Company or its Subsidiary acquired such parcel of Owned Real Property and true, complete and correct copies of each title insurance policy, opinion, abstract and survey in the possession of the Company or its Subsidiary with respect to such parcel.  With respect to each parcel of Owned Real Property: </w:t>
      </w:r>
      <w:bookmarkStart w:id="3302" w:name="DocXTextRef244"/>
      <w:bookmarkEnd w:id="3302"/>
      <w:r>
        <w:rPr>
          <w:rFonts w:ascii="Times New Roman;Times;serif" w:hAnsi="Times New Roman;Times;serif"/>
          <w:sz w:val="24"/>
        </w:rPr>
        <w:t>(i) the Company or its Subsidiary has good and marketable indefeasible fee simple title, free and clear of all Liens except for Permitted Liens, (ii)  </w:t>
      </w:r>
      <w:bookmarkStart w:id="3303" w:name="_cp_change_1072"/>
      <w:bookmarkEnd w:id="3303"/>
      <w:r>
        <w:rPr>
          <w:rFonts w:ascii="Times New Roman;Times;serif" w:hAnsi="Times New Roman;Times;serif"/>
          <w:sz w:val="24"/>
        </w:rPr>
        <w:t xml:space="preserve">neither the Company nor any of its Subsidiaries has leased or otherwise granted to any Person the right to use or occupy such Owned Real Property or any portion thereof, except as provided in </w:t>
      </w:r>
      <w:r>
        <w:rPr>
          <w:rFonts w:ascii="Times New Roman;Times;serif" w:hAnsi="Times New Roman;Times;serif"/>
          <w:sz w:val="24"/>
          <w:u w:val="single"/>
        </w:rPr>
        <w:t>Schedule 3.19(a)(ii)</w:t>
      </w:r>
      <w:r>
        <w:rPr>
          <w:rFonts w:ascii="Times New Roman;Times;serif" w:hAnsi="Times New Roman;Times;serif"/>
          <w:sz w:val="24"/>
        </w:rPr>
        <w:t xml:space="preserve">, (iii) except for the Retail Leases, there are no unrecorded outstanding options, rights of first offer or rights of first refusal to purchase such Owned Real Property or any portion thereof or interest therein, and (iv) except as set forth on </w:t>
      </w:r>
      <w:bookmarkStart w:id="3304" w:name="_9kR3WTr2CFDKIcJfifw5q9KR1ox"/>
      <w:bookmarkEnd w:id="3304"/>
      <w:r>
        <w:rPr>
          <w:rFonts w:ascii="Times New Roman;Times;serif" w:hAnsi="Times New Roman;Times;serif"/>
          <w:sz w:val="24"/>
          <w:u w:val="single"/>
        </w:rPr>
        <w:t>Schedule 3.19(a)(iv)</w:t>
      </w:r>
      <w:r>
        <w:rPr>
          <w:rFonts w:ascii="Times New Roman;Times;serif" w:hAnsi="Times New Roman;Times;serif"/>
          <w:sz w:val="24"/>
        </w:rPr>
        <w:t>, there is no condemnation, expropriation or other Claim in eminent domain pending or, to the Knowledge of Seller, threatened, affecting any Owned Real Property or any portion thereof or interest therein.  Neither the whole nor any material portion of any Owned Real Property has been damaged or destroyed by fire or other casualty, which damage remains unrepaired.</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305" w:name="_Toc235204877"/>
      <w:bookmarkStart w:id="3306" w:name="_Ref225237507"/>
      <w:bookmarkStart w:id="3307" w:name="_Ref126720311"/>
      <w:bookmarkStart w:id="3308" w:name="_9kR3WTr2CFDKJdJfifw5q9KR2p"/>
      <w:bookmarkEnd w:id="3305"/>
      <w:bookmarkEnd w:id="3306"/>
      <w:bookmarkEnd w:id="3307"/>
      <w:bookmarkEnd w:id="3308"/>
      <w:r>
        <w:rPr>
          <w:rFonts w:ascii="Times New Roman;Times;serif" w:hAnsi="Times New Roman;Times;serif"/>
          <w:sz w:val="24"/>
          <w:u w:val="single"/>
        </w:rPr>
        <w:t>Schedule 3.19(b)(i)</w:t>
      </w:r>
      <w:r>
        <w:rPr>
          <w:rFonts w:ascii="Times New Roman;Times;serif" w:hAnsi="Times New Roman;Times;serif"/>
          <w:sz w:val="24"/>
        </w:rPr>
        <w:t xml:space="preserve"> sets forth a list of each parcel of real property currently leased, sub-leased or otherwise occupied by the Company or any of its Subsidiaries, including each property on which a Repair Shop is located (the “</w:t>
      </w:r>
      <w:r>
        <w:rPr>
          <w:rFonts w:ascii="Times New Roman;Times;serif" w:hAnsi="Times New Roman;Times;serif"/>
          <w:sz w:val="24"/>
          <w:u w:val="single"/>
        </w:rPr>
        <w:t>Leased Real Property</w:t>
      </w:r>
      <w:r>
        <w:rPr>
          <w:rFonts w:ascii="Times New Roman;Times;serif" w:hAnsi="Times New Roman;Times;serif"/>
          <w:sz w:val="24"/>
        </w:rPr>
        <w:t>”).  </w:t>
      </w:r>
      <w:bookmarkStart w:id="3309" w:name="_9kR3WTr2CFDKOiJfifw5q9KR2px"/>
      <w:bookmarkStart w:id="3310" w:name="_9kR3WTr2CFDKKeJfifw5q9KR2px"/>
      <w:bookmarkEnd w:id="3309"/>
      <w:bookmarkEnd w:id="3310"/>
      <w:r>
        <w:rPr>
          <w:rFonts w:ascii="Times New Roman;Times;serif" w:hAnsi="Times New Roman;Times;serif"/>
          <w:sz w:val="24"/>
          <w:u w:val="single"/>
        </w:rPr>
        <w:t>Schedule 3.19(b)(ii)</w:t>
      </w:r>
      <w:r>
        <w:rPr>
          <w:rFonts w:ascii="Times New Roman;Times;serif" w:hAnsi="Times New Roman;Times;serif"/>
          <w:sz w:val="24"/>
        </w:rPr>
        <w:t xml:space="preserve"> sets forth a list of each Lease as well as for each such Lease, the following information: (i) the address of the Leased Real Property, (ii) date of the Lease, (iii) the names of the parties to each Lease, (iv) applicable rent amount, (v) the security deposit, (vi) the current expiration date (exclusive of any remaining, unexercised renewal options), (vii) the number and duration of any remaining renewal options, (viii) the type of store operated at such location (</w:t>
      </w:r>
      <w:r>
        <w:rPr>
          <w:rFonts w:ascii="Times New Roman;Times;serif" w:hAnsi="Times New Roman;Times;serif"/>
          <w:i/>
          <w:sz w:val="24"/>
        </w:rPr>
        <w:t>i.e.</w:t>
      </w:r>
      <w:r>
        <w:rPr>
          <w:rFonts w:ascii="Times New Roman;Times;serif" w:hAnsi="Times New Roman;Times;serif"/>
          <w:sz w:val="24"/>
        </w:rPr>
        <w:t xml:space="preserve">, whether a supercenter, a service center or a distribution center), and (ix) whether such Leased Real Property is a Closed Leased Location.  Seller has provided true, complete and correct copies of each Lease and, in the case of an oral Lease, a written summary of the material terms thereof.  The Company and its Subsidiaries have good and valid leasehold interest in and to all of the Leased Real Property, free and clear of all Liens except for Permitted Liens.  Each Lease is legal, valid, binding and in full force and effect and is enforceable against the parties thereto in accordance with its terms and conditions, subject to applicable bankruptcy, insolvency, reorganization, moratorium and similar Laws affecting creditors’ rights generally, and subject, as to enforceability, to general principles of equity. </w:t>
      </w:r>
      <w:bookmarkStart w:id="3311" w:name="DocXTextRef245"/>
      <w:bookmarkEnd w:id="3311"/>
      <w:r>
        <w:rPr>
          <w:rFonts w:ascii="Times New Roman;Times;serif" w:hAnsi="Times New Roman;Times;serif"/>
          <w:sz w:val="24"/>
        </w:rPr>
        <w:t xml:space="preserve">Except as set forth on </w:t>
      </w:r>
      <w:bookmarkStart w:id="3312" w:name="_9kR3WTr2CFEC6ZJfifw5q9KR2pxy"/>
      <w:bookmarkStart w:id="3313" w:name="_9kR3WTr2CFDKLfJfifw5q9KR2pxy"/>
      <w:bookmarkEnd w:id="3312"/>
      <w:bookmarkEnd w:id="3313"/>
      <w:r>
        <w:rPr>
          <w:rFonts w:ascii="Times New Roman;Times;serif" w:hAnsi="Times New Roman;Times;serif"/>
          <w:sz w:val="24"/>
          <w:u w:val="single"/>
        </w:rPr>
        <w:t>Schedule 3.19(b)(iii)</w:t>
      </w:r>
      <w:r>
        <w:rPr>
          <w:rFonts w:ascii="Times New Roman;Times;serif" w:hAnsi="Times New Roman;Times;serif"/>
          <w:sz w:val="24"/>
        </w:rPr>
        <w:t>: (i) None of Seller Guarantor, the Company or any of their respective Subsidiaries is nor, to the Knowledge of Seller, alleged to be in breach of or default in any material respect under any Lease, (ii) to the Knowledge of Seller, no counterparty is in breach of or in default in any material respect under any Lease, (iii) except pursuant to the Retail Leases and subleases to the Company or its Subsidiaries, none of Seller Guarantor, the Company or any of their respective Subsidiaries has subleased, licensed or otherwise granted any Person the right to use or occupy such Leased Real Property or any portion thereof (iv) there is no condemnation, expropriation or other Claim in eminent domain pending or, to the Knowledge of Seller, threatened, affecting any Leased Real Property or any portion thereof or interest therein, and (v) to the Knowledge of Seller no condition exists that with notice or lapse of time would constitute a default under any Lease, except for any such default or event of default that would not reasonably be expected to be material to the Company and its Subsidiaries taken as a whole.  Neither the whole nor any material portion of any Leased Real Property has been damaged or destroyed by fire or other casualty, which damage remains unrepaired.  No eminent domain or condemnation Claim is existing, pending, or to the Knowledge of Seller, threatened, that would preclude or materially impair the use of any Leased Real Property.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3314" w:name="_Toc235204878"/>
      <w:bookmarkStart w:id="3315" w:name="_Ref224548098"/>
      <w:bookmarkEnd w:id="3314"/>
      <w:bookmarkEnd w:id="3315"/>
      <w:r>
        <w:rPr>
          <w:rFonts w:ascii="Times New Roman;Times;serif" w:hAnsi="Times New Roman;Times;serif"/>
          <w:sz w:val="24"/>
        </w:rPr>
        <w:t xml:space="preserve">The Owned Real Property identified in </w:t>
      </w:r>
      <w:r>
        <w:rPr>
          <w:rFonts w:ascii="Times New Roman;Times;serif" w:hAnsi="Times New Roman;Times;serif"/>
          <w:sz w:val="24"/>
          <w:u w:val="single"/>
        </w:rPr>
        <w:t>Schedule 3.19(a)</w:t>
      </w:r>
      <w:r>
        <w:rPr>
          <w:rFonts w:ascii="Times New Roman;Times;serif" w:hAnsi="Times New Roman;Times;serif"/>
          <w:sz w:val="24"/>
        </w:rPr>
        <w:t xml:space="preserve"> and the Leased Real Property identified in </w:t>
      </w:r>
      <w:r>
        <w:rPr>
          <w:rFonts w:ascii="Times New Roman;Times;serif" w:hAnsi="Times New Roman;Times;serif"/>
          <w:sz w:val="24"/>
          <w:u w:val="single"/>
        </w:rPr>
        <w:t>Schedule 3.19(b)</w:t>
      </w:r>
      <w:r>
        <w:rPr>
          <w:rFonts w:ascii="Times New Roman;Times;serif" w:hAnsi="Times New Roman;Times;serif"/>
          <w:sz w:val="24"/>
        </w:rPr>
        <w:t xml:space="preserve"> (collectively, the “</w:t>
      </w:r>
      <w:r>
        <w:rPr>
          <w:rFonts w:ascii="Times New Roman;Times;serif" w:hAnsi="Times New Roman;Times;serif"/>
          <w:sz w:val="24"/>
          <w:u w:val="single"/>
        </w:rPr>
        <w:t>Real Property</w:t>
      </w:r>
      <w:r>
        <w:rPr>
          <w:rFonts w:ascii="Times New Roman;Times;serif" w:hAnsi="Times New Roman;Times;serif"/>
          <w:sz w:val="24"/>
        </w:rPr>
        <w:t>”) comprise all of the real property used by the Company and its Subsidiaries, or otherwise related to, the business of the Company as conducted immediately prior to the date of this Agreement.  Except for such noncompliance that would not, individually or in the aggregate, reasonably be expected to be material to the Company and its Subsidiaries taken as a whole, the Real Property conforms in all respects to all applicable building, zoning and other Laws, ordinances, rules and regulations.  All buildings, structures, improvements, fixtures, building systems and equipment, and all components thereof, including in the Real Property are in reasonably good conditions and repair, normal wear and tear excepted, and are sufficient for the conduct of the business of the Company as conducted immediately prior to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3316" w:name="_Ref_ContractCompanion_9kb9UuAGC"/>
      <w:bookmarkStart w:id="3317" w:name="_Ref225285183"/>
      <w:bookmarkStart w:id="3318" w:name="_Toc235204879"/>
      <w:bookmarkStart w:id="3319" w:name="_Ref225857694"/>
      <w:bookmarkEnd w:id="3316"/>
      <w:bookmarkEnd w:id="3317"/>
      <w:bookmarkEnd w:id="3318"/>
      <w:bookmarkEnd w:id="3319"/>
      <w:r>
        <w:rPr>
          <w:rFonts w:ascii="Times New Roman;Times;serif" w:hAnsi="Times New Roman;Times;serif"/>
          <w:sz w:val="24"/>
          <w:u w:val="single"/>
        </w:rPr>
        <w:t>Schedule 3.19(d)</w:t>
      </w:r>
      <w:r>
        <w:rPr>
          <w:rFonts w:ascii="Times New Roman;Times;serif" w:hAnsi="Times New Roman;Times;serif"/>
          <w:sz w:val="24"/>
        </w:rPr>
        <w:t xml:space="preserve"> sets forth a list of each sublease, license, lease and occupancy Contract entered into by Seller Guarantor, the Company or any of their respective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Subsidiaries with respect to all or any portion of the Real Property (the “</w:t>
      </w:r>
      <w:r>
        <w:rPr>
          <w:rFonts w:ascii="Times New Roman;Times;serif" w:hAnsi="Times New Roman;Times;serif"/>
          <w:sz w:val="24"/>
          <w:u w:val="single"/>
        </w:rPr>
        <w:t>Retail Leases</w:t>
      </w:r>
      <w:r>
        <w:rPr>
          <w:rFonts w:ascii="Times New Roman;Times;serif" w:hAnsi="Times New Roman;Times;serif"/>
          <w:sz w:val="24"/>
        </w:rPr>
        <w:t xml:space="preserve">”), including, for each Retail Lease, (i) the address of the Real Property subject to the Retail Leases, (ii) date of the Retail Leases, (iii) the names of the parties to each Retail Lease, (iv) </w:t>
      </w:r>
      <w:bookmarkStart w:id="3320" w:name="_cp_change_1089"/>
      <w:bookmarkEnd w:id="3320"/>
      <w:r>
        <w:rPr>
          <w:rFonts w:ascii="Times New Roman;Times;serif" w:hAnsi="Times New Roman;Times;serif"/>
          <w:sz w:val="24"/>
        </w:rPr>
        <w:t>applicable sublease rent amount, (v) the security deposit, (vi) the current expiration date (exclusive of any remaining, unexercised renewal options), (vii) the number and duration of any remaining renewal options, and (viii) the type of store operated at such location (</w:t>
      </w:r>
      <w:r>
        <w:rPr>
          <w:rFonts w:ascii="Times New Roman;Times;serif" w:hAnsi="Times New Roman;Times;serif"/>
          <w:i/>
          <w:sz w:val="24"/>
        </w:rPr>
        <w:t>i.e.</w:t>
      </w:r>
      <w:r>
        <w:rPr>
          <w:rFonts w:ascii="Times New Roman;Times;serif" w:hAnsi="Times New Roman;Times;serif"/>
          <w:sz w:val="24"/>
        </w:rPr>
        <w:t xml:space="preserve">, whether a service center, distribution center or retail use).  Seller has provided true, complete and correct copies of each Retail Lease and, in the case of an oral Retail Lease, a written summary of the material terms thereof for each Owned Real Property and for each Leased Real Property described on </w:t>
      </w:r>
      <w:r>
        <w:rPr>
          <w:rFonts w:ascii="Times New Roman;Times;serif" w:hAnsi="Times New Roman;Times;serif"/>
          <w:sz w:val="24"/>
          <w:u w:val="single"/>
        </w:rPr>
        <w:t>Exhibit L-1</w:t>
      </w:r>
      <w:r>
        <w:rPr>
          <w:rFonts w:ascii="Times New Roman;Times;serif" w:hAnsi="Times New Roman;Times;serif"/>
          <w:sz w:val="24"/>
        </w:rPr>
        <w:t xml:space="preserve">.  Each Retail Lease is legal, valid, binding and in full force and effect and is enforceable against the parties thereto in accordance with its terms and conditions, subject to applicable bankruptcy, insolvency, reorganization, moratorium and similar Laws affecting creditors’ rights generally, and subject, as to enforceability, to general principles of equity.  Except as set forth on </w:t>
      </w:r>
      <w:bookmarkStart w:id="3321" w:name="_9kR3WTr2CFEC7aJfifw5q9KR4rx"/>
      <w:bookmarkStart w:id="3322" w:name="_9kR3WTr2CFDKMgJfifw5q9KR4rx"/>
      <w:bookmarkEnd w:id="3321"/>
      <w:bookmarkEnd w:id="3322"/>
      <w:r>
        <w:rPr>
          <w:rFonts w:ascii="Times New Roman;Times;serif" w:hAnsi="Times New Roman;Times;serif"/>
          <w:sz w:val="24"/>
          <w:u w:val="single"/>
        </w:rPr>
        <w:t>Schedule 3.19(d)(ii)</w:t>
      </w:r>
      <w:r>
        <w:rPr>
          <w:rFonts w:ascii="Times New Roman;Times;serif" w:hAnsi="Times New Roman;Times;serif"/>
          <w:sz w:val="24"/>
        </w:rPr>
        <w:t>: (i) none of Seller Guarantor, the Company or any of their respective Subsidiaries is nor, to the Knowledge of Seller, alleged to be in breach of or default in any material respect under any Retail Lease, (ii) to the Knowledge of Seller, no counterparty is in breach of or in default in any material respect under any Retail Lease.  </w:t>
      </w:r>
      <w:bookmarkStart w:id="3323" w:name="_cp_change_1098"/>
      <w:bookmarkEnd w:id="3323"/>
      <w:r>
        <w:rPr>
          <w:rFonts w:ascii="Times New Roman;Times;serif" w:hAnsi="Times New Roman;Times;serif"/>
          <w:sz w:val="24"/>
        </w:rPr>
        <w:t>Each Retail Lease is in full force and effect, and none of Seller Guarantor, the Company or any of their respective Subsidiaries, nor, to the Knowledge of Seller, any other party to any Retail Lease, is in breach of or in default in any material respect under any Retail Lease.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3324" w:name="_Ref228342418"/>
      <w:bookmarkStart w:id="3325" w:name="_Ref225378994"/>
      <w:bookmarkStart w:id="3326" w:name="_Toc235204880"/>
      <w:bookmarkStart w:id="3327" w:name="_Ref228379446"/>
      <w:bookmarkEnd w:id="3324"/>
      <w:bookmarkEnd w:id="3325"/>
      <w:bookmarkEnd w:id="3326"/>
      <w:bookmarkEnd w:id="3327"/>
      <w:r>
        <w:rPr>
          <w:rFonts w:ascii="Times New Roman;Times;serif" w:hAnsi="Times New Roman;Times;serif"/>
          <w:sz w:val="24"/>
        </w:rPr>
        <w:t xml:space="preserve">Prior to the Closing, Seller or one of its Affiliates has separately demised, the Real Properties set forth on </w:t>
      </w:r>
      <w:r>
        <w:rPr>
          <w:rFonts w:ascii="Times New Roman;Times;serif" w:hAnsi="Times New Roman;Times;serif"/>
          <w:sz w:val="24"/>
          <w:u w:val="single"/>
        </w:rPr>
        <w:t>Schedule 3.19(e)</w:t>
      </w:r>
      <w:r>
        <w:rPr>
          <w:rFonts w:ascii="Times New Roman;Times;serif" w:hAnsi="Times New Roman;Times;serif"/>
          <w:sz w:val="24"/>
        </w:rPr>
        <w:t>, including, (i) constructing a demising wall between each such Real Property and the premises retained by Seller of one of its Affiliates, (ii) installing an exterior storefront with a separate entrance to the showroom of such Real Properties, and (iii) installing Seller’s prototypical signage on the exterior of such Real Properties (the “</w:t>
      </w:r>
      <w:r>
        <w:rPr>
          <w:rFonts w:ascii="Times New Roman;Times;serif" w:hAnsi="Times New Roman;Times;serif"/>
          <w:sz w:val="24"/>
          <w:u w:val="single"/>
        </w:rPr>
        <w:t>Pre-Closing Seller Premises Division Work</w:t>
      </w:r>
      <w:r>
        <w:rPr>
          <w:rFonts w:ascii="Times New Roman;Times;serif" w:hAnsi="Times New Roman;Times;serif"/>
          <w:sz w:val="24"/>
        </w:rPr>
        <w:t xml:space="preserve">”).  On or prior to the date hereof, Seller has delivered to Buyer true, complete, and correct copies of all invoices and other supporting documentation evidencing the In Process Division Costs.  Seller has obtained all Licenses required by applicable Law for the Pre-Closing Seller Premises Division Work and to allow the Company or its applicable Subsidiary to legally use, occupy and operate such Real Property as contemplated in the underlying Lease.  In addition, Seller or its applicable Affiliate has obtained the consent from the applicable landlord to conduct the Pre-Closing Seller Premises Division Work, to the extent required in the underlying Lease.  The Pre-Closing Seller Premises Division Work has been performed in all material respects in accordance with all applicable Laws and all Licenses required for the Pre-Closing Seller Premises Division Work have been signed off and closed out, or will be closed out within one hundred eighty days of the Closing.  Seller or one of its Affiliates has paid or will pay all contractors, vendors, suppliers and third parties for the Pre-Closing Seller Premises Division Work and there are no outstanding amounts due or payable for the Pre-Closing Seller Premises Division Work.  In addition, to the extent there are any landlord or subtenant allowances or contributions for the Pre-Closing Seller Premises Division Work, Seller or its applicable Affiliate has received all such allowances and contributions, or shall be entitled to receive such allowances and contributions to the extent they will be paid after the Closing.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3328" w:name="_Toc235204881"/>
      <w:bookmarkStart w:id="3329" w:name="_Ref228379511"/>
      <w:bookmarkStart w:id="3330" w:name="_9kR3WTr28BEJFCCJySZzx7DBC6sOQ9HC87ng6E8"/>
      <w:bookmarkEnd w:id="3328"/>
      <w:bookmarkEnd w:id="3329"/>
      <w:bookmarkEnd w:id="3330"/>
      <w:r>
        <w:rPr>
          <w:rFonts w:ascii="Times New Roman;Times;serif" w:hAnsi="Times New Roman;Times;serif"/>
          <w:sz w:val="24"/>
        </w:rPr>
        <w:t xml:space="preserve">Prior to the Closing, Seller or one of its Affiliates has taken concrete steps to separately demise the Real Properties set forth on </w:t>
      </w:r>
      <w:r>
        <w:rPr>
          <w:rFonts w:ascii="Times New Roman;Times;serif" w:hAnsi="Times New Roman;Times;serif"/>
          <w:sz w:val="24"/>
          <w:u w:val="single"/>
        </w:rPr>
        <w:t>Schedule 3.19(f)</w:t>
      </w:r>
      <w:r>
        <w:rPr>
          <w:rFonts w:ascii="Times New Roman;Times;serif" w:hAnsi="Times New Roman;Times;serif"/>
          <w:sz w:val="24"/>
        </w:rPr>
        <w:t xml:space="preserve">.  With respect to each such Real Property, </w:t>
      </w:r>
      <w:r>
        <w:rPr>
          <w:rFonts w:ascii="Times New Roman;Times;serif" w:hAnsi="Times New Roman;Times;serif"/>
          <w:sz w:val="24"/>
          <w:u w:val="single"/>
        </w:rPr>
        <w:t>Schedule 3.19(f)</w:t>
      </w:r>
      <w:r>
        <w:rPr>
          <w:rFonts w:ascii="Times New Roman;Times;serif" w:hAnsi="Times New Roman;Times;serif"/>
          <w:sz w:val="24"/>
        </w:rPr>
        <w:t xml:space="preserve"> sets forth a true, complete and correct list of the material steps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taken by Seller to effect such premises division and the out-of-pocket costs and expenses actually paid by Seller prior to the date hereof in connection with such steps (such costs with respect to each such Real Property, the “</w:t>
      </w:r>
      <w:r>
        <w:rPr>
          <w:rFonts w:ascii="Times New Roman;Times;serif" w:hAnsi="Times New Roman;Times;serif"/>
          <w:sz w:val="24"/>
          <w:u w:val="single"/>
        </w:rPr>
        <w:t>In Process Division Costs</w:t>
      </w:r>
      <w:r>
        <w:rPr>
          <w:rFonts w:ascii="Times New Roman;Times;serif" w:hAnsi="Times New Roman;Times;serif"/>
          <w:sz w:val="24"/>
        </w:rPr>
        <w:t>”).  Seller has made available to Buyer true, complete and correct copies of such invoices and other reasonable supporting documentation in its possession evidencing the payment of the In Process Division Costs.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3331" w:name="_Toc235204882"/>
      <w:bookmarkEnd w:id="3331"/>
      <w:r>
        <w:rPr>
          <w:rFonts w:ascii="Times New Roman;Times;serif" w:hAnsi="Times New Roman;Times;serif"/>
          <w:sz w:val="24"/>
          <w:u w:val="single"/>
        </w:rPr>
        <w:t>Schedule 3.19(g)</w:t>
      </w:r>
      <w:r>
        <w:rPr>
          <w:rFonts w:ascii="Times New Roman;Times;serif" w:hAnsi="Times New Roman;Times;serif"/>
          <w:sz w:val="24"/>
        </w:rPr>
        <w:t xml:space="preserve"> sets forth a list of all guarantees provided by Seller or any of its Affiliates (including the Company and its Subsidiaries) with respect to any of the Leased Real Property.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3.20</w:t>
      </w:r>
      <w:bookmarkStart w:id="3332" w:name="_Toc235366511"/>
      <w:bookmarkStart w:id="3333" w:name="_Toc235204883"/>
      <w:bookmarkStart w:id="3334" w:name="_Toc235142694"/>
      <w:bookmarkStart w:id="3335" w:name="_Toc228481578"/>
      <w:bookmarkStart w:id="3336" w:name="_Ref226589040"/>
      <w:bookmarkStart w:id="3337" w:name="_Ref225847587"/>
      <w:bookmarkStart w:id="3338" w:name="_Ref83652537"/>
      <w:bookmarkStart w:id="3339" w:name="_Toc892113"/>
      <w:bookmarkStart w:id="3340" w:name="_Ref507269735"/>
      <w:bookmarkStart w:id="3341" w:name="_Ref507269494"/>
      <w:bookmarkStart w:id="3342" w:name="_Toc465317298"/>
      <w:bookmarkStart w:id="3343" w:name="_Toc464684554"/>
      <w:bookmarkStart w:id="3344" w:name="_Toc464561863"/>
      <w:bookmarkStart w:id="3345" w:name="_Toc440773751"/>
      <w:bookmarkStart w:id="3346" w:name="_Ref440767656"/>
      <w:bookmarkStart w:id="3347" w:name="_Toc440766886"/>
      <w:bookmarkStart w:id="3348" w:name="_Toc440765298"/>
      <w:bookmarkStart w:id="3349" w:name="_Toc440764538"/>
      <w:bookmarkStart w:id="3350" w:name="_Toc440760978"/>
      <w:bookmarkStart w:id="3351" w:name="_Ref416487225"/>
      <w:bookmarkStart w:id="3352" w:name="_Ref416482875"/>
      <w:bookmarkStart w:id="3353" w:name="_Toc416469707"/>
      <w:bookmarkStart w:id="3354" w:name="_Toc128463282"/>
      <w:bookmarkStart w:id="3355" w:name="_Ref107629264"/>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r>
        <w:rPr>
          <w:rFonts w:ascii="Times New Roman;Times;serif" w:hAnsi="Times New Roman;Times;serif"/>
          <w:sz w:val="24"/>
          <w:u w:val="single"/>
        </w:rPr>
        <w:t>Environmental Matters</w:t>
      </w:r>
      <w:r>
        <w:rPr>
          <w:rFonts w:ascii="Times New Roman;Times;serif" w:hAnsi="Times New Roman;Times;serif"/>
          <w:sz w:val="24"/>
        </w:rPr>
        <w:t xml:space="preserve">. </w:t>
      </w:r>
      <w:bookmarkStart w:id="3356" w:name="_Ref137906103"/>
      <w:bookmarkStart w:id="3357" w:name="_Ref137904118"/>
      <w:bookmarkStart w:id="3358" w:name="_Toc128463283"/>
      <w:bookmarkStart w:id="3359" w:name="_Ref126477366"/>
      <w:bookmarkStart w:id="3360" w:name="_Ref107291143"/>
      <w:bookmarkStart w:id="3361" w:name="_Toc101210323"/>
      <w:bookmarkStart w:id="3362" w:name="_Ref76441330"/>
      <w:bookmarkStart w:id="3363" w:name="_Ref76391199"/>
      <w:bookmarkStart w:id="3364" w:name="_Ref75871650"/>
      <w:bookmarkStart w:id="3365" w:name="_Ref75822649"/>
      <w:bookmarkStart w:id="3366" w:name="_Ref23074420"/>
      <w:bookmarkStart w:id="3367" w:name="_Ref23061873"/>
      <w:bookmarkStart w:id="3368" w:name="_Ref22720751"/>
      <w:bookmarkStart w:id="3369" w:name="_Toc5181979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r>
        <w:rPr>
          <w:rFonts w:ascii="Times New Roman;Times;serif" w:hAnsi="Times New Roman;Times;serif"/>
          <w:sz w:val="24"/>
        </w:rPr>
        <w:t xml:space="preserve">Except as provided for in </w:t>
      </w:r>
      <w:r>
        <w:rPr>
          <w:rFonts w:ascii="Times New Roman;Times;serif" w:hAnsi="Times New Roman;Times;serif"/>
          <w:sz w:val="24"/>
          <w:u w:val="single"/>
        </w:rPr>
        <w:t>Schedule 3.20</w:t>
      </w:r>
      <w:r>
        <w:rPr>
          <w:rFonts w:ascii="Times New Roman;Times;serif" w:hAnsi="Times New Roman;Times;serif"/>
          <w:sz w:val="24"/>
        </w:rPr>
        <w:t>: (a) neither the Company nor any of its Subsidiaries has received any written notice from any Government Entity or any other Person alleging either that the Company or any of its Subsidiaries is in material violation of any Environmental Law, which material violation remains uncured, or that the Company or any of its Subsidiaries has any material Liability arising under any Environmental Law, which material Liability remains unresolved; (b) neither the Company nor any of its Subsidiaries has any material Liability under any Environmental Law with respect to any manufacture, distribution, disposal or releases of, contamination by or exposure of Hazardous Substances; (c) each of the Company and its Subsidiaries has at all times complied, and is currently in compliance, in all material respects with all applicable Environmental Laws, including with respect to all material Licenses required pursuant to any Environmental Laws for the occupancy of its properties or facilities or the operation of its business; (d) neither the Company nor any of its Subsidiaries has treated, stored, disposed of, arranged for the disposal of, transported, handled, exposed any Person to or released any Hazardous Substance, or owned or operated any facility or property contaminated by a Hazardous Substance, so as to give rise to any current or future Liabilities pursuant to Environmental Law that would be material to the Company and its Subsidiaries taken as a whole; (e) the Company has not assumed by Contract or operation of Law, undertaken, provided an indemnity with respect to, or otherwise become subject to any Liability of any other Person relating to any Environmental Laws or Hazardous Substances that would be material to the Company and its Subsidiaries taken as a whole; (f) there is no Claim pending, or to the Knowledge of Seller, threatened, against the Company or any of its Subsidiaries relating to noncompliance with, or Liabilities pursuant to, Environmental Law that would have, or is reasonably likely to have, a Material Adverse Effect on the Company or any of its Subsidiaries.  Seller has furnished to Buyer true, complete and correct copies of all phase I and phase II environmental assessments, environmental audits, reports, correspondence with Government Entities, and other material environmental documents in the Company or its Subsidiaries’ possession or control relating to the Company or its Subsidiaries, former or current properties, facilities, operations or businesses.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3.21</w:t>
      </w:r>
      <w:bookmarkStart w:id="3370" w:name="_Toc235366512"/>
      <w:bookmarkStart w:id="3371" w:name="_Toc235204884"/>
      <w:bookmarkStart w:id="3372" w:name="_Toc235142695"/>
      <w:bookmarkStart w:id="3373" w:name="_Ref232602317"/>
      <w:bookmarkStart w:id="3374" w:name="_Toc228481579"/>
      <w:bookmarkStart w:id="3375" w:name="_9kR3WTr28BEJHEDCL7jnuvlx2dlzwF3o8FBHM"/>
      <w:bookmarkStart w:id="3376" w:name="_Ref436578783"/>
      <w:bookmarkStart w:id="3377" w:name="_Ref436578670"/>
      <w:bookmarkStart w:id="3378" w:name="_Ref83652538"/>
      <w:bookmarkStart w:id="3379" w:name="_Toc892114"/>
      <w:bookmarkStart w:id="3380" w:name="_Ref507269736"/>
      <w:bookmarkStart w:id="3381" w:name="_Ref507269495"/>
      <w:bookmarkStart w:id="3382" w:name="_Toc465317299"/>
      <w:bookmarkStart w:id="3383" w:name="_Toc464684555"/>
      <w:bookmarkStart w:id="3384" w:name="_Toc464561864"/>
      <w:bookmarkStart w:id="3385" w:name="_Toc440773752"/>
      <w:bookmarkStart w:id="3386" w:name="_Ref440767657"/>
      <w:bookmarkStart w:id="3387" w:name="_Toc440766887"/>
      <w:bookmarkStart w:id="3388" w:name="_Toc440765299"/>
      <w:bookmarkStart w:id="3389" w:name="_Toc440764539"/>
      <w:bookmarkStart w:id="3390" w:name="_Toc440760979"/>
      <w:bookmarkStart w:id="3391" w:name="_Ref416482876"/>
      <w:bookmarkStart w:id="3392" w:name="_Toc416469708"/>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r>
        <w:rPr>
          <w:rFonts w:ascii="Times New Roman;Times;serif" w:hAnsi="Times New Roman;Times;serif"/>
          <w:sz w:val="24"/>
          <w:u w:val="single"/>
        </w:rPr>
        <w:t>Affiliate Transactions</w:t>
      </w:r>
      <w:r>
        <w:rPr>
          <w:rFonts w:ascii="Times New Roman;Times;serif" w:hAnsi="Times New Roman;Times;serif"/>
          <w:sz w:val="24"/>
        </w:rPr>
        <w:t>.</w:t>
      </w:r>
      <w:bookmarkStart w:id="3393" w:name="_Ref126719805"/>
      <w:bookmarkStart w:id="3394" w:name="_Ref23074204"/>
      <w:bookmarkStart w:id="3395" w:name="_Ref137830470"/>
      <w:bookmarkEnd w:id="3393"/>
      <w:bookmarkEnd w:id="3394"/>
      <w:bookmarkEnd w:id="3395"/>
      <w:r>
        <w:rPr>
          <w:rFonts w:ascii="Times New Roman;Times;serif" w:hAnsi="Times New Roman;Times;serif"/>
          <w:sz w:val="24"/>
        </w:rPr>
        <w:t xml:space="preserve">  Neither Seller nor any of its Affiliates (excluding the Company and its Subsidiaries (other than the Excluded Entities)) or any of Seller’s or any of its Affiliates (including the Company and its Subsidiaries) respective current or former directors, officers, partners, members, equityholders or employees, or any spouse, children, parents and siblings and any trust of any of the foregoing or other entity formed solely for the benefit of such person or such person’s spouse, children, parents or sibling (each, a “</w:t>
      </w:r>
      <w:r>
        <w:rPr>
          <w:rFonts w:ascii="Times New Roman;Times;serif" w:hAnsi="Times New Roman;Times;serif"/>
          <w:sz w:val="24"/>
          <w:u w:val="single"/>
        </w:rPr>
        <w:t>Company Affiliate</w:t>
      </w:r>
      <w:r>
        <w:rPr>
          <w:rFonts w:ascii="Times New Roman;Times;serif" w:hAnsi="Times New Roman;Times;serif"/>
          <w:sz w:val="24"/>
        </w:rPr>
        <w:t xml:space="preserve">”), </w:t>
      </w:r>
      <w:bookmarkStart w:id="3396" w:name="DocXTextRef246"/>
      <w:bookmarkEnd w:id="3396"/>
      <w:r>
        <w:rPr>
          <w:rFonts w:ascii="Times New Roman;Times;serif" w:hAnsi="Times New Roman;Times;serif"/>
          <w:sz w:val="24"/>
        </w:rPr>
        <w:t>(a) is a party to or otherwise bound by any Contract with the Company or any of its Subsidiaries (other than the Excluded Entities) or that pertains to the Business, other than any employment, non-</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rFonts w:ascii="Times New Roman;Times;serif" w:hAnsi="Times New Roman;Times;serif"/>
          <w:b w:val="false"/>
          <w:i w:val="false"/>
          <w:caps w:val="false"/>
          <w:smallCaps w:val="false"/>
          <w:sz w:val="24"/>
        </w:rPr>
        <w:t>competition, confidentiality or other similar agreements between the Company or any of its Subsidiaries and any Person who is an officer, director, manager or employee of the Company or any of its Subsidiaries (each, an “</w:t>
      </w:r>
      <w:r>
        <w:rPr>
          <w:rFonts w:ascii="Times New Roman;Times;serif" w:hAnsi="Times New Roman;Times;serif"/>
          <w:b w:val="false"/>
          <w:i w:val="false"/>
          <w:caps w:val="false"/>
          <w:smallCaps w:val="false"/>
          <w:sz w:val="24"/>
          <w:u w:val="single"/>
        </w:rPr>
        <w:t>Affiliate Agreement</w:t>
      </w:r>
      <w:r>
        <w:rPr>
          <w:caps w:val="false"/>
          <w:smallCaps w:val="false"/>
        </w:rPr>
        <w:t>”</w:t>
      </w:r>
      <w:r>
        <w:rPr>
          <w:rFonts w:ascii="Times New Roman;Times;serif" w:hAnsi="Times New Roman;Times;serif"/>
          <w:b w:val="false"/>
          <w:i w:val="false"/>
          <w:caps w:val="false"/>
          <w:smallCaps w:val="false"/>
          <w:sz w:val="24"/>
        </w:rPr>
        <w:t xml:space="preserve">), </w:t>
      </w:r>
      <w:bookmarkStart w:id="3397" w:name="_9kR3WTrAGBEFIJDCmggsur8CAG7pyAC3FHBLHIO"/>
      <w:bookmarkStart w:id="3398" w:name="DocXTextRef247"/>
      <w:bookmarkEnd w:id="3397"/>
      <w:bookmarkEnd w:id="3398"/>
      <w:r>
        <w:rPr>
          <w:rFonts w:ascii="Times New Roman;Times;serif" w:hAnsi="Times New Roman;Times;serif"/>
          <w:b w:val="false"/>
          <w:i w:val="false"/>
          <w:caps w:val="false"/>
          <w:smallCaps w:val="false"/>
          <w:sz w:val="24"/>
        </w:rPr>
        <w:t>(b)</w:t>
      </w:r>
      <w:r>
        <w:rPr>
          <w:caps w:val="false"/>
          <w:smallCaps w:val="false"/>
        </w:rPr>
        <w:t xml:space="preserve"> </w:t>
      </w:r>
      <w:r>
        <w:rPr>
          <w:rFonts w:ascii="Times New Roman;Times;serif" w:hAnsi="Times New Roman;Times;serif"/>
          <w:b w:val="false"/>
          <w:i w:val="false"/>
          <w:caps w:val="false"/>
          <w:smallCaps w:val="false"/>
          <w:sz w:val="24"/>
        </w:rPr>
        <w:t>has borrowed money from or loaned money to the Company or any of its Subsidiaries,</w:t>
      </w:r>
      <w:r>
        <w:rPr>
          <w:caps w:val="false"/>
          <w:smallCaps w:val="false"/>
        </w:rPr>
        <w:t xml:space="preserve"> </w:t>
      </w:r>
      <w:bookmarkStart w:id="3399" w:name="DocXTextRef248"/>
      <w:bookmarkStart w:id="3400" w:name="_9kR3WTrAGBEGAADCnhgsz2xvwtD5rrozOQ42A6z"/>
      <w:bookmarkEnd w:id="3399"/>
      <w:bookmarkEnd w:id="3400"/>
      <w:r>
        <w:rPr>
          <w:rFonts w:ascii="Times New Roman;Times;serif" w:hAnsi="Times New Roman;Times;serif"/>
          <w:b w:val="false"/>
          <w:i w:val="false"/>
          <w:caps w:val="false"/>
          <w:smallCaps w:val="false"/>
          <w:sz w:val="24"/>
        </w:rPr>
        <w:t>(c) has guaranteed any obligations of, or has any of its obligations guaranteed by, the Company or any of its Subsidiaries,</w:t>
      </w:r>
      <w:r>
        <w:rPr>
          <w:caps w:val="false"/>
          <w:smallCaps w:val="false"/>
        </w:rPr>
        <w:t xml:space="preserve"> </w:t>
      </w:r>
      <w:bookmarkStart w:id="3401" w:name="_9kR3WTrAGBEGBBDCoigstpE4srp29F4o7QB8Axv"/>
      <w:bookmarkEnd w:id="3401"/>
      <w:r>
        <w:rPr>
          <w:rFonts w:ascii="Times New Roman;Times;serif" w:hAnsi="Times New Roman;Times;serif"/>
          <w:b w:val="false"/>
          <w:i w:val="false"/>
          <w:caps w:val="false"/>
          <w:smallCaps w:val="false"/>
          <w:sz w:val="24"/>
        </w:rPr>
        <w:t>(d)</w:t>
      </w:r>
      <w:r>
        <w:rPr>
          <w:caps w:val="false"/>
          <w:smallCaps w:val="false"/>
        </w:rPr>
        <w:t xml:space="preserve"> </w:t>
      </w:r>
      <w:r>
        <w:rPr>
          <w:rFonts w:ascii="Times New Roman;Times;serif" w:hAnsi="Times New Roman;Times;serif"/>
          <w:b w:val="false"/>
          <w:i w:val="false"/>
          <w:caps w:val="false"/>
          <w:smallCaps w:val="false"/>
          <w:sz w:val="24"/>
        </w:rPr>
        <w:t>has any claim or cause of action against the Company or any of its Subsidiaries or their respective businesses or</w:t>
      </w:r>
      <w:r>
        <w:rPr>
          <w:caps w:val="false"/>
          <w:smallCaps w:val="false"/>
        </w:rPr>
        <w:t xml:space="preserve"> </w:t>
      </w:r>
      <w:bookmarkStart w:id="3402" w:name="_9kR3WTrAGBEGCCDCpq9965six23EE8s451QIx8K"/>
      <w:bookmarkStart w:id="3403" w:name="DocXTextRef249"/>
      <w:bookmarkEnd w:id="3402"/>
      <w:bookmarkEnd w:id="3403"/>
      <w:r>
        <w:rPr>
          <w:rFonts w:ascii="Times New Roman;Times;serif" w:hAnsi="Times New Roman;Times;serif"/>
          <w:b w:val="false"/>
          <w:i w:val="false"/>
          <w:caps w:val="false"/>
          <w:smallCaps w:val="false"/>
          <w:sz w:val="24"/>
        </w:rPr>
        <w:t>(e)</w:t>
      </w:r>
      <w:r>
        <w:rPr>
          <w:caps w:val="false"/>
          <w:smallCaps w:val="false"/>
        </w:rPr>
        <w:t> </w:t>
      </w:r>
      <w:r>
        <w:rPr>
          <w:rFonts w:ascii="Times New Roman;Times;serif" w:hAnsi="Times New Roman;Times;serif"/>
          <w:b w:val="false"/>
          <w:i w:val="false"/>
          <w:caps w:val="false"/>
          <w:smallCaps w:val="false"/>
          <w:sz w:val="24"/>
        </w:rPr>
        <w:t xml:space="preserve">owns, leases, or has any economic or other right, license, title or interest in or to any asset, that is owned, used, or held for use by or necessary or material to the operation of the Business as currently conducted, other than any Leases set forth on </w:t>
      </w:r>
      <w:r>
        <w:rPr>
          <w:rFonts w:ascii="Times New Roman;Times;serif" w:hAnsi="Times New Roman;Times;serif"/>
          <w:b w:val="false"/>
          <w:i w:val="false"/>
          <w:caps w:val="false"/>
          <w:smallCaps w:val="false"/>
          <w:sz w:val="24"/>
          <w:u w:val="single"/>
        </w:rPr>
        <w:t>Schedule 3.19(b)(i)</w:t>
      </w:r>
      <w:r>
        <w:rPr>
          <w:caps w:val="false"/>
          <w:smallCaps w:val="false"/>
        </w:rPr>
        <w:t xml:space="preserve"> </w:t>
      </w:r>
      <w:r>
        <w:rPr>
          <w:rFonts w:ascii="Times New Roman;Times;serif" w:hAnsi="Times New Roman;Times;serif"/>
          <w:b w:val="false"/>
          <w:i w:val="false"/>
          <w:caps w:val="false"/>
          <w:smallCaps w:val="false"/>
          <w:sz w:val="24"/>
        </w:rPr>
        <w:t>in which a Company Affiliate is the landlord (</w:t>
      </w:r>
      <w:bookmarkStart w:id="3404" w:name="_9kMHG5YVtCIDGHKLFEoiiuwtAECI9r0CE5HJDNJ"/>
      <w:bookmarkEnd w:id="3404"/>
      <w:r>
        <w:rPr>
          <w:rFonts w:ascii="Times New Roman;Times;serif" w:hAnsi="Times New Roman;Times;serif"/>
          <w:b w:val="false"/>
          <w:i w:val="false"/>
          <w:caps w:val="false"/>
          <w:smallCaps w:val="false"/>
          <w:sz w:val="24"/>
        </w:rPr>
        <w:t xml:space="preserve">clauses (b), </w:t>
      </w:r>
      <w:bookmarkStart w:id="3405" w:name="_9kMHG5YVtCIDGICCFEpjiu14zxyvF7ttq1QS64C"/>
      <w:bookmarkStart w:id="3406" w:name="DocXTextRef250"/>
      <w:bookmarkEnd w:id="3405"/>
      <w:bookmarkEnd w:id="3406"/>
      <w:r>
        <w:rPr>
          <w:rFonts w:ascii="Times New Roman;Times;serif" w:hAnsi="Times New Roman;Times;serif"/>
          <w:b w:val="false"/>
          <w:i w:val="false"/>
          <w:caps w:val="false"/>
          <w:smallCaps w:val="false"/>
          <w:sz w:val="24"/>
        </w:rPr>
        <w:t xml:space="preserve">(c), </w:t>
      </w:r>
      <w:bookmarkStart w:id="3407" w:name="_9kMHG5YVtCIDGIDDFEqkiuvrG6utr4BH6q9SDAC"/>
      <w:bookmarkStart w:id="3408" w:name="DocXTextRef251"/>
      <w:bookmarkEnd w:id="3407"/>
      <w:bookmarkEnd w:id="3408"/>
      <w:r>
        <w:rPr>
          <w:rFonts w:ascii="Times New Roman;Times;serif" w:hAnsi="Times New Roman;Times;serif"/>
          <w:b w:val="false"/>
          <w:i w:val="false"/>
          <w:caps w:val="false"/>
          <w:smallCaps w:val="false"/>
          <w:sz w:val="24"/>
        </w:rPr>
        <w:t>(d)</w:t>
      </w:r>
      <w:r>
        <w:rPr>
          <w:caps w:val="false"/>
          <w:smallCaps w:val="false"/>
        </w:rPr>
        <w:t xml:space="preserve"> </w:t>
      </w:r>
      <w:r>
        <w:rPr>
          <w:rFonts w:ascii="Times New Roman;Times;serif" w:hAnsi="Times New Roman;Times;serif"/>
          <w:b w:val="false"/>
          <w:i w:val="false"/>
          <w:caps w:val="false"/>
          <w:smallCaps w:val="false"/>
          <w:sz w:val="24"/>
        </w:rPr>
        <w:t>and</w:t>
      </w:r>
      <w:r>
        <w:rPr>
          <w:caps w:val="false"/>
          <w:smallCaps w:val="false"/>
        </w:rPr>
        <w:t xml:space="preserve"> </w:t>
      </w:r>
      <w:bookmarkStart w:id="3409" w:name="_9kMHG5YVtCIDGIEEFErsBB87ukz45GGAu673SKz"/>
      <w:bookmarkEnd w:id="3409"/>
      <w:r>
        <w:rPr>
          <w:rFonts w:ascii="Times New Roman;Times;serif" w:hAnsi="Times New Roman;Times;serif"/>
          <w:b w:val="false"/>
          <w:i w:val="false"/>
          <w:caps w:val="false"/>
          <w:smallCaps w:val="false"/>
          <w:sz w:val="24"/>
        </w:rPr>
        <w:t>(e), together with the Affiliate Agreements, collectively the “</w:t>
      </w:r>
      <w:r>
        <w:rPr>
          <w:rFonts w:ascii="Times New Roman;Times;serif" w:hAnsi="Times New Roman;Times;serif"/>
          <w:b w:val="false"/>
          <w:i w:val="false"/>
          <w:caps w:val="false"/>
          <w:smallCaps w:val="false"/>
          <w:sz w:val="24"/>
          <w:u w:val="single"/>
        </w:rPr>
        <w:t>Affiliate Transactions</w:t>
      </w:r>
      <w:r>
        <w:rPr>
          <w:caps w:val="false"/>
          <w:smallCaps w:val="false"/>
        </w:rPr>
        <w:t>”</w:t>
      </w:r>
      <w:r>
        <w:rPr>
          <w:rFonts w:ascii="Times New Roman;Times;serif" w:hAnsi="Times New Roman;Times;serif"/>
          <w:b w:val="false"/>
          <w:i w:val="false"/>
          <w:caps w:val="false"/>
          <w:smallCaps w:val="false"/>
          <w:sz w:val="24"/>
        </w:rPr>
        <w:t>).</w:t>
      </w:r>
      <w:r>
        <w:rPr>
          <w:caps w:val="false"/>
          <w:smallCaps w:val="false"/>
        </w:rPr>
        <w:t xml:space="preserve">  </w:t>
      </w:r>
      <w:r>
        <w:rPr>
          <w:rFonts w:ascii="Times New Roman;Times;serif" w:hAnsi="Times New Roman;Times;serif"/>
          <w:b w:val="false"/>
          <w:i w:val="false"/>
          <w:caps w:val="false"/>
          <w:smallCaps w:val="false"/>
          <w:sz w:val="24"/>
        </w:rPr>
        <w:t>As of the Closing, there will be no outstanding or unsatisfied Liabilities of any kind (including inter-company accounts, notes, guarantees, loans, or advances) between or among the Company or any of its Subsidiaries, on the one hand, and a Company Affiliate, on the other hand.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3.22</w:t>
      </w:r>
      <w:bookmarkStart w:id="3410" w:name="_Toc235366513"/>
      <w:bookmarkStart w:id="3411" w:name="_Toc235204885"/>
      <w:bookmarkStart w:id="3412" w:name="_Toc235142696"/>
      <w:bookmarkStart w:id="3413" w:name="_Ref231499324"/>
      <w:bookmarkStart w:id="3414" w:name="_Toc228481580"/>
      <w:bookmarkStart w:id="3415" w:name="_9kR3WTr28BEJIFDDUN4CCtqtl"/>
      <w:bookmarkStart w:id="3416" w:name="_Ref225235935"/>
      <w:bookmarkStart w:id="3417" w:name="_Ref224842650"/>
      <w:bookmarkStart w:id="3418" w:name="_Ref464614701"/>
      <w:bookmarkStart w:id="3419" w:name="_Ref83652539"/>
      <w:bookmarkStart w:id="3420" w:name="_Toc892115"/>
      <w:bookmarkStart w:id="3421" w:name="_Ref416486629"/>
      <w:bookmarkStart w:id="3422" w:name="_Ref507269737"/>
      <w:bookmarkStart w:id="3423" w:name="_Ref507269496"/>
      <w:bookmarkStart w:id="3424" w:name="_Toc465317300"/>
      <w:bookmarkStart w:id="3425" w:name="_Toc464684556"/>
      <w:bookmarkStart w:id="3426" w:name="_Toc464561865"/>
      <w:bookmarkStart w:id="3427" w:name="_Toc440773753"/>
      <w:bookmarkStart w:id="3428" w:name="_Ref440767658"/>
      <w:bookmarkStart w:id="3429" w:name="_Toc440766888"/>
      <w:bookmarkStart w:id="3430" w:name="_Toc440765300"/>
      <w:bookmarkStart w:id="3431" w:name="_Toc440764540"/>
      <w:bookmarkStart w:id="3432" w:name="_Toc440760980"/>
      <w:bookmarkStart w:id="3433" w:name="_Ref416487180"/>
      <w:bookmarkStart w:id="3434" w:name="_Ref416486642"/>
      <w:bookmarkStart w:id="3435" w:name="_Ref416482859"/>
      <w:bookmarkStart w:id="3436" w:name="_Toc416469702"/>
      <w:bookmarkStart w:id="3437" w:name="_Toc128463278"/>
      <w:bookmarkStart w:id="3438" w:name="_Toc101210318"/>
      <w:bookmarkStart w:id="3439" w:name="_Ref75812269"/>
      <w:bookmarkStart w:id="3440" w:name="_Ref23061849"/>
      <w:bookmarkStart w:id="3441" w:name="_Ref22720106"/>
      <w:bookmarkStart w:id="3442" w:name="_Toc518197950"/>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r>
        <w:rPr>
          <w:rFonts w:ascii="Times New Roman;Times;serif" w:hAnsi="Times New Roman;Times;serif"/>
          <w:sz w:val="24"/>
          <w:u w:val="single"/>
        </w:rPr>
        <w:t>Insurance</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443" w:name="_Toc235204886"/>
      <w:bookmarkStart w:id="3444" w:name="_Ref234063317"/>
      <w:bookmarkEnd w:id="3443"/>
      <w:bookmarkEnd w:id="3444"/>
      <w:r>
        <w:rPr>
          <w:rFonts w:ascii="Times New Roman;Times;serif" w:hAnsi="Times New Roman;Times;serif"/>
          <w:sz w:val="24"/>
          <w:u w:val="single"/>
        </w:rPr>
        <w:t>Schedule 3.22(a)</w:t>
      </w:r>
      <w:r>
        <w:rPr>
          <w:rFonts w:ascii="Times New Roman;Times;serif" w:hAnsi="Times New Roman;Times;serif"/>
          <w:sz w:val="24"/>
        </w:rPr>
        <w:t xml:space="preserve"> sets forth a true, complete and correct list of each insurance policy including captive, fronting or self-insurance arrangement (each, an “</w:t>
      </w:r>
      <w:r>
        <w:rPr>
          <w:rFonts w:ascii="Times New Roman;Times;serif" w:hAnsi="Times New Roman;Times;serif"/>
          <w:sz w:val="24"/>
          <w:u w:val="single"/>
        </w:rPr>
        <w:t>Insurance Policy</w:t>
      </w:r>
      <w:r>
        <w:rPr>
          <w:rFonts w:ascii="Times New Roman;Times;serif" w:hAnsi="Times New Roman;Times;serif"/>
          <w:sz w:val="24"/>
        </w:rPr>
        <w:t xml:space="preserve">”) that insure the property or business of the Company or any of its Subsidiaries that is currently in effect.  With respect to each occurrence based Insurance Policy set forth on </w:t>
      </w:r>
      <w:r>
        <w:rPr>
          <w:rFonts w:ascii="Times New Roman;Times;serif" w:hAnsi="Times New Roman;Times;serif"/>
          <w:sz w:val="24"/>
          <w:u w:val="single"/>
        </w:rPr>
        <w:t>Schedule 3.22(a)</w:t>
      </w:r>
      <w:r>
        <w:rPr>
          <w:rFonts w:ascii="Times New Roman;Times;serif" w:hAnsi="Times New Roman;Times;serif"/>
          <w:sz w:val="24"/>
        </w:rPr>
        <w:t xml:space="preserve"> which is not a currently active policy, the remaining policy limits thereunder are set forth next to the description of such Insurance Policy on </w:t>
      </w:r>
      <w:r>
        <w:rPr>
          <w:rFonts w:ascii="Times New Roman;Times;serif" w:hAnsi="Times New Roman;Times;serif"/>
          <w:sz w:val="24"/>
          <w:u w:val="single"/>
        </w:rPr>
        <w:t>Schedule 3.22(a)</w:t>
      </w:r>
      <w:r>
        <w:rPr>
          <w:rFonts w:ascii="Times New Roman;Times;serif" w:hAnsi="Times New Roman;Times;serif"/>
          <w:sz w:val="24"/>
        </w:rPr>
        <w:t>.  Complete copies of such Insurance Policies have been made available to Buyer.  All premiums due and payable under the Insurance Policies have been timely paid or accrued, and neither the Company nor any of its Subsidiaries is in material default under any Insurance Policy.  As of the date of this Agreement, the Company and its Subsidiaries has not received any written notice or other written communication regarding: (i) cancellation, termination, avoidance, rescission, or non-renewal of any policy or (ii) any insurer’s denial of coverage or reservation of the right to deny coverage for any material claim or loss under any policy.  </w:t>
      </w:r>
      <w:bookmarkStart w:id="3445" w:name="_cp_change_1138"/>
      <w:bookmarkEnd w:id="3445"/>
      <w:r>
        <w:rPr>
          <w:rFonts w:ascii="Times New Roman;Times;serif" w:hAnsi="Times New Roman;Times;serif"/>
          <w:sz w:val="24"/>
        </w:rPr>
        <w:t>The Company and its Subsidiaries have reported in a timely manner all reportable events to its insurers and as of the date of this Agreement, there are no claims or losses under any Insurance Policy which are reasonably likely to exhaust the applicable limit of liability of such Insurance Policy.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446" w:name="_Ref231493699"/>
      <w:bookmarkStart w:id="3447" w:name="_Toc235204887"/>
      <w:bookmarkStart w:id="3448" w:name="_Ref231499325"/>
      <w:bookmarkEnd w:id="3446"/>
      <w:bookmarkEnd w:id="3447"/>
      <w:bookmarkEnd w:id="3448"/>
      <w:r>
        <w:rPr>
          <w:rFonts w:ascii="Times New Roman;Times;serif" w:hAnsi="Times New Roman;Times;serif"/>
          <w:sz w:val="24"/>
          <w:u w:val="single"/>
        </w:rPr>
        <w:t>Schedule 3.22(b)(i)</w:t>
      </w:r>
      <w:r>
        <w:rPr>
          <w:rFonts w:ascii="Times New Roman;Times;serif" w:hAnsi="Times New Roman;Times;serif"/>
          <w:sz w:val="24"/>
        </w:rPr>
        <w:t xml:space="preserve"> sets forth a true, complete and correct list of all pending Claims involving the Company or any of its Subsidiaries of the type described on </w:t>
      </w:r>
      <w:r>
        <w:rPr>
          <w:rFonts w:ascii="Times New Roman;Times;serif" w:hAnsi="Times New Roman;Times;serif"/>
          <w:sz w:val="24"/>
          <w:u w:val="single"/>
        </w:rPr>
        <w:t>Schedule 3.22(b)(ii)</w:t>
      </w:r>
      <w:r>
        <w:rPr>
          <w:rFonts w:ascii="Times New Roman;Times;serif" w:hAnsi="Times New Roman;Times;serif"/>
          <w:sz w:val="24"/>
        </w:rPr>
        <w:t>, including whether insurance coverage is available therefor.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3449" w:name="_Toc235204888"/>
      <w:bookmarkStart w:id="3450" w:name="_Ref231501141"/>
      <w:bookmarkEnd w:id="3449"/>
      <w:bookmarkEnd w:id="3450"/>
      <w:r>
        <w:rPr>
          <w:rFonts w:ascii="Times New Roman;Times;serif" w:hAnsi="Times New Roman;Times;serif"/>
          <w:sz w:val="24"/>
        </w:rPr>
        <w:t>The captive insurance program operated by Colchester (the “</w:t>
      </w:r>
      <w:r>
        <w:rPr>
          <w:rFonts w:ascii="Times New Roman;Times;serif" w:hAnsi="Times New Roman;Times;serif"/>
          <w:sz w:val="24"/>
          <w:u w:val="single"/>
        </w:rPr>
        <w:t>Captive Insurance Program</w:t>
      </w:r>
      <w:r>
        <w:rPr>
          <w:rFonts w:ascii="Times New Roman;Times;serif" w:hAnsi="Times New Roman;Times;serif"/>
          <w:sz w:val="24"/>
        </w:rPr>
        <w:t>”) is actuarially sound, and the historic premiums, fees and other amounts charged or allocated under or in connection with the Captive Insurance Program are, and for the past three years have been, sufficient to fund the losses, loss adjustment expenses, operating costs and regulatory capital requirements of Colchester, in each case in all material respects.  </w:t>
      </w:r>
      <w:r>
        <w:rPr>
          <w:rFonts w:ascii="Times New Roman;Times;serif" w:hAnsi="Times New Roman;Times;serif"/>
          <w:sz w:val="24"/>
          <w:u w:val="single"/>
        </w:rPr>
        <w:t>Schedule 3.5(c)</w:t>
      </w:r>
      <w:r>
        <w:rPr>
          <w:rFonts w:ascii="Times New Roman;Times;serif" w:hAnsi="Times New Roman;Times;serif"/>
          <w:sz w:val="24"/>
        </w:rPr>
        <w:t xml:space="preserve"> sets forth the most recent actuarial report for Colchester and represents the expected claims development for future periods.  Except as set forth on </w:t>
      </w:r>
      <w:r>
        <w:rPr>
          <w:rFonts w:ascii="Times New Roman;Times;serif" w:hAnsi="Times New Roman;Times;serif"/>
          <w:sz w:val="24"/>
          <w:u w:val="single"/>
        </w:rPr>
        <w:t>Schedule 3.22(c)</w:t>
      </w:r>
      <w:r>
        <w:rPr>
          <w:rFonts w:ascii="Times New Roman;Times;serif" w:hAnsi="Times New Roman;Times;serif"/>
          <w:sz w:val="24"/>
        </w:rPr>
        <w:t xml:space="preserve"> neither Seller Guarantor, the Company, nor any of their respective Subsidiaries has been required to make, or has committed to make, any additional capital contribution, surplus contribution, guaranty or other funding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commitment to Colchester other than scheduled premium payments in the Ordinary Course.  </w:t>
      </w:r>
      <w:r>
        <w:rPr>
          <w:rFonts w:ascii="Times New Roman;Times;serif" w:hAnsi="Times New Roman;Times;serif"/>
          <w:sz w:val="24"/>
          <w:u w:val="single"/>
        </w:rPr>
        <w:t>Schedule 3.22(c)</w:t>
      </w:r>
      <w:r>
        <w:rPr>
          <w:rFonts w:ascii="Times New Roman;Times;serif" w:hAnsi="Times New Roman;Times;serif"/>
          <w:sz w:val="24"/>
        </w:rPr>
        <w:t xml:space="preserve"> sets forth a true, complete and correct description of (i) the current and projected funding requirements of the Captive Insurance Program for the 36-month period following the date of this Agreement, and (ii) any scheduled or anticipated capital calls, surplus notes, or other funding obligations.  Colchester has not had any scheduled or anticipated capital calls, surplus notes, or other funding obligations.  As of the date of this Agreement, Colchester has sufficient assets and available liquidity to pay its obligations as they become due in the Ordinary Course without requiring any additional capital contribution or other financial support from any Person other than from premium payments received in the Ordinary Course.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3451" w:name="_Toc235204889"/>
      <w:bookmarkStart w:id="3452" w:name="_Ref231493747"/>
      <w:bookmarkEnd w:id="3451"/>
      <w:bookmarkEnd w:id="3452"/>
      <w:r>
        <w:rPr>
          <w:rFonts w:ascii="Times New Roman;Times;serif" w:hAnsi="Times New Roman;Times;serif"/>
          <w:sz w:val="24"/>
          <w:u w:val="single"/>
        </w:rPr>
        <w:t>Schedule 3.22(d)</w:t>
      </w:r>
      <w:r>
        <w:rPr>
          <w:rFonts w:ascii="Times New Roman;Times;serif" w:hAnsi="Times New Roman;Times;serif"/>
          <w:sz w:val="24"/>
        </w:rPr>
        <w:t xml:space="preserve"> sets forth a true, complete and correct list of: (i) all outstanding, pending or open Claims under or with respect to any Insurance Policy or other insurance policy, program or arrangement issued or administered by Colchester as part of the Captive Insurance Program, including, for each such Claim, the claimant, the type of Claim, the date of loss, the amount of reserves established with respect thereto, and the amount of any payment made to date; (ii) all Claims under or with respect to any such Insurance Policy or arrangement that have been reported but are not yet resolved (including Claims that are the subject of litigation, arbitration or other dispute resolution proceedings); and (iii) all incidents, circumstances or events which, to the Knowledge of Seller, could reasonably be expected to give rise to a future Claim under or with respect to the Captive Insurance Program.  No Claim under or with respect to any Insurance Policy or arrangement issued or administered by Colchester has been denied or contested.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3453" w:name="_Toc235204890"/>
      <w:bookmarkEnd w:id="3453"/>
      <w:r>
        <w:rPr>
          <w:rFonts w:ascii="Times New Roman;Times;serif" w:hAnsi="Times New Roman;Times;serif"/>
          <w:sz w:val="24"/>
        </w:rPr>
        <w:t>Colchester is, and for the past three years has been, in material compliance with all applicable Laws governing captive insurance companies, including all Laws of its domiciliary jurisdiction with respect to (i) minimum capital and surplus requirements, (ii) investment restrictions and guidelines (including applicable limitations on the types, quality and concentration of investments held by Colchester), (iii) reserving requirements, (iv) premium tax obligations, (v) filing and reporting requirements (including statutory financial statement filings and actuarial opinion filings), (vi) dividend or distribution restrictions, and (vii) any requirements regarding the segregation of assets, trust arrangements or custodial arrangements.  All statutory financial statements, annual reports, actuarial opinions and other filings required to be made by Colchester with any insurance regulatory authority or Government Entity have been timely filed and were true, complete and correct in all material respects when filed.  Colchester has not received any notice from any Government Entity of any pending or threatened examination, investigation, enforcement action, supervisory action, corrective order, consent order, or requirement to increase capital or surplus levels, and, to the Knowledge of Seller, no such examination, investigation or action is contemplated.  Neither Seller Guarantor, Colchester, the Company nor any of their respective Subsidiaries has received any written communication from any Government Entity expressing concerns regarding the financial condition, solvency or reserve adequacy of Colchester.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3454" w:name="_Toc235204891"/>
      <w:bookmarkStart w:id="3455" w:name="_Ref231493759"/>
      <w:bookmarkEnd w:id="3454"/>
      <w:bookmarkEnd w:id="3455"/>
      <w:r>
        <w:rPr>
          <w:rFonts w:ascii="Times New Roman;Times;serif" w:hAnsi="Times New Roman;Times;serif"/>
          <w:sz w:val="24"/>
          <w:u w:val="single"/>
        </w:rPr>
        <w:t>Schedule 3.22(f)</w:t>
      </w:r>
      <w:r>
        <w:rPr>
          <w:rFonts w:ascii="Times New Roman;Times;serif" w:hAnsi="Times New Roman;Times;serif"/>
          <w:sz w:val="24"/>
        </w:rPr>
        <w:t xml:space="preserve"> sets forth a true, complete and correct list of all reinsurance, excess-of-loss, stop-loss, retrocession and other risk-transfer agreements to which Colchester is a party or under which Colchester has any rights or obligations (collectively, the “</w:t>
      </w:r>
      <w:r>
        <w:rPr>
          <w:rFonts w:ascii="Times New Roman;Times;serif" w:hAnsi="Times New Roman;Times;serif"/>
          <w:sz w:val="24"/>
          <w:u w:val="single"/>
        </w:rPr>
        <w:t>Reinsurance Agreements</w:t>
      </w:r>
      <w:r>
        <w:rPr>
          <w:rFonts w:ascii="Times New Roman;Times;serif" w:hAnsi="Times New Roman;Times;serif"/>
          <w:sz w:val="24"/>
        </w:rPr>
        <w:t xml:space="preserve">”).  True, complete and correct copies of all Reinsurance Agreements have been made available to Buyer.  Each Reinsurance Agreement is in full force and effect and constitutes a legal, valid and binding obligation of Colchester and, to the Knowledge of Seller, of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other parties thereto, and neither Colchester nor, to the Knowledge of Seller, any other party thereto is in material breach of or default thereunder.  No party to any Reinsurance Agreement has given or received written notice of termination, cancellation or non-renewal thereof.  All amounts due and payable by Colchester under the Reinsurance Agreements have been timely paid, and all reinsurance recoverables reflected in the Financial Statements or statutory financial statements of Colchester are collectible in all material respects.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r>
        <w:rPr>
          <w:rFonts w:ascii="Times New Roman;Times;serif" w:hAnsi="Times New Roman;Times;serif"/>
          <w:sz w:val="24"/>
        </w:rPr>
        <w:t xml:space="preserve"> </w:t>
      </w:r>
      <w:bookmarkStart w:id="3456" w:name="_Toc235204892"/>
      <w:bookmarkEnd w:id="3456"/>
      <w:r>
        <w:rPr>
          <w:rFonts w:ascii="Times New Roman;Times;serif" w:hAnsi="Times New Roman;Times;serif"/>
          <w:sz w:val="24"/>
        </w:rPr>
        <w:t>(i) No Insurance Policy or other insurance policy, program or arrangement issued or administered by Colchester as part of the Captive Insurance Program is currently in run-off, and (ii) none of Seller Guarantor, the Company, Colchester or any of their respective Subsidiaries has entered into any Contract providing for extended reporting periods, tail coverage or other post-termination coverage obligations with respect to any Insurance Policy or other arrangement issued or administered by Colchester that would impose any obligation or Liability on Buyer, the Company, Colchester or any of their respective Subsidiaries after the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3457" w:name="_Toc235204893"/>
      <w:bookmarkStart w:id="3458" w:name="_Ref231493770"/>
      <w:bookmarkEnd w:id="3457"/>
      <w:bookmarkEnd w:id="3458"/>
      <w:r>
        <w:rPr>
          <w:rFonts w:ascii="Times New Roman;Times;serif" w:hAnsi="Times New Roman;Times;serif"/>
          <w:sz w:val="24"/>
          <w:u w:val="single"/>
        </w:rPr>
        <w:t xml:space="preserve">Schedule 3.22(h) </w:t>
      </w:r>
      <w:r>
        <w:rPr>
          <w:rFonts w:ascii="Times New Roman;Times;serif" w:hAnsi="Times New Roman;Times;serif"/>
          <w:sz w:val="24"/>
        </w:rPr>
        <w:t>sets forth a true, complete and correct list of all (i) letters of credit, surety bonds, guarantees or other credit support instruments issued for the benefit of or posted by or on behalf of Seller Guarantor or any of its Affiliates, including Colchester, the Company or any of its Subsidiaries in connection with the Captive Insurance Program, (ii) trust agreements, custodial agreements, deposit arrangements or other security arrangements maintained by, for the benefit of, or required of Colchester (including any trust arrangements required by any Government Entity or fronting carrier), and (iii) cash, securities or other collateral pledged, deposited or otherwise posted by Seller Guarantor, Colchester, the Company or any of their respective Subsidiaries in connection with the Captive Insurance Program (collectively, “</w:t>
      </w:r>
      <w:r>
        <w:rPr>
          <w:rFonts w:ascii="Times New Roman;Times;serif" w:hAnsi="Times New Roman;Times;serif"/>
          <w:sz w:val="24"/>
          <w:u w:val="single"/>
        </w:rPr>
        <w:t>Captive Collateral Arrangements</w:t>
      </w:r>
      <w:r>
        <w:rPr>
          <w:rFonts w:ascii="Times New Roman;Times;serif" w:hAnsi="Times New Roman;Times;serif"/>
          <w:sz w:val="24"/>
        </w:rPr>
        <w:t>”), in each case specifying the type of arrangement, the beneficiary or secured party, the issuer or custodian, the face amount or value of collateral posted, the expiration or renewal date, and any conditions to draw or release.  True, complete and correct copies of all Contracts governing the Captive Collateral Arrangements have been made available to Buyer.  Each Captive Collateral Arrangement is in full force and effect and constitutes a legal, valid and binding obligation of the applicable party thereto, and neither Seller Guarantor, Colchester, the Company nor any of their respective Subsidiaries, nor, to the Knowledge of Seller, any other party thereto, is in material breach of or default thereunder.  (A) No event has occurred that would permit any beneficiary, secured party or counterparty to draw upon or accelerate any Captive Collateral Arrangement, other than in connection with the payment of valid claims in the Ordinary Course; (B) the Company and its Subsidiaries (including Colchester) are in compliance in all material respects with all collateral posting requirements and trust funding requirements imposed by any Government Entity, fronting carrier or cedent; (C) the aggregate value of the collateral posted under the Captive Collateral Arrangements is not less than the amount required to be posted under the terms thereof or by applicable Laws; and (D) no Government Entity, fronting carrier or cedent has provided written notice requiring an increase in collateral or funding levels under any Captive Collateral Arrangement, and, to the Knowledge of Seller, no such increase is required or contemplated.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3.23</w:t>
      </w:r>
      <w:bookmarkStart w:id="3459" w:name="_Toc235366514"/>
      <w:bookmarkStart w:id="3460" w:name="_Toc235204894"/>
      <w:bookmarkStart w:id="3461" w:name="_Toc235142697"/>
      <w:bookmarkStart w:id="3462" w:name="_Toc228481581"/>
      <w:bookmarkStart w:id="3463" w:name="_Ref225205250"/>
      <w:bookmarkStart w:id="3464" w:name="_Ref433259061"/>
      <w:bookmarkStart w:id="3465" w:name="_Ref83652541"/>
      <w:bookmarkStart w:id="3466" w:name="_Toc892117"/>
      <w:bookmarkStart w:id="3467" w:name="_Ref436578283"/>
      <w:bookmarkStart w:id="3468" w:name="_Ref416486774"/>
      <w:bookmarkStart w:id="3469" w:name="_Ref507269739"/>
      <w:bookmarkStart w:id="3470" w:name="_Toc465317302"/>
      <w:bookmarkStart w:id="3471" w:name="_Toc464684558"/>
      <w:bookmarkStart w:id="3472" w:name="_Toc464561867"/>
      <w:bookmarkStart w:id="3473" w:name="_Toc440773755"/>
      <w:bookmarkStart w:id="3474" w:name="_Toc440766890"/>
      <w:bookmarkStart w:id="3475" w:name="_Toc440765302"/>
      <w:bookmarkStart w:id="3476" w:name="_Toc440764542"/>
      <w:bookmarkStart w:id="3477" w:name="_Toc440760982"/>
      <w:bookmarkStart w:id="3478" w:name="_Ref416487244"/>
      <w:bookmarkStart w:id="3479" w:name="_Ref416486789"/>
      <w:bookmarkStart w:id="3480" w:name="_Ref416482877"/>
      <w:bookmarkStart w:id="3481" w:name="_Toc416469709"/>
      <w:bookmarkStart w:id="3482" w:name="_Toc128463284"/>
      <w:bookmarkStart w:id="3483" w:name="_Ref107479828"/>
      <w:bookmarkStart w:id="3484" w:name="_Ref102467500"/>
      <w:bookmarkStart w:id="3485" w:name="_Toc101210324"/>
      <w:bookmarkStart w:id="3486" w:name="_Ref23061877"/>
      <w:bookmarkStart w:id="3487" w:name="_Ref22720768"/>
      <w:bookmarkStart w:id="3488" w:name="_Toc518197956"/>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r>
        <w:rPr>
          <w:rFonts w:ascii="Times New Roman;Times;serif" w:hAnsi="Times New Roman;Times;serif"/>
          <w:sz w:val="24"/>
          <w:u w:val="single"/>
        </w:rPr>
        <w:t>Customers and Vendors</w:t>
      </w:r>
      <w:r>
        <w:rPr>
          <w:rFonts w:ascii="Times New Roman;Times;serif" w:hAnsi="Times New Roman;Times;serif"/>
          <w:sz w:val="24"/>
        </w:rPr>
        <w:t>.  </w:t>
      </w:r>
      <w:r>
        <w:rPr>
          <w:rFonts w:ascii="Times New Roman;Times;serif" w:hAnsi="Times New Roman;Times;serif"/>
          <w:sz w:val="24"/>
          <w:u w:val="single"/>
        </w:rPr>
        <w:t>Schedule 3.23</w:t>
      </w:r>
      <w:r>
        <w:rPr>
          <w:rFonts w:ascii="Times New Roman;Times;serif" w:hAnsi="Times New Roman;Times;serif"/>
          <w:sz w:val="24"/>
        </w:rPr>
        <w:t xml:space="preserve"> sets forth a list of </w:t>
      </w:r>
      <w:bookmarkStart w:id="3489" w:name="DocXTextRef255"/>
      <w:bookmarkEnd w:id="3489"/>
      <w:r>
        <w:rPr>
          <w:rFonts w:ascii="Times New Roman;Times;serif" w:hAnsi="Times New Roman;Times;serif"/>
          <w:sz w:val="24"/>
        </w:rPr>
        <w:t>(a) the top ten fleet customers of the Company and its Subsidiaries (based on the approximate total revenues attributable to such customers) for the fiscal year ended December 31, 2025 (each a “</w:t>
      </w:r>
      <w:r>
        <w:rPr>
          <w:rFonts w:ascii="Times New Roman;Times;serif" w:hAnsi="Times New Roman;Times;serif"/>
          <w:sz w:val="24"/>
          <w:u w:val="single"/>
        </w:rPr>
        <w:t>Material Customer</w:t>
      </w:r>
      <w:r>
        <w:rPr>
          <w:rFonts w:ascii="Times New Roman;Times;serif" w:hAnsi="Times New Roman;Times;serif"/>
          <w:sz w:val="24"/>
        </w:rPr>
        <w:t>”, and collectively, the “</w:t>
      </w:r>
      <w:r>
        <w:rPr>
          <w:rFonts w:ascii="Times New Roman;Times;serif" w:hAnsi="Times New Roman;Times;serif"/>
          <w:sz w:val="24"/>
          <w:u w:val="single"/>
        </w:rPr>
        <w:t>Material Customers</w:t>
      </w:r>
      <w:r>
        <w:rPr>
          <w:rFonts w:ascii="Times New Roman;Times;serif" w:hAnsi="Times New Roman;Times;serif"/>
          <w:sz w:val="24"/>
        </w:rPr>
        <w:t xml:space="preserve">”) and </w:t>
      </w:r>
      <w:bookmarkStart w:id="3490" w:name="DocXTextRef256"/>
      <w:bookmarkEnd w:id="3490"/>
      <w:r>
        <w:rPr>
          <w:rFonts w:ascii="Times New Roman;Times;serif" w:hAnsi="Times New Roman;Times;serif"/>
          <w:sz w:val="24"/>
        </w:rPr>
        <w:t xml:space="preserve">(b) the top ten suppliers and vendors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rFonts w:ascii="Times New Roman;Times;serif" w:hAnsi="Times New Roman;Times;serif"/>
          <w:b w:val="false"/>
          <w:i w:val="false"/>
          <w:caps w:val="false"/>
          <w:smallCaps w:val="false"/>
          <w:sz w:val="24"/>
        </w:rPr>
        <w:t>to the Company and its Subsidiaries (based on total amount purchased from such supplier or vendor) for the fiscal year ended December 31, 2025 (each a “</w:t>
      </w:r>
      <w:r>
        <w:rPr>
          <w:rFonts w:ascii="Times New Roman;Times;serif" w:hAnsi="Times New Roman;Times;serif"/>
          <w:b w:val="false"/>
          <w:i w:val="false"/>
          <w:caps w:val="false"/>
          <w:smallCaps w:val="false"/>
          <w:sz w:val="24"/>
          <w:u w:val="single"/>
        </w:rPr>
        <w:t>Material Vendor</w:t>
      </w:r>
      <w:r>
        <w:rPr>
          <w:caps w:val="false"/>
          <w:smallCaps w:val="false"/>
        </w:rPr>
        <w:t>”</w:t>
      </w:r>
      <w:r>
        <w:rPr>
          <w:rFonts w:ascii="Times New Roman;Times;serif" w:hAnsi="Times New Roman;Times;serif"/>
          <w:b w:val="false"/>
          <w:i w:val="false"/>
          <w:caps w:val="false"/>
          <w:smallCaps w:val="false"/>
          <w:sz w:val="24"/>
        </w:rPr>
        <w:t>, and collectively, the “</w:t>
      </w:r>
      <w:r>
        <w:rPr>
          <w:rFonts w:ascii="Times New Roman;Times;serif" w:hAnsi="Times New Roman;Times;serif"/>
          <w:b w:val="false"/>
          <w:i w:val="false"/>
          <w:caps w:val="false"/>
          <w:smallCaps w:val="false"/>
          <w:sz w:val="24"/>
          <w:u w:val="single"/>
        </w:rPr>
        <w:t>Material Vendors</w:t>
      </w:r>
      <w:r>
        <w:rPr>
          <w:caps w:val="false"/>
          <w:smallCaps w:val="false"/>
        </w:rPr>
        <w:t>”</w:t>
      </w:r>
      <w:r>
        <w:rPr>
          <w:rFonts w:ascii="Times New Roman;Times;serif" w:hAnsi="Times New Roman;Times;serif"/>
          <w:b w:val="false"/>
          <w:i w:val="false"/>
          <w:caps w:val="false"/>
          <w:smallCaps w:val="false"/>
          <w:sz w:val="24"/>
        </w:rPr>
        <w:t xml:space="preserve">).  From December 31, 2025 through the date of this Agreement, </w:t>
      </w:r>
      <w:bookmarkStart w:id="3491" w:name="DocXTextRef257"/>
      <w:bookmarkEnd w:id="3491"/>
      <w:r>
        <w:rPr>
          <w:rFonts w:ascii="Times New Roman;Times;serif" w:hAnsi="Times New Roman;Times;serif"/>
          <w:b w:val="false"/>
          <w:i w:val="false"/>
          <w:caps w:val="false"/>
          <w:smallCaps w:val="false"/>
          <w:sz w:val="24"/>
        </w:rPr>
        <w:t>(a)</w:t>
      </w:r>
      <w:r>
        <w:rPr>
          <w:caps w:val="false"/>
          <w:smallCaps w:val="false"/>
        </w:rPr>
        <w:t> </w:t>
      </w:r>
      <w:r>
        <w:rPr>
          <w:rFonts w:ascii="Times New Roman;Times;serif" w:hAnsi="Times New Roman;Times;serif"/>
          <w:b w:val="false"/>
          <w:i w:val="false"/>
          <w:caps w:val="false"/>
          <w:smallCaps w:val="false"/>
          <w:sz w:val="24"/>
        </w:rPr>
        <w:t>no Material Customer or Material Vendor has canceled or otherwise terminated, or threatened in writing to cancel or terminate its relationship with the Company or any of its Subsidiaries</w:t>
      </w:r>
      <w:bookmarkStart w:id="3492" w:name="DocXTextRef258"/>
      <w:bookmarkEnd w:id="3492"/>
      <w:r>
        <w:rPr>
          <w:rFonts w:ascii="Times New Roman;Times;serif" w:hAnsi="Times New Roman;Times;serif"/>
          <w:b w:val="false"/>
          <w:i w:val="false"/>
          <w:caps w:val="false"/>
          <w:smallCaps w:val="false"/>
          <w:sz w:val="24"/>
        </w:rPr>
        <w:t>, (b)</w:t>
      </w:r>
      <w:r>
        <w:rPr>
          <w:caps w:val="false"/>
          <w:smallCaps w:val="false"/>
        </w:rPr>
        <w:t> </w:t>
      </w:r>
      <w:r>
        <w:rPr>
          <w:rFonts w:ascii="Times New Roman;Times;serif" w:hAnsi="Times New Roman;Times;serif"/>
          <w:b w:val="false"/>
          <w:i w:val="false"/>
          <w:caps w:val="false"/>
          <w:smallCaps w:val="false"/>
          <w:sz w:val="24"/>
        </w:rPr>
        <w:t xml:space="preserve">no Material Customer or Material Vendor has materially decreased, modified or limited or threatened in writing to materially decrease, modify or limit its business with the Company or any of its Subsidiaries (except in the Ordinary Course), and </w:t>
      </w:r>
      <w:bookmarkStart w:id="3493" w:name="DocXTextRef259"/>
      <w:bookmarkEnd w:id="3493"/>
      <w:r>
        <w:rPr>
          <w:rFonts w:ascii="Times New Roman;Times;serif" w:hAnsi="Times New Roman;Times;serif"/>
          <w:b w:val="false"/>
          <w:i w:val="false"/>
          <w:caps w:val="false"/>
          <w:smallCaps w:val="false"/>
          <w:sz w:val="24"/>
        </w:rPr>
        <w:t>(c)</w:t>
      </w:r>
      <w:r>
        <w:rPr>
          <w:caps w:val="false"/>
          <w:smallCaps w:val="false"/>
        </w:rPr>
        <w:t xml:space="preserve"> </w:t>
      </w:r>
      <w:r>
        <w:rPr>
          <w:rFonts w:ascii="Times New Roman;Times;serif" w:hAnsi="Times New Roman;Times;serif"/>
          <w:b w:val="false"/>
          <w:i w:val="false"/>
          <w:caps w:val="false"/>
          <w:smallCaps w:val="false"/>
          <w:sz w:val="24"/>
        </w:rPr>
        <w:t>no Material Customer or Material Vendor has provided notice of non-renewal or informed Seller, the Company or any of its Subsidiaries in writing of its intent to materially adjust the terms of any applicable Contract.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3.24</w:t>
      </w:r>
      <w:bookmarkStart w:id="3494" w:name="_Toc235366515"/>
      <w:bookmarkStart w:id="3495" w:name="_Toc235204895"/>
      <w:bookmarkStart w:id="3496" w:name="_Toc235142698"/>
      <w:bookmarkStart w:id="3497" w:name="_Toc228481582"/>
      <w:bookmarkStart w:id="3498" w:name="_Ref83652542"/>
      <w:bookmarkStart w:id="3499" w:name="_Toc892118"/>
      <w:bookmarkStart w:id="3500" w:name="_Ref507269740"/>
      <w:bookmarkStart w:id="3501" w:name="_Ref507269498"/>
      <w:bookmarkStart w:id="3502" w:name="_Toc465317303"/>
      <w:bookmarkStart w:id="3503" w:name="_Toc464684559"/>
      <w:bookmarkStart w:id="3504" w:name="_Toc464561868"/>
      <w:bookmarkStart w:id="3505" w:name="_Toc440773756"/>
      <w:bookmarkStart w:id="3506" w:name="_Ref440767660"/>
      <w:bookmarkStart w:id="3507" w:name="_Toc440766891"/>
      <w:bookmarkStart w:id="3508" w:name="_Toc440765303"/>
      <w:bookmarkStart w:id="3509" w:name="_Toc440764543"/>
      <w:bookmarkStart w:id="3510" w:name="_Toc440760983"/>
      <w:bookmarkStart w:id="3511" w:name="_Ref416486819"/>
      <w:bookmarkStart w:id="3512" w:name="_Ref416482879"/>
      <w:bookmarkStart w:id="3513" w:name="_Toc416469711"/>
      <w:bookmarkStart w:id="3514" w:name="_Toc136851829"/>
      <w:bookmarkStart w:id="3515" w:name="_Ref129770260"/>
      <w:bookmarkStart w:id="3516" w:name="_Ref129769890"/>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r>
        <w:rPr>
          <w:rFonts w:ascii="Times New Roman;Times;serif" w:hAnsi="Times New Roman;Times;serif"/>
          <w:sz w:val="24"/>
          <w:u w:val="single"/>
        </w:rPr>
        <w:t>Accounts Receivable</w:t>
      </w:r>
      <w:r>
        <w:rPr>
          <w:rFonts w:ascii="Times New Roman;Times;serif" w:hAnsi="Times New Roman;Times;serif"/>
          <w:sz w:val="24"/>
        </w:rPr>
        <w:t>.  All accounts and notes receivable reflected on the Most Recent Balance Sheet are bona fide receivables arising in the Ordinary Course and are collectible in the Ordinary Course (net of allowances for doubtful accounts reflected on the Most Recent Balance Sheet).  There are no Liens (other than Permitted Liens) on such receivables or any part thereof and, other than in the Ordinary Course, there are no agreements for deduction, free goods, discount or other deferred price or quantity adjustment has been made with respect to any such receivables by the Company or any of its Subsidiaries.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3.25</w:t>
      </w:r>
      <w:bookmarkStart w:id="3517" w:name="_Ref427636239"/>
      <w:bookmarkStart w:id="3518" w:name="_Toc235366516"/>
      <w:bookmarkStart w:id="3519" w:name="_Toc235204896"/>
      <w:bookmarkStart w:id="3520" w:name="_Toc235142699"/>
      <w:bookmarkStart w:id="3521" w:name="_Toc228481583"/>
      <w:bookmarkStart w:id="3522" w:name="_Toc892121"/>
      <w:bookmarkStart w:id="3523" w:name="_Ref468128641"/>
      <w:bookmarkEnd w:id="3517"/>
      <w:bookmarkEnd w:id="3518"/>
      <w:bookmarkEnd w:id="3519"/>
      <w:bookmarkEnd w:id="3520"/>
      <w:bookmarkEnd w:id="3521"/>
      <w:bookmarkEnd w:id="3522"/>
      <w:bookmarkEnd w:id="3523"/>
      <w:r>
        <w:rPr>
          <w:rFonts w:ascii="Times New Roman;Times;serif" w:hAnsi="Times New Roman;Times;serif"/>
          <w:sz w:val="24"/>
          <w:u w:val="single"/>
        </w:rPr>
        <w:t>Bank Accounts</w:t>
      </w:r>
      <w:bookmarkStart w:id="3524" w:name="_Ref507269504"/>
      <w:bookmarkEnd w:id="3524"/>
      <w:r>
        <w:rPr>
          <w:rFonts w:ascii="Times New Roman;Times;serif" w:hAnsi="Times New Roman;Times;serif"/>
          <w:sz w:val="24"/>
        </w:rPr>
        <w:t>.  </w:t>
      </w:r>
      <w:r>
        <w:rPr>
          <w:rFonts w:ascii="Times New Roman;Times;serif" w:hAnsi="Times New Roman;Times;serif"/>
          <w:sz w:val="24"/>
          <w:u w:val="single"/>
        </w:rPr>
        <w:t>Schedule 3.25</w:t>
      </w:r>
      <w:r>
        <w:rPr>
          <w:rFonts w:ascii="Times New Roman;Times;serif" w:hAnsi="Times New Roman;Times;serif"/>
          <w:sz w:val="24"/>
        </w:rPr>
        <w:t xml:space="preserve"> contains a true, complete and correct list of </w:t>
      </w:r>
      <w:bookmarkStart w:id="3525" w:name="DocXTextRef263"/>
      <w:bookmarkEnd w:id="3525"/>
      <w:r>
        <w:rPr>
          <w:rFonts w:ascii="Times New Roman;Times;serif" w:hAnsi="Times New Roman;Times;serif"/>
          <w:sz w:val="24"/>
        </w:rPr>
        <w:t xml:space="preserve">(a) all banks or other financial institutions with which the Company or any of its Subsidiaries has an account or maintains a lock box or safe deposit box, showing the type of each such account, lock box and safe deposit box and </w:t>
      </w:r>
      <w:bookmarkStart w:id="3526" w:name="DocXTextRef264"/>
      <w:bookmarkEnd w:id="3526"/>
      <w:r>
        <w:rPr>
          <w:rFonts w:ascii="Times New Roman;Times;serif" w:hAnsi="Times New Roman;Times;serif"/>
          <w:sz w:val="24"/>
        </w:rPr>
        <w:t xml:space="preserve">(b) the names of the Persons authorized as signatories thereon or to act or deal in connection therewith.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3.26</w:t>
      </w:r>
      <w:bookmarkStart w:id="3527" w:name="_Toc235366517"/>
      <w:bookmarkStart w:id="3528" w:name="_Toc235204897"/>
      <w:bookmarkStart w:id="3529" w:name="_Toc235142700"/>
      <w:bookmarkStart w:id="3530" w:name="_Toc228481585"/>
      <w:bookmarkStart w:id="3531" w:name="_Ref225205358"/>
      <w:bookmarkEnd w:id="3527"/>
      <w:bookmarkEnd w:id="3528"/>
      <w:bookmarkEnd w:id="3529"/>
      <w:bookmarkEnd w:id="3530"/>
      <w:bookmarkEnd w:id="3531"/>
      <w:r>
        <w:rPr>
          <w:rFonts w:ascii="Times New Roman;Times;serif" w:hAnsi="Times New Roman;Times;serif"/>
          <w:sz w:val="24"/>
          <w:u w:val="single"/>
        </w:rPr>
        <w:t>No Broker</w:t>
      </w:r>
      <w:r>
        <w:rPr>
          <w:rFonts w:ascii="Times New Roman;Times;serif" w:hAnsi="Times New Roman;Times;serif"/>
          <w:sz w:val="24"/>
        </w:rPr>
        <w:t>.  No broker, finder or investment banker is entitled to any brokerage commissions, finders’ fees or similar compensation in connection with the transactions contemplated by this Agreement based on any arrangement or other Contract to which any of Seller or its Affiliates, including the Company and its Subsidiaries, is a party or to which Seller or its Affiliates, including the Company and its Subsidiaries is subject, or for which the Company or any of its Subsidiaries or Buyer could become obligated after the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3.27</w:t>
      </w:r>
      <w:bookmarkStart w:id="3532" w:name="_Toc235366518"/>
      <w:bookmarkStart w:id="3533" w:name="_Toc235204898"/>
      <w:bookmarkStart w:id="3534" w:name="_Toc235142701"/>
      <w:bookmarkStart w:id="3535" w:name="_Toc228481586"/>
      <w:bookmarkEnd w:id="3532"/>
      <w:bookmarkEnd w:id="3533"/>
      <w:bookmarkEnd w:id="3534"/>
      <w:bookmarkEnd w:id="3535"/>
      <w:r>
        <w:rPr>
          <w:rFonts w:ascii="Times New Roman;Times;serif" w:hAnsi="Times New Roman;Times;serif"/>
          <w:sz w:val="24"/>
          <w:u w:val="single"/>
        </w:rPr>
        <w:t>No Other Representations and Warranties</w:t>
      </w:r>
      <w:r>
        <w:rPr>
          <w:rFonts w:ascii="Times New Roman;Times;serif" w:hAnsi="Times New Roman;Times;serif"/>
          <w:sz w:val="24"/>
        </w:rPr>
        <w:t xml:space="preserve">.  Except for the representations and warranties contained in this Article III and in </w:t>
      </w:r>
      <w:r>
        <w:rPr>
          <w:rFonts w:ascii="Times New Roman;Times;serif" w:hAnsi="Times New Roman;Times;serif"/>
          <w:sz w:val="24"/>
          <w:u w:val="single"/>
        </w:rPr>
        <w:t xml:space="preserve">Section </w:t>
      </w:r>
      <w:bookmarkStart w:id="3536" w:name="_9kMML5YVt4BEGKNPJfPpxrybZ0yzwGS"/>
      <w:bookmarkEnd w:id="3536"/>
      <w:r>
        <w:rPr>
          <w:rFonts w:ascii="Times New Roman;Times;serif" w:hAnsi="Times New Roman;Times;serif"/>
          <w:sz w:val="24"/>
          <w:u w:val="single"/>
        </w:rPr>
        <w:t>9.2</w:t>
      </w:r>
      <w:r>
        <w:rPr>
          <w:rFonts w:ascii="Times New Roman;Times;serif" w:hAnsi="Times New Roman;Times;serif"/>
          <w:sz w:val="24"/>
        </w:rPr>
        <w:t xml:space="preserve"> (including the related portions of the Schedules), none of Seller, the Company or any other Person has made or makes any other express or implied representation or warranty, either written or oral, on behalf of Seller or the Company, including any representation or warranty as to the accuracy or completeness of any information regarding the Company furnished or made available to Buyer and its representatives (including any information, documents or material delivered to Buyer or made available to Buyer in the Data Room, management presentations or in any other form in expectation of the transactions contemplated hereby) or as to the future revenue, profitability or success of the Company, or any representation or warranty arising from statute or otherwise in law.</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IV</w:t>
      </w:r>
      <w:bookmarkStart w:id="3537" w:name="_Toc224918895"/>
      <w:bookmarkEnd w:id="3537"/>
      <w:r>
        <w:rPr>
          <w:rFonts w:ascii="Times New Roman;Times;serif" w:hAnsi="Times New Roman;Times;serif"/>
          <w:b/>
          <w:sz w:val="24"/>
        </w:rPr>
        <w:t>​</w:t>
        <w:br/>
      </w:r>
      <w:bookmarkStart w:id="3538" w:name="_Toc235366519"/>
      <w:bookmarkStart w:id="3539" w:name="_Toc235204899"/>
      <w:bookmarkStart w:id="3540" w:name="_Toc235142702"/>
      <w:bookmarkStart w:id="3541" w:name="_Ref234157571"/>
      <w:bookmarkStart w:id="3542" w:name="_Toc228481587"/>
      <w:bookmarkStart w:id="3543" w:name="_Ref225382813"/>
      <w:bookmarkStart w:id="3544" w:name="_Ref416482899"/>
      <w:bookmarkStart w:id="3545" w:name="_Ref83652550"/>
      <w:bookmarkStart w:id="3546" w:name="_Toc892129"/>
      <w:bookmarkStart w:id="3547" w:name="_Ref507269750"/>
      <w:bookmarkStart w:id="3548" w:name="_Ref507269513"/>
      <w:bookmarkStart w:id="3549" w:name="_Toc465317312"/>
      <w:bookmarkStart w:id="3550" w:name="_Toc464684568"/>
      <w:bookmarkStart w:id="3551" w:name="_Toc464561877"/>
      <w:bookmarkStart w:id="3552" w:name="_Toc440773766"/>
      <w:bookmarkStart w:id="3553" w:name="_Ref440767674"/>
      <w:bookmarkStart w:id="3554" w:name="_Toc440766901"/>
      <w:bookmarkStart w:id="3555" w:name="_Toc440765313"/>
      <w:bookmarkStart w:id="3556" w:name="_Toc440764553"/>
      <w:bookmarkStart w:id="3557" w:name="_Toc440760993"/>
      <w:bookmarkStart w:id="3558" w:name="_Toc416469724"/>
      <w:bookmarkStart w:id="3559" w:name="_Ref331596318"/>
      <w:bookmarkStart w:id="3560" w:name="_Ref128801833"/>
      <w:bookmarkStart w:id="3561" w:name="_Toc128463295"/>
      <w:bookmarkStart w:id="3562" w:name="_Toc101210334"/>
      <w:bookmarkStart w:id="3563" w:name="_Ref22730667"/>
      <w:bookmarkStart w:id="3564" w:name="_Ref22721915"/>
      <w:bookmarkStart w:id="3565" w:name="_Toc51819796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r>
        <w:rPr>
          <w:rFonts w:ascii="Times New Roman;Times;serif" w:hAnsi="Times New Roman;Times;serif"/>
          <w:b/>
          <w:sz w:val="24"/>
        </w:rPr>
        <w:t>Representations and Warranties of Buyer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Buyer makes to Seller the representations and warranties contained in this </w:t>
      </w:r>
      <w:r>
        <w:rPr>
          <w:rFonts w:ascii="Times New Roman;Times;serif" w:hAnsi="Times New Roman;Times;serif"/>
          <w:sz w:val="24"/>
          <w:u w:val="single"/>
        </w:rPr>
        <w:t>Article IV</w:t>
      </w:r>
      <w:r>
        <w:rPr>
          <w:rFonts w:ascii="Times New Roman;Times;serif" w:hAnsi="Times New Roman;Times;serif"/>
          <w:sz w:val="24"/>
        </w:rPr>
        <w:t xml:space="preserve"> as of the date hereof and as of the Closing Date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4.1</w:t>
      </w:r>
      <w:bookmarkStart w:id="3566" w:name="_Toc128463297"/>
      <w:bookmarkStart w:id="3567" w:name="_Ref126413505"/>
      <w:bookmarkStart w:id="3568" w:name="_Ref107725968"/>
      <w:bookmarkStart w:id="3569" w:name="_Toc101210336"/>
      <w:bookmarkStart w:id="3570" w:name="_Ref22736006"/>
      <w:bookmarkStart w:id="3571" w:name="_Toc518197969"/>
      <w:bookmarkStart w:id="3572" w:name="_Toc235366520"/>
      <w:bookmarkStart w:id="3573" w:name="_Toc235204900"/>
      <w:bookmarkStart w:id="3574" w:name="_Toc235142703"/>
      <w:bookmarkStart w:id="3575" w:name="_Toc228481588"/>
      <w:bookmarkStart w:id="3576" w:name="_Toc892130"/>
      <w:bookmarkStart w:id="3577" w:name="_Toc465317313"/>
      <w:bookmarkStart w:id="3578" w:name="_Toc464684569"/>
      <w:bookmarkStart w:id="3579" w:name="_Toc464561878"/>
      <w:bookmarkStart w:id="3580" w:name="_Toc440773767"/>
      <w:bookmarkStart w:id="3581" w:name="_Toc440766902"/>
      <w:bookmarkStart w:id="3582" w:name="_Toc440765314"/>
      <w:bookmarkStart w:id="3583" w:name="_Toc440764554"/>
      <w:bookmarkStart w:id="3584" w:name="_Toc440760994"/>
      <w:bookmarkStart w:id="3585" w:name="_Ref416482900"/>
      <w:bookmarkStart w:id="3586" w:name="_Toc41646972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r>
        <w:rPr>
          <w:rFonts w:ascii="Times New Roman;Times;serif" w:hAnsi="Times New Roman;Times;serif"/>
          <w:sz w:val="24"/>
          <w:u w:val="single"/>
        </w:rPr>
        <w:t>Organization; Good Standing; Power</w:t>
      </w:r>
      <w:r>
        <w:rPr>
          <w:rFonts w:ascii="Times New Roman;Times;serif" w:hAnsi="Times New Roman;Times;serif"/>
          <w:sz w:val="24"/>
        </w:rPr>
        <w:t>.  Buyer is duly organized, validly existing and in good standing under the Laws of the state of Delaware.  Buyer possesses full power and authority necessary to own and operate its properties and assets and to carry on its businesses in all material respects as presently conducted and as contemplated to be conducted immediately after the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4.2</w:t>
      </w:r>
      <w:bookmarkStart w:id="3587" w:name="_Toc235366521"/>
      <w:bookmarkStart w:id="3588" w:name="_Toc235204901"/>
      <w:bookmarkStart w:id="3589" w:name="_Toc235142704"/>
      <w:bookmarkStart w:id="3590" w:name="_Toc228481589"/>
      <w:bookmarkStart w:id="3591" w:name="_Ref83652551"/>
      <w:bookmarkStart w:id="3592" w:name="_Toc892131"/>
      <w:bookmarkStart w:id="3593" w:name="_Ref507269751"/>
      <w:bookmarkStart w:id="3594" w:name="_Ref507269514"/>
      <w:bookmarkStart w:id="3595" w:name="_Toc465317314"/>
      <w:bookmarkStart w:id="3596" w:name="_Toc464684570"/>
      <w:bookmarkStart w:id="3597" w:name="_Toc464561879"/>
      <w:bookmarkStart w:id="3598" w:name="_Toc440773768"/>
      <w:bookmarkStart w:id="3599" w:name="_Ref440767675"/>
      <w:bookmarkStart w:id="3600" w:name="_Toc440766903"/>
      <w:bookmarkStart w:id="3601" w:name="_Toc440765315"/>
      <w:bookmarkStart w:id="3602" w:name="_Toc440764555"/>
      <w:bookmarkStart w:id="3603" w:name="_Toc440760995"/>
      <w:bookmarkStart w:id="3604" w:name="_Ref416482901"/>
      <w:bookmarkStart w:id="3605" w:name="_Toc41646972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r>
        <w:rPr>
          <w:rFonts w:ascii="Times New Roman;Times;serif" w:hAnsi="Times New Roman;Times;serif"/>
          <w:sz w:val="24"/>
          <w:u w:val="single"/>
        </w:rPr>
        <w:t>Authorization; Execution and Enforceability; No Breach</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606" w:name="_Ref331611355"/>
      <w:bookmarkStart w:id="3607" w:name="_Toc235204902"/>
      <w:bookmarkStart w:id="3608" w:name="_Ref436186932"/>
      <w:bookmarkEnd w:id="3606"/>
      <w:bookmarkEnd w:id="3607"/>
      <w:bookmarkEnd w:id="3608"/>
      <w:r>
        <w:rPr>
          <w:rFonts w:ascii="Times New Roman;Times;serif" w:hAnsi="Times New Roman;Times;serif"/>
          <w:sz w:val="24"/>
        </w:rPr>
        <w:t>Buyer possesses full legal right and all requisite power and authority, and has taken all actions necessary, to authorize, execute, deliver and perform this Agreement and each other Transaction Document to which Buyer is a party and to consummate the transactions contemplated hereby and thereby, in accordance with the terms of this Agreement and the other Transaction Documents, as applicable.  No other corporate action on the part of Buyer is necessary to authorize the execution, delivery and performance of this Agreement or any other Transaction Documents or the consummation of the transactions contemplated hereby and thereby.  Each Transaction Document to which Buyer is or will be a party has been, or upon execution will be, duly and validly executed and delivered by Buyer and constitutes, or upon its execution and delivery will constitute (in each case, assuming due execution and delivery by each other party thereto), a valid and legally binding obligation of Buyer, enforceable against Buyer in accordance with its terms and conditions, subject to applicable bankruptcy, insolvency, reorganization, moratorium and similar Laws affecting creditors’ rights generally, and subject, as to enforceability, to general principles of equity.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609" w:name="_Ref416487310"/>
      <w:bookmarkStart w:id="3610" w:name="_Ref416486960"/>
      <w:bookmarkStart w:id="3611" w:name="_Ref416482902"/>
      <w:bookmarkStart w:id="3612" w:name="_Toc416469727"/>
      <w:bookmarkStart w:id="3613" w:name="_Ref138239706"/>
      <w:bookmarkStart w:id="3614" w:name="_Ref138239654"/>
      <w:bookmarkStart w:id="3615" w:name="_Ref137904156"/>
      <w:bookmarkStart w:id="3616" w:name="_Toc128463298"/>
      <w:bookmarkStart w:id="3617" w:name="_Toc101210337"/>
      <w:bookmarkStart w:id="3618" w:name="_Ref23074471"/>
      <w:bookmarkStart w:id="3619" w:name="_Ref22722013"/>
      <w:bookmarkStart w:id="3620" w:name="_Toc518197970"/>
      <w:bookmarkStart w:id="3621" w:name="_Toc235204903"/>
      <w:bookmarkStart w:id="3622" w:name="_Ref507269515"/>
      <w:bookmarkStart w:id="3623" w:name="_Ref440767676"/>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r>
        <w:rPr>
          <w:rFonts w:ascii="Times New Roman;Times;serif" w:hAnsi="Times New Roman;Times;serif"/>
          <w:sz w:val="24"/>
        </w:rPr>
        <w:t xml:space="preserve">Except for (i) compliance with and filings under the Hart-Scott-Rodino Antitrust improvements Act of 1976 and the expiration or termination of any applicable waiting period thereunder, and (ii) written approval of the Vermont Commissioner of Financial Regulation to the change of control of Colchester, no filing with or notice to, and no permit, authorization, registration, consent or approval of, any Government Entity is required on the part of Buyer for the execution, delivery and performance by Buyer of this Agreement and the other Transaction Documents to which it is a party nor the consummation of the transactions contemplated by this Agreement.  Neither the execution, delivery or performance by Buyer of this Agreement and the other Transaction Documents to which it is a party nor the consummation of the transactions contemplated by this Agreement and the other Transaction Documents, will </w:t>
      </w:r>
      <w:bookmarkStart w:id="3624" w:name="DocXTextRef272"/>
      <w:bookmarkEnd w:id="3624"/>
      <w:r>
        <w:rPr>
          <w:rFonts w:ascii="Times New Roman;Times;serif" w:hAnsi="Times New Roman;Times;serif"/>
          <w:sz w:val="24"/>
        </w:rPr>
        <w:t xml:space="preserve">(i) conflict with or result in a breach, violation or infringement of the terms, conditions or provisions of, (ii) constitute a default under (whether with or without the passage of time, the giving of notice or both), (iii) result in the creation of any Lien (except for a Permitted Lien), (iv) give any Person the right to modify, cancel, terminate, suspend, revoke or accelerate any obligation under, </w:t>
      </w:r>
      <w:bookmarkStart w:id="3625" w:name="DocXTextRef273"/>
      <w:bookmarkEnd w:id="3625"/>
      <w:r>
        <w:rPr>
          <w:rFonts w:ascii="Times New Roman;Times;serif" w:hAnsi="Times New Roman;Times;serif"/>
          <w:sz w:val="24"/>
        </w:rPr>
        <w:t xml:space="preserve">(v) result in a violation of, or (vi) give rise to a loss of benefit under </w:t>
      </w:r>
      <w:bookmarkStart w:id="3626" w:name="DocXTextRef274"/>
      <w:bookmarkEnd w:id="3626"/>
      <w:r>
        <w:rPr>
          <w:rFonts w:ascii="Times New Roman;Times;serif" w:hAnsi="Times New Roman;Times;serif"/>
          <w:sz w:val="24"/>
        </w:rPr>
        <w:t xml:space="preserve">(A) the certificate of incorporation or bylaws (or other comparable organizational documents) of Buyer, </w:t>
      </w:r>
      <w:bookmarkStart w:id="3627" w:name="_9kR3WTrAGBEGDEEmt1I5oDmJ1GCni4s7NLPJ622"/>
      <w:bookmarkStart w:id="3628" w:name="DocXTextRef275"/>
      <w:bookmarkEnd w:id="3627"/>
      <w:bookmarkEnd w:id="3628"/>
      <w:r>
        <w:rPr>
          <w:rFonts w:ascii="Times New Roman;Times;serif" w:hAnsi="Times New Roman;Times;serif"/>
          <w:sz w:val="24"/>
        </w:rPr>
        <w:t xml:space="preserve">(B) any Law or Order to which Buyer is subject or any of its properties or assets is subject or bound, or </w:t>
      </w:r>
      <w:bookmarkStart w:id="3629" w:name="_9kR3WTrAGBEGEFEmt1J6oDDqy327rvYWEKP7tDV"/>
      <w:bookmarkStart w:id="3630" w:name="DocXTextRef276"/>
      <w:bookmarkEnd w:id="3629"/>
      <w:bookmarkEnd w:id="3630"/>
      <w:r>
        <w:rPr>
          <w:rFonts w:ascii="Times New Roman;Times;serif" w:hAnsi="Times New Roman;Times;serif"/>
          <w:sz w:val="24"/>
        </w:rPr>
        <w:t xml:space="preserve">(C) any material Contract to which Buyer is a party or by which its properties, rights or assets is subject or bound, except in the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case of </w:t>
      </w:r>
      <w:bookmarkStart w:id="3631" w:name="_9kMHG5YVtCIDGIFGGov3K7qFoL3IEpk6u9PNRL8"/>
      <w:bookmarkEnd w:id="3631"/>
      <w:r>
        <w:rPr>
          <w:rFonts w:ascii="Times New Roman;Times;serif" w:hAnsi="Times New Roman;Times;serif"/>
          <w:sz w:val="24"/>
        </w:rPr>
        <w:t xml:space="preserve">clauses (B) and </w:t>
      </w:r>
      <w:bookmarkStart w:id="3632" w:name="_9kMHG5YVtCIDGIGHGov3L8qFFs0549txaYGMR9v"/>
      <w:bookmarkStart w:id="3633" w:name="DocXTextRef277"/>
      <w:bookmarkEnd w:id="3632"/>
      <w:bookmarkEnd w:id="3633"/>
      <w:r>
        <w:rPr>
          <w:rFonts w:ascii="Times New Roman;Times;serif" w:hAnsi="Times New Roman;Times;serif"/>
          <w:sz w:val="24"/>
        </w:rPr>
        <w:t>(C), for breaches, violations, infringements or Liens that would not be expected to have a material adverse effect on the ability of Buyer to consummate the transactions contemplated by this Agreement in a timely manner or perform its obligations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4.3</w:t>
      </w:r>
      <w:bookmarkStart w:id="3634" w:name="_Toc235366522"/>
      <w:bookmarkStart w:id="3635" w:name="_Toc235204904"/>
      <w:bookmarkStart w:id="3636" w:name="_Toc235142705"/>
      <w:bookmarkStart w:id="3637" w:name="_Toc228481590"/>
      <w:bookmarkStart w:id="3638" w:name="_Toc892132"/>
      <w:bookmarkStart w:id="3639" w:name="_Toc465317315"/>
      <w:bookmarkStart w:id="3640" w:name="_Toc464684571"/>
      <w:bookmarkStart w:id="3641" w:name="_Toc464561880"/>
      <w:bookmarkStart w:id="3642" w:name="_Toc440773769"/>
      <w:bookmarkStart w:id="3643" w:name="_Toc440766904"/>
      <w:bookmarkStart w:id="3644" w:name="_Toc440765316"/>
      <w:bookmarkStart w:id="3645" w:name="_Toc440764556"/>
      <w:bookmarkStart w:id="3646" w:name="_Toc440760996"/>
      <w:bookmarkStart w:id="3647" w:name="_Ref436186936"/>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r>
        <w:rPr>
          <w:rFonts w:ascii="Times New Roman;Times;serif" w:hAnsi="Times New Roman;Times;serif"/>
          <w:sz w:val="24"/>
          <w:u w:val="single"/>
        </w:rPr>
        <w:t>Brokerage</w:t>
      </w:r>
      <w:r>
        <w:rPr>
          <w:rFonts w:ascii="Times New Roman;Times;serif" w:hAnsi="Times New Roman;Times;serif"/>
          <w:sz w:val="24"/>
        </w:rPr>
        <w:t>.  There are no claims for brokerage commissions, finders’ fees or similar compensation in connection with the transactions contemplated by this Agreement based on any arrangement or other Contract to which Buyer is a party or to which Buyer is subject for which Seller could become liable or obligated after the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4.4</w:t>
      </w:r>
      <w:bookmarkStart w:id="3648" w:name="_Toc235366523"/>
      <w:bookmarkStart w:id="3649" w:name="_Toc235204905"/>
      <w:bookmarkStart w:id="3650" w:name="_Toc235142706"/>
      <w:bookmarkStart w:id="3651" w:name="_Toc228481591"/>
      <w:bookmarkStart w:id="3652" w:name="_Ref83652552"/>
      <w:bookmarkStart w:id="3653" w:name="_Toc892133"/>
      <w:bookmarkStart w:id="3654" w:name="_Ref507269752"/>
      <w:bookmarkStart w:id="3655" w:name="_Ref507269516"/>
      <w:bookmarkStart w:id="3656" w:name="_Toc465317316"/>
      <w:bookmarkStart w:id="3657" w:name="_Toc464684572"/>
      <w:bookmarkStart w:id="3658" w:name="_Toc464561881"/>
      <w:bookmarkStart w:id="3659" w:name="_Toc440773770"/>
      <w:bookmarkStart w:id="3660" w:name="_Ref440767677"/>
      <w:bookmarkStart w:id="3661" w:name="_Toc440766905"/>
      <w:bookmarkStart w:id="3662" w:name="_Toc440765317"/>
      <w:bookmarkStart w:id="3663" w:name="_Toc440764557"/>
      <w:bookmarkStart w:id="3664" w:name="_Toc440760997"/>
      <w:bookmarkStart w:id="3665" w:name="_Ref416482903"/>
      <w:bookmarkStart w:id="3666" w:name="_Toc416469728"/>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r>
        <w:rPr>
          <w:rFonts w:ascii="Times New Roman;Times;serif" w:hAnsi="Times New Roman;Times;serif"/>
          <w:sz w:val="24"/>
          <w:u w:val="single"/>
        </w:rPr>
        <w:t>Litigation</w:t>
      </w:r>
      <w:r>
        <w:rPr>
          <w:rFonts w:ascii="Times New Roman;Times;serif" w:hAnsi="Times New Roman;Times;serif"/>
          <w:sz w:val="24"/>
        </w:rPr>
        <w:t>.  There are no material Claims pending or, to the Knowledge of Buyer, threatened against or affecting Buyer in which it is sought to restrain or prohibit or to obtain damages or other relief in connection with the transactions contemplated by this Agreement and the other Transaction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4.5</w:t>
      </w:r>
      <w:bookmarkStart w:id="3667" w:name="_Toc235366524"/>
      <w:bookmarkStart w:id="3668" w:name="_Toc235204906"/>
      <w:bookmarkStart w:id="3669" w:name="_Toc235142707"/>
      <w:bookmarkStart w:id="3670" w:name="_Toc228481592"/>
      <w:bookmarkStart w:id="3671" w:name="_Ref83652553"/>
      <w:bookmarkStart w:id="3672" w:name="_Toc892134"/>
      <w:bookmarkStart w:id="3673" w:name="_Ref507269753"/>
      <w:bookmarkStart w:id="3674" w:name="_Ref507269517"/>
      <w:bookmarkStart w:id="3675" w:name="_Toc465317317"/>
      <w:bookmarkStart w:id="3676" w:name="_Toc464684573"/>
      <w:bookmarkStart w:id="3677" w:name="_Toc464561882"/>
      <w:bookmarkStart w:id="3678" w:name="_Toc440773771"/>
      <w:bookmarkStart w:id="3679" w:name="_Ref440767678"/>
      <w:bookmarkStart w:id="3680" w:name="_Toc440766906"/>
      <w:bookmarkStart w:id="3681" w:name="_Toc440765318"/>
      <w:bookmarkStart w:id="3682" w:name="_Toc440764558"/>
      <w:bookmarkStart w:id="3683" w:name="_Toc440760998"/>
      <w:bookmarkStart w:id="3684" w:name="_Ref416482904"/>
      <w:bookmarkStart w:id="3685" w:name="_Toc416469729"/>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r>
        <w:rPr>
          <w:rFonts w:ascii="Times New Roman;Times;serif" w:hAnsi="Times New Roman;Times;serif"/>
          <w:sz w:val="24"/>
          <w:u w:val="single"/>
        </w:rPr>
        <w:t>Financing</w:t>
      </w:r>
      <w:r>
        <w:rPr>
          <w:rFonts w:ascii="Times New Roman;Times;serif" w:hAnsi="Times New Roman;Times;serif"/>
          <w:sz w:val="24"/>
        </w:rPr>
        <w:t xml:space="preserve">.  As of the date hereof, Buyer (or its affiliates) has obtained incremental debt financing commitments under its existing credit facility, and assuming the satisfaction of the conditions set forth in </w:t>
      </w:r>
      <w:r>
        <w:rPr>
          <w:rFonts w:ascii="Times New Roman;Times;serif" w:hAnsi="Times New Roman;Times;serif"/>
          <w:sz w:val="24"/>
          <w:u w:val="single"/>
        </w:rPr>
        <w:t>Article VII</w:t>
      </w:r>
      <w:r>
        <w:rPr>
          <w:rFonts w:ascii="Times New Roman;Times;serif" w:hAnsi="Times New Roman;Times;serif"/>
          <w:sz w:val="24"/>
        </w:rPr>
        <w:t>, at Closing Buyer (and its affiliates) will have an aggregate amount of cash on hand, borrowings under such increment debt financing commitments and other available sources of capital, in an amount sufficient to consummate the transactions contemplated by this Agreement and to perform its obligations hereunder, in each case, on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4.6</w:t>
      </w:r>
      <w:bookmarkStart w:id="3686" w:name="_Toc235366525"/>
      <w:bookmarkStart w:id="3687" w:name="_Toc235204907"/>
      <w:bookmarkStart w:id="3688" w:name="_Toc235142708"/>
      <w:bookmarkStart w:id="3689" w:name="_Toc228481593"/>
      <w:bookmarkEnd w:id="3686"/>
      <w:bookmarkEnd w:id="3687"/>
      <w:bookmarkEnd w:id="3688"/>
      <w:bookmarkEnd w:id="3689"/>
      <w:r>
        <w:rPr>
          <w:rFonts w:ascii="Times New Roman;Times;serif" w:hAnsi="Times New Roman;Times;serif"/>
          <w:sz w:val="24"/>
          <w:u w:val="single"/>
        </w:rPr>
        <w:t>Independent Investigation</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690" w:name="_Toc235204908"/>
      <w:bookmarkEnd w:id="3690"/>
      <w:r>
        <w:rPr>
          <w:rFonts w:ascii="Times New Roman;Times;serif" w:hAnsi="Times New Roman;Times;serif"/>
          <w:sz w:val="24"/>
        </w:rPr>
        <w:t>Buyer has conducted its own independent investigation, review and analysis of the Business, as well as the results of operations, prospects, condition (financial or otherwise), or assets of the Company, and acknowledges that it has been provided reasonable access to the personnel, properties, assets, premises, books and records, and other documents and data of Seller and the Company for such purpose.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691" w:name="_Toc235204909"/>
      <w:bookmarkEnd w:id="3691"/>
      <w:r>
        <w:rPr>
          <w:rFonts w:ascii="Times New Roman;Times;serif" w:hAnsi="Times New Roman;Times;serif"/>
          <w:sz w:val="24"/>
        </w:rPr>
        <w:t>Buyer acknowledges that (i) none of Seller, Seller Guarantor, the Company, or any other Person on behalf of Seller, Seller Guarantor or the Company has made any representation or warranty, expressed or implied, as to the Company or the Company Shares, or the accuracy or completeness of any information regarding the Company or the Company Shares furnished or made available to Buyer and its representatives, or any other matter related to the transactions contemplated herein, other than those representations and warranties expressly set forth in </w:t>
      </w:r>
      <w:r>
        <w:rPr>
          <w:rFonts w:ascii="Times New Roman;Times;serif" w:hAnsi="Times New Roman;Times;serif"/>
          <w:sz w:val="24"/>
          <w:u w:val="single"/>
        </w:rPr>
        <w:t>Article III</w:t>
      </w:r>
      <w:r>
        <w:rPr>
          <w:rFonts w:ascii="Times New Roman;Times;serif" w:hAnsi="Times New Roman;Times;serif"/>
          <w:sz w:val="24"/>
        </w:rPr>
        <w:t xml:space="preserve"> and </w:t>
      </w:r>
      <w:r>
        <w:rPr>
          <w:rFonts w:ascii="Times New Roman;Times;serif" w:hAnsi="Times New Roman;Times;serif"/>
          <w:sz w:val="24"/>
          <w:u w:val="single"/>
        </w:rPr>
        <w:t xml:space="preserve">Section </w:t>
      </w:r>
      <w:bookmarkStart w:id="3692" w:name="_9kMNM5YVt4BEGKNPJfPpxrybZ0yzwGS"/>
      <w:bookmarkEnd w:id="3692"/>
      <w:r>
        <w:rPr>
          <w:rFonts w:ascii="Times New Roman;Times;serif" w:hAnsi="Times New Roman;Times;serif"/>
          <w:sz w:val="24"/>
          <w:u w:val="single"/>
        </w:rPr>
        <w:t>9.2</w:t>
      </w:r>
      <w:r>
        <w:rPr>
          <w:rFonts w:ascii="Times New Roman;Times;serif" w:hAnsi="Times New Roman;Times;serif"/>
          <w:sz w:val="24"/>
        </w:rPr>
        <w:t xml:space="preserve"> of this Agreement (including the related portions of the Schedules), (ii) in determining to enter into this Agreement, Buyer has not relied on any representation or warranty from Seller, Seller Guarantor the Company or any other Person on behalf of Seller, Seller Guarantor or the Company, or upon the accuracy or completeness of any information regarding the Company or the Company Shares furnished or made available to Buyer and its representatives, other than those representations and warranties expressly set forth in </w:t>
      </w:r>
      <w:r>
        <w:rPr>
          <w:rFonts w:ascii="Times New Roman;Times;serif" w:hAnsi="Times New Roman;Times;serif"/>
          <w:sz w:val="24"/>
          <w:u w:val="single"/>
        </w:rPr>
        <w:t>Article III</w:t>
      </w:r>
      <w:r>
        <w:rPr>
          <w:rFonts w:ascii="Times New Roman;Times;serif" w:hAnsi="Times New Roman;Times;serif"/>
          <w:sz w:val="24"/>
        </w:rPr>
        <w:t xml:space="preserve"> and </w:t>
      </w:r>
      <w:r>
        <w:rPr>
          <w:rFonts w:ascii="Times New Roman;Times;serif" w:hAnsi="Times New Roman;Times;serif"/>
          <w:sz w:val="24"/>
          <w:u w:val="single"/>
        </w:rPr>
        <w:t xml:space="preserve">Section </w:t>
      </w:r>
      <w:bookmarkStart w:id="3693" w:name="_9kMON5YVt4BEGKNPJfPpxrybZ0yzwGS"/>
      <w:bookmarkEnd w:id="3693"/>
      <w:r>
        <w:rPr>
          <w:rFonts w:ascii="Times New Roman;Times;serif" w:hAnsi="Times New Roman;Times;serif"/>
          <w:sz w:val="24"/>
          <w:u w:val="single"/>
        </w:rPr>
        <w:t>9.2</w:t>
      </w:r>
      <w:r>
        <w:rPr>
          <w:rFonts w:ascii="Times New Roman;Times;serif" w:hAnsi="Times New Roman;Times;serif"/>
          <w:sz w:val="24"/>
        </w:rPr>
        <w:t xml:space="preserve"> of this Agreement (including the related portions of the Schedules), and (iii) none of Seller, Seller Guarantor, the Company or any other Person acting on behalf of Seller, Seller Guarantor or the Company shall have any liability to Buyer or any other Person with respect to any projections, forecasts, estimates, plans, or budgets of future revenue, expenses, or expenditures, future results of operations, future cash flows, or the future financial condition of the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Company, the Business or the future business, operations, or affairs of the Company, except as expressly set forth in </w:t>
      </w:r>
      <w:r>
        <w:rPr>
          <w:rFonts w:ascii="Times New Roman;Times;serif" w:hAnsi="Times New Roman;Times;serif"/>
          <w:sz w:val="24"/>
          <w:u w:val="single"/>
        </w:rPr>
        <w:t>Article III</w:t>
      </w:r>
      <w:r>
        <w:rPr>
          <w:rFonts w:ascii="Times New Roman;Times;serif" w:hAnsi="Times New Roman;Times;serif"/>
          <w:sz w:val="24"/>
        </w:rPr>
        <w:t xml:space="preserve"> and </w:t>
      </w:r>
      <w:r>
        <w:rPr>
          <w:rFonts w:ascii="Times New Roman;Times;serif" w:hAnsi="Times New Roman;Times;serif"/>
          <w:sz w:val="24"/>
          <w:u w:val="single"/>
        </w:rPr>
        <w:t xml:space="preserve">Section </w:t>
      </w:r>
      <w:bookmarkStart w:id="3694" w:name="_9kMPO5YVt4BEGKNPJfPpxrybZ0yzwGS"/>
      <w:bookmarkEnd w:id="3694"/>
      <w:r>
        <w:rPr>
          <w:rFonts w:ascii="Times New Roman;Times;serif" w:hAnsi="Times New Roman;Times;serif"/>
          <w:sz w:val="24"/>
          <w:u w:val="single"/>
        </w:rPr>
        <w:t>9.2</w:t>
      </w:r>
      <w:r>
        <w:rPr>
          <w:rFonts w:ascii="Times New Roman;Times;serif" w:hAnsi="Times New Roman;Times;serif"/>
          <w:sz w:val="24"/>
        </w:rPr>
        <w:t xml:space="preserve"> of this Agreement (including the related portions of the Schedules).</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V</w:t>
      </w:r>
      <w:r>
        <w:rPr>
          <w:rFonts w:ascii="Times New Roman;Times;serif" w:hAnsi="Times New Roman;Times;serif"/>
          <w:b/>
          <w:sz w:val="24"/>
        </w:rPr>
        <w:t>​</w:t>
        <w:br/>
      </w:r>
      <w:bookmarkStart w:id="3695" w:name="_Toc235366526"/>
      <w:bookmarkStart w:id="3696" w:name="_Toc235204910"/>
      <w:bookmarkStart w:id="3697" w:name="_Toc235142709"/>
      <w:bookmarkStart w:id="3698" w:name="_Ref234147849"/>
      <w:bookmarkStart w:id="3699" w:name="_Ref232526881"/>
      <w:bookmarkStart w:id="3700" w:name="_Toc228481594"/>
      <w:bookmarkStart w:id="3701" w:name="_Ref226897423"/>
      <w:bookmarkStart w:id="3702" w:name="_Ref226895320"/>
      <w:bookmarkStart w:id="3703" w:name="_Ref226729401"/>
      <w:bookmarkStart w:id="3704" w:name="_Ref226546600"/>
      <w:bookmarkStart w:id="3705" w:name="_Ref226468595"/>
      <w:bookmarkStart w:id="3706" w:name="_Ref225901533"/>
      <w:bookmarkStart w:id="3707" w:name="_Ref225886749"/>
      <w:bookmarkStart w:id="3708" w:name="_Ref225148359"/>
      <w:bookmarkStart w:id="3709" w:name="_Ref224842438"/>
      <w:bookmarkStart w:id="3710" w:name="_Ref224842409"/>
      <w:bookmarkStart w:id="3711" w:name="_Ref224842368"/>
      <w:bookmarkStart w:id="3712" w:name="_Ref224510701"/>
      <w:bookmarkStart w:id="3713" w:name="_Ref440764773"/>
      <w:bookmarkStart w:id="3714" w:name="_Ref416485078"/>
      <w:bookmarkStart w:id="3715" w:name="_Ref416484710"/>
      <w:bookmarkStart w:id="3716" w:name="_Ref83652574"/>
      <w:bookmarkStart w:id="3717" w:name="_Toc892154"/>
      <w:bookmarkStart w:id="3718" w:name="_Ref507269765"/>
      <w:bookmarkStart w:id="3719" w:name="_Ref507269542"/>
      <w:bookmarkStart w:id="3720" w:name="_Ref465885024"/>
      <w:bookmarkStart w:id="3721" w:name="_Toc465317337"/>
      <w:bookmarkStart w:id="3722" w:name="_Toc464684593"/>
      <w:bookmarkStart w:id="3723" w:name="_Toc464561900"/>
      <w:bookmarkStart w:id="3724" w:name="_Toc440773788"/>
      <w:bookmarkStart w:id="3725" w:name="_Ref440767713"/>
      <w:bookmarkStart w:id="3726" w:name="_Toc440766923"/>
      <w:bookmarkStart w:id="3727" w:name="_Toc440765335"/>
      <w:bookmarkStart w:id="3728" w:name="_Toc440764576"/>
      <w:bookmarkStart w:id="3729" w:name="_Toc440761016"/>
      <w:bookmarkStart w:id="3730" w:name="_Ref416482955"/>
      <w:bookmarkStart w:id="3731" w:name="_Toc416469746"/>
      <w:bookmarkStart w:id="3732" w:name="_Ref331693977"/>
      <w:bookmarkStart w:id="3733" w:name="_Ref331574783"/>
      <w:bookmarkStart w:id="3734" w:name="_Toc128463309"/>
      <w:bookmarkStart w:id="3735" w:name="_Ref107733695"/>
      <w:bookmarkStart w:id="3736" w:name="_Ref107301207"/>
      <w:bookmarkStart w:id="3737" w:name="_Ref102468424"/>
      <w:bookmarkStart w:id="3738" w:name="_Toc101210340"/>
      <w:bookmarkStart w:id="3739" w:name="_Ref101155743"/>
      <w:bookmarkStart w:id="3740" w:name="_Ref101155721"/>
      <w:bookmarkStart w:id="3741" w:name="_Ref22917819"/>
      <w:bookmarkStart w:id="3742" w:name="_Ref22722298"/>
      <w:bookmarkStart w:id="3743" w:name="_Ref22722199"/>
      <w:bookmarkStart w:id="3744" w:name="_Ref22721752"/>
      <w:bookmarkStart w:id="3745" w:name="_Toc518197973"/>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r>
        <w:rPr>
          <w:rFonts w:ascii="Times New Roman;Times;serif" w:hAnsi="Times New Roman;Times;serif"/>
          <w:b/>
          <w:sz w:val="24"/>
        </w:rPr>
        <w:t>Survival; Indemnification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5.1</w:t>
      </w:r>
      <w:bookmarkStart w:id="3746" w:name="_Toc235366527"/>
      <w:bookmarkStart w:id="3747" w:name="_Toc235204911"/>
      <w:bookmarkStart w:id="3748" w:name="_Toc235142710"/>
      <w:bookmarkStart w:id="3749" w:name="_Toc228481595"/>
      <w:bookmarkStart w:id="3750" w:name="_Ref507254831"/>
      <w:bookmarkStart w:id="3751" w:name="_Ref436183601"/>
      <w:bookmarkStart w:id="3752" w:name="_Ref416482956"/>
      <w:bookmarkStart w:id="3753" w:name="_Ref83652575"/>
      <w:bookmarkStart w:id="3754" w:name="_Toc892155"/>
      <w:bookmarkStart w:id="3755" w:name="_Ref507269766"/>
      <w:bookmarkStart w:id="3756" w:name="_Ref507269543"/>
      <w:bookmarkStart w:id="3757" w:name="_Toc465317338"/>
      <w:bookmarkStart w:id="3758" w:name="_Toc464684594"/>
      <w:bookmarkStart w:id="3759" w:name="_Toc464561901"/>
      <w:bookmarkStart w:id="3760" w:name="_Toc440773789"/>
      <w:bookmarkStart w:id="3761" w:name="_Ref440767714"/>
      <w:bookmarkStart w:id="3762" w:name="_Toc440766924"/>
      <w:bookmarkStart w:id="3763" w:name="_Toc440765336"/>
      <w:bookmarkStart w:id="3764" w:name="_Toc440764577"/>
      <w:bookmarkStart w:id="3765" w:name="_Toc440761017"/>
      <w:bookmarkStart w:id="3766" w:name="_Toc416469747"/>
      <w:bookmarkStart w:id="3767" w:name="_Ref331688446"/>
      <w:bookmarkStart w:id="3768" w:name="_Ref331627152"/>
      <w:bookmarkStart w:id="3769" w:name="_Ref137906177"/>
      <w:bookmarkStart w:id="3770" w:name="_Toc128463310"/>
      <w:bookmarkStart w:id="3771" w:name="_Toc101210341"/>
      <w:bookmarkStart w:id="3772" w:name="_Ref22706711"/>
      <w:bookmarkStart w:id="3773" w:name="_Ref22706690"/>
      <w:bookmarkStart w:id="3774" w:name="_Toc518197974"/>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r>
        <w:rPr>
          <w:rFonts w:ascii="Times New Roman;Times;serif" w:hAnsi="Times New Roman;Times;serif"/>
          <w:sz w:val="24"/>
          <w:u w:val="single"/>
        </w:rPr>
        <w:t>Survival</w:t>
      </w:r>
      <w:r>
        <w:rPr>
          <w:rFonts w:ascii="Times New Roman;Times;serif" w:hAnsi="Times New Roman;Times;serif"/>
          <w:sz w:val="24"/>
        </w:rPr>
        <w:t xml:space="preserve">.  The representations and warranties of the Parties and the covenants and agreements that by their terms contemplate performance prior to or at (but not following) the Closing, in each case, as set forth in this Agreement, shall terminate at, and will not survive, the Closing.  Notwithstanding the foregoing, unless otherwise set forth in this Agreement, (a) all covenants and agreements set forth in </w:t>
      </w:r>
      <w:r>
        <w:rPr>
          <w:rFonts w:ascii="Times New Roman;Times;serif" w:hAnsi="Times New Roman;Times;serif"/>
          <w:sz w:val="24"/>
          <w:u w:val="single"/>
        </w:rPr>
        <w:t>Section 6.2</w:t>
      </w:r>
      <w:r>
        <w:rPr>
          <w:rFonts w:ascii="Times New Roman;Times;serif" w:hAnsi="Times New Roman;Times;serif"/>
          <w:sz w:val="24"/>
        </w:rPr>
        <w:t xml:space="preserve">, </w:t>
      </w:r>
      <w:r>
        <w:rPr>
          <w:rFonts w:ascii="Times New Roman;Times;serif" w:hAnsi="Times New Roman;Times;serif"/>
          <w:sz w:val="24"/>
          <w:u w:val="single"/>
        </w:rPr>
        <w:t>Section 6.4</w:t>
      </w:r>
      <w:r>
        <w:rPr>
          <w:rFonts w:ascii="Times New Roman;Times;serif" w:hAnsi="Times New Roman;Times;serif"/>
          <w:sz w:val="24"/>
        </w:rPr>
        <w:t xml:space="preserve">, </w:t>
      </w:r>
      <w:r>
        <w:rPr>
          <w:rFonts w:ascii="Times New Roman;Times;serif" w:hAnsi="Times New Roman;Times;serif"/>
          <w:sz w:val="24"/>
          <w:u w:val="single"/>
        </w:rPr>
        <w:t>Section 6.5</w:t>
      </w:r>
      <w:r>
        <w:rPr>
          <w:rFonts w:ascii="Times New Roman;Times;serif" w:hAnsi="Times New Roman;Times;serif"/>
          <w:sz w:val="24"/>
        </w:rPr>
        <w:t xml:space="preserve">, </w:t>
      </w:r>
      <w:r>
        <w:rPr>
          <w:rFonts w:ascii="Times New Roman;Times;serif" w:hAnsi="Times New Roman;Times;serif"/>
          <w:sz w:val="24"/>
          <w:u w:val="single"/>
        </w:rPr>
        <w:t>Section 6.6</w:t>
      </w:r>
      <w:r>
        <w:rPr>
          <w:rFonts w:ascii="Times New Roman;Times;serif" w:hAnsi="Times New Roman;Times;serif"/>
          <w:sz w:val="24"/>
        </w:rPr>
        <w:t xml:space="preserve">, </w:t>
      </w:r>
      <w:r>
        <w:rPr>
          <w:rFonts w:ascii="Times New Roman;Times;serif" w:hAnsi="Times New Roman;Times;serif"/>
          <w:sz w:val="24"/>
          <w:u w:val="single"/>
        </w:rPr>
        <w:t>Section 6.7</w:t>
      </w:r>
      <w:r>
        <w:rPr>
          <w:rFonts w:ascii="Times New Roman;Times;serif" w:hAnsi="Times New Roman;Times;serif"/>
          <w:sz w:val="24"/>
        </w:rPr>
        <w:t xml:space="preserve">, </w:t>
      </w:r>
      <w:r>
        <w:rPr>
          <w:rFonts w:ascii="Times New Roman;Times;serif" w:hAnsi="Times New Roman;Times;serif"/>
          <w:sz w:val="24"/>
          <w:u w:val="single"/>
        </w:rPr>
        <w:t>Section 6.8</w:t>
      </w:r>
      <w:r>
        <w:rPr>
          <w:rFonts w:ascii="Times New Roman;Times;serif" w:hAnsi="Times New Roman;Times;serif"/>
          <w:sz w:val="24"/>
        </w:rPr>
        <w:t xml:space="preserve">, </w:t>
      </w:r>
      <w:r>
        <w:rPr>
          <w:rFonts w:ascii="Times New Roman;Times;serif" w:hAnsi="Times New Roman;Times;serif"/>
          <w:sz w:val="24"/>
          <w:u w:val="single"/>
        </w:rPr>
        <w:t>Section 6.9</w:t>
      </w:r>
      <w:r>
        <w:rPr>
          <w:rFonts w:ascii="Times New Roman;Times;serif" w:hAnsi="Times New Roman;Times;serif"/>
          <w:sz w:val="24"/>
        </w:rPr>
        <w:t xml:space="preserve">, </w:t>
      </w:r>
      <w:r>
        <w:rPr>
          <w:rFonts w:ascii="Times New Roman;Times;serif" w:hAnsi="Times New Roman;Times;serif"/>
          <w:sz w:val="24"/>
          <w:u w:val="single"/>
        </w:rPr>
        <w:t>Section 6.10</w:t>
      </w:r>
      <w:r>
        <w:rPr>
          <w:rFonts w:ascii="Times New Roman;Times;serif" w:hAnsi="Times New Roman;Times;serif"/>
          <w:sz w:val="24"/>
        </w:rPr>
        <w:t xml:space="preserve">, </w:t>
      </w:r>
      <w:r>
        <w:rPr>
          <w:rFonts w:ascii="Times New Roman;Times;serif" w:hAnsi="Times New Roman;Times;serif"/>
          <w:sz w:val="24"/>
          <w:u w:val="single"/>
        </w:rPr>
        <w:t>Section 6.12,</w:t>
      </w:r>
      <w:r>
        <w:rPr>
          <w:rFonts w:ascii="Times New Roman;Times;serif" w:hAnsi="Times New Roman;Times;serif"/>
          <w:sz w:val="24"/>
        </w:rPr>
        <w:t xml:space="preserve"> </w:t>
      </w:r>
      <w:r>
        <w:rPr>
          <w:rFonts w:ascii="Times New Roman;Times;serif" w:hAnsi="Times New Roman;Times;serif"/>
          <w:sz w:val="24"/>
          <w:u w:val="single"/>
        </w:rPr>
        <w:t>Section 6.20</w:t>
      </w:r>
      <w:r>
        <w:rPr>
          <w:rFonts w:ascii="Times New Roman;Times;serif" w:hAnsi="Times New Roman;Times;serif"/>
          <w:sz w:val="24"/>
        </w:rPr>
        <w:t xml:space="preserve">, </w:t>
      </w:r>
      <w:r>
        <w:rPr>
          <w:rFonts w:ascii="Times New Roman;Times;serif" w:hAnsi="Times New Roman;Times;serif"/>
          <w:sz w:val="24"/>
          <w:u w:val="single"/>
        </w:rPr>
        <w:t>Section 6.21</w:t>
      </w:r>
      <w:r>
        <w:rPr>
          <w:rFonts w:ascii="Times New Roman;Times;serif" w:hAnsi="Times New Roman;Times;serif"/>
          <w:sz w:val="24"/>
        </w:rPr>
        <w:t xml:space="preserve">, </w:t>
      </w:r>
      <w:r>
        <w:rPr>
          <w:rFonts w:ascii="Times New Roman;Times;serif" w:hAnsi="Times New Roman;Times;serif"/>
          <w:sz w:val="24"/>
          <w:u w:val="single"/>
        </w:rPr>
        <w:t>Section 6.22</w:t>
      </w:r>
      <w:r>
        <w:rPr>
          <w:rFonts w:ascii="Times New Roman;Times;serif" w:hAnsi="Times New Roman;Times;serif"/>
          <w:sz w:val="24"/>
        </w:rPr>
        <w:t xml:space="preserve">, </w:t>
      </w:r>
      <w:r>
        <w:rPr>
          <w:rFonts w:ascii="Times New Roman;Times;serif" w:hAnsi="Times New Roman;Times;serif"/>
          <w:sz w:val="24"/>
          <w:u w:val="single"/>
        </w:rPr>
        <w:t>Section 6.23</w:t>
      </w:r>
      <w:r>
        <w:rPr>
          <w:rFonts w:ascii="Times New Roman;Times;serif" w:hAnsi="Times New Roman;Times;serif"/>
          <w:sz w:val="24"/>
        </w:rPr>
        <w:t xml:space="preserve">, </w:t>
      </w:r>
      <w:r>
        <w:rPr>
          <w:rFonts w:ascii="Times New Roman;Times;serif" w:hAnsi="Times New Roman;Times;serif"/>
          <w:sz w:val="24"/>
          <w:u w:val="single"/>
        </w:rPr>
        <w:t>Article V</w:t>
      </w:r>
      <w:r>
        <w:rPr>
          <w:rFonts w:ascii="Times New Roman;Times;serif" w:hAnsi="Times New Roman;Times;serif"/>
          <w:sz w:val="24"/>
        </w:rPr>
        <w:t xml:space="preserve"> and </w:t>
      </w:r>
      <w:r>
        <w:rPr>
          <w:rFonts w:ascii="Times New Roman;Times;serif" w:hAnsi="Times New Roman;Times;serif"/>
          <w:sz w:val="24"/>
          <w:u w:val="single"/>
        </w:rPr>
        <w:t>Article IX</w:t>
      </w:r>
      <w:r>
        <w:rPr>
          <w:rFonts w:ascii="Times New Roman;Times;serif" w:hAnsi="Times New Roman;Times;serif"/>
          <w:sz w:val="24"/>
        </w:rPr>
        <w:t xml:space="preserve"> shall survive the Closing and remain in full force and effect until the time such obligation is fully performed in accordance with its terms, and (b) all other covenants and agreements set forth in this Agreement that by their terms contemplate performance after the Closing shall survive the Closing and remain in full force and effect until the date that is five years following the Closing Date.  Notwithstanding the foregoing and for the avoidance of doubt, (i) to the extent any applicable statute of limitations with respect to the Tax matters set forth in </w:t>
      </w:r>
      <w:r>
        <w:rPr>
          <w:rFonts w:ascii="Times New Roman;Times;serif" w:hAnsi="Times New Roman;Times;serif"/>
          <w:sz w:val="24"/>
          <w:u w:val="single"/>
        </w:rPr>
        <w:t>Section 6.1</w:t>
      </w:r>
      <w:r>
        <w:rPr>
          <w:rFonts w:ascii="Times New Roman;Times;serif" w:hAnsi="Times New Roman;Times;serif"/>
          <w:sz w:val="24"/>
        </w:rPr>
        <w:t xml:space="preserve"> remains open, any covenants relating to such Taxes (including the indemnity obligations in </w:t>
      </w:r>
      <w:r>
        <w:rPr>
          <w:rFonts w:ascii="Times New Roman;Times;serif" w:hAnsi="Times New Roman;Times;serif"/>
          <w:sz w:val="24"/>
          <w:u w:val="single"/>
        </w:rPr>
        <w:t>Section 5.2(a)(ii)</w:t>
      </w:r>
      <w:r>
        <w:rPr>
          <w:rFonts w:ascii="Times New Roman;Times;serif" w:hAnsi="Times New Roman;Times;serif"/>
          <w:sz w:val="24"/>
        </w:rPr>
        <w:t xml:space="preserve">) shall survive for such period, plus 90 days, and (ii) any indemnification Claim shall survive the time at which it would otherwise terminate pursuant to this </w:t>
      </w:r>
      <w:r>
        <w:rPr>
          <w:rFonts w:ascii="Times New Roman;Times;serif" w:hAnsi="Times New Roman;Times;serif"/>
          <w:sz w:val="24"/>
          <w:u w:val="single"/>
        </w:rPr>
        <w:t>Section 5.1</w:t>
      </w:r>
      <w:r>
        <w:rPr>
          <w:rFonts w:ascii="Times New Roman;Times;serif" w:hAnsi="Times New Roman;Times;serif"/>
          <w:sz w:val="24"/>
        </w:rPr>
        <w:t xml:space="preserve"> if written notice of the Third Party Claim or Direct Claim, as applicable, shall have been given in good faith to the Party against whom such indemnity may be sought prior to such time the underlying Claim would otherwise cease to survive hereunder.  Nothing in this </w:t>
      </w:r>
      <w:r>
        <w:rPr>
          <w:rFonts w:ascii="Times New Roman;Times;serif" w:hAnsi="Times New Roman;Times;serif"/>
          <w:sz w:val="24"/>
          <w:u w:val="single"/>
        </w:rPr>
        <w:t>Section 5.1</w:t>
      </w:r>
      <w:r>
        <w:rPr>
          <w:rFonts w:ascii="Times New Roman;Times;serif" w:hAnsi="Times New Roman;Times;serif"/>
          <w:sz w:val="24"/>
        </w:rPr>
        <w:t xml:space="preserve"> shall limit or restrict (a) a Party’s right or ability to make any claim, or recover any amounts, in connection with Fraud, (b) Buyer’s ability to recover under the R&amp;W Insurance Policy, (c) Buyer’s rights under this </w:t>
      </w:r>
      <w:r>
        <w:rPr>
          <w:rFonts w:ascii="Times New Roman;Times;serif" w:hAnsi="Times New Roman;Times;serif"/>
          <w:sz w:val="24"/>
          <w:u w:val="single"/>
        </w:rPr>
        <w:t>Article V</w:t>
      </w:r>
      <w:r>
        <w:rPr>
          <w:rFonts w:ascii="Times New Roman;Times;serif" w:hAnsi="Times New Roman;Times;serif"/>
          <w:sz w:val="24"/>
        </w:rPr>
        <w:t xml:space="preserve"> or the rights of any party to any other Transaction Document, or (d) the survival of any representations, warranties, covenants and agreements in any other Transaction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5.2</w:t>
      </w:r>
      <w:bookmarkStart w:id="3775" w:name="_Ref137808050"/>
      <w:bookmarkStart w:id="3776" w:name="_Toc128463311"/>
      <w:bookmarkStart w:id="3777" w:name="_Ref126411129"/>
      <w:bookmarkStart w:id="3778" w:name="_Ref126411114"/>
      <w:bookmarkStart w:id="3779" w:name="_Ref107466518"/>
      <w:bookmarkStart w:id="3780" w:name="_Toc101210342"/>
      <w:bookmarkStart w:id="3781" w:name="_Ref101195824"/>
      <w:bookmarkStart w:id="3782" w:name="_Ref101156262"/>
      <w:bookmarkStart w:id="3783" w:name="_Ref23074619"/>
      <w:bookmarkStart w:id="3784" w:name="_Ref23047142"/>
      <w:bookmarkStart w:id="3785" w:name="_Ref22917232"/>
      <w:bookmarkStart w:id="3786" w:name="_Ref22708217"/>
      <w:bookmarkStart w:id="3787" w:name="_Ref22706871"/>
      <w:bookmarkStart w:id="3788" w:name="_Ref22706860"/>
      <w:bookmarkStart w:id="3789" w:name="_Ref22706846"/>
      <w:bookmarkStart w:id="3790" w:name="_Ref22706834"/>
      <w:bookmarkStart w:id="3791" w:name="_Ref22706807"/>
      <w:bookmarkStart w:id="3792" w:name="_Ref22706795"/>
      <w:bookmarkStart w:id="3793" w:name="_Ref22706746"/>
      <w:bookmarkStart w:id="3794" w:name="_Ref22706727"/>
      <w:bookmarkStart w:id="3795" w:name="_Toc518197975"/>
      <w:bookmarkStart w:id="3796" w:name="_Toc235366528"/>
      <w:bookmarkStart w:id="3797" w:name="_Ref235350288"/>
      <w:bookmarkStart w:id="3798" w:name="_Toc235204912"/>
      <w:bookmarkStart w:id="3799" w:name="_Toc235142711"/>
      <w:bookmarkStart w:id="3800" w:name="_Ref231460320"/>
      <w:bookmarkStart w:id="3801" w:name="_Toc228481596"/>
      <w:bookmarkStart w:id="3802" w:name="_Ref226591459"/>
      <w:bookmarkStart w:id="3803" w:name="_Ref225381299"/>
      <w:bookmarkStart w:id="3804" w:name="_Ref224510506"/>
      <w:bookmarkStart w:id="3805" w:name="_Ref416486008"/>
      <w:bookmarkStart w:id="3806" w:name="_Ref83652576"/>
      <w:bookmarkStart w:id="3807" w:name="_Toc892156"/>
      <w:bookmarkStart w:id="3808" w:name="_Ref507269767"/>
      <w:bookmarkStart w:id="3809" w:name="_Ref507269544"/>
      <w:bookmarkStart w:id="3810" w:name="_Toc465317339"/>
      <w:bookmarkStart w:id="3811" w:name="_Toc464684595"/>
      <w:bookmarkStart w:id="3812" w:name="_Toc464561902"/>
      <w:bookmarkStart w:id="3813" w:name="_Ref464550195"/>
      <w:bookmarkStart w:id="3814" w:name="_Toc440773790"/>
      <w:bookmarkStart w:id="3815" w:name="_Ref440767715"/>
      <w:bookmarkStart w:id="3816" w:name="_Toc440766925"/>
      <w:bookmarkStart w:id="3817" w:name="_Toc440765337"/>
      <w:bookmarkStart w:id="3818" w:name="_Toc440764578"/>
      <w:bookmarkStart w:id="3819" w:name="_Toc440761018"/>
      <w:bookmarkStart w:id="3820" w:name="_Ref416482957"/>
      <w:bookmarkStart w:id="3821" w:name="_Toc416469748"/>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r>
        <w:rPr>
          <w:rFonts w:ascii="Times New Roman;Times;serif" w:hAnsi="Times New Roman;Times;serif"/>
          <w:sz w:val="24"/>
          <w:u w:val="single"/>
        </w:rPr>
        <w:t>Indemnifiable Matters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822" w:name="_Toc235204913"/>
      <w:bookmarkStart w:id="3823" w:name="_Ref416482958"/>
      <w:bookmarkStart w:id="3824" w:name="_Ref107465606"/>
      <w:bookmarkStart w:id="3825" w:name="_Ref22706776"/>
      <w:bookmarkEnd w:id="3822"/>
      <w:bookmarkEnd w:id="3823"/>
      <w:bookmarkEnd w:id="3824"/>
      <w:bookmarkEnd w:id="3825"/>
      <w:r>
        <w:rPr>
          <w:rFonts w:ascii="Times New Roman;Times;serif" w:hAnsi="Times New Roman;Times;serif"/>
          <w:sz w:val="24"/>
          <w:u w:val="single"/>
        </w:rPr>
        <w:t>Indemnification Obligations of Seller</w:t>
      </w:r>
      <w:r>
        <w:rPr>
          <w:rFonts w:ascii="Times New Roman;Times;serif" w:hAnsi="Times New Roman;Times;serif"/>
          <w:sz w:val="24"/>
        </w:rPr>
        <w:t xml:space="preserve">.  Subject to the limitations contained in </w:t>
      </w:r>
      <w:r>
        <w:rPr>
          <w:rFonts w:ascii="Times New Roman;Times;serif" w:hAnsi="Times New Roman;Times;serif"/>
          <w:sz w:val="24"/>
          <w:u w:val="single"/>
        </w:rPr>
        <w:t>Sections 5.1</w:t>
      </w:r>
      <w:r>
        <w:rPr>
          <w:rFonts w:ascii="Times New Roman;Times;serif" w:hAnsi="Times New Roman;Times;serif"/>
          <w:sz w:val="24"/>
        </w:rPr>
        <w:t xml:space="preserve"> and </w:t>
      </w:r>
      <w:r>
        <w:rPr>
          <w:rFonts w:ascii="Times New Roman;Times;serif" w:hAnsi="Times New Roman;Times;serif"/>
          <w:sz w:val="24"/>
          <w:u w:val="single"/>
        </w:rPr>
        <w:t>5.3</w:t>
      </w:r>
      <w:r>
        <w:rPr>
          <w:rFonts w:ascii="Times New Roman;Times;serif" w:hAnsi="Times New Roman;Times;serif"/>
          <w:sz w:val="24"/>
        </w:rPr>
        <w:t>, from and after the Closing, Seller</w:t>
      </w:r>
      <w:bookmarkStart w:id="3826" w:name="_Ref416483040"/>
      <w:bookmarkEnd w:id="3826"/>
      <w:r>
        <w:rPr>
          <w:rFonts w:ascii="Times New Roman;Times;serif" w:hAnsi="Times New Roman;Times;serif"/>
          <w:sz w:val="24"/>
        </w:rPr>
        <w:t xml:space="preserve"> shall indemnify Buyer, the Company and their respective Affiliates, officers, directors, employees, agents, representatives, successors and permitted assigns (collectively, the “</w:t>
      </w:r>
      <w:r>
        <w:rPr>
          <w:rFonts w:ascii="Times New Roman;Times;serif" w:hAnsi="Times New Roman;Times;serif"/>
          <w:sz w:val="24"/>
          <w:u w:val="single"/>
        </w:rPr>
        <w:t>Buyer Indemnified Persons</w:t>
      </w:r>
      <w:r>
        <w:rPr>
          <w:rFonts w:ascii="Times New Roman;Times;serif" w:hAnsi="Times New Roman;Times;serif"/>
          <w:sz w:val="24"/>
        </w:rPr>
        <w:t>”) in respect of any Losses which any Buyer Indemnified Person may suffer as a result of, based upon, or arising from:</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3827" w:name="_Ref331688883"/>
      <w:bookmarkStart w:id="3828" w:name="_Ref440767716"/>
      <w:bookmarkEnd w:id="3827"/>
      <w:bookmarkEnd w:id="3828"/>
      <w:r>
        <w:rPr>
          <w:rFonts w:ascii="Times New Roman;Times;serif" w:hAnsi="Times New Roman;Times;serif"/>
          <w:sz w:val="24"/>
        </w:rPr>
        <w:t>any nonfulfillment or breach of any covenant or agreement by Seller or Seller Guarantor at any time under this Agreement;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3829" w:name="_Ref440767718"/>
      <w:bookmarkStart w:id="3830" w:name="_Ref471303370"/>
      <w:bookmarkStart w:id="3831" w:name="_Ref83652578"/>
      <w:bookmarkStart w:id="3832" w:name="_9kR3WTr346DIKJFlfohnCpdzLN6E954laBGC"/>
      <w:bookmarkStart w:id="3833" w:name="_Ref226591464"/>
      <w:bookmarkEnd w:id="3829"/>
      <w:bookmarkEnd w:id="3830"/>
      <w:bookmarkEnd w:id="3831"/>
      <w:bookmarkEnd w:id="3832"/>
      <w:bookmarkEnd w:id="3833"/>
      <w:r>
        <w:rPr>
          <w:rFonts w:ascii="Times New Roman;Times;serif" w:hAnsi="Times New Roman;Times;serif"/>
          <w:sz w:val="24"/>
        </w:rPr>
        <w:t>any Pre-Closing Taxes;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(iii)</w:t>
      </w:r>
      <w:bookmarkStart w:id="3834" w:name="_Ref232490970"/>
      <w:bookmarkEnd w:id="3834"/>
      <w:r>
        <w:rPr>
          <w:rFonts w:ascii="Times New Roman;Times;serif" w:hAnsi="Times New Roman;Times;serif"/>
          <w:sz w:val="24"/>
        </w:rPr>
        <w:t xml:space="preserve">any Asset Retirement Obligations incurred by the Company or its Subsidiaries in respect of: (i) repair shops, distribution centers or other properties previously leased, used or occupied by the Company or any of its Subsidiaries that are not operative or are closed as of the Closing Date, and (ii) any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sz w:val="24"/>
        </w:rPr>
        <w:t>Repair Shops or Distribution Centers closed by the Company or any of its Subsidiaries in the twelve months following the Closing;</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(iv)</w:t>
      </w:r>
      <w:r>
        <w:rPr>
          <w:rFonts w:ascii="Times New Roman;Times;serif" w:hAnsi="Times New Roman;Times;serif"/>
          <w:sz w:val="24"/>
        </w:rPr>
        <w:t>the Excluded Business;</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w:t>
      </w:r>
      <w:r>
        <w:rPr>
          <w:rFonts w:ascii="Times New Roman;Times;serif" w:hAnsi="Times New Roman;Times;serif"/>
          <w:sz w:val="24"/>
        </w:rPr>
        <w:t xml:space="preserve">the Restructuring (including any failure to complete any portion thereof); </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(vi)</w:t>
      </w:r>
      <w:r>
        <w:rPr>
          <w:rFonts w:ascii="Times New Roman;Times;serif" w:hAnsi="Times New Roman;Times;serif"/>
          <w:sz w:val="24"/>
        </w:rPr>
        <w:t xml:space="preserve">the </w:t>
      </w:r>
      <w:r>
        <w:rPr>
          <w:rFonts w:ascii="TimesNewRomanPSMT" w:hAnsi="TimesNewRomanPSMT"/>
          <w:sz w:val="24"/>
        </w:rPr>
        <w:t>Non-Puerto Rico 401(k) Plan;</w:t>
      </w:r>
      <w:r>
        <w:rPr>
          <w:rFonts w:ascii="Times New Roman;Times;serif" w:hAnsi="Times New Roman;Times;serif"/>
          <w:sz w:val="24"/>
        </w:rPr>
        <w:t xml:space="preserve"> </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(vii)</w:t>
      </w:r>
      <w:bookmarkStart w:id="3835" w:name="_Ref233628590"/>
      <w:bookmarkStart w:id="3836" w:name="_Ref234500094"/>
      <w:bookmarkEnd w:id="3835"/>
      <w:bookmarkEnd w:id="3836"/>
      <w:r>
        <w:rPr>
          <w:rFonts w:ascii="TimesNewRomanPSMT" w:hAnsi="TimesNewRomanPSMT"/>
          <w:sz w:val="24"/>
        </w:rPr>
        <w:t>the Escheat and Unclaimed Property Obligations;</w:t>
      </w:r>
      <w:r>
        <w:rPr>
          <w:rFonts w:ascii="Times New Roman;Times;serif" w:hAnsi="Times New Roman;Times;serif"/>
          <w:sz w:val="24"/>
        </w:rPr>
        <w:t xml:space="preserve"> </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(viii)</w:t>
      </w:r>
      <w:bookmarkStart w:id="3837" w:name="_Ref233673274"/>
      <w:bookmarkStart w:id="3838" w:name="_Ref235350788"/>
      <w:bookmarkEnd w:id="3837"/>
      <w:bookmarkEnd w:id="3838"/>
      <w:r>
        <w:rPr>
          <w:rFonts w:ascii="Times New Roman;Times;serif" w:hAnsi="Times New Roman;Times;serif"/>
          <w:sz w:val="24"/>
        </w:rPr>
        <w:t xml:space="preserve">the </w:t>
      </w:r>
      <w:r>
        <w:rPr>
          <w:rFonts w:ascii="TimesNewRomanPSMT" w:hAnsi="TimesNewRomanPSMT"/>
          <w:sz w:val="24"/>
        </w:rPr>
        <w:t>[***] Litigation (including for the avoidance of doubt, the [***] Bond);</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(ix)</w:t>
      </w:r>
      <w:r>
        <w:rPr>
          <w:rFonts w:ascii="Times New Roman;Times;serif" w:hAnsi="Times New Roman;Times;serif"/>
          <w:sz w:val="24"/>
        </w:rPr>
        <w:t xml:space="preserve"> any breach or default by the Company or any of its Subsidiaries under any Lease occurring prior to the Closing and which Seller has Knowledge as of the Closing Date, including for the avoidance of doubt any Lease Default Event;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w:t>
      </w:r>
      <w:r>
        <w:rPr>
          <w:rFonts w:ascii="Times New Roman;Times;serif" w:hAnsi="Times New Roman;Times;serif"/>
          <w:sz w:val="24"/>
        </w:rPr>
        <w:t>any Closed Leased Locations, whether such Losses arise prior to, on or after the Closing;</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(xi)</w:t>
      </w:r>
      <w:r>
        <w:rPr>
          <w:rFonts w:ascii="Times New Roman;Times;serif" w:hAnsi="Times New Roman;Times;serif"/>
          <w:sz w:val="24"/>
        </w:rPr>
        <w:t>any prime lease underlying any New Sublease Agreement, unless and until such prime lease has been assigned to LeaseCo, and the Company and its Subsidiaries have been fully and unconditionally released from all obligations and Liabilities thereunder except solely to the extent Buyer, the Company or any of their respective Affiliates is expressly responsible for such Losses under the applicable New Sublease Agreement;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(xii)</w:t>
      </w:r>
      <w:r>
        <w:rPr>
          <w:rFonts w:ascii="Times New Roman;Times;serif" w:hAnsi="Times New Roman;Times;serif"/>
          <w:sz w:val="24"/>
        </w:rPr>
        <w:t xml:space="preserve">the rent, additional rent, common area maintenance charges, Taxes, operating expenses, utilities, insurance, maintenance costs, repair costs, restoration costs, surrender costs, enforcement costs or any other Liabilities, arising out of, relating to or resulting from the headquarters leased locations identified on </w:t>
      </w:r>
      <w:r>
        <w:rPr>
          <w:rFonts w:ascii="Times New Roman;Times;serif" w:hAnsi="Times New Roman;Times;serif"/>
          <w:sz w:val="24"/>
          <w:u w:val="single"/>
        </w:rPr>
        <w:t>Schedule 5.2(a)(xii)</w:t>
      </w:r>
      <w:r>
        <w:rPr>
          <w:rFonts w:ascii="Times New Roman;Times;serif" w:hAnsi="Times New Roman;Times;serif"/>
          <w:sz w:val="24"/>
        </w:rPr>
        <w:t xml:space="preserve"> and the applicable Leases relating thereto, except solely to the extent Buyer, the Company or any of their respective Affiliates is expressly responsible for such Losses under the Transition Services Agreement, and excluding any Losses arising with respect to the applicable headquarters Lease after such time as the Company or its applicable Subsidiary is fully released by the landlord for such property from any and all Liabilities under such Lease in connection with the transfer of such Lease to an Affiliate of Seller (with the prior written consent of the applicable landlord) in the Restructuring; and</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(xiii)</w:t>
      </w:r>
      <w:r>
        <w:rPr>
          <w:rFonts w:ascii="Times New Roman;Times;serif" w:hAnsi="Times New Roman;Times;serif"/>
          <w:sz w:val="24"/>
        </w:rPr>
        <w:t xml:space="preserve">the actual cost incurred in connection with the termination (whether expressly provided by a Contract, negotiated with the applicable contractual counterparty or sought by the Company or its applicable Subsidiary) of any and all Corporate Contracts (other than those described in </w:t>
      </w:r>
      <w:r>
        <w:rPr>
          <w:rFonts w:ascii="Times New Roman;Times;serif" w:hAnsi="Times New Roman;Times;serif"/>
          <w:sz w:val="24"/>
          <w:u w:val="single"/>
        </w:rPr>
        <w:t>Section 6.24(b))</w:t>
      </w:r>
      <w:r>
        <w:rPr>
          <w:rFonts w:ascii="Times New Roman;Times;serif" w:hAnsi="Times New Roman;Times;serif"/>
          <w:sz w:val="24"/>
        </w:rPr>
        <w:t xml:space="preserve"> within the six months following the Closing Date.</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839" w:name="_Toc235204914"/>
      <w:bookmarkStart w:id="3840" w:name="_Ref416482960"/>
      <w:bookmarkStart w:id="3841" w:name="_Ref107465755"/>
      <w:bookmarkStart w:id="3842" w:name="_Ref22722982"/>
      <w:bookmarkEnd w:id="3839"/>
      <w:bookmarkEnd w:id="3840"/>
      <w:bookmarkEnd w:id="3841"/>
      <w:bookmarkEnd w:id="3842"/>
      <w:r>
        <w:rPr>
          <w:rFonts w:ascii="Times New Roman;Times;serif" w:hAnsi="Times New Roman;Times;serif"/>
          <w:sz w:val="24"/>
          <w:u w:val="single"/>
        </w:rPr>
        <w:t>Indemnification Obligations of Buyer</w:t>
      </w:r>
      <w:r>
        <w:rPr>
          <w:rFonts w:ascii="Times New Roman;Times;serif" w:hAnsi="Times New Roman;Times;serif"/>
          <w:sz w:val="24"/>
        </w:rPr>
        <w:t xml:space="preserve">.  Subject to the limitations contained in </w:t>
      </w:r>
      <w:r>
        <w:rPr>
          <w:rFonts w:ascii="Times New Roman;Times;serif" w:hAnsi="Times New Roman;Times;serif"/>
          <w:sz w:val="24"/>
          <w:u w:val="single"/>
        </w:rPr>
        <w:t>Sections 5.1</w:t>
      </w:r>
      <w:r>
        <w:rPr>
          <w:rFonts w:ascii="Times New Roman;Times;serif" w:hAnsi="Times New Roman;Times;serif"/>
          <w:sz w:val="24"/>
        </w:rPr>
        <w:t xml:space="preserve"> and </w:t>
      </w:r>
      <w:r>
        <w:rPr>
          <w:rFonts w:ascii="Times New Roman;Times;serif" w:hAnsi="Times New Roman;Times;serif"/>
          <w:sz w:val="24"/>
          <w:u w:val="single"/>
        </w:rPr>
        <w:t>5.2</w:t>
      </w:r>
      <w:r>
        <w:rPr>
          <w:rFonts w:ascii="Times New Roman;Times;serif" w:hAnsi="Times New Roman;Times;serif"/>
          <w:sz w:val="24"/>
        </w:rPr>
        <w:t>, from and after the Closing, Buyer shall indemnify Seller and its Affiliates, officers, directors, employees, agents, representatives, successors and permitted assigns (collectively, the “</w:t>
      </w:r>
      <w:r>
        <w:rPr>
          <w:rFonts w:ascii="Times New Roman;Times;serif" w:hAnsi="Times New Roman;Times;serif"/>
          <w:sz w:val="24"/>
          <w:u w:val="single"/>
        </w:rPr>
        <w:t>Seller Indemnified Persons</w:t>
      </w:r>
      <w:r>
        <w:rPr>
          <w:rFonts w:ascii="Times New Roman;Times;serif" w:hAnsi="Times New Roman;Times;serif"/>
          <w:sz w:val="24"/>
        </w:rPr>
        <w:t xml:space="preserve">”) in respect of any Losses which any Seller Indemnified Person may suffer as a result of, based upon, or arising from </w:t>
      </w:r>
      <w:bookmarkStart w:id="3843" w:name="_Ref137808342"/>
      <w:bookmarkStart w:id="3844" w:name="_Ref416482962"/>
      <w:bookmarkEnd w:id="3843"/>
      <w:bookmarkEnd w:id="3844"/>
      <w:r>
        <w:rPr>
          <w:rFonts w:ascii="Times New Roman;Times;serif" w:hAnsi="Times New Roman;Times;serif"/>
          <w:sz w:val="24"/>
        </w:rPr>
        <w:t>any nonfulfillment or breach of any covenant, agreement or other provision by Buyer under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5.3</w:t>
      </w:r>
      <w:bookmarkStart w:id="3845" w:name="_Toc235366529"/>
      <w:bookmarkStart w:id="3846" w:name="_Toc235204915"/>
      <w:bookmarkStart w:id="3847" w:name="_Toc235142712"/>
      <w:bookmarkStart w:id="3848" w:name="_Toc228481597"/>
      <w:bookmarkStart w:id="3849" w:name="_Ref464677330"/>
      <w:bookmarkStart w:id="3850" w:name="_Ref101195828"/>
      <w:bookmarkStart w:id="3851" w:name="_Ref83652579"/>
      <w:bookmarkStart w:id="3852" w:name="_Toc892157"/>
      <w:bookmarkStart w:id="3853" w:name="_Ref507269768"/>
      <w:bookmarkStart w:id="3854" w:name="_Ref507269548"/>
      <w:bookmarkStart w:id="3855" w:name="_Toc465317340"/>
      <w:bookmarkStart w:id="3856" w:name="_Toc464684596"/>
      <w:bookmarkStart w:id="3857" w:name="_Toc464561903"/>
      <w:bookmarkStart w:id="3858" w:name="_Toc440773791"/>
      <w:bookmarkStart w:id="3859" w:name="_Toc440766926"/>
      <w:bookmarkStart w:id="3860" w:name="_Toc440765338"/>
      <w:bookmarkStart w:id="3861" w:name="_Toc440764579"/>
      <w:bookmarkStart w:id="3862" w:name="_Toc440761019"/>
      <w:bookmarkStart w:id="3863" w:name="_Toc416469749"/>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r>
        <w:rPr>
          <w:rFonts w:ascii="Times New Roman;Times;serif" w:hAnsi="Times New Roman;Times;serif"/>
          <w:sz w:val="24"/>
          <w:u w:val="single"/>
        </w:rPr>
        <w:t>Limitations on Indemnification</w:t>
      </w:r>
      <w:r>
        <w:rPr>
          <w:rFonts w:ascii="Times New Roman;Times;serif" w:hAnsi="Times New Roman;Times;serif"/>
          <w:sz w:val="24"/>
        </w:rPr>
        <w:t xml:space="preserve">.  Notwithstanding anything contained in </w:t>
      </w:r>
      <w:r>
        <w:rPr>
          <w:rFonts w:ascii="Times New Roman;Times;serif" w:hAnsi="Times New Roman;Times;serif"/>
          <w:sz w:val="24"/>
          <w:u w:val="single"/>
        </w:rPr>
        <w:t>Section 5.2</w:t>
      </w:r>
      <w:r>
        <w:rPr>
          <w:rFonts w:ascii="Times New Roman;Times;serif" w:hAnsi="Times New Roman;Times;serif"/>
          <w:sz w:val="24"/>
        </w:rPr>
        <w:t>, the indemnification obligations of the Parties are subject to the following limitations: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864" w:name="_Toc416469750"/>
      <w:bookmarkStart w:id="3865" w:name="_Ref137826300"/>
      <w:bookmarkStart w:id="3866" w:name="_Toc235204916"/>
      <w:bookmarkStart w:id="3867" w:name="_Ref440767723"/>
      <w:bookmarkStart w:id="3868" w:name="_Ref433373245"/>
      <w:bookmarkStart w:id="3869" w:name="_Ref416302094"/>
      <w:bookmarkStart w:id="3870" w:name="_Ref415097077"/>
      <w:bookmarkEnd w:id="3864"/>
      <w:bookmarkEnd w:id="3865"/>
      <w:bookmarkEnd w:id="3866"/>
      <w:bookmarkEnd w:id="3867"/>
      <w:bookmarkEnd w:id="3868"/>
      <w:bookmarkEnd w:id="3869"/>
      <w:bookmarkEnd w:id="3870"/>
      <w:r>
        <w:rPr>
          <w:rFonts w:ascii="Times New Roman;Times;serif" w:hAnsi="Times New Roman;Times;serif"/>
          <w:sz w:val="24"/>
        </w:rPr>
        <w:t xml:space="preserve">Neither Seller nor Buyer shall be required to indemnify the Buyer Indemnified Persons or the Seller Indemnified Persons, respectively, against, or reimburse any such Person in respect of any Losses for which indemnity is claimed under </w:t>
      </w:r>
      <w:r>
        <w:rPr>
          <w:rFonts w:ascii="Times New Roman;Times;serif" w:hAnsi="Times New Roman;Times;serif"/>
          <w:sz w:val="24"/>
          <w:u w:val="single"/>
        </w:rPr>
        <w:t>Section 5.2</w:t>
      </w:r>
      <w:r>
        <w:rPr>
          <w:rFonts w:ascii="Times New Roman;Times;serif" w:hAnsi="Times New Roman;Times;serif"/>
          <w:sz w:val="24"/>
        </w:rPr>
        <w:t xml:space="preserve"> to the extent that the aggregate amount of such Losses indemnifiable by Seller or Buyer, as applicable, exceeds the Final Purchase Price, </w:t>
      </w:r>
      <w:r>
        <w:rPr>
          <w:rFonts w:ascii="Times New Roman;Times;serif" w:hAnsi="Times New Roman;Times;serif"/>
          <w:i/>
          <w:sz w:val="24"/>
        </w:rPr>
        <w:t>provided</w:t>
      </w:r>
      <w:r>
        <w:rPr>
          <w:rFonts w:ascii="Times New Roman;Times;serif" w:hAnsi="Times New Roman;Times;serif"/>
          <w:sz w:val="24"/>
        </w:rPr>
        <w:t xml:space="preserve"> that indemnification for claims under </w:t>
      </w:r>
      <w:r>
        <w:rPr>
          <w:rFonts w:ascii="Times New Roman;Times;serif" w:hAnsi="Times New Roman;Times;serif"/>
          <w:sz w:val="24"/>
          <w:u w:val="single"/>
        </w:rPr>
        <w:t>Section 5.2(a)(iii)</w:t>
      </w:r>
      <w:r>
        <w:rPr>
          <w:rFonts w:ascii="Times New Roman;Times;serif" w:hAnsi="Times New Roman;Times;serif"/>
          <w:sz w:val="24"/>
        </w:rPr>
        <w:t xml:space="preserve"> shall be limited in the aggregate to $[***]; indemnification for claims under </w:t>
      </w:r>
      <w:r>
        <w:rPr>
          <w:rFonts w:ascii="Times New Roman;Times;serif" w:hAnsi="Times New Roman;Times;serif"/>
          <w:sz w:val="24"/>
          <w:u w:val="single"/>
        </w:rPr>
        <w:t>Section 5.2(a)(vii)</w:t>
      </w:r>
      <w:r>
        <w:rPr>
          <w:rFonts w:ascii="Times New Roman;Times;serif" w:hAnsi="Times New Roman;Times;serif"/>
          <w:sz w:val="24"/>
        </w:rPr>
        <w:t xml:space="preserve"> shall be limited in the aggregate to $[***]; indemnification for claims under </w:t>
      </w:r>
      <w:r>
        <w:rPr>
          <w:rFonts w:ascii="Times New Roman;Times;serif" w:hAnsi="Times New Roman;Times;serif"/>
          <w:sz w:val="24"/>
          <w:u w:val="single"/>
        </w:rPr>
        <w:t>Section 5.2(a)(viii)</w:t>
      </w:r>
      <w:r>
        <w:rPr>
          <w:rFonts w:ascii="Times New Roman;Times;serif" w:hAnsi="Times New Roman;Times;serif"/>
          <w:sz w:val="24"/>
        </w:rPr>
        <w:t xml:space="preserve"> shall be limited in the aggregate to $[***]; and indemnification for claims under </w:t>
      </w:r>
      <w:r>
        <w:rPr>
          <w:rFonts w:ascii="Times New Roman;Times;serif" w:hAnsi="Times New Roman;Times;serif"/>
          <w:sz w:val="24"/>
          <w:u w:val="single"/>
        </w:rPr>
        <w:t>Section 6.20(f)</w:t>
      </w:r>
      <w:r>
        <w:rPr>
          <w:rFonts w:ascii="Times New Roman;Times;serif" w:hAnsi="Times New Roman;Times;serif"/>
          <w:sz w:val="24"/>
        </w:rPr>
        <w:t xml:space="preserve"> shall not be limited to the Final Purchase Price cap set forth above.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871" w:name="_Toc235204917"/>
      <w:bookmarkEnd w:id="3871"/>
      <w:r>
        <w:rPr>
          <w:rFonts w:ascii="Times New Roman;Times;serif" w:hAnsi="Times New Roman;Times;serif"/>
          <w:sz w:val="24"/>
        </w:rPr>
        <w:t>In no event shall either Party be liable to any Buyer Indemnified Person or Seller Indemnified Person, as applicable, for any special or punitive damages relating to the breach or alleged breach of this Agreement, except to the extent actually awarded or paid in connection with a Third Party Claim.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3872" w:name="_Hlk225970778"/>
      <w:bookmarkStart w:id="3873" w:name="_Toc235204918"/>
      <w:bookmarkEnd w:id="3872"/>
      <w:bookmarkEnd w:id="3873"/>
      <w:r>
        <w:rPr>
          <w:rFonts w:ascii="Times New Roman;Times;serif" w:hAnsi="Times New Roman;Times;serif"/>
          <w:sz w:val="24"/>
        </w:rPr>
        <w:t xml:space="preserve">Payments by either Party pursuant to </w:t>
      </w:r>
      <w:r>
        <w:rPr>
          <w:rFonts w:ascii="Times New Roman;Times;serif" w:hAnsi="Times New Roman;Times;serif"/>
          <w:sz w:val="24"/>
          <w:u w:val="single"/>
        </w:rPr>
        <w:t>Section 5.2</w:t>
      </w:r>
      <w:r>
        <w:rPr>
          <w:rFonts w:ascii="Times New Roman;Times;serif" w:hAnsi="Times New Roman;Times;serif"/>
          <w:sz w:val="24"/>
        </w:rPr>
        <w:t xml:space="preserve"> in respect of any Loss shall be limited to the amount of any such Loss that remains after deducting therefrom any insurance proceeds and any indemnity, contribution or other similar payment actually received by the Buyer Indemnified Person or the Seller Indemnified Person, as applicable, in respect of the underlying Claim (less the sum of (i) reasonable out-of-pocket costs and expenses relating to collection of such proceeds, (ii) any incremental increase in premiums directly resulting therefrom, and (iii) any deductible or retention associated therewith).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3874" w:name="_Toc235204919"/>
      <w:bookmarkEnd w:id="3874"/>
      <w:r>
        <w:rPr>
          <w:rFonts w:ascii="Times New Roman;Times;serif" w:hAnsi="Times New Roman;Times;serif"/>
          <w:sz w:val="24"/>
        </w:rPr>
        <w:t xml:space="preserve">Notwithstanding any other provision of this Agreement to the contrary, no Buyer Indemnified Person, nor any of its Affiliates, shall have any right to indemnification under this Agreement with respect to, or based on, Taxes to the extent that such Taxes (i) are not Pre-Closing Taxes or (ii) are actually recoverable (without any requirement to commence litigation against any insurer) pursuant to the R&amp;W Insurance Policy (taking into account the exclusions and limitations set forth therein); </w:t>
      </w:r>
      <w:r>
        <w:rPr>
          <w:rFonts w:ascii="Times New Roman;Times;serif" w:hAnsi="Times New Roman;Times;serif"/>
          <w:i/>
          <w:sz w:val="24"/>
        </w:rPr>
        <w:t>provided</w:t>
      </w:r>
      <w:r>
        <w:rPr>
          <w:rFonts w:ascii="Times New Roman;Times;serif" w:hAnsi="Times New Roman;Times;serif"/>
          <w:sz w:val="24"/>
        </w:rPr>
        <w:t xml:space="preserve"> that, this clause (ii) shall not prevent any Buyer Indemnified Person from making an indemnity Claim hereunder for Pre-Closing Taxes simultaneously with, or during the pendency of any Claim for such Pre-Closing Taxes under the R&amp;W Insurance Policy;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such Buyer Indemnified Person shall (A) diligently pursue such Claim for such Pre-Closing Taxes under the R&amp;W Insurance Policy, and (B) promptly reimburse Seller for any amounts paid to such Buyer Indemnified Person pursuant to an indemnity Claim for Pre-Closing Taxes under this Agreement to the extent of any amounts recovered pursuant to a simultaneous Claim under the R&amp;W Insurance Policy. </w:t>
      </w:r>
      <w:bookmarkStart w:id="3875" w:name="_Toc225902257"/>
      <w:bookmarkEnd w:id="3875"/>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5.4</w:t>
      </w:r>
      <w:bookmarkStart w:id="3876" w:name="_Toc235366530"/>
      <w:bookmarkStart w:id="3877" w:name="_Toc235204920"/>
      <w:bookmarkStart w:id="3878" w:name="_Toc235142713"/>
      <w:bookmarkStart w:id="3879" w:name="_Ref232590314"/>
      <w:bookmarkStart w:id="3880" w:name="_Ref232508745"/>
      <w:bookmarkStart w:id="3881" w:name="_Ref232506998"/>
      <w:bookmarkStart w:id="3882" w:name="_Ref232506340"/>
      <w:bookmarkStart w:id="3883" w:name="_Toc228481598"/>
      <w:bookmarkStart w:id="3884" w:name="_Ref226468642"/>
      <w:bookmarkStart w:id="3885" w:name="_Ref225445267"/>
      <w:bookmarkStart w:id="3886" w:name="_Ref83652585"/>
      <w:bookmarkStart w:id="3887" w:name="_Toc892159"/>
      <w:bookmarkStart w:id="3888" w:name="_Ref464581236"/>
      <w:bookmarkStart w:id="3889" w:name="_Ref507269770"/>
      <w:bookmarkStart w:id="3890" w:name="_Ref507269550"/>
      <w:bookmarkStart w:id="3891" w:name="_Toc465317342"/>
      <w:bookmarkStart w:id="3892" w:name="_Toc464684598"/>
      <w:bookmarkStart w:id="3893" w:name="_Ref464682160"/>
      <w:bookmarkStart w:id="3894" w:name="_Toc464561905"/>
      <w:bookmarkStart w:id="3895" w:name="_Ref464550160"/>
      <w:bookmarkStart w:id="3896" w:name="_Toc440773793"/>
      <w:bookmarkStart w:id="3897" w:name="_Ref440767728"/>
      <w:bookmarkStart w:id="3898" w:name="_Toc440766928"/>
      <w:bookmarkStart w:id="3899" w:name="_Toc440765340"/>
      <w:bookmarkStart w:id="3900" w:name="_Toc440764581"/>
      <w:bookmarkStart w:id="3901" w:name="_Toc440761021"/>
      <w:bookmarkStart w:id="3902" w:name="_Toc225902259"/>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r>
        <w:rPr>
          <w:rFonts w:ascii="Times New Roman;Times;serif" w:hAnsi="Times New Roman;Times;serif"/>
          <w:sz w:val="24"/>
          <w:u w:val="single"/>
        </w:rPr>
        <w:t>Manner of Payment</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903" w:name="_Ref232590308"/>
      <w:bookmarkStart w:id="3904" w:name="_Toc235204921"/>
      <w:bookmarkEnd w:id="3903"/>
      <w:bookmarkEnd w:id="3904"/>
      <w:r>
        <w:rPr>
          <w:rFonts w:ascii="Times New Roman;Times;serif" w:hAnsi="Times New Roman;Times;serif"/>
          <w:sz w:val="24"/>
        </w:rPr>
        <w:t xml:space="preserve">Any indemnification owing pursuant to this </w:t>
      </w:r>
      <w:r>
        <w:rPr>
          <w:rFonts w:ascii="Times New Roman;Times;serif" w:hAnsi="Times New Roman;Times;serif"/>
          <w:sz w:val="24"/>
          <w:u w:val="single"/>
        </w:rPr>
        <w:t>Article V</w:t>
      </w:r>
      <w:r>
        <w:rPr>
          <w:rFonts w:ascii="Times New Roman;Times;serif" w:hAnsi="Times New Roman;Times;serif"/>
          <w:sz w:val="24"/>
        </w:rPr>
        <w:t xml:space="preserve"> by Seller shall be paid, at Buyer’s sole discretion, by (i) set-off against, with respect to Claims that are not in dispute in accordance with </w:t>
      </w:r>
      <w:r>
        <w:rPr>
          <w:rFonts w:ascii="Times New Roman;Times;serif" w:hAnsi="Times New Roman;Times;serif"/>
          <w:sz w:val="24"/>
          <w:u w:val="single"/>
        </w:rPr>
        <w:t>Section 5.5</w:t>
      </w:r>
      <w:r>
        <w:rPr>
          <w:rFonts w:ascii="Times New Roman;Times;serif" w:hAnsi="Times New Roman;Times;serif"/>
          <w:sz w:val="24"/>
        </w:rPr>
        <w:t xml:space="preserve"> or </w:t>
      </w:r>
      <w:r>
        <w:rPr>
          <w:rFonts w:ascii="Times New Roman;Times;serif" w:hAnsi="Times New Roman;Times;serif"/>
          <w:sz w:val="24"/>
          <w:u w:val="single"/>
        </w:rPr>
        <w:t>Section 5.6</w:t>
      </w:r>
      <w:r>
        <w:rPr>
          <w:rFonts w:ascii="Times New Roman;Times;serif" w:hAnsi="Times New Roman;Times;serif"/>
          <w:sz w:val="24"/>
        </w:rPr>
        <w:t xml:space="preserve"> (or, if disputed, adjudicated to be owed), any payments due and payable under any New Sublease Agreement, or (ii) directly by Seller by wire transfer of immediately available funds.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905" w:name="_9kMJ7M6ZWu4ABDNQTNH2w"/>
      <w:bookmarkStart w:id="3906" w:name="_Toc235204922"/>
      <w:bookmarkEnd w:id="3905"/>
      <w:bookmarkEnd w:id="3906"/>
      <w:r>
        <w:rPr>
          <w:rFonts w:ascii="Times New Roman;Times;serif" w:hAnsi="Times New Roman;Times;serif"/>
          <w:sz w:val="24"/>
        </w:rPr>
        <w:t xml:space="preserve">The rights of set-off provided in </w:t>
      </w:r>
      <w:r>
        <w:rPr>
          <w:rFonts w:ascii="Times New Roman;Times;serif" w:hAnsi="Times New Roman;Times;serif"/>
          <w:sz w:val="24"/>
          <w:u w:val="single"/>
        </w:rPr>
        <w:t>Section 5.4(a)(i)</w:t>
      </w:r>
      <w:r>
        <w:rPr>
          <w:rFonts w:ascii="Times New Roman;Times;serif" w:hAnsi="Times New Roman;Times;serif"/>
          <w:sz w:val="24"/>
        </w:rPr>
        <w:t xml:space="preserve"> are in addition to, and not in lieu of, any other rights or remedies available to Buyer or any Buyer Indemnified Person, and Buyer’s exercise of such set-off rights with respect to any portion of an indemnification Claim shall not limit the rights or remedies of any Buyer Indemnified Person with respect to any unpaid portion of such Claim.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5.5</w:t>
      </w:r>
      <w:bookmarkStart w:id="3907" w:name="_Toc235366531"/>
      <w:bookmarkStart w:id="3908" w:name="_Toc235204923"/>
      <w:bookmarkStart w:id="3909" w:name="_Toc235142714"/>
      <w:bookmarkStart w:id="3910" w:name="_Toc228481599"/>
      <w:bookmarkStart w:id="3911" w:name="_9kR3WTr28BEJGFIhRnyuTLuEMgOtr4F"/>
      <w:bookmarkStart w:id="3912" w:name="_Toc892160"/>
      <w:bookmarkStart w:id="3913" w:name="_Toc465317343"/>
      <w:bookmarkStart w:id="3914" w:name="_Toc464684599"/>
      <w:bookmarkStart w:id="3915" w:name="_Toc464561906"/>
      <w:bookmarkStart w:id="3916" w:name="_Toc440773794"/>
      <w:bookmarkStart w:id="3917" w:name="_Toc440766929"/>
      <w:bookmarkStart w:id="3918" w:name="_Toc440765341"/>
      <w:bookmarkStart w:id="3919" w:name="_Toc440764582"/>
      <w:bookmarkStart w:id="3920" w:name="_Toc440761022"/>
      <w:bookmarkStart w:id="3921" w:name="_Toc416469751"/>
      <w:bookmarkStart w:id="3922" w:name="_Ref22707761"/>
      <w:bookmarkStart w:id="3923" w:name="_Toc224918914"/>
      <w:bookmarkStart w:id="3924" w:name="_Toc224918816"/>
      <w:bookmarkStart w:id="3925" w:name="_Toc224914192"/>
      <w:bookmarkStart w:id="3926" w:name="_Toc22847018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r>
        <w:rPr>
          <w:rFonts w:ascii="Times New Roman;Times;serif" w:hAnsi="Times New Roman;Times;serif"/>
          <w:sz w:val="24"/>
          <w:u w:val="single"/>
        </w:rPr>
        <w:t>Third Party Claims</w:t>
      </w:r>
      <w:bookmarkStart w:id="3927" w:name="_Ref57133051"/>
      <w:bookmarkEnd w:id="3927"/>
      <w:r>
        <w:rPr>
          <w:rFonts w:ascii="Times New Roman;Times;serif" w:hAnsi="Times New Roman;Times;serif"/>
          <w:sz w:val="24"/>
        </w:rPr>
        <w:t>.</w:t>
      </w:r>
      <w:r>
        <w:rPr>
          <w:rFonts w:ascii="Times New Roman;Times;serif" w:hAnsi="Times New Roman;Times;serif"/>
          <w:sz w:val="24"/>
          <w:shd w:fill="00FFFF" w:val="clear"/>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3928" w:name="_Toc235204924"/>
      <w:bookmarkStart w:id="3929" w:name="_Ref234063286"/>
      <w:bookmarkEnd w:id="3928"/>
      <w:bookmarkEnd w:id="3929"/>
      <w:r>
        <w:rPr>
          <w:rFonts w:ascii="Times New Roman;Times;serif" w:hAnsi="Times New Roman;Times;serif"/>
          <w:sz w:val="24"/>
        </w:rPr>
        <w:t>If any Claim is initiated by any third party (a “</w:t>
      </w:r>
      <w:r>
        <w:rPr>
          <w:rFonts w:ascii="Times New Roman;Times;serif" w:hAnsi="Times New Roman;Times;serif"/>
          <w:sz w:val="24"/>
          <w:u w:val="single"/>
        </w:rPr>
        <w:t>Third Party Claim</w:t>
      </w:r>
      <w:r>
        <w:rPr>
          <w:rFonts w:ascii="Times New Roman;Times;serif" w:hAnsi="Times New Roman;Times;serif"/>
          <w:sz w:val="24"/>
        </w:rPr>
        <w:t xml:space="preserve">”) against any Person entitled to seek indemnification under this </w:t>
      </w:r>
      <w:r>
        <w:rPr>
          <w:rFonts w:ascii="Times New Roman;Times;serif" w:hAnsi="Times New Roman;Times;serif"/>
          <w:sz w:val="24"/>
          <w:u w:val="single"/>
        </w:rPr>
        <w:t>Article V</w:t>
      </w:r>
      <w:r>
        <w:rPr>
          <w:rFonts w:ascii="Times New Roman;Times;serif" w:hAnsi="Times New Roman;Times;serif"/>
          <w:sz w:val="24"/>
        </w:rPr>
        <w:t xml:space="preserve"> (an “</w:t>
      </w:r>
      <w:r>
        <w:rPr>
          <w:rFonts w:ascii="Times New Roman;Times;serif" w:hAnsi="Times New Roman;Times;serif"/>
          <w:sz w:val="24"/>
          <w:u w:val="single"/>
        </w:rPr>
        <w:t>Indemnified Party</w:t>
      </w:r>
      <w:r>
        <w:rPr>
          <w:rFonts w:ascii="Times New Roman;Times;serif" w:hAnsi="Times New Roman;Times;serif"/>
          <w:sz w:val="24"/>
        </w:rPr>
        <w:t xml:space="preserve">”), and if such Indemnified Party intends to seek indemnification with respect thereto under this </w:t>
      </w:r>
      <w:r>
        <w:rPr>
          <w:rFonts w:ascii="Times New Roman;Times;serif" w:hAnsi="Times New Roman;Times;serif"/>
          <w:sz w:val="24"/>
          <w:u w:val="single"/>
        </w:rPr>
        <w:t>Article V</w:t>
      </w:r>
      <w:r>
        <w:rPr>
          <w:rFonts w:ascii="Times New Roman;Times;serif" w:hAnsi="Times New Roman;Times;serif"/>
          <w:sz w:val="24"/>
        </w:rPr>
        <w:t>, such Indemnified Party shall promptly, after receipt of written notice of such Third Party Claim, provide written notice of such Third Party Claim to the party or parties from whom the Indemnified Party intends to seek indemnification (the “</w:t>
      </w:r>
      <w:r>
        <w:rPr>
          <w:rFonts w:ascii="Times New Roman;Times;serif" w:hAnsi="Times New Roman;Times;serif"/>
          <w:sz w:val="24"/>
          <w:u w:val="single"/>
        </w:rPr>
        <w:t>Responsible Party</w:t>
      </w:r>
      <w:r>
        <w:rPr>
          <w:rFonts w:ascii="Times New Roman;Times;serif" w:hAnsi="Times New Roman;Times;serif"/>
          <w:sz w:val="24"/>
        </w:rPr>
        <w:t xml:space="preserve">”), which notice shall describe such Third Party Claim in reasonable detail and the amount claimed in respect thereof (if known and quantifiable); </w:t>
      </w:r>
      <w:r>
        <w:rPr>
          <w:rFonts w:ascii="Times New Roman;Times;serif" w:hAnsi="Times New Roman;Times;serif"/>
          <w:i/>
          <w:sz w:val="24"/>
        </w:rPr>
        <w:t>provided</w:t>
      </w:r>
      <w:r>
        <w:rPr>
          <w:rFonts w:ascii="Times New Roman;Times;serif" w:hAnsi="Times New Roman;Times;serif"/>
          <w:sz w:val="24"/>
        </w:rPr>
        <w:t xml:space="preserve">, that the failure to so notify a Responsible Party shall not relieve such Responsible Party of its obligations hereunder unless and to the extent the Responsible Party shall be actually and materially prejudiced by such failure to so notify.  A Responsible Party shall be entitled to participate in the defense of such Third Party Claim giving rise to an Indemnified Party’s claim for indemnification at such Responsible Party’s expense, and at its option (subject to the limitations set forth below) shall be entitled to assume the defense thereof with reputable counsel chosen by the Responsible Party in connection with such defense </w:t>
      </w:r>
      <w:bookmarkStart w:id="3930" w:name="_cp_change_1283"/>
      <w:bookmarkEnd w:id="3930"/>
      <w:r>
        <w:rPr>
          <w:rFonts w:ascii="Times New Roman;Times;serif" w:hAnsi="Times New Roman;Times;serif"/>
          <w:sz w:val="24"/>
        </w:rPr>
        <w:t xml:space="preserve">within 30 days of its receipt of notice of the Third Party Claim; </w:t>
      </w:r>
      <w:r>
        <w:rPr>
          <w:rFonts w:ascii="Times New Roman;Times;serif" w:hAnsi="Times New Roman;Times;serif"/>
          <w:i/>
          <w:sz w:val="24"/>
        </w:rPr>
        <w:t>provided</w:t>
      </w:r>
      <w:r>
        <w:rPr>
          <w:rFonts w:ascii="Times New Roman;Times;serif" w:hAnsi="Times New Roman;Times;serif"/>
          <w:sz w:val="24"/>
        </w:rPr>
        <w:t xml:space="preserve">, that prior to the Responsible Party assuming control of such defense, it shall demonstrate to the Indemnified Party in writing such Responsible Party’s financial ability to provide full indemnification to the Indemnified Party with respect to such Third Party Claim (including the ability to post any bond required by the court or adjudicative body before which such Third Party Claim is taking place) and, subject to the limitations set forth herein, agree in writing to be fully responsible for all Losses relating to such Third Party Claim; </w:t>
      </w:r>
      <w:r>
        <w:rPr>
          <w:rFonts w:ascii="Times New Roman;Times;serif" w:hAnsi="Times New Roman;Times;serif"/>
          <w:i/>
          <w:sz w:val="24"/>
        </w:rPr>
        <w:t>provided</w:t>
      </w:r>
      <w:r>
        <w:rPr>
          <w:rFonts w:ascii="Times New Roman;Times;serif" w:hAnsi="Times New Roman;Times;serif"/>
          <w:sz w:val="24"/>
        </w:rPr>
        <w:t>, further, that: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3931" w:name="_Toc235204925"/>
      <w:bookmarkStart w:id="3932" w:name="_Ref416482964"/>
      <w:bookmarkEnd w:id="3931"/>
      <w:bookmarkEnd w:id="3932"/>
      <w:r>
        <w:rPr>
          <w:rFonts w:ascii="Times New Roman;Times;serif" w:hAnsi="Times New Roman;Times;serif"/>
          <w:sz w:val="24"/>
        </w:rPr>
        <w:t>the Indemnified Party shall be entitled to participate (at its sole cost) in the defense of such claim and to employ counsel of its choice for such purpose (it being understood and agreed, for the avoidance of doubt, that any fees and expense of counsel incurred by the Indemnified Party prior to the date that the Responsible Party assumes the defense of such claim shall be indemnified Losses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3933" w:name="_Toc235204926"/>
      <w:bookmarkStart w:id="3934" w:name="_Ref416482965"/>
      <w:bookmarkEnd w:id="3933"/>
      <w:bookmarkEnd w:id="3934"/>
      <w:r>
        <w:rPr>
          <w:rFonts w:ascii="Times New Roman;Times;serif" w:hAnsi="Times New Roman;Times;serif"/>
          <w:sz w:val="24"/>
        </w:rPr>
        <w:t xml:space="preserve">the Responsible Party shall not be entitled to assume control of such defense if </w:t>
      </w:r>
      <w:bookmarkStart w:id="3935" w:name="DocXTextRef362"/>
      <w:bookmarkEnd w:id="3935"/>
      <w:r>
        <w:rPr>
          <w:rFonts w:ascii="Times New Roman;Times;serif" w:hAnsi="Times New Roman;Times;serif"/>
          <w:sz w:val="24"/>
        </w:rPr>
        <w:t>(i) the claim for indemnification relates to or arises in connection with any criminal proceeding, action, indictment, allegation or investigation, (ii)</w:t>
      </w:r>
      <w:bookmarkStart w:id="3936" w:name="_cp_change_1287"/>
      <w:bookmarkEnd w:id="3936"/>
      <w:r>
        <w:rPr>
          <w:rFonts w:ascii="Times New Roman;Times;serif" w:hAnsi="Times New Roman;Times;serif"/>
          <w:sz w:val="24"/>
        </w:rPr>
        <w:t xml:space="preserve"> the Indemnified Party reasonably believes an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adverse determination with respect to the Third Party Claim giving rise to such claim for indemnification would be materially detrimental to or materially injure the Indemnified Party’s reputation or future business prospects including if there is a reasonable likelihood that such Third Party Claim would be the subject of unwanted media attention or negative publicity, (iii) such claim seeks an injunction or equitable relief against the Indemnified Party, (iv) a conflict of interest exists between the Responsible Party and the Indemnified Party</w:t>
      </w:r>
      <w:bookmarkStart w:id="3937" w:name="_cp_change_1288"/>
      <w:bookmarkEnd w:id="3937"/>
      <w:r>
        <w:rPr>
          <w:rFonts w:ascii="Times New Roman;Times;serif" w:hAnsi="Times New Roman;Times;serif"/>
          <w:sz w:val="24"/>
        </w:rPr>
        <w:t>, (v) the Responsible Party failed or is failing to vigorously (given the nature of such claim) and in good faith prosecute or defend such claim, or (vi) the Indemnified Party is a Buyer Indemnified Person and the defense of such Third Party Claim by the Responsible Party would be, as reasonably determined by the Indemnified Party, expected to materially adversely affect the Indemnified Party’s relationship with any of such party’s material customers or vendors;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3938" w:name="_Toc235204927"/>
      <w:bookmarkStart w:id="3939" w:name="_Ref507269551"/>
      <w:bookmarkStart w:id="3940" w:name="_Ref416482966"/>
      <w:bookmarkEnd w:id="3938"/>
      <w:bookmarkEnd w:id="3939"/>
      <w:bookmarkEnd w:id="3940"/>
      <w:r>
        <w:rPr>
          <w:rFonts w:ascii="Times New Roman;Times;serif" w:hAnsi="Times New Roman;Times;serif"/>
          <w:sz w:val="24"/>
        </w:rPr>
        <w:t xml:space="preserve">if the Responsible Party shall control the defense of any such claim, the Responsible Party shall obtain the prior written consent of the Indemnified Party before entering into any settlement of a Third Party Claim or ceasing to defend such claim or Third Party Claim unless </w:t>
      </w:r>
      <w:bookmarkStart w:id="3941" w:name="DocXTextRef365"/>
      <w:bookmarkEnd w:id="3941"/>
      <w:r>
        <w:rPr>
          <w:rFonts w:ascii="Times New Roman;Times;serif" w:hAnsi="Times New Roman;Times;serif"/>
          <w:sz w:val="24"/>
        </w:rPr>
        <w:t>(i) the settlement involves only payment of money damages, (ii) all such money damages will be the responsibility of, and paid by, the Responsible Party, (iii) the settlement does not impose any injunction or other equitable relief on, and contains no admission of wrongdoing by, the Indemnified Party, and (iv) the settlement contains a legally binding, unconditional and irrevocable releases of the Indemnified Party from all Liabilities with respect to such claim.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5.6</w:t>
      </w:r>
      <w:bookmarkStart w:id="3942" w:name="_Toc235366532"/>
      <w:bookmarkStart w:id="3943" w:name="_Toc235204928"/>
      <w:bookmarkStart w:id="3944" w:name="_Toc235142715"/>
      <w:bookmarkStart w:id="3945" w:name="_Ref232505195"/>
      <w:bookmarkStart w:id="3946" w:name="_Toc228481600"/>
      <w:bookmarkStart w:id="3947" w:name="_9kR3WTr28BEJJIJSCxugwXKpn0B"/>
      <w:bookmarkStart w:id="3948" w:name="_Ref4204633"/>
      <w:bookmarkStart w:id="3949" w:name="_Ref83652586"/>
      <w:bookmarkStart w:id="3950" w:name="_Toc533076930"/>
      <w:bookmarkStart w:id="3951" w:name="_Toc532753732"/>
      <w:bookmarkEnd w:id="3942"/>
      <w:bookmarkEnd w:id="3943"/>
      <w:bookmarkEnd w:id="3944"/>
      <w:bookmarkEnd w:id="3945"/>
      <w:bookmarkEnd w:id="3946"/>
      <w:bookmarkEnd w:id="3947"/>
      <w:bookmarkEnd w:id="3948"/>
      <w:bookmarkEnd w:id="3949"/>
      <w:bookmarkEnd w:id="3950"/>
      <w:bookmarkEnd w:id="3951"/>
      <w:r>
        <w:rPr>
          <w:rFonts w:ascii="Times New Roman;Times;serif" w:hAnsi="Times New Roman;Times;serif"/>
          <w:sz w:val="24"/>
          <w:u w:val="single"/>
        </w:rPr>
        <w:t>Direct Claims</w:t>
      </w:r>
      <w:r>
        <w:rPr>
          <w:rFonts w:ascii="Times New Roman;Times;serif" w:hAnsi="Times New Roman;Times;serif"/>
          <w:sz w:val="24"/>
        </w:rPr>
        <w:t>.  A claim for indemnification for any matter not involving a Third Party Claim (a “</w:t>
      </w:r>
      <w:r>
        <w:rPr>
          <w:rFonts w:ascii="Times New Roman;Times;serif" w:hAnsi="Times New Roman;Times;serif"/>
          <w:sz w:val="24"/>
          <w:u w:val="single"/>
        </w:rPr>
        <w:t>Direct Claim</w:t>
      </w:r>
      <w:r>
        <w:rPr>
          <w:rFonts w:ascii="Times New Roman;Times;serif" w:hAnsi="Times New Roman;Times;serif"/>
          <w:sz w:val="24"/>
        </w:rPr>
        <w:t xml:space="preserve">”) shall be asserted by the Indemnified Party to the Responsible Party in writing with reasonable promptness.  The failure to give such prompt written notice shall not, however, relieve the Responsible Party of its indemnification obligations, unless and only to the extent that the Responsible Party shall be actually and materially prejudiced by such failure to notify.  Such notice by the Indemnified Party shall describe the obligation with respect to which the Direct Claim is made, the facts giving rise to and the alleged basis for such Direct Claim.  If the Responsible Party disputes its obligation to indemnify the Indemnified Party under this </w:t>
      </w:r>
      <w:r>
        <w:rPr>
          <w:rFonts w:ascii="Times New Roman;Times;serif" w:hAnsi="Times New Roman;Times;serif"/>
          <w:sz w:val="24"/>
          <w:u w:val="single"/>
        </w:rPr>
        <w:t>Article V</w:t>
      </w:r>
      <w:r>
        <w:rPr>
          <w:rFonts w:ascii="Times New Roman;Times;serif" w:hAnsi="Times New Roman;Times;serif"/>
          <w:sz w:val="24"/>
        </w:rPr>
        <w:t xml:space="preserve">, the Responsible Party shall have 60 days after its receipt of such notice to give written notice of such objection, and the grounds thereof.  If the Responsible Party does not so respond within such 60-day period, the Responsible Party shall be deemed to have acknowledged the validity of such Direct Claim.  If the Responsible Party disputes such Direct Claim in writing during the 60-day period, then during the 30-day period following delivery of written notice of dispute by the Responsible Party, the Indemnified Party and the Responsible Party shall seek in good faith to resolve the disputed claim.  If after 30 days the Parties are unable to come to an agreement regarding such indemnification obligations, the amount of indemnification to which an Indemnified Party shall be entitled shall be determined by either </w:t>
      </w:r>
      <w:bookmarkStart w:id="3952" w:name="DocXTextRef366"/>
      <w:bookmarkEnd w:id="3952"/>
      <w:r>
        <w:rPr>
          <w:rFonts w:ascii="Times New Roman;Times;serif" w:hAnsi="Times New Roman;Times;serif"/>
          <w:sz w:val="24"/>
        </w:rPr>
        <w:t xml:space="preserve">(a) the written agreement between the Indemnified Party and the Responsible Party, </w:t>
      </w:r>
      <w:bookmarkStart w:id="3953" w:name="DocXTextRef367"/>
      <w:bookmarkEnd w:id="3953"/>
      <w:r>
        <w:rPr>
          <w:rFonts w:ascii="Times New Roman;Times;serif" w:hAnsi="Times New Roman;Times;serif"/>
          <w:sz w:val="24"/>
        </w:rPr>
        <w:t xml:space="preserve">(b) a final written judgment or decree of any Government Entity of competent jurisdiction, or </w:t>
      </w:r>
      <w:bookmarkStart w:id="3954" w:name="DocXTextRef368"/>
      <w:bookmarkEnd w:id="3954"/>
      <w:r>
        <w:rPr>
          <w:rFonts w:ascii="Times New Roman;Times;serif" w:hAnsi="Times New Roman;Times;serif"/>
          <w:sz w:val="24"/>
        </w:rPr>
        <w:t>(c) any other means to which the Indemnified Party and the Responsible Party shall agree.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5.7</w:t>
      </w:r>
      <w:bookmarkStart w:id="3955" w:name="_Toc235366533"/>
      <w:bookmarkStart w:id="3956" w:name="_Toc235204929"/>
      <w:bookmarkStart w:id="3957" w:name="_Toc235142716"/>
      <w:bookmarkStart w:id="3958" w:name="_Ref232505198"/>
      <w:bookmarkStart w:id="3959" w:name="_Toc228481601"/>
      <w:bookmarkStart w:id="3960" w:name="_Ref83652587"/>
      <w:bookmarkStart w:id="3961" w:name="_Toc892161"/>
      <w:bookmarkStart w:id="3962" w:name="_Ref507269771"/>
      <w:bookmarkStart w:id="3963" w:name="_Ref507269552"/>
      <w:bookmarkStart w:id="3964" w:name="_Toc465317345"/>
      <w:bookmarkStart w:id="3965" w:name="_Toc464684601"/>
      <w:bookmarkStart w:id="3966" w:name="_Toc464561908"/>
      <w:bookmarkStart w:id="3967" w:name="_Toc440773796"/>
      <w:bookmarkStart w:id="3968" w:name="_Ref440767730"/>
      <w:bookmarkStart w:id="3969" w:name="_Toc440766931"/>
      <w:bookmarkStart w:id="3970" w:name="_Toc440765343"/>
      <w:bookmarkStart w:id="3971" w:name="_Toc440764584"/>
      <w:bookmarkStart w:id="3972" w:name="_Toc440761024"/>
      <w:bookmarkStart w:id="3973" w:name="_Ref416482968"/>
      <w:bookmarkStart w:id="3974" w:name="_Toc416469753"/>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r>
        <w:rPr>
          <w:rFonts w:ascii="Times New Roman;Times;serif" w:hAnsi="Times New Roman;Times;serif"/>
          <w:sz w:val="24"/>
          <w:u w:val="single"/>
        </w:rPr>
        <w:t>Final Purchase Price Adjustment</w:t>
      </w:r>
      <w:r>
        <w:rPr>
          <w:rFonts w:ascii="Times New Roman;Times;serif" w:hAnsi="Times New Roman;Times;serif"/>
          <w:sz w:val="24"/>
        </w:rPr>
        <w:t xml:space="preserve">.  All indemnification payments made under this </w:t>
      </w:r>
      <w:r>
        <w:rPr>
          <w:rFonts w:ascii="Times New Roman;Times;serif" w:hAnsi="Times New Roman;Times;serif"/>
          <w:sz w:val="24"/>
          <w:u w:val="single"/>
        </w:rPr>
        <w:t>Article V</w:t>
      </w:r>
      <w:r>
        <w:rPr>
          <w:rFonts w:ascii="Times New Roman;Times;serif" w:hAnsi="Times New Roman;Times;serif"/>
          <w:sz w:val="24"/>
        </w:rPr>
        <w:t xml:space="preserve"> shall be deemed to be an adjustment to the Final Purchase Price for Tax purposes.</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5.8</w:t>
      </w:r>
      <w:bookmarkStart w:id="3975" w:name="_Toc235366534"/>
      <w:bookmarkStart w:id="3976" w:name="_Toc235204930"/>
      <w:bookmarkStart w:id="3977" w:name="_Toc235142717"/>
      <w:bookmarkStart w:id="3978" w:name="_Toc228481602"/>
      <w:bookmarkStart w:id="3979" w:name="_Ref225886825"/>
      <w:bookmarkStart w:id="3980" w:name="_Ref225377064"/>
      <w:bookmarkStart w:id="3981" w:name="_Ref225376725"/>
      <w:bookmarkStart w:id="3982" w:name="_Ref83652588"/>
      <w:bookmarkStart w:id="3983" w:name="_Toc892162"/>
      <w:bookmarkStart w:id="3984" w:name="_Ref507269772"/>
      <w:bookmarkStart w:id="3985" w:name="_Ref507269553"/>
      <w:bookmarkStart w:id="3986" w:name="_Toc465317346"/>
      <w:bookmarkStart w:id="3987" w:name="_Toc464684602"/>
      <w:bookmarkStart w:id="3988" w:name="_Toc464561909"/>
      <w:bookmarkStart w:id="3989" w:name="_Toc440773797"/>
      <w:bookmarkStart w:id="3990" w:name="_Ref440767731"/>
      <w:bookmarkStart w:id="3991" w:name="_Toc440766932"/>
      <w:bookmarkStart w:id="3992" w:name="_Toc440765344"/>
      <w:bookmarkStart w:id="3993" w:name="_Toc440764585"/>
      <w:bookmarkStart w:id="3994" w:name="_Toc440761025"/>
      <w:bookmarkStart w:id="3995" w:name="_Ref416482969"/>
      <w:bookmarkStart w:id="3996" w:name="_Toc41646975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r>
        <w:rPr>
          <w:rFonts w:ascii="Times New Roman;Times;serif" w:hAnsi="Times New Roman;Times;serif"/>
          <w:sz w:val="24"/>
          <w:u w:val="single"/>
        </w:rPr>
        <w:t>Exclusive Remedies</w:t>
      </w:r>
      <w:r>
        <w:rPr>
          <w:rFonts w:ascii="Times New Roman;Times;serif" w:hAnsi="Times New Roman;Times;serif"/>
          <w:sz w:val="24"/>
        </w:rPr>
        <w:t xml:space="preserve">.  The remedies provided in this </w:t>
      </w:r>
      <w:r>
        <w:rPr>
          <w:rFonts w:ascii="Times New Roman;Times;serif" w:hAnsi="Times New Roman;Times;serif"/>
          <w:sz w:val="24"/>
          <w:u w:val="single"/>
        </w:rPr>
        <w:t>Article V</w:t>
      </w:r>
      <w:r>
        <w:rPr>
          <w:rFonts w:ascii="Times New Roman;Times;serif" w:hAnsi="Times New Roman;Times;serif"/>
          <w:sz w:val="24"/>
        </w:rPr>
        <w:t xml:space="preserve">, subject to the limitations set forth herein, shall, from and after the Closing, be the sole and exclusive monetary remedies of the Buyer Indemnified Persons and the Seller Indemnified Persons with respect to the transactions contemplated by this Agreement (except </w:t>
      </w:r>
      <w:bookmarkStart w:id="3997" w:name="DocXTextRef369"/>
      <w:bookmarkEnd w:id="3997"/>
      <w:r>
        <w:rPr>
          <w:rFonts w:ascii="Times New Roman;Times;serif" w:hAnsi="Times New Roman;Times;serif"/>
          <w:sz w:val="24"/>
        </w:rPr>
        <w:t xml:space="preserve">(a) in the case of Fraud and </w:t>
      </w:r>
      <w:bookmarkStart w:id="3998" w:name="DocXTextRef370"/>
      <w:bookmarkEnd w:id="3998"/>
      <w:r>
        <w:rPr>
          <w:rFonts w:ascii="Times New Roman;Times;serif" w:hAnsi="Times New Roman;Times;serif"/>
          <w:sz w:val="24"/>
        </w:rPr>
        <w:t xml:space="preserve">(b) for any other remedies expressly set forth in </w:t>
      </w:r>
      <w:r>
        <w:rPr>
          <w:rFonts w:ascii="Times New Roman;Times;serif" w:hAnsi="Times New Roman;Times;serif"/>
          <w:sz w:val="24"/>
          <w:u w:val="single"/>
        </w:rPr>
        <w:t>Sections 2.3</w:t>
      </w:r>
      <w:r>
        <w:rPr>
          <w:rFonts w:ascii="Times New Roman;Times;serif" w:hAnsi="Times New Roman;Times;serif"/>
          <w:sz w:val="24"/>
        </w:rPr>
        <w:t xml:space="preserve">, </w:t>
      </w:r>
      <w:bookmarkStart w:id="3999" w:name="_9kMKJ5YVt4BEGKJKJfOwCC2o07A7PUKB412MS"/>
      <w:bookmarkEnd w:id="3999"/>
      <w:r>
        <w:rPr>
          <w:rFonts w:ascii="Times New Roman;Times;serif" w:hAnsi="Times New Roman;Times;serif"/>
          <w:sz w:val="24"/>
          <w:u w:val="single"/>
        </w:rPr>
        <w:t>6.3</w:t>
      </w:r>
      <w:r>
        <w:rPr>
          <w:rFonts w:ascii="Times New Roman;Times;serif" w:hAnsi="Times New Roman;Times;serif"/>
          <w:sz w:val="24"/>
        </w:rPr>
        <w:t xml:space="preserve">, </w:t>
      </w:r>
      <w:bookmarkStart w:id="4000" w:name="_9kMJI5YVt4BEGKKLKRJ1tpolwC8qu3CT"/>
      <w:bookmarkEnd w:id="4000"/>
      <w:r>
        <w:rPr>
          <w:rFonts w:ascii="Times New Roman;Times;serif" w:hAnsi="Times New Roman;Times;serif"/>
          <w:sz w:val="24"/>
          <w:u w:val="single"/>
        </w:rPr>
        <w:t>6.4</w:t>
      </w:r>
      <w:r>
        <w:rPr>
          <w:rFonts w:ascii="Times New Roman;Times;serif" w:hAnsi="Times New Roman;Times;serif"/>
          <w:sz w:val="24"/>
        </w:rPr>
        <w:t xml:space="preserve">, </w:t>
      </w:r>
      <w:r>
        <w:rPr>
          <w:rFonts w:ascii="Times New Roman;Times;serif" w:hAnsi="Times New Roman;Times;serif"/>
          <w:sz w:val="24"/>
          <w:u w:val="single"/>
        </w:rPr>
        <w:t>6.5</w:t>
      </w:r>
      <w:r>
        <w:rPr>
          <w:rFonts w:ascii="Times New Roman;Times;serif" w:hAnsi="Times New Roman;Times;serif"/>
          <w:sz w:val="24"/>
        </w:rPr>
        <w:t xml:space="preserve">, </w:t>
      </w:r>
      <w:r>
        <w:rPr>
          <w:rFonts w:ascii="Times New Roman;Times;serif" w:hAnsi="Times New Roman;Times;serif"/>
          <w:sz w:val="24"/>
          <w:u w:val="single"/>
        </w:rPr>
        <w:t>6.11</w:t>
      </w:r>
      <w:r>
        <w:rPr>
          <w:rFonts w:ascii="Times New Roman;Times;serif" w:hAnsi="Times New Roman;Times;serif"/>
          <w:sz w:val="24"/>
        </w:rPr>
        <w:t xml:space="preserve">, </w:t>
      </w:r>
      <w:r>
        <w:rPr>
          <w:rFonts w:ascii="Times New Roman;Times;serif" w:hAnsi="Times New Roman;Times;serif"/>
          <w:sz w:val="24"/>
          <w:u w:val="single"/>
        </w:rPr>
        <w:t>6.12</w:t>
      </w:r>
      <w:r>
        <w:rPr>
          <w:rFonts w:ascii="Times New Roman;Times;serif" w:hAnsi="Times New Roman;Times;serif"/>
          <w:sz w:val="24"/>
        </w:rPr>
        <w:t xml:space="preserve">, </w:t>
      </w:r>
      <w:bookmarkStart w:id="4001" w:name="_9kMHzG6ZWu5CFHLOQKgQqyszca1z0xHT"/>
      <w:bookmarkEnd w:id="4001"/>
      <w:r>
        <w:rPr>
          <w:rFonts w:ascii="Times New Roman;Times;serif" w:hAnsi="Times New Roman;Times;serif"/>
          <w:sz w:val="24"/>
          <w:u w:val="single"/>
        </w:rPr>
        <w:t>9.2</w:t>
      </w:r>
      <w:r>
        <w:rPr>
          <w:rFonts w:ascii="Times New Roman;Times;serif" w:hAnsi="Times New Roman;Times;serif"/>
          <w:sz w:val="24"/>
        </w:rPr>
        <w:t xml:space="preserve"> and </w:t>
      </w:r>
      <w:r>
        <w:rPr>
          <w:rFonts w:ascii="Times New Roman;Times;serif" w:hAnsi="Times New Roman;Times;serif"/>
          <w:sz w:val="24"/>
          <w:u w:val="single"/>
        </w:rPr>
        <w:t>9.12</w:t>
      </w:r>
      <w:r>
        <w:rPr>
          <w:rFonts w:ascii="Times New Roman;Times;serif" w:hAnsi="Times New Roman;Times;serif"/>
          <w:sz w:val="24"/>
        </w:rPr>
        <w:t xml:space="preserve">), and subject to the foregoing, neither the Buyer Indemnified Persons nor the Seller Indemnified Persons shall have any other rights or remedies in connection with any breach of this Agreement, or any other Loss arising out of the negotiation, entry into or consummation of the transactions contemplated by this Agreement for the recovery of Losses resulting from, relating to or arising out of this Agreement; </w:t>
      </w:r>
      <w:r>
        <w:rPr>
          <w:rFonts w:ascii="Times New Roman;Times;serif" w:hAnsi="Times New Roman;Times;serif"/>
          <w:i/>
          <w:sz w:val="24"/>
        </w:rPr>
        <w:t>provided</w:t>
      </w:r>
      <w:r>
        <w:rPr>
          <w:rFonts w:ascii="Times New Roman;Times;serif" w:hAnsi="Times New Roman;Times;serif"/>
          <w:sz w:val="24"/>
        </w:rPr>
        <w:t xml:space="preserve">, that this </w:t>
      </w:r>
      <w:r>
        <w:rPr>
          <w:rFonts w:ascii="Times New Roman;Times;serif" w:hAnsi="Times New Roman;Times;serif"/>
          <w:sz w:val="24"/>
          <w:u w:val="single"/>
        </w:rPr>
        <w:t>Section 5.8</w:t>
      </w:r>
      <w:r>
        <w:rPr>
          <w:rFonts w:ascii="Times New Roman;Times;serif" w:hAnsi="Times New Roman;Times;serif"/>
          <w:sz w:val="24"/>
        </w:rPr>
        <w:t xml:space="preserve"> shall not be deemed a waiver by any </w:t>
      </w:r>
      <w:bookmarkStart w:id="4002" w:name="_9kMMDP6ZWu4ABDGHfHqAI"/>
      <w:bookmarkStart w:id="4003" w:name="_9kMMDP6ZWu4ABDGBZHqAI"/>
      <w:bookmarkEnd w:id="4002"/>
      <w:bookmarkEnd w:id="4003"/>
      <w:r>
        <w:rPr>
          <w:rFonts w:ascii="Times New Roman;Times;serif" w:hAnsi="Times New Roman;Times;serif"/>
          <w:sz w:val="24"/>
        </w:rPr>
        <w:t xml:space="preserve">Party of its right to seek specific performance or injunctive relief in the case of a failure by the other </w:t>
      </w:r>
      <w:bookmarkStart w:id="4004" w:name="_9kMN5G6ZWu4ABDGHfHqAI"/>
      <w:bookmarkStart w:id="4005" w:name="_9kMN5G6ZWu4ABDGBZHqAI"/>
      <w:bookmarkEnd w:id="4004"/>
      <w:bookmarkEnd w:id="4005"/>
      <w:r>
        <w:rPr>
          <w:rFonts w:ascii="Times New Roman;Times;serif" w:hAnsi="Times New Roman;Times;serif"/>
          <w:sz w:val="24"/>
        </w:rPr>
        <w:t xml:space="preserve">Party to comply with the covenants made by such other </w:t>
      </w:r>
      <w:bookmarkStart w:id="4006" w:name="_9kMN6H6ZWu4ABDGHfHqAI"/>
      <w:bookmarkStart w:id="4007" w:name="_9kMN6H6ZWu4ABDGBZHqAI"/>
      <w:bookmarkEnd w:id="4006"/>
      <w:bookmarkEnd w:id="4007"/>
      <w:r>
        <w:rPr>
          <w:rFonts w:ascii="Times New Roman;Times;serif" w:hAnsi="Times New Roman;Times;serif"/>
          <w:sz w:val="24"/>
        </w:rPr>
        <w:t xml:space="preserve">Party hereto.  The foregoing shall in no way limit the remedies available to </w:t>
      </w:r>
      <w:bookmarkStart w:id="4008" w:name="_9kMM7J6ZWu4BCDHGdLu973"/>
      <w:bookmarkEnd w:id="4008"/>
      <w:r>
        <w:rPr>
          <w:rFonts w:ascii="Times New Roman;Times;serif" w:hAnsi="Times New Roman;Times;serif"/>
          <w:sz w:val="24"/>
        </w:rPr>
        <w:t>any Person pursuant to any other Transaction Document. Notwithstanding anything to the contrary, from and after Closing, Buyer shall have no recourse against Seller, Seller Guarantor or their Affiliates for any inaccuracy or breach of any representation or warranty, and Buyer’s sole recourse for any such inaccuracy or breach shall be under the R&amp;W Insurance Policy, except in the case of Fraud.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5.9</w:t>
      </w:r>
      <w:bookmarkStart w:id="4009" w:name="_Toc235366535"/>
      <w:bookmarkStart w:id="4010" w:name="_Toc235204931"/>
      <w:bookmarkStart w:id="4011" w:name="_Toc235142718"/>
      <w:bookmarkStart w:id="4012" w:name="_Toc228481603"/>
      <w:bookmarkEnd w:id="4009"/>
      <w:bookmarkEnd w:id="4010"/>
      <w:bookmarkEnd w:id="4011"/>
      <w:bookmarkEnd w:id="4012"/>
      <w:r>
        <w:rPr>
          <w:rFonts w:ascii="Times New Roman;Times;serif" w:hAnsi="Times New Roman;Times;serif"/>
          <w:sz w:val="24"/>
          <w:u w:val="single"/>
        </w:rPr>
        <w:t>Tax Benefits</w:t>
      </w:r>
      <w:r>
        <w:rPr>
          <w:rFonts w:ascii="Times New Roman;Times;serif" w:hAnsi="Times New Roman;Times;serif"/>
          <w:sz w:val="24"/>
        </w:rPr>
        <w:t xml:space="preserve">.  Any calculation of Losses for purposes of this </w:t>
      </w:r>
      <w:r>
        <w:rPr>
          <w:rFonts w:ascii="Times New Roman;Times;serif" w:hAnsi="Times New Roman;Times;serif"/>
          <w:sz w:val="24"/>
          <w:u w:val="single"/>
        </w:rPr>
        <w:t>Article V</w:t>
      </w:r>
      <w:r>
        <w:rPr>
          <w:rFonts w:ascii="Times New Roman;Times;serif" w:hAnsi="Times New Roman;Times;serif"/>
          <w:sz w:val="24"/>
        </w:rPr>
        <w:t xml:space="preserve"> shall be reduced to take account of any net Tax benefit actually realized in cash in the same taxable year in which such Losses are incurred by the Indemnified Party as a result of any such Losses.</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VI</w:t>
      </w:r>
      <w:r>
        <w:rPr>
          <w:rFonts w:ascii="Times New Roman;Times;serif" w:hAnsi="Times New Roman;Times;serif"/>
          <w:b/>
          <w:sz w:val="24"/>
        </w:rPr>
        <w:t>​</w:t>
        <w:br/>
      </w:r>
      <w:bookmarkStart w:id="4013" w:name="_Toc235366536"/>
      <w:bookmarkStart w:id="4014" w:name="_Toc235204932"/>
      <w:bookmarkStart w:id="4015" w:name="_Toc235142719"/>
      <w:bookmarkStart w:id="4016" w:name="_Toc228481604"/>
      <w:bookmarkStart w:id="4017" w:name="_Ref83652589"/>
      <w:bookmarkStart w:id="4018" w:name="_Toc892163"/>
      <w:bookmarkStart w:id="4019" w:name="_Ref507269773"/>
      <w:bookmarkStart w:id="4020" w:name="_Ref507269554"/>
      <w:bookmarkStart w:id="4021" w:name="_Toc465317347"/>
      <w:bookmarkStart w:id="4022" w:name="_Toc464684603"/>
      <w:bookmarkStart w:id="4023" w:name="_Toc464561910"/>
      <w:bookmarkStart w:id="4024" w:name="_Toc440773798"/>
      <w:bookmarkStart w:id="4025" w:name="_Ref440767732"/>
      <w:bookmarkStart w:id="4026" w:name="_Toc440766933"/>
      <w:bookmarkStart w:id="4027" w:name="_Toc440765345"/>
      <w:bookmarkStart w:id="4028" w:name="_Toc440764586"/>
      <w:bookmarkStart w:id="4029" w:name="_Toc440761026"/>
      <w:bookmarkStart w:id="4030" w:name="_Ref416482971"/>
      <w:bookmarkStart w:id="4031" w:name="_Toc416469756"/>
      <w:bookmarkStart w:id="4032" w:name="_Toc128463312"/>
      <w:bookmarkStart w:id="4033" w:name="_Toc101210343"/>
      <w:bookmarkStart w:id="4034" w:name="_Toc518197976"/>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r>
        <w:rPr>
          <w:rFonts w:ascii="Times New Roman;Times;serif" w:hAnsi="Times New Roman;Times;serif"/>
          <w:b/>
          <w:sz w:val="24"/>
        </w:rPr>
        <w:t>Covenants and Agreements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Each of the Parties hereto agrees as follows with respect to the period after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w:t>
      </w:r>
      <w:bookmarkStart w:id="4035" w:name="_Toc128463313"/>
      <w:bookmarkStart w:id="4036" w:name="_Ref107733897"/>
      <w:bookmarkStart w:id="4037" w:name="_Ref107301810"/>
      <w:bookmarkStart w:id="4038" w:name="_Ref101269722"/>
      <w:bookmarkStart w:id="4039" w:name="_Toc101210344"/>
      <w:bookmarkStart w:id="4040" w:name="_Ref101208378"/>
      <w:bookmarkStart w:id="4041" w:name="_Ref101208326"/>
      <w:bookmarkStart w:id="4042" w:name="_Ref22722331"/>
      <w:bookmarkStart w:id="4043" w:name="_Toc518197977"/>
      <w:bookmarkStart w:id="4044" w:name="_Toc235366537"/>
      <w:bookmarkStart w:id="4045" w:name="_Toc235204933"/>
      <w:bookmarkStart w:id="4046" w:name="_Toc235142720"/>
      <w:bookmarkStart w:id="4047" w:name="_Ref234687767"/>
      <w:bookmarkStart w:id="4048" w:name="_Ref233243797"/>
      <w:bookmarkStart w:id="4049" w:name="_Ref232524750"/>
      <w:bookmarkStart w:id="4050" w:name="_Ref231468672"/>
      <w:bookmarkStart w:id="4051" w:name="_Ref231458179"/>
      <w:bookmarkStart w:id="4052" w:name="_Toc228481605"/>
      <w:bookmarkStart w:id="4053" w:name="_Ref226897192"/>
      <w:bookmarkStart w:id="4054" w:name="_Ref226896787"/>
      <w:bookmarkStart w:id="4055" w:name="_Ref226592293"/>
      <w:bookmarkStart w:id="4056" w:name="_Ref225450730"/>
      <w:bookmarkStart w:id="4057" w:name="_Ref225157057"/>
      <w:bookmarkStart w:id="4058" w:name="_Ref416482972"/>
      <w:bookmarkStart w:id="4059" w:name="_Ref83652590"/>
      <w:bookmarkStart w:id="4060" w:name="_Toc892164"/>
      <w:bookmarkStart w:id="4061" w:name="_Ref471302549"/>
      <w:bookmarkStart w:id="4062" w:name="_Ref507269774"/>
      <w:bookmarkStart w:id="4063" w:name="_Ref507269555"/>
      <w:bookmarkStart w:id="4064" w:name="_Ref468130625"/>
      <w:bookmarkStart w:id="4065" w:name="_Ref468130384"/>
      <w:bookmarkStart w:id="4066" w:name="_Toc465317348"/>
      <w:bookmarkStart w:id="4067" w:name="_Toc464684604"/>
      <w:bookmarkStart w:id="4068" w:name="_Toc464561911"/>
      <w:bookmarkStart w:id="4069" w:name="_Toc440773799"/>
      <w:bookmarkStart w:id="4070" w:name="_Ref440767733"/>
      <w:bookmarkStart w:id="4071" w:name="_Toc440766934"/>
      <w:bookmarkStart w:id="4072" w:name="_Toc440765346"/>
      <w:bookmarkStart w:id="4073" w:name="_Toc440764587"/>
      <w:bookmarkStart w:id="4074" w:name="_Toc440761027"/>
      <w:bookmarkStart w:id="4075" w:name="_Toc416469757"/>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r>
        <w:rPr>
          <w:rFonts w:ascii="Times New Roman;Times;serif" w:hAnsi="Times New Roman;Times;serif"/>
          <w:sz w:val="24"/>
          <w:u w:val="single"/>
        </w:rPr>
        <w:t>Tax Matters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076" w:name="_Ref440767734"/>
      <w:bookmarkStart w:id="4077" w:name="_Ref416482973"/>
      <w:bookmarkStart w:id="4078" w:name="_Toc235204934"/>
      <w:bookmarkStart w:id="4079" w:name="_Ref225901714"/>
      <w:bookmarkStart w:id="4080" w:name="_Ref507269556"/>
      <w:bookmarkEnd w:id="4076"/>
      <w:bookmarkEnd w:id="4077"/>
      <w:bookmarkEnd w:id="4078"/>
      <w:bookmarkEnd w:id="4079"/>
      <w:bookmarkEnd w:id="4080"/>
      <w:r>
        <w:rPr>
          <w:rFonts w:ascii="Times New Roman;Times;serif" w:hAnsi="Times New Roman;Times;serif"/>
          <w:sz w:val="24"/>
          <w:u w:val="single"/>
        </w:rPr>
        <w:t>Allocation of Taxes for a Straddle Period</w:t>
      </w:r>
      <w:r>
        <w:rPr>
          <w:rFonts w:ascii="Times New Roman;Times;serif" w:hAnsi="Times New Roman;Times;serif"/>
          <w:sz w:val="24"/>
        </w:rPr>
        <w:t xml:space="preserve">.  For any Straddle Period, Taxes shall be attributable to the portion of such period ending on the Closing Date in an amount equal to: </w:t>
      </w:r>
      <w:bookmarkStart w:id="4081" w:name="_9kR3WTrAGBEGFIFkfou61njgx2z1oxMGAJLQQDz"/>
      <w:bookmarkStart w:id="4082" w:name="DocXTextRef372"/>
      <w:bookmarkEnd w:id="4081"/>
      <w:bookmarkEnd w:id="4082"/>
      <w:r>
        <w:rPr>
          <w:rFonts w:ascii="Times New Roman;Times;serif" w:hAnsi="Times New Roman;Times;serif"/>
          <w:sz w:val="24"/>
        </w:rPr>
        <w:t xml:space="preserve">(i) in the case of any gross receipts, income, sales, revenue, payroll, employment or similar Taxes, the portion of such Taxes allocable to the portion of the Straddle Period ending on or before the Closing Date, as determined on the basis of the deemed closing of the books and records of the Company at the end of the Closing Date (unless otherwise required by applicable Tax Law) and (ii) in the case of any Taxes other than those described in </w:t>
      </w:r>
      <w:bookmarkStart w:id="4083" w:name="_9kMHG5YVtCIDGIHKHmhqw83pliz413qzOICLNSS"/>
      <w:bookmarkEnd w:id="4083"/>
      <w:r>
        <w:rPr>
          <w:rFonts w:ascii="Times New Roman;Times;serif" w:hAnsi="Times New Roman;Times;serif"/>
          <w:sz w:val="24"/>
        </w:rPr>
        <w:t>clause (i), the Taxes for the entire Straddle Period multiplied by a fraction the numerator of which is the number of days in the Straddle Period from the beginning of the Straddle Period through and including the Closing Date and the denominator of which is the number of days in the entire Straddle Period. Notwithstanding the foregoing, all applicable Tax deductions in respect of Seller Expenses shall be allocated to the Pre-Closing Tax Period to the extent “more likely than not” (or higher standard) allowed by applicable Law, and all deferred intercompany gain described in Treasury Regulations under Section 1502 of the Code (or any corresponding or similar provision of state, local, or non-U.S. Law) entered into or created on or prior to the Closing Date shall be allocated to the Pre-Closing Tax Period.</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084" w:name="_Toc235204935"/>
      <w:bookmarkStart w:id="4085" w:name="_Ref507269557"/>
      <w:bookmarkEnd w:id="4084"/>
      <w:bookmarkEnd w:id="4085"/>
      <w:r>
        <w:rPr>
          <w:rFonts w:ascii="Times New Roman;Times;serif" w:hAnsi="Times New Roman;Times;serif"/>
          <w:sz w:val="24"/>
          <w:u w:val="single"/>
        </w:rPr>
        <w:t>Tax Returns for Straddle Periods and Pre-Closing Periods</w:t>
      </w:r>
      <w:r>
        <w:rPr>
          <w:rFonts w:ascii="Times New Roman;Times;serif" w:hAnsi="Times New Roman;Times;serif"/>
          <w:sz w:val="24"/>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4086" w:name="_Ref507269558"/>
      <w:bookmarkEnd w:id="4086"/>
      <w:r>
        <w:rPr>
          <w:rFonts w:ascii="Times New Roman;Times;serif" w:hAnsi="Times New Roman;Times;serif"/>
          <w:sz w:val="24"/>
        </w:rPr>
        <w:t>Seller shall prepare or cause to be prepared and file or cause to be filed all Tax Returns for any Affiliated Group of which the Company or any of its Subsidiaries are members along with Seller or any of its Affiliates (other than the Company and its Subsidiaries) and all Tax Returns for the Excluded Entities (the “</w:t>
      </w:r>
      <w:r>
        <w:rPr>
          <w:rFonts w:ascii="Times New Roman;Times;serif" w:hAnsi="Times New Roman;Times;serif"/>
          <w:sz w:val="24"/>
          <w:u w:val="single"/>
        </w:rPr>
        <w:t>Seller Group Returns</w:t>
      </w:r>
      <w:r>
        <w:rPr>
          <w:rFonts w:ascii="Times New Roman;Times;serif" w:hAnsi="Times New Roman;Times;serif"/>
          <w:sz w:val="24"/>
        </w:rPr>
        <w:t xml:space="preserve">”).  The Company and its Subsidiaries shall provide, and Buyer shall cause the Company and its Subsidiaries to provide, to the Seller Tax information in the possession or control of the Company and its Subsidiaries to the extent such information is reasonably ascertainable or was actually provided by Seller to Buyer pursuant to the transactions contemplated by this Agreement, reasonably requested, in writing, by Seller for inclusion in the Seller Group Returns for a Pre-Closing Tax Period; </w:t>
      </w:r>
      <w:r>
        <w:rPr>
          <w:rFonts w:ascii="Times New Roman;Times;serif" w:hAnsi="Times New Roman;Times;serif"/>
          <w:i/>
          <w:sz w:val="24"/>
        </w:rPr>
        <w:t>provided</w:t>
      </w:r>
      <w:r>
        <w:rPr>
          <w:rFonts w:ascii="Times New Roman;Times;serif" w:hAnsi="Times New Roman;Times;serif"/>
          <w:sz w:val="24"/>
        </w:rPr>
        <w:t>, that Seller shall in no event have any right to review or access any Tax Return of the Company or its Subsidiaries filed after the Closing Date except to the extent relating to a Pre-Closing Tax Period.  Seller shall remit or cause to be remitted to the appropriate Taxing Authority all amounts due and payable in connection with such Seller Group Returns.  Seller shall prepare or cause to be prepared and file or cause to be filed all income Tax Returns of the Company and its Subsidiaries (other than Seller Group Returns) for tax periods that end on or before the Closing Date that have not been filed as of the Closing Date (the “</w:t>
      </w:r>
      <w:r>
        <w:rPr>
          <w:rFonts w:ascii="Times New Roman;Times;serif" w:hAnsi="Times New Roman;Times;serif"/>
          <w:sz w:val="24"/>
          <w:u w:val="single"/>
        </w:rPr>
        <w:t>Pre-Closing Tax Returns</w:t>
      </w:r>
      <w:r>
        <w:rPr>
          <w:rFonts w:ascii="Times New Roman;Times;serif" w:hAnsi="Times New Roman;Times;serif"/>
          <w:sz w:val="24"/>
        </w:rPr>
        <w:t>”), and all such Pre-Closing Tax Returns shall be prepared in a manner consistent with past practice with respect to the Company and its Subsidiaries unless otherwise required by applicable Law or this Agreement.  Seller shall provide drafts of each such Pre-Closing Tax Return to Buyer for Buyer’s review and comment at least 30 days prior to the due date for filing such Pre-Closing Tax Return (including any applicable extensions) or, in the case of Pre-Closing Tax Returns filed on a more frequent than annual basis, as soon as reasonably practicable but at least five days prior to the due date for filing such Pre-Closing Tax Return.  For the avoidance of doubt, any Pre-Closing Tax Return that is normally filed on an annual basis, but that is required to be filed for a period of less than one year due to a termination or other event (</w:t>
      </w:r>
      <w:r>
        <w:rPr>
          <w:rFonts w:ascii="Times New Roman;Times;serif" w:hAnsi="Times New Roman;Times;serif"/>
          <w:i/>
          <w:sz w:val="24"/>
        </w:rPr>
        <w:t>e.g.</w:t>
      </w:r>
      <w:r>
        <w:rPr>
          <w:rFonts w:ascii="Times New Roman;Times;serif" w:hAnsi="Times New Roman;Times;serif"/>
          <w:sz w:val="24"/>
        </w:rPr>
        <w:t xml:space="preserve">, a “stub” period income Pre-Closing Tax Return of the Company or its Subsidiaries for the period ending on the Closing Date) shall not be considered a Pre-Closing Tax Return filed on a more frequent than annual basis.  Seller shall consider in good faith all reasonable comments made in writing by Buyer at least 15 days prior to the due date for filing such Pre-Closing Tax Return or, in the case of Pre-Closing Tax Returns filed on a more frequent than annual basis, at least two days prior to the due date of such Pre-Closing Tax Return; </w:t>
      </w:r>
      <w:r>
        <w:rPr>
          <w:rFonts w:ascii="Times New Roman;Times;serif" w:hAnsi="Times New Roman;Times;serif"/>
          <w:i/>
          <w:sz w:val="24"/>
        </w:rPr>
        <w:t>provided</w:t>
      </w:r>
      <w:r>
        <w:rPr>
          <w:rFonts w:ascii="Times New Roman;Times;serif" w:hAnsi="Times New Roman;Times;serif"/>
          <w:sz w:val="24"/>
        </w:rPr>
        <w:t xml:space="preserve">, that Seller shall not be required to accept any comments that do not reflect, in its good faith judgment, a position that is at least “more likely than not” to be sustained.  Seller shall jointly and severally pay to Buyer the amount of the Taxes with respect to such Pre-Closing Tax Returns for which Seller is responsible under </w:t>
      </w:r>
      <w:r>
        <w:rPr>
          <w:rFonts w:ascii="Times New Roman;Times;serif" w:hAnsi="Times New Roman;Times;serif"/>
          <w:sz w:val="24"/>
          <w:u w:val="single"/>
        </w:rPr>
        <w:t>Section 5.2(a)(ii)</w:t>
      </w:r>
      <w:r>
        <w:rPr>
          <w:rFonts w:ascii="Times New Roman;Times;serif" w:hAnsi="Times New Roman;Times;serif"/>
          <w:sz w:val="24"/>
        </w:rPr>
        <w:t xml:space="preserve"> within five days of filing the applicable Pre-Closing Tax Return to which such Taxes relate, but only to the extent that such Taxes were not included as Net Working Capital, Unpaid Income Taxes, Closing Indebtedness, or Closing Payroll Taxes or otherwise taken into account in the calculation of the Final Purchase Price under </w:t>
      </w:r>
      <w:r>
        <w:rPr>
          <w:rFonts w:ascii="Times New Roman;Times;serif" w:hAnsi="Times New Roman;Times;serif"/>
          <w:sz w:val="24"/>
          <w:u w:val="single"/>
        </w:rPr>
        <w:t>Section 2.3</w:t>
      </w:r>
      <w:r>
        <w:rPr>
          <w:rFonts w:ascii="Times New Roman;Times;serif" w:hAnsi="Times New Roman;Times;serif"/>
          <w:sz w:val="24"/>
        </w:rPr>
        <w: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4087" w:name="_Ref507269559"/>
      <w:bookmarkEnd w:id="4087"/>
      <w:r>
        <w:rPr>
          <w:rFonts w:ascii="Times New Roman;Times;serif" w:hAnsi="Times New Roman;Times;serif"/>
          <w:sz w:val="24"/>
        </w:rPr>
        <w:t xml:space="preserve">Buyer shall prepare or cause to be prepared and file or cause to be filed all non-income Tax Returns of the Company and its Subsidiaries (other than, for the avoidance of doubt, the Excluded Entities) for tax periods that end on or before the Closing Date that are required to be filed after the Closing, and all Tax Returns of the Company and its Subsidiaries for the Straddle Period.  Buyer shall provide drafts of each such Tax Return to Seller for Seller’s review and comment at least 30 days prior to the due date for filing such Tax Return (including any applicable extensions) or, in the case of Tax Returns filed on a more frequent than annual basis, as soon as reasonably practicable but at least five days prior to the due date for filing such Tax Return.  Buyer shall consider in good faith all reasonable comments made in writing by Seller at least 15 days prior to the due date for filing such Tax Return or, in the case of Tax Returns filed on a more frequent than annual basis, at least two days prior to the due date of such Tax Return; </w:t>
      </w:r>
      <w:r>
        <w:rPr>
          <w:rFonts w:ascii="Times New Roman;Times;serif" w:hAnsi="Times New Roman;Times;serif"/>
          <w:i/>
          <w:sz w:val="24"/>
        </w:rPr>
        <w:t>provided</w:t>
      </w:r>
      <w:r>
        <w:rPr>
          <w:rFonts w:ascii="Times New Roman;Times;serif" w:hAnsi="Times New Roman;Times;serif"/>
          <w:sz w:val="24"/>
        </w:rPr>
        <w:t xml:space="preserve">, that Buyer shall not be required to accept any comments that do not reflect, in its good faith judgment, a position that is at least “more likely than not” to be sustained.  Seller shall pay to Buyer the amount of the Taxes with respect to such Tax Returns for which Seller is responsible under </w:t>
      </w:r>
      <w:r>
        <w:rPr>
          <w:rFonts w:ascii="Times New Roman;Times;serif" w:hAnsi="Times New Roman;Times;serif"/>
          <w:sz w:val="24"/>
          <w:u w:val="single"/>
        </w:rPr>
        <w:t>Section </w:t>
      </w:r>
      <w:bookmarkStart w:id="4088" w:name="_9kMHG5YVt568FKMLHnhqjpErf1NP8GB76ncDIE"/>
      <w:bookmarkEnd w:id="4088"/>
      <w:r>
        <w:rPr>
          <w:rFonts w:ascii="Times New Roman;Times;serif" w:hAnsi="Times New Roman;Times;serif"/>
          <w:sz w:val="24"/>
          <w:u w:val="single"/>
        </w:rPr>
        <w:t>5.2(a)(ii)</w:t>
      </w:r>
      <w:r>
        <w:rPr>
          <w:rFonts w:ascii="Times New Roman;Times;serif" w:hAnsi="Times New Roman;Times;serif"/>
          <w:sz w:val="24"/>
        </w:rPr>
        <w:t xml:space="preserve"> within five days of filing the applicable Tax Return to which such Taxes relate, but only to the extent that such Taxes were not included as Net Working Capital, Unpaid Income Taxes, Closing Indebtedness, or Closing Payroll Taxes or otherwise taken into account in the calculation of the Final Purchase Price under </w:t>
      </w:r>
      <w:r>
        <w:rPr>
          <w:rFonts w:ascii="Times New Roman;Times;serif" w:hAnsi="Times New Roman;Times;serif"/>
          <w:sz w:val="24"/>
          <w:u w:val="single"/>
        </w:rPr>
        <w:t>Section 2.3</w:t>
      </w:r>
      <w:r>
        <w:rPr>
          <w:rFonts w:ascii="Times New Roman;Times;serif" w:hAnsi="Times New Roman;Times;serif"/>
          <w:sz w:val="24"/>
        </w:rPr>
        <w:t>.</w:t>
      </w:r>
      <w:bookmarkStart w:id="4089" w:name="_Ref416482976"/>
      <w:bookmarkEnd w:id="4089"/>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090" w:name="_Ref416482974"/>
      <w:bookmarkStart w:id="4091" w:name="_Ref440767735"/>
      <w:bookmarkStart w:id="4092" w:name="_Toc235204936"/>
      <w:bookmarkEnd w:id="4090"/>
      <w:bookmarkEnd w:id="4091"/>
      <w:bookmarkEnd w:id="4092"/>
      <w:r>
        <w:rPr>
          <w:rFonts w:ascii="Times New Roman;Times;serif" w:hAnsi="Times New Roman;Times;serif"/>
          <w:sz w:val="24"/>
          <w:u w:val="single"/>
        </w:rPr>
        <w:t>Other Tax Return Matters</w:t>
      </w:r>
      <w:r>
        <w:rPr>
          <w:rFonts w:ascii="Times New Roman;Times;serif" w:hAnsi="Times New Roman;Times;serif"/>
          <w:sz w:val="24"/>
        </w:rPr>
        <w:t>.  </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4093" w:name="_Ref228452279"/>
      <w:bookmarkEnd w:id="4093"/>
      <w:r>
        <w:rPr>
          <w:rFonts w:ascii="Times New Roman;Times;serif" w:hAnsi="Times New Roman;Times;serif"/>
          <w:sz w:val="24"/>
        </w:rPr>
        <w:t xml:space="preserve">Buyer shall not, and shall not permit any of its Affiliates (including, for the avoidance of doubt, the Company and its Subsidiaries) to, (A) file (except as set forth in </w:t>
      </w:r>
      <w:r>
        <w:rPr>
          <w:rFonts w:ascii="Times New Roman;Times;serif" w:hAnsi="Times New Roman;Times;serif"/>
          <w:sz w:val="24"/>
          <w:u w:val="single"/>
        </w:rPr>
        <w:t>Section 6.1(b)</w:t>
      </w:r>
      <w:r>
        <w:rPr>
          <w:rFonts w:ascii="Times New Roman;Times;serif" w:hAnsi="Times New Roman;Times;serif"/>
          <w:sz w:val="24"/>
        </w:rPr>
        <w:t>), amend, refile, revoke or otherwise modify any material Tax Return or Tax election of the Company or any of its Subsidiaries with respect to a Pre-Closing Tax Period, (B) except as set forth in</w:t>
      </w:r>
      <w:r>
        <w:rPr>
          <w:rFonts w:ascii="Times New Roman;Times;serif" w:hAnsi="Times New Roman;Times;serif"/>
          <w:sz w:val="24"/>
          <w:u w:val="single"/>
        </w:rPr>
        <w:t xml:space="preserve"> Section 6.1(c)(ii)</w:t>
      </w:r>
      <w:r>
        <w:rPr>
          <w:rFonts w:ascii="Times New Roman;Times;serif" w:hAnsi="Times New Roman;Times;serif"/>
          <w:sz w:val="24"/>
        </w:rPr>
        <w:t xml:space="preserve">, initiate any voluntary disclosure or similar process with respect to any Taxes or Tax Returns of the Company or any of its Subsidiaries that were originally due on or before the Closing Date (taking into account any applicable extensions), (C) make an election under Section 336 or 338 of the Code (or any comparable applicable provision of state, local or foreign Tax law) with respect to the transactions contemplated by this Agreement, (D) make any Tax election with respect to the Company or any of its Subsidiaries that is retroactively effective on or before the Closing Date, (E) with respect to the Company or any of its Subsidiaries, to engage in any transaction after the Closing on the Closing Date outside the Ordinary Course (other than as contemplated by this Agreement), or (F) carry back any item of loss, deduction, credit or other tax benefit of or in respect of the Company or any of its Subsidiaries from any taxable period into any Pre-Closing Tax Period, in each of (A) – (F) unless required by applicable Law or at the direction of a Taxing Authority or with the prior written consent of Seller (such consent not to be unreasonably withheld, conditioned or delayed) if such action is reasonably likely to result in a material increase in Pre-Closing Taxes, Unpaid Income Taxes or the Tax Liability of Seller or a member of the Affiliated Group that includes Seller.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4094" w:name="_Ref234147587"/>
      <w:bookmarkEnd w:id="4094"/>
      <w:r>
        <w:rPr>
          <w:rFonts w:ascii="Times New Roman;Times;serif" w:hAnsi="Times New Roman;Times;serif"/>
          <w:sz w:val="24"/>
        </w:rPr>
        <w:t xml:space="preserve">Notwithstanding anything to the contrary in this Agreement (including </w:t>
      </w:r>
      <w:r>
        <w:rPr>
          <w:rFonts w:ascii="Times New Roman;Times;serif" w:hAnsi="Times New Roman;Times;serif"/>
          <w:sz w:val="24"/>
          <w:u w:val="single"/>
        </w:rPr>
        <w:t>Section 6.1(c)(i)</w:t>
      </w:r>
      <w:r>
        <w:rPr>
          <w:rFonts w:ascii="Times New Roman;Times;serif" w:hAnsi="Times New Roman;Times;serif"/>
          <w:sz w:val="24"/>
        </w:rPr>
        <w:t>), following the Closing, Buyer may, in its sole discretion but solely with respect to (A) self-procurement Tax Returns or other premium-based Tax Returns of Colchester and (B) the Escheat and Unclaimed Property Obligations, cause the Company or any of the Company’s Subsidiaries to enter into voluntary disclosure agreements in accordance with applicable published programs of the relevant Government Entity and standard administrative practices (to the extent that such programs and practices exist in the relevant jurisdiction) (“</w:t>
      </w:r>
      <w:r>
        <w:rPr>
          <w:rFonts w:ascii="Times New Roman;Times;serif" w:hAnsi="Times New Roman;Times;serif"/>
          <w:sz w:val="24"/>
          <w:u w:val="single"/>
        </w:rPr>
        <w:t>VDA</w:t>
      </w:r>
      <w:r>
        <w:rPr>
          <w:rFonts w:ascii="Times New Roman;Times;serif" w:hAnsi="Times New Roman;Times;serif"/>
          <w:sz w:val="24"/>
        </w:rPr>
        <w:t xml:space="preserve">”), which VDAs relate to (x) Taxes for taxable periods (or portions thereof) ending on or prior to the Closing Date and (y) the Escheat and Unclaimed Property Obligations; </w:t>
      </w:r>
      <w:r>
        <w:rPr>
          <w:rFonts w:ascii="Times New Roman;Times;serif" w:hAnsi="Times New Roman;Times;serif"/>
          <w:i/>
          <w:sz w:val="24"/>
        </w:rPr>
        <w:t xml:space="preserve">provided </w:t>
      </w:r>
      <w:r>
        <w:rPr>
          <w:rFonts w:ascii="Times New Roman;Times;serif" w:hAnsi="Times New Roman;Times;serif"/>
          <w:sz w:val="24"/>
        </w:rPr>
        <w:t xml:space="preserve">that (A) Buyer shall only be entitled to initiate any such VDA within 18 months following the Closing Date and shall provide notice to Seller no later than five Business Days prior to the initiation of any such VDA, (B) such VDA shall be pursued in good faith with reasonable efforts to minimize any liability, (C) entry into any such VDA shall not constitute, or be deemed to constitute, an admission of wrongdoing or personal liability by Seller to Buyer, with Buyer’s sole right to indemnification being pursuant to </w:t>
      </w:r>
      <w:r>
        <w:rPr>
          <w:rFonts w:ascii="Times New Roman;Times;serif" w:hAnsi="Times New Roman;Times;serif"/>
          <w:sz w:val="24"/>
          <w:u w:val="single"/>
        </w:rPr>
        <w:t>Article V</w:t>
      </w:r>
      <w:r>
        <w:rPr>
          <w:rFonts w:ascii="Times New Roman;Times;serif" w:hAnsi="Times New Roman;Times;serif"/>
          <w:sz w:val="24"/>
        </w:rPr>
        <w:t>, (D) Buyer shall in good faith consider the reasonable comments submitted to Buyer by Seller, and (E) Seller shall have the right to participate in any such VDA at its own expense.</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(iii)</w:t>
      </w:r>
      <w:r>
        <w:rPr>
          <w:rFonts w:ascii="Times New Roman;Times;serif" w:hAnsi="Times New Roman;Times;serif"/>
          <w:sz w:val="24"/>
        </w:rPr>
        <w:t xml:space="preserve">The parties agree that, except as required by applicable Law, (i) no election shall be made under Treasury Regulations Section 1.1502-76(b)(2)(ii)(D) to ratably allocate items (or make any similar election or ratably allocate items under any corresponding provision of applicable Law) and (ii) the parties shall not apply the “next day” rule of Treasury Regulations Section 1.1502-76(b)(1)(ii)(B) (or make any similar election or ratably allocate items under any corresponding provision of applicable Law) with respect to any of the Tax deductions for Seller Expenses, which shall be reported in accordance with </w:t>
      </w:r>
      <w:r>
        <w:rPr>
          <w:rFonts w:ascii="Times New Roman;Times;serif" w:hAnsi="Times New Roman;Times;serif"/>
          <w:sz w:val="24"/>
          <w:u w:val="single"/>
        </w:rPr>
        <w:t>Section 6.1(a)</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095" w:name="_Toc235204937"/>
      <w:bookmarkStart w:id="4096" w:name="_Ref440767736"/>
      <w:bookmarkStart w:id="4097" w:name="_9kR3WTr29CEIDEFnTLwpUju30zNI65t235LR"/>
      <w:bookmarkEnd w:id="4095"/>
      <w:bookmarkEnd w:id="4096"/>
      <w:bookmarkEnd w:id="4097"/>
      <w:r>
        <w:rPr>
          <w:rFonts w:ascii="Times New Roman;Times;serif" w:hAnsi="Times New Roman;Times;serif"/>
          <w:sz w:val="24"/>
          <w:u w:val="single"/>
        </w:rPr>
        <w:t>Tax Sharing Agreements</w:t>
      </w:r>
      <w:r>
        <w:rPr>
          <w:rFonts w:ascii="Times New Roman;Times;serif" w:hAnsi="Times New Roman;Times;serif"/>
          <w:sz w:val="24"/>
        </w:rPr>
        <w:t>.  As of the Closing Date, Seller Guarantor and the Company (or any of their respective Subsidiaries, as applicable) shall have terminated any Tax sharing agreements or arrangements between Seller Guarantor (or any of its Affiliates) and the Company (or any of their respective Subsidiaries, as applicable), and such Tax sharing agreements or arrangements shall have no further effect for any taxable year (whether the current year, a future year or a past year).  After the Closing Date, the Company and its Subsidiaries shall not have any further rights or Liabilities thereunder or under any payables or receivables arising therefrom or 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098" w:name="_Toc235204938"/>
      <w:bookmarkStart w:id="4099" w:name="_Ref128804899"/>
      <w:bookmarkEnd w:id="4098"/>
      <w:bookmarkEnd w:id="4099"/>
      <w:r>
        <w:rPr>
          <w:rFonts w:ascii="Times New Roman;Times;serif" w:hAnsi="Times New Roman;Times;serif"/>
          <w:sz w:val="24"/>
          <w:u w:val="single"/>
        </w:rPr>
        <w:t>Cooperation on Tax Matters</w:t>
      </w:r>
      <w:r>
        <w:rPr>
          <w:rFonts w:ascii="Times New Roman;Times;serif" w:hAnsi="Times New Roman;Times;serif"/>
          <w:sz w:val="24"/>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4100" w:name="_Ref22706907"/>
      <w:bookmarkEnd w:id="4100"/>
      <w:r>
        <w:rPr>
          <w:rFonts w:ascii="Times New Roman;Times;serif" w:hAnsi="Times New Roman;Times;serif"/>
          <w:sz w:val="24"/>
        </w:rPr>
        <w:t xml:space="preserve">Buyer and the Company, on the one hand, and Seller on the other, shall reasonably cooperate, as and to the extent reasonably requested by the other Party, in connection with the preparation and filing of any Tax Returns pursuant to this </w:t>
      </w:r>
      <w:r>
        <w:rPr>
          <w:rFonts w:ascii="Times New Roman;Times;serif" w:hAnsi="Times New Roman;Times;serif"/>
          <w:sz w:val="24"/>
          <w:u w:val="single"/>
        </w:rPr>
        <w:t>Section 6.1</w:t>
      </w:r>
      <w:r>
        <w:rPr>
          <w:rFonts w:ascii="Times New Roman;Times;serif" w:hAnsi="Times New Roman;Times;serif"/>
          <w:sz w:val="24"/>
        </w:rPr>
        <w:t xml:space="preserve"> and any Claim with respect to Taxes.  Such cooperation shall include the retention and, upon the other Party’s request, the provision of records and information that are reasonably relevant to any such Claim and making employees available on a mutually convenient basis to provide additional information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sz w:val="24"/>
        </w:rPr>
        <w:t xml:space="preserve">and explanation of any material provided hereunder; </w:t>
      </w:r>
      <w:r>
        <w:rPr>
          <w:rFonts w:ascii="Times New Roman;Times;serif" w:hAnsi="Times New Roman;Times;serif"/>
          <w:i/>
          <w:sz w:val="24"/>
        </w:rPr>
        <w:t>provided</w:t>
      </w:r>
      <w:r>
        <w:rPr>
          <w:rFonts w:ascii="Times New Roman;Times;serif" w:hAnsi="Times New Roman;Times;serif"/>
          <w:sz w:val="24"/>
        </w:rPr>
        <w:t xml:space="preserve"> that </w:t>
      </w:r>
      <w:bookmarkStart w:id="4101" w:name="DocXTextRef376"/>
      <w:bookmarkEnd w:id="4101"/>
      <w:r>
        <w:rPr>
          <w:rFonts w:ascii="Times New Roman;Times;serif" w:hAnsi="Times New Roman;Times;serif"/>
          <w:sz w:val="24"/>
        </w:rPr>
        <w:t xml:space="preserve">(x) Buyer and the Company shall not be required to provide Seller any Affiliated Group Tax Return or portion thereof (including any work papers or related documentation) of Buyer or its Affiliates, (y) Seller shall not be required to provide Buyer any Seller Group Return or portion thereof (including any work papers or related documentation), and (z) with respect to any information sought by Seller or its representatives with respect to any direct indemnification claim between any Indemnified Party and Seller under </w:t>
      </w:r>
      <w:r>
        <w:rPr>
          <w:rFonts w:ascii="Times New Roman;Times;serif" w:hAnsi="Times New Roman;Times;serif"/>
          <w:sz w:val="24"/>
          <w:u w:val="single"/>
        </w:rPr>
        <w:t>Article V</w:t>
      </w:r>
      <w:r>
        <w:rPr>
          <w:rFonts w:ascii="Times New Roman;Times;serif" w:hAnsi="Times New Roman;Times;serif"/>
          <w:sz w:val="24"/>
        </w:rPr>
        <w:t xml:space="preserve">, the applicable rules of discovery shall apply in lieu of this </w:t>
      </w:r>
      <w:r>
        <w:rPr>
          <w:rFonts w:ascii="Times New Roman;Times;serif" w:hAnsi="Times New Roman;Times;serif"/>
          <w:sz w:val="24"/>
          <w:u w:val="single"/>
        </w:rPr>
        <w:t>Section 6.1(e)</w:t>
      </w:r>
      <w:r>
        <w:rPr>
          <w:rFonts w:ascii="Times New Roman;Times;serif" w:hAnsi="Times New Roman;Times;serif"/>
          <w:sz w:val="24"/>
        </w:rPr>
        <w:t xml:space="preserve">.  Buyer and the Company, on the one hand, and Seller, on the other hand, agree to retain all books and records with respect to Tax matters pertinent to the Company and its Subsidiaries relating to any taxable period beginning before the Closing Date for a period of seven years and to abide by all record retention agreements entered into with any Taxing Authority; </w:t>
      </w:r>
      <w:r>
        <w:rPr>
          <w:rFonts w:ascii="Times New Roman;Times;serif" w:hAnsi="Times New Roman;Times;serif"/>
          <w:i/>
          <w:sz w:val="24"/>
        </w:rPr>
        <w:t>provided</w:t>
      </w:r>
      <w:r>
        <w:rPr>
          <w:rFonts w:ascii="Times New Roman;Times;serif" w:hAnsi="Times New Roman;Times;serif"/>
          <w:sz w:val="24"/>
        </w:rPr>
        <w:t>, that Buyer may dispose of such books and records that are offered in writing to, but not accepted by, Seller.</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4102" w:name="_Ref416482975"/>
      <w:bookmarkEnd w:id="4102"/>
      <w:r>
        <w:rPr>
          <w:rFonts w:ascii="Times New Roman;Times;serif" w:hAnsi="Times New Roman;Times;serif"/>
          <w:sz w:val="24"/>
        </w:rPr>
        <w:t>Buyer and Seller further agree, upon request, to use their commercially reasonable efforts to obtain any certificate or other document from any Government Entity or any other Person as may be necessary to mitigate, reduce or eliminate any Transfer Tax that could be imposed with respect to the transactions contemplated by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103" w:name="_Toc235204939"/>
      <w:bookmarkStart w:id="4104" w:name="_Ref440767737"/>
      <w:bookmarkEnd w:id="4103"/>
      <w:bookmarkEnd w:id="4104"/>
      <w:r>
        <w:rPr>
          <w:rFonts w:ascii="Times New Roman;Times;serif" w:hAnsi="Times New Roman;Times;serif"/>
          <w:sz w:val="24"/>
          <w:u w:val="single"/>
        </w:rPr>
        <w:t>Transfer Taxes</w:t>
      </w:r>
      <w:r>
        <w:rPr>
          <w:rFonts w:ascii="Times New Roman;Times;serif" w:hAnsi="Times New Roman;Times;serif"/>
          <w:sz w:val="24"/>
        </w:rPr>
        <w:t>.  All transfer, documentary, sales, use, stamp, registration and other such Taxes and fees (including any penalties and interest) incurred in connection with this Agreement (“</w:t>
      </w:r>
      <w:r>
        <w:rPr>
          <w:rFonts w:ascii="Times New Roman;Times;serif" w:hAnsi="Times New Roman;Times;serif"/>
          <w:sz w:val="24"/>
          <w:u w:val="single"/>
        </w:rPr>
        <w:t>Transfer Taxes</w:t>
      </w:r>
      <w:r>
        <w:rPr>
          <w:rFonts w:ascii="Times New Roman;Times;serif" w:hAnsi="Times New Roman;Times;serif"/>
          <w:sz w:val="24"/>
        </w:rPr>
        <w:t>”) shall be economically borne 50% on the one hand by Buyer and 50% on the other hand by Seller.  All Transfer Taxes shall be paid to the relevant Government Entity when due by the Party which is legally responsible in the first instance under applicable Law for paying such Transfer Taxes, and such Party shall, at its own expense and with the reasonable cooperation of the other Party, timely file any Tax Return or other document with respect to such Transfer Taxes.  The Party not legally responsible for paying such Transfer Taxes shall promptly reimburse the other Party for its share of such Transfer Taxes within five Business Days following the receipt of written request from the other Party for such Transfer Taxes.  Buyer and Seller agree to, and shall cause their respective Affiliates to, reasonably cooperate in the execution and delivery of all instruments and certificates reasonably necessary to remit and/or minimize the amount of any such Transfer Taxes.  Buyer and Seller further agree to conduct, or cause to be conducted, a Transfer Tax analysis which will set forth the Transfer Taxes that are due and owing and identify the Party responsible for such Transfer Tax, and the costs of such analysis shall be economically borne 50% on the one hand by Buyer, and 50% on the other hand by Seller.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4105" w:name="_Ref471303517"/>
      <w:bookmarkStart w:id="4106" w:name="_Toc235204940"/>
      <w:bookmarkStart w:id="4107" w:name="_Ref234689372"/>
      <w:bookmarkStart w:id="4108" w:name="_Ref465320000"/>
      <w:bookmarkEnd w:id="4105"/>
      <w:bookmarkEnd w:id="4106"/>
      <w:bookmarkEnd w:id="4107"/>
      <w:bookmarkEnd w:id="4108"/>
      <w:r>
        <w:rPr>
          <w:rFonts w:ascii="Times New Roman;Times;serif" w:hAnsi="Times New Roman;Times;serif"/>
          <w:sz w:val="24"/>
          <w:u w:val="single"/>
        </w:rPr>
        <w:t>Tax Contests</w:t>
      </w:r>
      <w:r>
        <w:rPr>
          <w:rFonts w:ascii="Times New Roman;Times;serif" w:hAnsi="Times New Roman;Times;serif"/>
          <w:sz w:val="24"/>
        </w:rPr>
        <w:t>.  </w:t>
      </w:r>
      <w:bookmarkStart w:id="4109" w:name="_cp_text_1_1854"/>
      <w:bookmarkEnd w:id="4109"/>
      <w:r>
        <w:rPr>
          <w:rFonts w:ascii="Times New Roman;Times;serif" w:hAnsi="Times New Roman;Times;serif"/>
          <w:sz w:val="24"/>
        </w:rPr>
        <w:t xml:space="preserve">After </w:t>
      </w:r>
      <w:bookmarkStart w:id="4110" w:name="_cp_text_4_1853"/>
      <w:bookmarkEnd w:id="4110"/>
      <w:r>
        <w:rPr>
          <w:rFonts w:ascii="Times New Roman;Times;serif" w:hAnsi="Times New Roman;Times;serif"/>
          <w:sz w:val="24"/>
        </w:rPr>
        <w:t xml:space="preserve">the Closing, each of Buyer and Seller shall promptly notify the other in writing of the proposed assessment or the commencement of any Tax audit or administrative or judicial proceeding or of any demand or claim with respect to Taxes, of which such Party has been informed in writing by any Taxing Authority imposed on Buyer, the Company or any of its Subsidiaries, which, if determined adversely to the taxpayer or after the lapse of time, could be grounds for indemnification under this Agreement.  Such notice shall contain factual information (to the extent known to Seller, Buyer, or the Company, as applicable) describing the asserted Liability for Taxes in reasonable detail and shall include copies of any notice or other document received from any Taxing Authority in respect of any such asserted Liability for Taxes,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i/>
          <w:sz w:val="24"/>
        </w:rPr>
        <w:t>provided</w:t>
      </w:r>
      <w:r>
        <w:rPr>
          <w:rFonts w:ascii="Times New Roman;Times;serif" w:hAnsi="Times New Roman;Times;serif"/>
          <w:sz w:val="24"/>
        </w:rPr>
        <w:t>, that failure to so notify Seller shall not relieve Seller of its obligations hereunder unless and to the extent Seller is actually and materially prejudiced thereby.  In the case of a Tax audit, or administrative or judicial proceeding, with respect to the Company or any of its Subsidiaries (a “</w:t>
      </w:r>
      <w:r>
        <w:rPr>
          <w:rFonts w:ascii="Times New Roman;Times;serif" w:hAnsi="Times New Roman;Times;serif"/>
          <w:sz w:val="24"/>
          <w:u w:val="single"/>
        </w:rPr>
        <w:t>Contest</w:t>
      </w:r>
      <w:r>
        <w:rPr>
          <w:rFonts w:ascii="Times New Roman;Times;serif" w:hAnsi="Times New Roman;Times;serif"/>
          <w:sz w:val="24"/>
        </w:rPr>
        <w:t>”) that relates to a Seller Group Return or that otherwise relates solely to a Pre-Closing Tax Period excluding any Straddle Period (a “</w:t>
      </w:r>
      <w:r>
        <w:rPr>
          <w:rFonts w:ascii="Times New Roman;Times;serif" w:hAnsi="Times New Roman;Times;serif"/>
          <w:sz w:val="24"/>
          <w:u w:val="single"/>
        </w:rPr>
        <w:t>Seller Contest</w:t>
      </w:r>
      <w:r>
        <w:rPr>
          <w:rFonts w:ascii="Times New Roman;Times;serif" w:hAnsi="Times New Roman;Times;serif"/>
          <w:sz w:val="24"/>
        </w:rPr>
        <w:t xml:space="preserve">”), Seller shall have the right, at its sole expense, to control the conduct of such Seller Contest; </w:t>
      </w:r>
      <w:r>
        <w:rPr>
          <w:rFonts w:ascii="Times New Roman;Times;serif" w:hAnsi="Times New Roman;Times;serif"/>
          <w:i/>
          <w:sz w:val="24"/>
        </w:rPr>
        <w:t>provided</w:t>
      </w:r>
      <w:r>
        <w:rPr>
          <w:rFonts w:ascii="Times New Roman;Times;serif" w:hAnsi="Times New Roman;Times;serif"/>
          <w:sz w:val="24"/>
        </w:rPr>
        <w:t xml:space="preserve">, that, in each case other than in respect of a Seller Contest that relates to a Seller Group Return, (i) Seller shall diligently prosecute such Seller Contest in good faith, (ii) Seller shall keep Buyer reasonably informed of the status of developments with respect to such Seller Contest, (iii) Seller shall not settle, discharge, or otherwise dispose of any such Seller Contest to the extent it could reasonably be expected to adversely affect the Tax liability of Buyer, the Company or any of the Company’s Subsidiaries for any taxable period beginning after the Closing Date without the prior written consent of Buyer (which consent is not to be unreasonably withheld, conditioned or delayed), and (iv) Buyer shall have the right to fully participate at its sole expense in any such Seller Contest.  For the avoidance of doubt, the Tax Liens shall be a Seller Contest subject to the provisions of this </w:t>
      </w:r>
      <w:r>
        <w:rPr>
          <w:rFonts w:ascii="Times New Roman;Times;serif" w:hAnsi="Times New Roman;Times;serif"/>
          <w:sz w:val="24"/>
          <w:u w:val="single"/>
        </w:rPr>
        <w:t>Section 6.1(g)</w:t>
      </w:r>
      <w:r>
        <w:rPr>
          <w:rFonts w:ascii="Times New Roman;Times;serif" w:hAnsi="Times New Roman;Times;serif"/>
          <w:sz w:val="24"/>
        </w:rPr>
        <w:t xml:space="preserve">.  Buyer shall control and shall have the right to discharge, settle, or otherwise dispose of, at its sole expense, all other Contests; </w:t>
      </w:r>
      <w:r>
        <w:rPr>
          <w:rFonts w:ascii="Times New Roman;Times;serif" w:hAnsi="Times New Roman;Times;serif"/>
          <w:i/>
          <w:sz w:val="24"/>
        </w:rPr>
        <w:t>provided</w:t>
      </w:r>
      <w:r>
        <w:rPr>
          <w:rFonts w:ascii="Times New Roman;Times;serif" w:hAnsi="Times New Roman;Times;serif"/>
          <w:sz w:val="24"/>
        </w:rPr>
        <w:t xml:space="preserve">, for any such Contest that relates to a Pre-Closing Tax Period, (A) Buyer shall diligently prosecute such other Contest in good faith, (B) Buyer shall keep Seller reasonably informed of the status of developments with respect to such other Contest, (C) Buyer shall not settle, discharge, or otherwise dispose of any such other Contest to the extent it would increase the Tax liability of Seller for any taxable period ending on or before the Closing Date without the prior written consent of Seller (which consent is not to be unreasonably withheld, conditioned or delayed), and (D) Seller shall have the right to fully participate in any such other Contest at its sole expense.  To the extent of any inconsistency between this </w:t>
      </w:r>
      <w:r>
        <w:rPr>
          <w:rFonts w:ascii="Times New Roman;Times;serif" w:hAnsi="Times New Roman;Times;serif"/>
          <w:sz w:val="24"/>
          <w:u w:val="single"/>
        </w:rPr>
        <w:t>Section 6.1(g)</w:t>
      </w:r>
      <w:r>
        <w:rPr>
          <w:rFonts w:ascii="Times New Roman;Times;serif" w:hAnsi="Times New Roman;Times;serif"/>
          <w:sz w:val="24"/>
        </w:rPr>
        <w:t xml:space="preserve"> and </w:t>
      </w:r>
      <w:r>
        <w:rPr>
          <w:rFonts w:ascii="Times New Roman;Times;serif" w:hAnsi="Times New Roman;Times;serif"/>
          <w:sz w:val="24"/>
          <w:u w:val="single"/>
        </w:rPr>
        <w:t>Article V</w:t>
      </w:r>
      <w:r>
        <w:rPr>
          <w:rFonts w:ascii="Times New Roman;Times;serif" w:hAnsi="Times New Roman;Times;serif"/>
          <w:sz w:val="24"/>
        </w:rPr>
        <w:t xml:space="preserve">, this </w:t>
      </w:r>
      <w:r>
        <w:rPr>
          <w:rFonts w:ascii="Times New Roman;Times;serif" w:hAnsi="Times New Roman;Times;serif"/>
          <w:sz w:val="24"/>
          <w:u w:val="single"/>
        </w:rPr>
        <w:t>Section 6.1(g)</w:t>
      </w:r>
      <w:r>
        <w:rPr>
          <w:rFonts w:ascii="Times New Roman;Times;serif" w:hAnsi="Times New Roman;Times;serif"/>
          <w:sz w:val="24"/>
        </w:rPr>
        <w:t xml:space="preserve"> shall control.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4111" w:name="_Toc235204941"/>
      <w:bookmarkStart w:id="4112" w:name="_Ref226592288"/>
      <w:bookmarkEnd w:id="4111"/>
      <w:bookmarkEnd w:id="4112"/>
      <w:r>
        <w:rPr>
          <w:rFonts w:ascii="Times New Roman;Times;serif" w:hAnsi="Times New Roman;Times;serif"/>
          <w:sz w:val="24"/>
          <w:u w:val="single"/>
        </w:rPr>
        <w:t>Tax Refunds</w:t>
      </w:r>
      <w:r>
        <w:rPr>
          <w:rFonts w:ascii="Times New Roman;Times;serif" w:hAnsi="Times New Roman;Times;serif"/>
          <w:sz w:val="24"/>
        </w:rPr>
        <w:t xml:space="preserve">.  Seller shall be entitled to all Tax refunds and credits (and any interest thereon) of the Company and its Subsidiaries relating to any Pre-Closing Tax Period, including the portion of a Straddle Period ending on and including the Closing Date, other than any such Tax refunds or credits to the extent included in the computation of the Final Purchase Price pursuant to </w:t>
      </w:r>
      <w:r>
        <w:rPr>
          <w:rFonts w:ascii="Times New Roman;Times;serif" w:hAnsi="Times New Roman;Times;serif"/>
          <w:sz w:val="24"/>
          <w:u w:val="single"/>
        </w:rPr>
        <w:t>Section 2.3</w:t>
      </w:r>
      <w:r>
        <w:rPr>
          <w:rFonts w:ascii="Times New Roman;Times;serif" w:hAnsi="Times New Roman;Times;serif"/>
          <w:sz w:val="24"/>
        </w:rPr>
        <w:t>, net of any reasonable out-of-pocket cost and expenses (including any Tax) incurred or suffered by the Company, its Subsidiaries, Buyer, or their respective Affiliates with respect to the receipt or obtaining thereof (collectively, “</w:t>
      </w:r>
      <w:r>
        <w:rPr>
          <w:rFonts w:ascii="Times New Roman;Times;serif" w:hAnsi="Times New Roman;Times;serif"/>
          <w:sz w:val="24"/>
          <w:u w:val="single"/>
        </w:rPr>
        <w:t>Tax Refunds</w:t>
      </w:r>
      <w:r>
        <w:rPr>
          <w:rFonts w:ascii="Times New Roman;Times;serif" w:hAnsi="Times New Roman;Times;serif"/>
          <w:sz w:val="24"/>
        </w:rPr>
        <w:t xml:space="preserve">”).  Any Tax Refunds received after the Closing by Buyer or any of its Affiliates (including the Company or any of its Subsidiaries) shall be remitted by Buyer to Seller within five Business Days of the receipt of such Tax Refund.  Buyer and Seller agree that any Tax Refund paid under this </w:t>
      </w:r>
      <w:r>
        <w:rPr>
          <w:rFonts w:ascii="Times New Roman;Times;serif" w:hAnsi="Times New Roman;Times;serif"/>
          <w:sz w:val="24"/>
          <w:u w:val="single"/>
        </w:rPr>
        <w:t>Section 6.1(h)</w:t>
      </w:r>
      <w:r>
        <w:rPr>
          <w:rFonts w:ascii="Times New Roman;Times;serif" w:hAnsi="Times New Roman;Times;serif"/>
          <w:sz w:val="24"/>
        </w:rPr>
        <w:t xml:space="preserve"> shall be treated as an adjustment to the Final Purchase Price for Tax purposes and shall not take any Tax position inconsistent with such treatment unless otherwise required by applicable Law.  In the event that all or any portion of any Tax Refunds previously paid to Seller pursuant to this </w:t>
      </w:r>
      <w:r>
        <w:rPr>
          <w:rFonts w:ascii="Times New Roman;Times;serif" w:hAnsi="Times New Roman;Times;serif"/>
          <w:sz w:val="24"/>
          <w:u w:val="single"/>
        </w:rPr>
        <w:t>Section 6.1(h)</w:t>
      </w:r>
      <w:r>
        <w:rPr>
          <w:rFonts w:ascii="Times New Roman;Times;serif" w:hAnsi="Times New Roman;Times;serif"/>
          <w:sz w:val="24"/>
        </w:rPr>
        <w:t xml:space="preserve"> is subsequently disallowed, reduced, or required to be repaid to a Taxing Authority (including as a result of any audit, examination, or other proceeding), Seller shall, within five Business Days after written notice from Buyer, repay to Buyer an amount equal to the portion of such Tax Refund so disallowed or reduced plus any interest, penalties or additions thereto imposed by the applicable Taxing Authority.  Buyer shall be entitled to set off against any amounts otherwise payable to Seller pursuant to </w:t>
      </w:r>
      <w:r>
        <w:rPr>
          <w:rFonts w:ascii="Times New Roman;Times;serif" w:hAnsi="Times New Roman;Times;serif"/>
          <w:sz w:val="24"/>
          <w:u w:val="single"/>
        </w:rPr>
        <w:t>Section 6.1</w:t>
      </w:r>
      <w:r>
        <w:rPr>
          <w:rFonts w:ascii="Times New Roman;Times;serif" w:hAnsi="Times New Roman;Times;serif"/>
          <w:sz w:val="24"/>
        </w:rPr>
        <w:t xml:space="preserve"> any amounts that are then due and payable (but remain unpaid) by Seller to Buyer or any of its Affiliates pursuant to this Agreement, including </w:t>
      </w:r>
      <w:r>
        <w:rPr>
          <w:rFonts w:ascii="Times New Roman;Times;serif" w:hAnsi="Times New Roman;Times;serif"/>
          <w:sz w:val="24"/>
          <w:u w:val="single"/>
        </w:rPr>
        <w:t xml:space="preserve">Section </w:t>
      </w:r>
      <w:bookmarkStart w:id="4113" w:name="_9kMIH5YVt568FKMLHnhqjpErf1NP8GB76ncDIE"/>
      <w:bookmarkEnd w:id="4113"/>
      <w:r>
        <w:rPr>
          <w:rFonts w:ascii="Times New Roman;Times;serif" w:hAnsi="Times New Roman;Times;serif"/>
          <w:sz w:val="24"/>
          <w:u w:val="single"/>
        </w:rPr>
        <w:t>5.2(a)(ii)</w:t>
      </w:r>
      <w:r>
        <w:rPr>
          <w:rFonts w:ascii="Times New Roman;Times;serif" w:hAnsi="Times New Roman;Times;serif"/>
          <w:sz w:val="24"/>
        </w:rPr>
        <w: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(i)</w:t>
      </w:r>
      <w:bookmarkStart w:id="4114" w:name="_Toc235204942"/>
      <w:bookmarkStart w:id="4115" w:name="_Ref225901826"/>
      <w:bookmarkEnd w:id="4114"/>
      <w:bookmarkEnd w:id="4115"/>
      <w:r>
        <w:rPr>
          <w:rFonts w:ascii="Times New Roman;Times;serif" w:hAnsi="Times New Roman;Times;serif"/>
          <w:sz w:val="24"/>
          <w:u w:val="single"/>
        </w:rPr>
        <w:t>Post-Closing Change of Control Payments</w:t>
      </w:r>
      <w:r>
        <w:rPr>
          <w:rFonts w:ascii="Times New Roman;Times;serif" w:hAnsi="Times New Roman;Times;serif"/>
          <w:sz w:val="24"/>
        </w:rPr>
        <w:t xml:space="preserve">.  In the event Buyer makes payment of any Change of Control Payments for which Seller actually reimburses Buyer pursuant to the terms of this Agreement or that otherwise reduces the Purchase Price, Buyer shall pay to Seller the amount of any net cash Tax benefit actually recognized by Buyer in the taxable year in which such Change of Control Payment is taken into account for income Tax purposes, as determined by Buyer in good faith on a “with and without” basis.  In the event that all or any portion of any such Tax benefit previously paid to Seller pursuant to this </w:t>
      </w:r>
      <w:r>
        <w:rPr>
          <w:rFonts w:ascii="Times New Roman;Times;serif" w:hAnsi="Times New Roman;Times;serif"/>
          <w:sz w:val="24"/>
          <w:u w:val="single"/>
        </w:rPr>
        <w:t>Section 6.1(i)</w:t>
      </w:r>
      <w:r>
        <w:rPr>
          <w:rFonts w:ascii="Times New Roman;Times;serif" w:hAnsi="Times New Roman;Times;serif"/>
          <w:sz w:val="24"/>
        </w:rPr>
        <w:t xml:space="preserve"> is subsequently disallowed, reduced, or required to be repaid to a Taxing Authority (including as a result of any audit, examination, or other proceeding), Seller shall, within five Business Days after written notice from Buyer, repay to Buyer an amount equal to the portion of such Tax benefit so disallowed or reduced.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(j)</w:t>
      </w:r>
      <w:bookmarkStart w:id="4116" w:name="_Toc235204943"/>
      <w:bookmarkEnd w:id="4116"/>
      <w:r>
        <w:rPr>
          <w:rFonts w:ascii="Times New Roman;Times;serif" w:hAnsi="Times New Roman;Times;serif"/>
          <w:sz w:val="24"/>
          <w:u w:val="single"/>
        </w:rPr>
        <w:t>Tax Lien Release</w:t>
      </w:r>
      <w:r>
        <w:rPr>
          <w:rFonts w:ascii="Times New Roman;Times;serif" w:hAnsi="Times New Roman;Times;serif"/>
          <w:sz w:val="24"/>
        </w:rPr>
        <w:t xml:space="preserve">.  From the date of this Agreement until the Closing, Seller shall use commercially reasonable efforts to fully pay, discharge, satisfy and release each outstanding Tax Lien listed on </w:t>
      </w:r>
      <w:r>
        <w:rPr>
          <w:rFonts w:ascii="Times New Roman;Times;serif" w:hAnsi="Times New Roman;Times;serif"/>
          <w:sz w:val="24"/>
          <w:u w:val="single"/>
        </w:rPr>
        <w:t>Schedule 1.1(d)</w:t>
      </w:r>
      <w:r>
        <w:rPr>
          <w:rFonts w:ascii="Times New Roman;Times;serif" w:hAnsi="Times New Roman;Times;serif"/>
          <w:sz w:val="24"/>
        </w:rPr>
        <w:t>, and to deliver to Buyer evidence, in form and substance reasonably satisfactory to Buyer, of the full payment, discharge, satisfaction and release of each such Tax Lien, including filing confirmations and other customary evidence that such releases have been filed or recorded by the IRS.  Notwithstanding the foregoing, Seller shall be entitled to contest in any Tax Liens as a Seller Contest if, in Seller’s good faith judgment, such Tax Liens, including the underlying Taxes, have been improperly imposed.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w:t>
      </w:r>
      <w:bookmarkStart w:id="4117" w:name="_Toc235366538"/>
      <w:bookmarkStart w:id="4118" w:name="_Toc235204944"/>
      <w:bookmarkStart w:id="4119" w:name="_Toc235142721"/>
      <w:bookmarkStart w:id="4120" w:name="_Toc228481606"/>
      <w:bookmarkStart w:id="4121" w:name="_Ref225374264"/>
      <w:bookmarkEnd w:id="4117"/>
      <w:bookmarkEnd w:id="4118"/>
      <w:bookmarkEnd w:id="4119"/>
      <w:bookmarkEnd w:id="4120"/>
      <w:bookmarkEnd w:id="4121"/>
      <w:r>
        <w:rPr>
          <w:rFonts w:ascii="Times New Roman;Times;serif" w:hAnsi="Times New Roman;Times;serif"/>
          <w:sz w:val="24"/>
          <w:u w:val="single"/>
        </w:rPr>
        <w:t>Employees and Benefit Plans</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122" w:name="_Toc235204945"/>
      <w:bookmarkEnd w:id="4122"/>
      <w:r>
        <w:rPr>
          <w:rFonts w:ascii="Times New Roman;Times;serif" w:hAnsi="Times New Roman;Times;serif"/>
          <w:sz w:val="24"/>
        </w:rPr>
        <w:t xml:space="preserve">This </w:t>
      </w:r>
      <w:r>
        <w:rPr>
          <w:rFonts w:ascii="Times New Roman;Times;serif" w:hAnsi="Times New Roman;Times;serif"/>
          <w:sz w:val="24"/>
          <w:u w:val="single"/>
        </w:rPr>
        <w:t>Section 6.2</w:t>
      </w:r>
      <w:r>
        <w:rPr>
          <w:rFonts w:ascii="Times New Roman;Times;serif" w:hAnsi="Times New Roman;Times;serif"/>
          <w:sz w:val="24"/>
        </w:rPr>
        <w:t xml:space="preserve"> shall be binding upon and shall inure solely to the benefit of each of the Parties to this Agreement, and nothing in this </w:t>
      </w:r>
      <w:r>
        <w:rPr>
          <w:rFonts w:ascii="Times New Roman;Times;serif" w:hAnsi="Times New Roman;Times;serif"/>
          <w:sz w:val="24"/>
          <w:u w:val="single"/>
        </w:rPr>
        <w:t>Section 6.2</w:t>
      </w:r>
      <w:r>
        <w:rPr>
          <w:rFonts w:ascii="Times New Roman;Times;serif" w:hAnsi="Times New Roman;Times;serif"/>
          <w:sz w:val="24"/>
        </w:rPr>
        <w:t xml:space="preserve">, express or implied, is intended to confer or shall confer upon the employees of the Company and its Subsidiaries who are employed by the Company or any of its Subsidiaries immediately following the Closing or any other Person (including for the avoidance of doubt any current or former directors, officers, employees, contractors or consultants of any of the Company or any of its Subsidiaries, or Buyer or any of its Subsidiaries) any rights or remedies of any nature whatsoever (including any third-party beneficiary rights) under or by reason of </w:t>
      </w:r>
      <w:r>
        <w:rPr>
          <w:rFonts w:ascii="Times New Roman;Times;serif" w:hAnsi="Times New Roman;Times;serif"/>
          <w:sz w:val="24"/>
          <w:u w:val="single"/>
        </w:rPr>
        <w:t>Section 6.2</w:t>
      </w:r>
      <w:r>
        <w:rPr>
          <w:rFonts w:ascii="Times New Roman;Times;serif" w:hAnsi="Times New Roman;Times;serif"/>
          <w:sz w:val="24"/>
        </w:rPr>
        <w:t xml:space="preserve">.  Nothing in this </w:t>
      </w:r>
      <w:r>
        <w:rPr>
          <w:rFonts w:ascii="Times New Roman;Times;serif" w:hAnsi="Times New Roman;Times;serif"/>
          <w:sz w:val="24"/>
          <w:u w:val="single"/>
        </w:rPr>
        <w:t>Section 6.2</w:t>
      </w:r>
      <w:r>
        <w:rPr>
          <w:rFonts w:ascii="Times New Roman;Times;serif" w:hAnsi="Times New Roman;Times;serif"/>
          <w:sz w:val="24"/>
        </w:rPr>
        <w:t xml:space="preserve"> shall constitute an amendment or modification to any Employee Benefit Plan or any other benefit or compensation plan, policy, program, agreement or arrangement at any time assumed, established, sponsored or maintained by the Company, Buyer or any of their respective Affiliates or shall be construed as prohibiting or limiting the ability of the Company, Buyer or any of their respective Subsidiaries or Affiliates to amend, modify or terminate any plans, programs, policies, arrangements, agreements or understandings.  Nothing herein shall be construed as requiring, and neither the Company nor any of its Subsidiaries shall take any action that would have the effect of requiring, Buyer or its Affiliates to continue any specific benefit or compensation plans, programs, policies, arrangements or agreements or to continue the employment (or any particular term or condition of employment) of any specific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123" w:name="_Toc235204946"/>
      <w:bookmarkStart w:id="4124" w:name="_Ref225450659"/>
      <w:bookmarkEnd w:id="4123"/>
      <w:bookmarkEnd w:id="4124"/>
      <w:r>
        <w:rPr>
          <w:rFonts w:ascii="TimesNewRomanPSMT" w:hAnsi="TimesNewRomanPSMT"/>
          <w:sz w:val="24"/>
        </w:rPr>
        <w:t xml:space="preserve">Seller shall cause the Company to pay, or shall cause to be paid, to each employee who is employed by the Company or one of its Subsidiaries immediately prior to the Closing and who participates in an Employee Benefit Plan that provides the opportunity to earn a bonus, commission or other incentive payment in respect of any period of time prior to the Closing for which the applicable measurement period has ended prior to the Closing but for which either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NewRomanPSMT" w:hAnsi="TimesNewRomanPSMT"/>
          <w:sz w:val="24"/>
        </w:rPr>
        <w:t>(i) the amount of such bonus, commission or other incentive payment is unpaid as of the Closing, or (ii) the satisfaction of any performance criteria related to such measurement period has not been determined as of the Closing, such employee’s bonus, commission or other incentive payment in an amount determined by the Company under the applicable terms of such Employee Benefit Plan as of immediately prior to</w:t>
      </w:r>
      <w:r>
        <w:rPr>
          <w:rFonts w:ascii="Times New Roman;Times;serif" w:hAnsi="Times New Roman;Times;serif"/>
          <w:sz w:val="24"/>
        </w:rPr>
        <w:t xml:space="preserve"> </w:t>
      </w:r>
      <w:r>
        <w:rPr>
          <w:rFonts w:ascii="TimesNewRomanPSMT" w:hAnsi="TimesNewRomanPSMT"/>
          <w:sz w:val="24"/>
        </w:rPr>
        <w:t>the Closing.</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125" w:name="_Toc235204947"/>
      <w:bookmarkEnd w:id="4125"/>
      <w:r>
        <w:rPr>
          <w:rFonts w:ascii="TimesNewRomanPSMT" w:hAnsi="TimesNewRomanPSMT"/>
          <w:sz w:val="24"/>
        </w:rPr>
        <w:t>Prior to the Closing Date, the Company shall have caused: (i) the sponsorship of each Employee Benefit Plan intended to include a Code section 401(k) arrangement for U.S. employees outside of Puerto Rico (the “</w:t>
      </w:r>
      <w:r>
        <w:rPr>
          <w:rFonts w:ascii="TimesNewRomanPSMT" w:hAnsi="TimesNewRomanPSMT"/>
          <w:sz w:val="24"/>
          <w:u w:val="single"/>
        </w:rPr>
        <w:t>Non-Puerto Rico 401(k) Plan</w:t>
      </w:r>
      <w:r>
        <w:rPr>
          <w:rFonts w:ascii="Times New Roman;Times;serif" w:hAnsi="Times New Roman;Times;serif"/>
          <w:sz w:val="24"/>
        </w:rPr>
        <w:t>”</w:t>
      </w:r>
      <w:r>
        <w:rPr>
          <w:rFonts w:ascii="TimesNewRomanPSMT" w:hAnsi="TimesNewRomanPSMT"/>
          <w:sz w:val="24"/>
        </w:rPr>
        <w:t xml:space="preserve">), and (ii) all Contracts with respect to the Non-Puerto Rico 401(k) Plan to have been transferred to an Affiliate of Seller (other than the Company or one of its Subsidiaries), and shall have terminated participation by the Company and its Subsidiaries in the Non-Puerto Rico 401(k) Plan, and shall have provided Buyer evidence of such transfers and </w:t>
      </w:r>
      <w:r>
        <w:rPr>
          <w:rFonts w:ascii="Times New Roman;Times;serif" w:hAnsi="Times New Roman;Times;serif"/>
          <w:sz w:val="24"/>
        </w:rPr>
        <w:t xml:space="preserve">termination of participation </w:t>
      </w:r>
      <w:r>
        <w:rPr>
          <w:rFonts w:ascii="TimesNewRomanPSMT" w:hAnsi="TimesNewRomanPSMT"/>
          <w:sz w:val="24"/>
        </w:rPr>
        <w:t>in form and substance reasonably acceptable to Buyer.  </w:t>
      </w:r>
      <w:bookmarkStart w:id="4126" w:name="_Ref225374899"/>
      <w:bookmarkStart w:id="4127" w:name="_Ref231455981"/>
      <w:bookmarkEnd w:id="4126"/>
      <w:bookmarkEnd w:id="4127"/>
      <w:r>
        <w:rPr>
          <w:rFonts w:ascii="Times New Roman;Times;serif" w:hAnsi="Times New Roman;Times;serif"/>
          <w:sz w:val="24"/>
        </w:rPr>
        <w:t xml:space="preserve">Prior to the Closing Date, the Company shall take all actions necessary to cause the </w:t>
      </w:r>
      <w:r>
        <w:rPr>
          <w:rFonts w:ascii="TimesNewRomanPSMT" w:hAnsi="TimesNewRomanPSMT"/>
          <w:sz w:val="24"/>
        </w:rPr>
        <w:t>Non-Puerto Rico 401(k) Plan</w:t>
      </w:r>
      <w:r>
        <w:rPr>
          <w:rFonts w:ascii="Times New Roman;Times;serif" w:hAnsi="Times New Roman;Times;serif"/>
          <w:sz w:val="24"/>
        </w:rPr>
        <w:t xml:space="preserve"> to fully vest</w:t>
      </w:r>
      <w:r>
        <w:rPr>
          <w:rFonts w:ascii="TimesNewRomanPSMT" w:hAnsi="TimesNewRomanPSMT"/>
          <w:sz w:val="24"/>
        </w:rPr>
        <w:t>, effective as of the Closing Date, the unvested account balances of the employees of the Company and its Subsidiaries</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6.3</w:t>
      </w:r>
      <w:bookmarkStart w:id="4128" w:name="_Ref101198141"/>
      <w:bookmarkStart w:id="4129" w:name="_Ref22734364"/>
      <w:bookmarkStart w:id="4130" w:name="_Ref331587502"/>
      <w:bookmarkStart w:id="4131" w:name="_Toc235366539"/>
      <w:bookmarkStart w:id="4132" w:name="_Toc235204948"/>
      <w:bookmarkStart w:id="4133" w:name="_Toc235142722"/>
      <w:bookmarkStart w:id="4134" w:name="_Toc228481607"/>
      <w:bookmarkStart w:id="4135" w:name="_9kR3WTr29CEIHIHdMuAA0my585NSI92z0KQ"/>
      <w:bookmarkStart w:id="4136" w:name="_Ref225437563"/>
      <w:bookmarkStart w:id="4137" w:name="_Ref416482977"/>
      <w:bookmarkStart w:id="4138" w:name="_Ref440766573"/>
      <w:bookmarkStart w:id="4139" w:name="_Ref468130859"/>
      <w:bookmarkStart w:id="4140" w:name="_Ref83652591"/>
      <w:bookmarkStart w:id="4141" w:name="_Toc892166"/>
      <w:bookmarkStart w:id="4142" w:name="_Ref507269775"/>
      <w:bookmarkStart w:id="4143" w:name="_Ref507269560"/>
      <w:bookmarkStart w:id="4144" w:name="_Toc465317350"/>
      <w:bookmarkStart w:id="4145" w:name="_Toc464684606"/>
      <w:bookmarkStart w:id="4146" w:name="_Toc464561913"/>
      <w:bookmarkStart w:id="4147" w:name="_Toc440773801"/>
      <w:bookmarkStart w:id="4148" w:name="_Ref440767741"/>
      <w:bookmarkStart w:id="4149" w:name="_Toc440766936"/>
      <w:bookmarkStart w:id="4150" w:name="_Toc440765348"/>
      <w:bookmarkStart w:id="4151" w:name="_Toc440764589"/>
      <w:bookmarkStart w:id="4152" w:name="_Toc440761029"/>
      <w:bookmarkStart w:id="4153" w:name="_Toc416469758"/>
      <w:bookmarkStart w:id="4154" w:name="_Toc128463315"/>
      <w:bookmarkStart w:id="4155" w:name="_Toc224918925"/>
      <w:bookmarkStart w:id="4156" w:name="_Toc224918827"/>
      <w:bookmarkStart w:id="4157" w:name="_Toc224914203"/>
      <w:bookmarkStart w:id="4158" w:name="_Toc224918924"/>
      <w:bookmarkStart w:id="4159" w:name="_Toc224918826"/>
      <w:bookmarkStart w:id="4160" w:name="_Toc224914202"/>
      <w:bookmarkStart w:id="4161" w:name="_Toc224918923"/>
      <w:bookmarkStart w:id="4162" w:name="_Toc224918825"/>
      <w:bookmarkStart w:id="4163" w:name="_Toc224914201"/>
      <w:bookmarkStart w:id="4164" w:name="_Toc224918922"/>
      <w:bookmarkStart w:id="4165" w:name="_Toc224918824"/>
      <w:bookmarkStart w:id="4166" w:name="_Toc224914200"/>
      <w:bookmarkStart w:id="4167" w:name="_Toc224918921"/>
      <w:bookmarkStart w:id="4168" w:name="_Toc224918823"/>
      <w:bookmarkStart w:id="4169" w:name="_Toc224914199"/>
      <w:bookmarkStart w:id="4170" w:name="_Toc225902269"/>
      <w:bookmarkStart w:id="4171" w:name="_Toc225899073"/>
      <w:bookmarkStart w:id="4172" w:name="_Toc225889155"/>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r>
        <w:rPr>
          <w:rFonts w:ascii="Times New Roman;Times;serif" w:hAnsi="Times New Roman;Times;serif"/>
          <w:sz w:val="24"/>
          <w:u w:val="single"/>
        </w:rPr>
        <w:t>Restrictive Covenants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173" w:name="_Toc235204949"/>
      <w:bookmarkStart w:id="4174" w:name="_Ref416482978"/>
      <w:bookmarkStart w:id="4175" w:name="_Ref331588038"/>
      <w:bookmarkStart w:id="4176" w:name="_Ref331588035"/>
      <w:bookmarkStart w:id="4177" w:name="_Ref107467498"/>
      <w:bookmarkEnd w:id="4173"/>
      <w:bookmarkEnd w:id="4174"/>
      <w:bookmarkEnd w:id="4175"/>
      <w:bookmarkEnd w:id="4176"/>
      <w:bookmarkEnd w:id="4177"/>
      <w:r>
        <w:rPr>
          <w:rFonts w:ascii="Times New Roman;Times;serif" w:hAnsi="Times New Roman;Times;serif"/>
          <w:sz w:val="24"/>
          <w:u w:val="single"/>
        </w:rPr>
        <w:t>Non-Solicit</w:t>
      </w:r>
      <w:r>
        <w:rPr>
          <w:rFonts w:ascii="Times New Roman;Times;serif" w:hAnsi="Times New Roman;Times;serif"/>
          <w:sz w:val="24"/>
        </w:rPr>
        <w:t xml:space="preserve">.  As an inducement for Buyer to enter into this Agreement and to consummate the transactions contemplated by this Agreement, Seller Guarantor hereby covenants and agrees that during the period beginning on the date of this Agreement and ending on the second anniversary of the Closing Date, Seller Guarantor shall not (and shall cause its Affiliates not to), directly or indirectly, </w:t>
      </w:r>
      <w:bookmarkStart w:id="4178" w:name="DocXTextRef383"/>
      <w:bookmarkEnd w:id="4178"/>
      <w:r>
        <w:rPr>
          <w:rFonts w:ascii="Times New Roman;Times;serif" w:hAnsi="Times New Roman;Times;serif"/>
          <w:sz w:val="24"/>
        </w:rPr>
        <w:t>(i) hire any officer or employee or solicit or induce or attempt to solicit or induce any officer or employee of the Company or any of its Subsidiaries to leave the employ of the Company or any of its Subsidiaries, (ii) induce or attempt to induce any material customer, supplier, licensee, independent contractor or other material business relation of the Business to cease doing business with the Company or any of its Subsidiaries, or knowingly interfere with the relationship between the Company or any of its Subsidiaries and any material customer, supplier, vendor, licensee, independent contractor or other material business relation of the Business (including by inducing or attempting to induce any such person or entity to reduce the amount of business it does with the Company or any of its Subsidiaries).</w:t>
      </w:r>
      <w:bookmarkStart w:id="4179" w:name="_Ref102469762"/>
      <w:bookmarkStart w:id="4180" w:name="_Ref23081118"/>
      <w:bookmarkEnd w:id="4179"/>
      <w:bookmarkEnd w:id="4180"/>
      <w:r>
        <w:rPr>
          <w:rFonts w:ascii="Times New Roman;Times;serif" w:hAnsi="Times New Roman;Times;serif"/>
          <w:sz w:val="24"/>
        </w:rPr>
        <w:t xml:space="preserve">  Notwithstanding anything in this Agreement to the contrary, the foregoing shall not prevent Seller Guarantor or its Affiliates from </w:t>
      </w:r>
      <w:bookmarkStart w:id="4181" w:name="DocXTextRef384"/>
      <w:bookmarkEnd w:id="4181"/>
      <w:r>
        <w:rPr>
          <w:rFonts w:ascii="Times New Roman;Times;serif" w:hAnsi="Times New Roman;Times;serif"/>
          <w:sz w:val="24"/>
        </w:rPr>
        <w:t>(A) undertaking general solicitations of employment not specifically targeted at any of the foregoing employees</w:t>
      </w:r>
      <w:bookmarkStart w:id="4182" w:name="DocXTextRef385"/>
      <w:bookmarkEnd w:id="4182"/>
      <w:r>
        <w:rPr>
          <w:rFonts w:ascii="Times New Roman;Times;serif" w:hAnsi="Times New Roman;Times;serif"/>
          <w:sz w:val="24"/>
        </w:rPr>
        <w:t xml:space="preserve">, (B) hiring any </w:t>
      </w:r>
      <w:bookmarkStart w:id="4183" w:name="_cp_change_1482"/>
      <w:bookmarkEnd w:id="4183"/>
      <w:r>
        <w:rPr>
          <w:rFonts w:ascii="Times New Roman;Times;serif" w:hAnsi="Times New Roman;Times;serif"/>
          <w:sz w:val="24"/>
        </w:rPr>
        <w:t xml:space="preserve">of the foregoing employees six months following termination of employment of any such employee by Buyer, the Company or any of their Subsidiaries or Affiliates, so long as such termination is not the result of a breach of this </w:t>
      </w:r>
      <w:r>
        <w:rPr>
          <w:rFonts w:ascii="Times New Roman;Times;serif" w:hAnsi="Times New Roman;Times;serif"/>
          <w:sz w:val="24"/>
          <w:u w:val="single"/>
        </w:rPr>
        <w:t>Section 6.3(a),</w:t>
      </w:r>
      <w:r>
        <w:rPr>
          <w:rFonts w:ascii="Times New Roman;Times;serif" w:hAnsi="Times New Roman;Times;serif"/>
          <w:sz w:val="24"/>
        </w:rPr>
        <w:t xml:space="preserve"> or (C) conducting their other business activities, </w:t>
      </w:r>
      <w:r>
        <w:rPr>
          <w:rFonts w:ascii="Times New Roman;Times;serif" w:hAnsi="Times New Roman;Times;serif"/>
          <w:i/>
          <w:sz w:val="24"/>
        </w:rPr>
        <w:t>provided</w:t>
      </w:r>
      <w:r>
        <w:rPr>
          <w:rFonts w:ascii="Times New Roman;Times;serif" w:hAnsi="Times New Roman;Times;serif"/>
          <w:sz w:val="24"/>
        </w:rPr>
        <w:t xml:space="preserve">, that such activities do not knowingly and intentionally violate this </w:t>
      </w:r>
      <w:r>
        <w:rPr>
          <w:rFonts w:ascii="Times New Roman;Times;serif" w:hAnsi="Times New Roman;Times;serif"/>
          <w:sz w:val="24"/>
          <w:u w:val="single"/>
        </w:rPr>
        <w:t>Section 6.3(a)</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184" w:name="_Toc235204950"/>
      <w:bookmarkStart w:id="4185" w:name="_Ref440767742"/>
      <w:bookmarkEnd w:id="4184"/>
      <w:bookmarkEnd w:id="4185"/>
      <w:r>
        <w:rPr>
          <w:rFonts w:ascii="Times New Roman;Times;serif" w:hAnsi="Times New Roman;Times;serif"/>
          <w:sz w:val="24"/>
        </w:rPr>
        <w:t xml:space="preserve">Seller Guarantor acknowledges that the restrictions contained in this </w:t>
      </w:r>
      <w:r>
        <w:rPr>
          <w:rFonts w:ascii="Times New Roman;Times;serif" w:hAnsi="Times New Roman;Times;serif"/>
          <w:sz w:val="24"/>
          <w:u w:val="single"/>
        </w:rPr>
        <w:t>Section </w:t>
      </w:r>
      <w:bookmarkStart w:id="4186" w:name="_9kMLK5YVt4BEGKJKJfOwCC2o07A7PUKB412MS"/>
      <w:bookmarkEnd w:id="4186"/>
      <w:r>
        <w:rPr>
          <w:rFonts w:ascii="Times New Roman;Times;serif" w:hAnsi="Times New Roman;Times;serif"/>
          <w:sz w:val="24"/>
          <w:u w:val="single"/>
        </w:rPr>
        <w:t>6.3</w:t>
      </w:r>
      <w:r>
        <w:rPr>
          <w:rFonts w:ascii="Times New Roman;Times;serif" w:hAnsi="Times New Roman;Times;serif"/>
          <w:sz w:val="24"/>
        </w:rPr>
        <w:t xml:space="preserve"> are reasonable and necessary to protect the legitimate interests of the Company and its Subsidiaries and constitute a material inducement to Buyer to enter into this Agreement and consummate the transactions contemplated by this Agreement.  In the event that any covenant contained in this </w:t>
      </w:r>
      <w:r>
        <w:rPr>
          <w:rFonts w:ascii="Times New Roman;Times;serif" w:hAnsi="Times New Roman;Times;serif"/>
          <w:sz w:val="24"/>
          <w:u w:val="single"/>
        </w:rPr>
        <w:t>Section </w:t>
      </w:r>
      <w:bookmarkStart w:id="4187" w:name="_9kMML5YVt4BEGKJKJfOwCC2o07A7PUKB412MS"/>
      <w:bookmarkEnd w:id="4187"/>
      <w:r>
        <w:rPr>
          <w:rFonts w:ascii="Times New Roman;Times;serif" w:hAnsi="Times New Roman;Times;serif"/>
          <w:sz w:val="24"/>
          <w:u w:val="single"/>
        </w:rPr>
        <w:t>6.3</w:t>
      </w:r>
      <w:r>
        <w:rPr>
          <w:rFonts w:ascii="Times New Roman;Times;serif" w:hAnsi="Times New Roman;Times;serif"/>
          <w:sz w:val="24"/>
        </w:rPr>
        <w:t xml:space="preserve"> should ever be adjudicated to exceed the time or other limitations permitted by applicable Law in any jurisdiction, then any court is expressly empowered to reform such covenant, and such covenant shall be deemed reformed, in such jurisdiction to the maximum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time or other limitations permitted by applicable Law.  Each covenant contained in this </w:t>
      </w:r>
      <w:r>
        <w:rPr>
          <w:rFonts w:ascii="Times New Roman;Times;serif" w:hAnsi="Times New Roman;Times;serif"/>
          <w:sz w:val="24"/>
          <w:u w:val="single"/>
        </w:rPr>
        <w:t>Section </w:t>
      </w:r>
      <w:bookmarkStart w:id="4188" w:name="_9kMNM5YVt4BEGKJKJfOwCC2o07A7PUKB412MS"/>
      <w:bookmarkEnd w:id="4188"/>
      <w:r>
        <w:rPr>
          <w:rFonts w:ascii="Times New Roman;Times;serif" w:hAnsi="Times New Roman;Times;serif"/>
          <w:sz w:val="24"/>
          <w:u w:val="single"/>
        </w:rPr>
        <w:t>6.3</w:t>
      </w:r>
      <w:r>
        <w:rPr>
          <w:rFonts w:ascii="Times New Roman;Times;serif" w:hAnsi="Times New Roman;Times;serif"/>
          <w:sz w:val="24"/>
        </w:rPr>
        <w:t xml:space="preserve"> and each provision hereof is a severable and distinct covenant and provision.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6.4</w:t>
      </w:r>
      <w:bookmarkStart w:id="4189" w:name="_Toc465317351"/>
      <w:bookmarkStart w:id="4190" w:name="_Toc464684607"/>
      <w:bookmarkStart w:id="4191" w:name="_Toc235366540"/>
      <w:bookmarkStart w:id="4192" w:name="_Toc235204951"/>
      <w:bookmarkStart w:id="4193" w:name="_Toc235142723"/>
      <w:bookmarkStart w:id="4194" w:name="_Toc228481608"/>
      <w:bookmarkStart w:id="4195" w:name="_9kR3WTr29CEIIJIPHzrnmjuA6os1AR"/>
      <w:bookmarkStart w:id="4196" w:name="_Toc892167"/>
      <w:bookmarkStart w:id="4197" w:name="_Ref465317681"/>
      <w:bookmarkEnd w:id="4189"/>
      <w:bookmarkEnd w:id="4190"/>
      <w:bookmarkEnd w:id="4191"/>
      <w:bookmarkEnd w:id="4192"/>
      <w:bookmarkEnd w:id="4193"/>
      <w:bookmarkEnd w:id="4194"/>
      <w:bookmarkEnd w:id="4195"/>
      <w:bookmarkEnd w:id="4196"/>
      <w:bookmarkEnd w:id="4197"/>
      <w:r>
        <w:rPr>
          <w:rFonts w:ascii="Times New Roman;Times;serif" w:hAnsi="Times New Roman;Times;serif"/>
          <w:sz w:val="24"/>
          <w:u w:val="single"/>
        </w:rPr>
        <w:t>Confidentiality</w:t>
      </w:r>
      <w:r>
        <w:rPr>
          <w:rFonts w:ascii="Times New Roman;Times;serif" w:hAnsi="Times New Roman;Times;serif"/>
          <w:sz w:val="24"/>
        </w:rPr>
        <w:t>.  </w:t>
      </w:r>
      <w:bookmarkStart w:id="4198" w:name="_Ref460531163"/>
      <w:bookmarkEnd w:id="4198"/>
      <w:r>
        <w:rPr>
          <w:rFonts w:ascii="Times New Roman;Times;serif" w:hAnsi="Times New Roman;Times;serif"/>
          <w:sz w:val="24"/>
        </w:rPr>
        <w:t xml:space="preserve">From and after the Closing, Seller Guarantor shall, and shall cause its Affiliates to, hold, and shall use its commercially reasonable efforts to cause its representatives to hold, in confidence and not disclose to any Person any and all information, whether written or oral, to the extent relating to the Company or any of its Subsidiaries, including any information provided to Seller Guarantor or any of its Affiliates or representatives pursuant to this Agreement after the Closing, except to the extent that such information (a) is generally available to or known by the public (other than through disclosure by Seller Guarantor, any of its Affiliates or its representatives in violation of this </w:t>
      </w:r>
      <w:r>
        <w:rPr>
          <w:rFonts w:ascii="Times New Roman;Times;serif" w:hAnsi="Times New Roman;Times;serif"/>
          <w:sz w:val="24"/>
          <w:u w:val="single"/>
        </w:rPr>
        <w:t>Section </w:t>
      </w:r>
      <w:bookmarkStart w:id="4199" w:name="_9kMKJ5YVt4BEGKKLKRJ1tpolwC8qu3CT"/>
      <w:bookmarkEnd w:id="4199"/>
      <w:r>
        <w:rPr>
          <w:rFonts w:ascii="Times New Roman;Times;serif" w:hAnsi="Times New Roman;Times;serif"/>
          <w:sz w:val="24"/>
          <w:u w:val="single"/>
        </w:rPr>
        <w:t>6.4</w:t>
      </w:r>
      <w:r>
        <w:rPr>
          <w:rFonts w:ascii="Times New Roman;Times;serif" w:hAnsi="Times New Roman;Times;serif"/>
          <w:sz w:val="24"/>
        </w:rPr>
        <w:t xml:space="preserve">); (b) is lawfully acquired by Seller Guarantor, any of its Affiliates or its representatives after the Closing from a source which is not prohibited from disclosing such information by a legal, contractual or fiduciary obligation; (c) is independently derived by Seller Guarantor or any of its Affiliates after the Closing without reference to or use of information subject to the confidentiality obligations of this </w:t>
      </w:r>
      <w:r>
        <w:rPr>
          <w:rFonts w:ascii="Times New Roman;Times;serif" w:hAnsi="Times New Roman;Times;serif"/>
          <w:sz w:val="24"/>
          <w:u w:val="single"/>
        </w:rPr>
        <w:t>Section </w:t>
      </w:r>
      <w:bookmarkStart w:id="4200" w:name="_9kMLK5YVt4BEGKKLKRJ1tpolwC8qu3CT"/>
      <w:bookmarkEnd w:id="4200"/>
      <w:r>
        <w:rPr>
          <w:rFonts w:ascii="Times New Roman;Times;serif" w:hAnsi="Times New Roman;Times;serif"/>
          <w:sz w:val="24"/>
          <w:u w:val="single"/>
        </w:rPr>
        <w:t>6.4</w:t>
      </w:r>
      <w:r>
        <w:rPr>
          <w:rFonts w:ascii="Times New Roman;Times;serif" w:hAnsi="Times New Roman;Times;serif"/>
          <w:sz w:val="24"/>
        </w:rPr>
        <w:t xml:space="preserve">; and </w:t>
      </w:r>
      <w:bookmarkStart w:id="4201" w:name="_9kR3WTrAGBEGGJIqiy8vvC530n3FypsxD82FNE0"/>
      <w:bookmarkEnd w:id="4201"/>
      <w:r>
        <w:rPr>
          <w:rFonts w:ascii="Times New Roman;Times;serif" w:hAnsi="Times New Roman;Times;serif"/>
          <w:sz w:val="24"/>
        </w:rPr>
        <w:t xml:space="preserve">(d) is required to be disclosed by Law, and in the case of this </w:t>
      </w:r>
      <w:bookmarkStart w:id="4202" w:name="_9kMHG5YVtCIDGIILKsk0AxxE752p5H0ruzFA4HP"/>
      <w:bookmarkEnd w:id="4202"/>
      <w:r>
        <w:rPr>
          <w:rFonts w:ascii="Times New Roman;Times;serif" w:hAnsi="Times New Roman;Times;serif"/>
          <w:sz w:val="24"/>
        </w:rPr>
        <w:t>subclause (d), Seller Guarantor or its applicable Affiliate shall (i) disclose only that portion of such information which Seller Guarantor or its applicable Affiliate is advised by its counsel is legally required to be disclosed, and (ii) cooperate with Buyer (at its expense) to obtain a protective order or other confidential treatment with respect to such information.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6.5</w:t>
      </w:r>
      <w:bookmarkStart w:id="4203" w:name="_Toc235366541"/>
      <w:bookmarkStart w:id="4204" w:name="_Toc235204952"/>
      <w:bookmarkStart w:id="4205" w:name="_Toc235142724"/>
      <w:bookmarkStart w:id="4206" w:name="_Ref233243816"/>
      <w:bookmarkStart w:id="4207" w:name="_Ref232610350"/>
      <w:bookmarkStart w:id="4208" w:name="_Ref232584792"/>
      <w:bookmarkStart w:id="4209" w:name="_Ref232584773"/>
      <w:bookmarkStart w:id="4210" w:name="_Ref231498990"/>
      <w:bookmarkStart w:id="4211" w:name="_Ref231496740"/>
      <w:bookmarkStart w:id="4212" w:name="_Ref231464539"/>
      <w:bookmarkStart w:id="4213" w:name="_Toc228481609"/>
      <w:bookmarkEnd w:id="4203"/>
      <w:bookmarkEnd w:id="4204"/>
      <w:bookmarkEnd w:id="4205"/>
      <w:bookmarkEnd w:id="4206"/>
      <w:bookmarkEnd w:id="4207"/>
      <w:bookmarkEnd w:id="4208"/>
      <w:bookmarkEnd w:id="4209"/>
      <w:bookmarkEnd w:id="4210"/>
      <w:bookmarkEnd w:id="4211"/>
      <w:bookmarkEnd w:id="4212"/>
      <w:bookmarkEnd w:id="4213"/>
      <w:r>
        <w:rPr>
          <w:rFonts w:ascii="Times New Roman;Times;serif" w:hAnsi="Times New Roman;Times;serif"/>
          <w:sz w:val="24"/>
          <w:u w:val="single"/>
        </w:rPr>
        <w:t>Certain Lease Matters</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214" w:name="_Toc235204953"/>
      <w:bookmarkEnd w:id="4214"/>
      <w:r>
        <w:rPr>
          <w:rFonts w:ascii="Times New Roman;Times;serif" w:hAnsi="Times New Roman;Times;serif"/>
          <w:sz w:val="24"/>
          <w:u w:val="single"/>
        </w:rPr>
        <w:t>Cure Rights</w:t>
      </w:r>
      <w:r>
        <w:rPr>
          <w:rFonts w:ascii="Times New Roman;Times;serif" w:hAnsi="Times New Roman;Times;serif"/>
          <w:sz w:val="24"/>
        </w:rPr>
        <w:t>.  From and after the Closing, if a default occurs under the prime lease underlying any New Sublease Agreement, including any failure by Seller Guarantor, any of its Affiliates, or any of their respective successors or assigns, to satisfy rent payment obligations thereunder (other than a default directly caused by a failure of the Company or any of its Subsidiaries to perform under such New Sublease Agreement, to the extent such default has not been cured by the Company or any of its Subsidiaries), and the Company or any of its Subsidiaries cures such default under the applicable prime lease, Buyer shall be reimbursed by Seller, including by the right to set off against any other New Sublease Agreement, (i) the amount of all costs and expenses incurred by the Company or any of its Affiliates in curing such default, together with interest thereon at a rate of 12% per annum from the date such costs are incurred until recouped in full and (ii) if, as a result of a default by Seller, any of its Affiliates, or any of their respective successors or assigns under the applicable prime lease, such prime lease is terminated, an amount equal to $[***] for each lease year that remains prior to the then current expiration date of the applicable New Sublease Agreement or other Lease.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215" w:name="_Toc235204954"/>
      <w:bookmarkEnd w:id="4215"/>
      <w:r>
        <w:rPr>
          <w:rFonts w:ascii="Times New Roman;Times;serif" w:hAnsi="Times New Roman;Times;serif"/>
          <w:sz w:val="24"/>
          <w:u w:val="single"/>
        </w:rPr>
        <w:t>Renewal Options</w:t>
      </w:r>
      <w:r>
        <w:rPr>
          <w:rFonts w:ascii="Times New Roman;Times;serif" w:hAnsi="Times New Roman;Times;serif"/>
          <w:sz w:val="24"/>
        </w:rPr>
        <w:t xml:space="preserve">.  If, following the Closing, the Company or any of its Subsidiaries elects to exercise a renewal option under any New Sublease Agreement, and Seller Guarantor, any of its Affiliates, or any of their respective successors or assigns, is obligated to exercise its corresponding option term under the applicable prime lease and fails to do so and Buyer has not retained access to such Repair Shop by entering into a direct lease with the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applicable prime landlord for the duration of such option term, Buyer shall be reimbursed by Seller, including by the right to set off against any other New Sublease Agreement or any other Lease under which Seller Guarantor or any of its Affiliates is the landlord, an amount equal to $[***] for each year of such renewal option.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216" w:name="_Toc235204955"/>
      <w:bookmarkStart w:id="4217" w:name="_Ref232610348"/>
      <w:bookmarkStart w:id="4218" w:name="_Ref231464537"/>
      <w:bookmarkEnd w:id="4216"/>
      <w:bookmarkEnd w:id="4217"/>
      <w:bookmarkEnd w:id="4218"/>
      <w:r>
        <w:rPr>
          <w:rFonts w:ascii="Times New Roman;Times;serif" w:hAnsi="Times New Roman;Times;serif"/>
          <w:sz w:val="24"/>
          <w:u w:val="single"/>
        </w:rPr>
        <w:t>Recognition Agreements</w:t>
      </w:r>
      <w:r>
        <w:rPr>
          <w:rFonts w:ascii="Times New Roman;Times;serif" w:hAnsi="Times New Roman;Times;serif"/>
          <w:sz w:val="24"/>
        </w:rPr>
        <w:t xml:space="preserve">.  From and after the date hereof, Seller Guarantor and its Affiliates shall use commercially reasonable efforts (excluding any obligation to pay landlord for same) to obtain and deliver to Buyer duly executed recognition agreements from the applicable prime landlord under each Lease set forth on </w:t>
      </w:r>
      <w:r>
        <w:rPr>
          <w:rFonts w:ascii="Times New Roman;Times;serif" w:hAnsi="Times New Roman;Times;serif"/>
          <w:sz w:val="24"/>
          <w:u w:val="single"/>
        </w:rPr>
        <w:t>Exhibit L-1</w:t>
      </w:r>
      <w:r>
        <w:rPr>
          <w:rFonts w:ascii="Times New Roman;Times;serif" w:hAnsi="Times New Roman;Times;serif"/>
          <w:sz w:val="24"/>
        </w:rPr>
        <w:t xml:space="preserve">, in each case substantially in the form attached hereto as </w:t>
      </w:r>
      <w:r>
        <w:rPr>
          <w:rFonts w:ascii="Times New Roman;Times;serif" w:hAnsi="Times New Roman;Times;serif"/>
          <w:sz w:val="24"/>
          <w:u w:val="single"/>
        </w:rPr>
        <w:t>Exhibit O</w:t>
      </w:r>
      <w:r>
        <w:rPr>
          <w:rFonts w:ascii="Times New Roman;Times;serif" w:hAnsi="Times New Roman;Times;serif"/>
          <w:sz w:val="24"/>
        </w:rPr>
        <w:t xml:space="preserve">, with only those modifications approved in writing by Buyer; </w:t>
      </w:r>
      <w:r>
        <w:rPr>
          <w:rFonts w:ascii="Times New Roman;Times;serif" w:hAnsi="Times New Roman;Times;serif"/>
          <w:i/>
          <w:sz w:val="24"/>
        </w:rPr>
        <w:t>provided</w:t>
      </w:r>
      <w:r>
        <w:rPr>
          <w:rFonts w:ascii="Times New Roman;Times;serif" w:hAnsi="Times New Roman;Times;serif"/>
          <w:sz w:val="24"/>
        </w:rPr>
        <w:t xml:space="preserve">, that with respect to any Lease for which an estoppel certificate in accordance with </w:t>
      </w:r>
      <w:r>
        <w:rPr>
          <w:rFonts w:ascii="Times New Roman;Times;serif" w:hAnsi="Times New Roman;Times;serif"/>
          <w:sz w:val="24"/>
          <w:u w:val="single"/>
        </w:rPr>
        <w:t>Section 6.5(d)</w:t>
      </w:r>
      <w:r>
        <w:rPr>
          <w:rFonts w:ascii="Times New Roman;Times;serif" w:hAnsi="Times New Roman;Times;serif"/>
          <w:sz w:val="24"/>
        </w:rPr>
        <w:t xml:space="preserve"> has been delivered, the relevant estoppel language may be removed from the applicable recognition agreement.  Seller Guarantor and its Affiliates shall, (i) to the extent requested by Buyer, allow Buyer a reasonable opportunity to participate in any discussions with such prime landlords (including by providing advance notice thereof), (ii) keep Buyer reasonably informed of all material communications, developments and negotiations with such prime landlords, and (iii) promptly provide Buyer with copies of all written communications with such prime landlords.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219" w:name="_Toc235204956"/>
      <w:bookmarkStart w:id="4220" w:name="_Ref232584795"/>
      <w:bookmarkEnd w:id="4219"/>
      <w:bookmarkEnd w:id="4220"/>
      <w:r>
        <w:rPr>
          <w:rFonts w:ascii="Times New Roman;Times;serif" w:hAnsi="Times New Roman;Times;serif"/>
          <w:sz w:val="24"/>
          <w:u w:val="single"/>
        </w:rPr>
        <w:t>Landlord Estoppel Certificates</w:t>
      </w:r>
      <w:r>
        <w:rPr>
          <w:rFonts w:ascii="Times New Roman;Times;serif" w:hAnsi="Times New Roman;Times;serif"/>
          <w:sz w:val="24"/>
        </w:rPr>
        <w:t xml:space="preserve">. </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bookmarkStart w:id="4221" w:name="_Ref234149927"/>
      <w:bookmarkEnd w:id="4221"/>
      <w:r>
        <w:rPr>
          <w:rFonts w:ascii="Times New Roman;Times;serif" w:hAnsi="Times New Roman;Times;serif"/>
          <w:sz w:val="24"/>
        </w:rPr>
        <w:t xml:space="preserve">From and after the date of this Agreement and until the Closing, Seller Guarantor shall, and shall cause its Affiliates to, use commercially reasonable efforts to obtain and deliver to Buyer, as promptly as practicable and in any event no later than the Closing Date, estoppel certificates in the form attached hereto as </w:t>
      </w:r>
      <w:r>
        <w:rPr>
          <w:rFonts w:ascii="Times New Roman;Times;serif" w:hAnsi="Times New Roman;Times;serif"/>
          <w:sz w:val="24"/>
          <w:u w:val="single"/>
        </w:rPr>
        <w:t>Exhibit P</w:t>
      </w:r>
      <w:r>
        <w:rPr>
          <w:rFonts w:ascii="Times New Roman;Times;serif" w:hAnsi="Times New Roman;Times;serif"/>
          <w:sz w:val="24"/>
        </w:rPr>
        <w:t>, reasonably acceptable to Buyer and confirming the terms of the applicable Lease made available to Buyer prior to the date hereof, from the applicable landlord under each Lease.</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r>
        <w:rPr>
          <w:rFonts w:ascii="Times New Roman;Times;serif" w:hAnsi="Times New Roman;Times;serif"/>
          <w:sz w:val="24"/>
        </w:rPr>
        <w:t xml:space="preserve">Seller Guarantor shall (i) to the extent requested by Buyer, allow Buyer a reasonable opportunity to participate in any discussions with any landlords in connection with the foregoing </w:t>
      </w:r>
      <w:r>
        <w:rPr>
          <w:rFonts w:ascii="Times New Roman;Times;serif" w:hAnsi="Times New Roman;Times;serif"/>
          <w:sz w:val="24"/>
          <w:u w:val="single"/>
        </w:rPr>
        <w:t>Section 6.5(d)(i)</w:t>
      </w:r>
      <w:r>
        <w:rPr>
          <w:rFonts w:ascii="Times New Roman;Times;serif" w:hAnsi="Times New Roman;Times;serif"/>
          <w:sz w:val="24"/>
        </w:rPr>
        <w:t xml:space="preserve"> (including by providing advance notice thereof), (ii) keep Buyer reasonably informed of all material communications, developments and negotiations with such landlords, and (iii) promptly provide Buyer with copies of all written communications with any landlord.</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(iii)</w:t>
      </w:r>
      <w:r>
        <w:rPr>
          <w:rFonts w:ascii="Times New Roman;Times;serif" w:hAnsi="Times New Roman;Times;serif"/>
          <w:sz w:val="24"/>
        </w:rPr>
        <w:t>Without limiting the foregoing, Seller Guarantor shall promptly (and in any event within two Business Days) notify Buyer in writing of (A) any material issues, objections, or comments raised by any landlord under any Lease (in connection with the seeking of an estoppel certificate or otherwise), including any inaccuracy in any Lease made available to Buyer or the terms thereof, and (B) any defaults, events of default, or conditions that with notice or lapse of time, or both, would constitute a default (in each case, whether actual, alleged or threatened) under any Lease of which Seller Guarantor or any of its Affiliates becomes aware (“</w:t>
      </w:r>
      <w:r>
        <w:rPr>
          <w:rFonts w:ascii="Times New Roman;Times;serif" w:hAnsi="Times New Roman;Times;serif"/>
          <w:sz w:val="24"/>
          <w:u w:val="single"/>
        </w:rPr>
        <w:t>Lease Default Event</w:t>
      </w:r>
      <w:r>
        <w:rPr>
          <w:rFonts w:ascii="Times New Roman;Times;serif" w:hAnsi="Times New Roman;Times;serif"/>
          <w:sz w:val="24"/>
        </w:rPr>
        <w:t>”), and shall keep Buyer reasonably informed of the status and resolution of such matters.</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222" w:name="_Toc235204957"/>
      <w:bookmarkStart w:id="4223" w:name="_Ref232584768"/>
      <w:bookmarkEnd w:id="4222"/>
      <w:bookmarkEnd w:id="4223"/>
      <w:r>
        <w:rPr>
          <w:rFonts w:ascii="Times New Roman;Times;serif" w:hAnsi="Times New Roman;Times;serif"/>
          <w:sz w:val="24"/>
          <w:u w:val="single"/>
        </w:rPr>
        <w:t>Landlord Consents</w:t>
      </w:r>
      <w:r>
        <w:rPr>
          <w:rFonts w:ascii="Times New Roman;Times;serif" w:hAnsi="Times New Roman;Times;serif"/>
          <w:sz w:val="24"/>
        </w:rPr>
        <w:t xml:space="preserve">.  From and after the date of this Agreement and until the Closing, Seller Guarantor shall, and shall cause its Affiliates to, use commercially reasonable efforts to obtain and deliver to Buyer, as promptly as practicable and in any event no later than the Closing Date, written consents from the applicable landlord, for the assignment of such Lease in connection with the Restructuring, sublease of such Lease to the Company or one of its Subsidiaries, or any other applicable transactions contemplated hereby, under each Lease set forth on </w:t>
      </w:r>
      <w:r>
        <w:rPr>
          <w:rFonts w:ascii="Times New Roman;Times;serif" w:hAnsi="Times New Roman;Times;serif"/>
          <w:sz w:val="24"/>
          <w:u w:val="single"/>
        </w:rPr>
        <w:t>Exhibit Q-1</w:t>
      </w:r>
      <w:r>
        <w:rPr>
          <w:rFonts w:ascii="Times New Roman;Times;serif" w:hAnsi="Times New Roman;Times;serif"/>
          <w:sz w:val="24"/>
        </w:rPr>
        <w:t xml:space="preserve">.  Each such landlord consent shall be in the form attached hereto as </w:t>
      </w:r>
      <w:r>
        <w:rPr>
          <w:rFonts w:ascii="Times New Roman;Times;serif" w:hAnsi="Times New Roman;Times;serif"/>
          <w:sz w:val="24"/>
          <w:u w:val="single"/>
        </w:rPr>
        <w:t>Exhibit Q-2</w:t>
      </w:r>
      <w:r>
        <w:rPr>
          <w:rFonts w:ascii="Times New Roman;Times;serif" w:hAnsi="Times New Roman;Times;serif"/>
          <w:sz w:val="24"/>
        </w:rPr>
        <w:t>, with only those modifications approved in writing by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224" w:name="_Toc235204958"/>
      <w:bookmarkEnd w:id="4224"/>
      <w:r>
        <w:rPr>
          <w:rFonts w:ascii="Times New Roman;Times;serif" w:hAnsi="Times New Roman;Times;serif"/>
          <w:sz w:val="24"/>
          <w:u w:val="single"/>
        </w:rPr>
        <w:t>Amendment of Leases</w:t>
      </w:r>
      <w:r>
        <w:rPr>
          <w:rFonts w:ascii="Times New Roman;Times;serif" w:hAnsi="Times New Roman;Times;serif"/>
          <w:sz w:val="24"/>
        </w:rPr>
        <w:t xml:space="preserve">.  From and after the date of this Agreement and until the Closing, Seller Guarantor shall not, and shall cause its Affiliates (including the Company and its Subsidiaries) not to, sell, pledge, assign, transfer, lease, license, dispose of, grant any easement with respect to, enter into any Lease with respect to, encumber, record a restrictive covenant against, or effect a deed in lieu of foreclosure with respect to any of the Owned Real Property, or enter into, modify, amend, terminate, waive, release, compromise or assign any material rights or claim with respect to any of the Leased Real Properties, in each case, other than in connection with the Restructuring;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Seller Guarantor and Affiliates (including the Company and its Subsidiaries) shall be able to enter into new Retail Leases without Buyer consent, solely to the extent (i) (1) the subject property is not subject to a Retained Lease or a parcel of Owned Real Property and (2) Seller Guarantor and its Affiliates would be permitted to enter into such Retail Lease following the Closing pursuant to the terms of the applicable Lease, Lease Amendment Agreement or New Sublease Agreement related to such property or (ii) such Retail Lease is under negotiation as of the date hereof and described on </w:t>
      </w:r>
      <w:r>
        <w:rPr>
          <w:rFonts w:ascii="Times New Roman;Times;serif" w:hAnsi="Times New Roman;Times;serif"/>
          <w:sz w:val="24"/>
          <w:u w:val="single"/>
        </w:rPr>
        <w:t>Schedule 6.5(f)</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4225" w:name="_Toc235204959"/>
      <w:bookmarkEnd w:id="4225"/>
      <w:r>
        <w:rPr>
          <w:rFonts w:ascii="Times New Roman;Times;serif" w:hAnsi="Times New Roman;Times;serif"/>
          <w:sz w:val="24"/>
          <w:u w:val="single"/>
        </w:rPr>
        <w:t>Premises Division.</w:t>
      </w:r>
      <w:r>
        <w:rPr>
          <w:rFonts w:ascii="Times New Roman;Times;serif" w:hAnsi="Times New Roman;Times;serif"/>
          <w:sz w:val="24"/>
        </w:rPr>
        <w:t xml:space="preserve">  Any and all amounts payable, to become payable, or to be accrued in accordance with the Accounting Principles in connection with premises division work conducted on or before the Closing that remains unpaid as of immediately prior to the Closing shall be accrued as a current liability in the calculation of Net Working Capital.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r>
        <w:rPr>
          <w:rFonts w:ascii="Times New Roman;Times;serif" w:hAnsi="Times New Roman;Times;serif"/>
          <w:sz w:val="24"/>
          <w:u w:val="single"/>
        </w:rPr>
        <w:t>Negotiations</w:t>
      </w:r>
      <w:r>
        <w:rPr>
          <w:rFonts w:ascii="Times New Roman;Times;serif" w:hAnsi="Times New Roman;Times;serif"/>
          <w:sz w:val="24"/>
        </w:rPr>
        <w:t>.  If, as of the date hereof, Seller Guarantor or any of its Affiliates is in discussions or contract to acquire any real property on which a Repair Shop sits and Seller Guarantor or its applicable Affiliate has not acquired such real property as of the Closing Date, Seller Guarantor shall use commercially reasonable efforts to transfer any and all rights it may have with respect to the purchase of such real property to the Company and if, such transfer is not feasible, provide sale terms and owner contact information to Buyer to allow Buyer to seek to negotiate such purchase.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6.6</w:t>
      </w:r>
      <w:bookmarkStart w:id="4226" w:name="_Toc235366542"/>
      <w:bookmarkStart w:id="4227" w:name="_Toc235204960"/>
      <w:bookmarkStart w:id="4228" w:name="_Toc235142725"/>
      <w:bookmarkStart w:id="4229" w:name="_Toc228481610"/>
      <w:bookmarkStart w:id="4230" w:name="_9kR3WTr29CEIJKKRHy0poDoLrwlvzZR3EG"/>
      <w:bookmarkStart w:id="4231" w:name="_Toc892168"/>
      <w:bookmarkStart w:id="4232" w:name="_Toc465317352"/>
      <w:bookmarkStart w:id="4233" w:name="_Toc464684608"/>
      <w:bookmarkStart w:id="4234" w:name="_Toc464561914"/>
      <w:bookmarkStart w:id="4235" w:name="_Toc440773802"/>
      <w:bookmarkStart w:id="4236" w:name="_Toc440766937"/>
      <w:bookmarkStart w:id="4237" w:name="_Toc440765349"/>
      <w:bookmarkStart w:id="4238" w:name="_Toc440764590"/>
      <w:bookmarkStart w:id="4239" w:name="_Toc440761030"/>
      <w:bookmarkStart w:id="4240" w:name="_Toc416469759"/>
      <w:bookmarkStart w:id="4241" w:name="_Ref331708207"/>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r>
        <w:rPr>
          <w:rFonts w:ascii="Times New Roman;Times;serif" w:hAnsi="Times New Roman;Times;serif"/>
          <w:sz w:val="24"/>
          <w:u w:val="single"/>
        </w:rPr>
        <w:t>Company Name and Marks</w:t>
      </w:r>
      <w:r>
        <w:rPr>
          <w:rFonts w:ascii="Times New Roman;Times;serif" w:hAnsi="Times New Roman;Times;serif"/>
          <w:sz w:val="24"/>
        </w:rPr>
        <w:t xml:space="preserve">.  Seller Guarantor hereby acknowledges and agrees that the Company and its Subsidiaries own all right, title and interest in and to the Company Name and Marks and that any and all rights of Seller Guarantor and each of its Affiliates (other than the Company and its Subsidiaries) to use the Company Name and Marks shall terminate as of the Closing and shall immediately revert to the Company and its Subsidiaries, along with any and all goodwill associated therewith.  As soon as practicable after the Closing, but in no event more than 45 Business Days thereafter, Seller Guarantor shall cause any of its Affiliates (other than the Company or any of its Subsidiaries) with names that include any Company Name and Marks to change its or their names, as applicable, to names that do not include and bear no similarities to any Company Name and Marks, and Seller Guarantor shall cause each of its Affiliates (other than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rFonts w:ascii="Times New Roman;Times;serif" w:hAnsi="Times New Roman;Times;serif"/>
          <w:b w:val="false"/>
          <w:i w:val="false"/>
          <w:caps w:val="false"/>
          <w:smallCaps w:val="false"/>
          <w:sz w:val="24"/>
        </w:rPr>
        <w:t xml:space="preserve">the Company and its Subsidiaries) to make all filings (and deliver to Buyer copies of all such filings and executed copies of all documents) necessary to change the name of any such Affiliate to another name bearing no similarity to any of the Company Name and Marks, including, where applicable, name change amendments and appropriate name change notices for each jurisdiction the applicable Affiliate is qualified to do business.  From and after the Closing, Seller Guarantor and its Affiliates, unless otherwise required by Law, shall not use any Company Name and Marks (including in any Internet domain names or social media handle, tag or other identifier) other than for purposes of accurately describing the historical relationship of the Company with Seller Guarantor and its Affiliates; </w:t>
      </w:r>
      <w:r>
        <w:rPr>
          <w:rFonts w:ascii="Times New Roman;Times;serif" w:hAnsi="Times New Roman;Times;serif"/>
          <w:b w:val="false"/>
          <w:i/>
          <w:sz w:val="24"/>
        </w:rPr>
        <w:t>provided</w:t>
      </w:r>
      <w:r>
        <w:rPr>
          <w:rFonts w:ascii="Times New Roman;Times;serif" w:hAnsi="Times New Roman;Times;serif"/>
          <w:b w:val="false"/>
          <w:i w:val="false"/>
          <w:caps w:val="false"/>
          <w:smallCaps w:val="false"/>
          <w:sz w:val="24"/>
        </w:rPr>
        <w:t>, that any such use shall not reasonably be expected to disparage or harm Buyer, the Company or any of their respective Affiliates, or any Company Name and Mark (including all goodwill therein) and shall not be made for purposes of marketing, promoting or selling any product or service.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6.7</w:t>
      </w:r>
      <w:bookmarkStart w:id="4242" w:name="_Toc235366543"/>
      <w:bookmarkStart w:id="4243" w:name="_Toc235204961"/>
      <w:bookmarkStart w:id="4244" w:name="_Toc235142726"/>
      <w:bookmarkStart w:id="4245" w:name="_Toc228481611"/>
      <w:bookmarkStart w:id="4246" w:name="_9kR3WTr28BEJLLLhMnoety"/>
      <w:bookmarkStart w:id="4247" w:name="_9kR3WTr29CEIKLLhMnoety"/>
      <w:bookmarkStart w:id="4248" w:name="_Ref228451587"/>
      <w:bookmarkStart w:id="4249" w:name="_Ref228451541"/>
      <w:bookmarkStart w:id="4250" w:name="_Ref228451503"/>
      <w:bookmarkStart w:id="4251" w:name="_Ref228451483"/>
      <w:bookmarkStart w:id="4252" w:name="_Ref228451381"/>
      <w:bookmarkStart w:id="4253" w:name="_Ref228451333"/>
      <w:bookmarkEnd w:id="4242"/>
      <w:bookmarkEnd w:id="4243"/>
      <w:bookmarkEnd w:id="4244"/>
      <w:bookmarkEnd w:id="4245"/>
      <w:bookmarkEnd w:id="4246"/>
      <w:bookmarkEnd w:id="4247"/>
      <w:bookmarkEnd w:id="4248"/>
      <w:bookmarkEnd w:id="4249"/>
      <w:bookmarkEnd w:id="4250"/>
      <w:bookmarkEnd w:id="4251"/>
      <w:bookmarkEnd w:id="4252"/>
      <w:bookmarkEnd w:id="4253"/>
      <w:r>
        <w:rPr>
          <w:rFonts w:ascii="Times New Roman;Times;serif" w:hAnsi="Times New Roman;Times;serif"/>
          <w:sz w:val="24"/>
          <w:u w:val="single"/>
        </w:rPr>
        <w:t>Release</w:t>
      </w:r>
      <w:r>
        <w:rPr>
          <w:rFonts w:ascii="Times New Roman;Times;serif" w:hAnsi="Times New Roman;Times;serif"/>
          <w:sz w:val="24"/>
        </w:rPr>
        <w:t>.  As a material inducement to Buyer to enter into this Agreement, effective as of the Closing, Seller Guarantor, on its own behalf and on behalf its Affiliates, agrees not to sue and fully releases and forever discharges the Company and its Subsidiaries and each of their respective directors, officers, employees, members, managers, equityholders, affiliates, agents, assigns and successors, past and present (collectively, the “</w:t>
      </w:r>
      <w:r>
        <w:rPr>
          <w:rFonts w:ascii="Times New Roman;Times;serif" w:hAnsi="Times New Roman;Times;serif"/>
          <w:sz w:val="24"/>
          <w:u w:val="single"/>
        </w:rPr>
        <w:t>Released Persons</w:t>
      </w:r>
      <w:r>
        <w:rPr>
          <w:rFonts w:ascii="Times New Roman;Times;serif" w:hAnsi="Times New Roman;Times;serif"/>
          <w:sz w:val="24"/>
        </w:rPr>
        <w:t xml:space="preserve">”), with respect to and from any and all Claims, demands, rights, liens, Contracts, covenants, Liabilities, debts, expenses (including reasonable attorneys’ fees) and Losses of whatever kind or nature in law, equity or otherwise, whether now known or unknown, and whether or not concealed or hidden; </w:t>
      </w:r>
      <w:r>
        <w:rPr>
          <w:rFonts w:ascii="Times New Roman;Times;serif" w:hAnsi="Times New Roman;Times;serif"/>
          <w:i/>
          <w:sz w:val="24"/>
        </w:rPr>
        <w:t>provided</w:t>
      </w:r>
      <w:r>
        <w:rPr>
          <w:rFonts w:ascii="Times New Roman;Times;serif" w:hAnsi="Times New Roman;Times;serif"/>
          <w:sz w:val="24"/>
        </w:rPr>
        <w:t xml:space="preserve">, that nothing in this </w:t>
      </w:r>
      <w:r>
        <w:rPr>
          <w:rFonts w:ascii="Times New Roman;Times;serif" w:hAnsi="Times New Roman;Times;serif"/>
          <w:sz w:val="24"/>
          <w:u w:val="single"/>
        </w:rPr>
        <w:t>Section </w:t>
      </w:r>
      <w:bookmarkStart w:id="4254" w:name="_9kMKJ5YVt4BEGKMNNjOpqgv0"/>
      <w:bookmarkEnd w:id="4254"/>
      <w:r>
        <w:rPr>
          <w:rFonts w:ascii="Times New Roman;Times;serif" w:hAnsi="Times New Roman;Times;serif"/>
          <w:sz w:val="24"/>
          <w:u w:val="single"/>
        </w:rPr>
        <w:t>6.7</w:t>
      </w:r>
      <w:r>
        <w:rPr>
          <w:rFonts w:ascii="Times New Roman;Times;serif" w:hAnsi="Times New Roman;Times;serif"/>
          <w:sz w:val="24"/>
        </w:rPr>
        <w:t xml:space="preserve"> shall prohibit Seller Guarantor and its Affiliates from enforcing Seller Guarantor’s and its Affiliates’ rights under this Agreement or any Transaction Document.  It is the intention of Seller Guarantor that such release be effective as a bar to each and every demand and Claim hereinabove specified and in furtherance of such intention, Seller Guarantor or its own behalf and on behalf of its Affiliates, hereby expressly waives, effective as of the Closing, any and all rights and benefits conferred upon such Person by the provisions of applicable Law and expressly agrees that this release will be given full force and effect according to each and all of its express terms and provisions, including those related to unknown and unsuspected demands and Claims, if any, as those relating to any other demands and Claims hereinabove specified, but only to the extent such provision is applicable to releases such as this.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6.8</w:t>
      </w:r>
      <w:bookmarkStart w:id="4255" w:name="_Toc235366544"/>
      <w:bookmarkStart w:id="4256" w:name="_Toc235204962"/>
      <w:bookmarkStart w:id="4257" w:name="_Toc235142727"/>
      <w:bookmarkStart w:id="4258" w:name="_Ref233243824"/>
      <w:bookmarkStart w:id="4259" w:name="_Toc228481612"/>
      <w:bookmarkEnd w:id="4255"/>
      <w:bookmarkEnd w:id="4256"/>
      <w:bookmarkEnd w:id="4257"/>
      <w:bookmarkEnd w:id="4258"/>
      <w:bookmarkEnd w:id="4259"/>
      <w:r>
        <w:rPr>
          <w:rFonts w:ascii="Times New Roman;Times;serif" w:hAnsi="Times New Roman;Times;serif"/>
          <w:sz w:val="24"/>
          <w:u w:val="single"/>
        </w:rPr>
        <w:t>Record Retention</w:t>
      </w:r>
      <w:r>
        <w:rPr>
          <w:rFonts w:ascii="Times New Roman;Times;serif" w:hAnsi="Times New Roman;Times;serif"/>
          <w:sz w:val="24"/>
        </w:rPr>
        <w:t>.  Buyer and the Company will retain in accordance with their document retention policies, until the seventh anniversary of the Closing Date, any books and records of the Company and its Subsidiaries relating to pre-Closing periods to the extent in the possession of the Company or any of its Subsidiaries as of Closing.  After the Closing Date, upon reasonable written request and notice, Buyer and the Company will provide Seller with reasonable access during the Company’s business hours to such pre-Closing books and records of the Company and its Subsidiaries solely to the extent reasonably necessary to prepare Tax Returns or financial statements, comply with Tax audits or applicable regulatory reporting obligations or assert or defend claims, in each case to the extent that such access and disclosure would not obligate Buyer, the Company or any of its Subsidiaries to take actions in violation of the Access Limitations.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6.9</w:t>
      </w:r>
      <w:bookmarkStart w:id="4260" w:name="_Toc235366545"/>
      <w:bookmarkStart w:id="4261" w:name="_Toc235204963"/>
      <w:bookmarkStart w:id="4262" w:name="_Toc235142728"/>
      <w:bookmarkStart w:id="4263" w:name="_Ref233243826"/>
      <w:bookmarkStart w:id="4264" w:name="_Toc228481613"/>
      <w:bookmarkEnd w:id="4260"/>
      <w:bookmarkEnd w:id="4261"/>
      <w:bookmarkEnd w:id="4262"/>
      <w:bookmarkEnd w:id="4263"/>
      <w:bookmarkEnd w:id="4264"/>
      <w:r>
        <w:rPr>
          <w:rFonts w:ascii="Times New Roman;Times;serif" w:hAnsi="Times New Roman;Times;serif"/>
          <w:sz w:val="24"/>
          <w:u w:val="single"/>
        </w:rPr>
        <w:t>Tail Insurance</w:t>
      </w:r>
      <w:r>
        <w:rPr>
          <w:rFonts w:ascii="Times New Roman;Times;serif" w:hAnsi="Times New Roman;Times;serif"/>
          <w:sz w:val="24"/>
        </w:rPr>
        <w:t xml:space="preserve">.  Prior to the Closing, the Company shall obtain irrevocable and fully paid “tail” insurance policies with respect to directors and officers liability, pollution,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EPL and fiduciary liability with respect to matters existing or occurring at or prior to the Closing Date for the period from the Closing Date and ending six years from the Closing Date, subject to limits and coverage that are reasonably available for companies of comparable size and scope.  From and after the Closing, Buyer will not, and will cause the Company not to, cancel, waive, modify or change such insurance policies in any respect.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6.10</w:t>
      </w:r>
      <w:bookmarkStart w:id="4265" w:name="_Hlk232310297"/>
      <w:bookmarkStart w:id="4266" w:name="_Toc235366546"/>
      <w:bookmarkStart w:id="4267" w:name="_Toc235204964"/>
      <w:bookmarkStart w:id="4268" w:name="_Toc235142729"/>
      <w:bookmarkStart w:id="4269" w:name="_Toc228481615"/>
      <w:bookmarkStart w:id="4270" w:name="_9kR3WTr29CEIGHFDVN4CCtqtlMRH852sx"/>
      <w:bookmarkStart w:id="4271" w:name="_Ref228385851"/>
      <w:bookmarkStart w:id="4272" w:name="_Toc225902283"/>
      <w:bookmarkStart w:id="4273" w:name="_Toc225899087"/>
      <w:bookmarkStart w:id="4274" w:name="_Toc225902282"/>
      <w:bookmarkStart w:id="4275" w:name="_Toc225899086"/>
      <w:bookmarkStart w:id="4276" w:name="_Toc225902281"/>
      <w:bookmarkStart w:id="4277" w:name="_Toc225899085"/>
      <w:bookmarkStart w:id="4278" w:name="_Toc225902280"/>
      <w:bookmarkStart w:id="4279" w:name="_Toc22589908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r>
        <w:rPr>
          <w:rFonts w:ascii="Times New Roman;Times;serif" w:hAnsi="Times New Roman;Times;serif"/>
          <w:sz w:val="24"/>
          <w:u w:val="single"/>
        </w:rPr>
        <w:t>Insurance Coverage</w:t>
      </w:r>
      <w:r>
        <w:rPr>
          <w:rFonts w:ascii="Times New Roman;Times;serif" w:hAnsi="Times New Roman;Times;serif"/>
          <w:sz w:val="24"/>
        </w:rPr>
        <w:t xml:space="preserve">.  From and after the Closing, Seller Guarantor shall, and shall cause its applicable Affiliates to, maintain the current and historical occurrence-based insurance policies insuring the Business, the Company and its Subsidiaries. </w:t>
      </w:r>
      <w:bookmarkStart w:id="4280" w:name="_9kMI43H7aXv5BCCIFMOI3x"/>
      <w:bookmarkEnd w:id="4280"/>
      <w:r>
        <w:rPr>
          <w:rFonts w:ascii="Times New Roman;Times;serif" w:hAnsi="Times New Roman;Times;serif"/>
          <w:sz w:val="24"/>
        </w:rPr>
        <w:t xml:space="preserve">Seller Guarantor further covenants and agrees to preserve and exercise or, as applicable, to cause its Affiliates to preserve and exercise any rights or </w:t>
      </w:r>
      <w:bookmarkStart w:id="4281" w:name="_9kMI9P6ZWu577BIGNFkiv"/>
      <w:bookmarkEnd w:id="4281"/>
      <w:r>
        <w:rPr>
          <w:rFonts w:ascii="Times New Roman;Times;serif" w:hAnsi="Times New Roman;Times;serif"/>
          <w:sz w:val="24"/>
        </w:rPr>
        <w:t xml:space="preserve">claims of the Business, the Company and its Subsidiaries under or in respect of any past or current insurance policy relating to the </w:t>
      </w:r>
      <w:bookmarkStart w:id="4282" w:name="_9kMH25K7aXv5CDGIDcZ5szzzZVJ8417M"/>
      <w:bookmarkEnd w:id="4282"/>
      <w:r>
        <w:rPr>
          <w:rFonts w:ascii="Times New Roman;Times;serif" w:hAnsi="Times New Roman;Times;serif"/>
          <w:sz w:val="24"/>
        </w:rPr>
        <w:t xml:space="preserve">Business or under which the Business, the Company or any of its Subsidiaries is insured.  If the Company or any of its Subsidiaries suffers a casualty </w:t>
      </w:r>
      <w:bookmarkStart w:id="4283" w:name="_9kMNM5YVt466BKNbQ49wx"/>
      <w:bookmarkEnd w:id="4283"/>
      <w:r>
        <w:rPr>
          <w:rFonts w:ascii="Times New Roman;Times;serif" w:hAnsi="Times New Roman;Times;serif"/>
          <w:sz w:val="24"/>
        </w:rPr>
        <w:t xml:space="preserve">loss following the Closing related to a period prior to the Closing that is covered by insurance maintained by or for the benefit of Seller Guarantor or its Affiliates (other than insurance issued by Colchester), Seller Guarantor shall, and shall cause its </w:t>
      </w:r>
      <w:bookmarkStart w:id="4284" w:name="_9kMPGP6ZWu4BCBEGP7jnuvlx2"/>
      <w:bookmarkEnd w:id="4284"/>
      <w:r>
        <w:rPr>
          <w:rFonts w:ascii="Times New Roman;Times;serif" w:hAnsi="Times New Roman;Times;serif"/>
          <w:sz w:val="24"/>
        </w:rPr>
        <w:t xml:space="preserve">Affiliates to, use </w:t>
      </w:r>
      <w:bookmarkStart w:id="4285" w:name="_9kMON5YVt466AILRHyxqwvnmq2GxYo3IE1q26aW"/>
      <w:bookmarkEnd w:id="4285"/>
      <w:r>
        <w:rPr>
          <w:rFonts w:ascii="Times New Roman;Times;serif" w:hAnsi="Times New Roman;Times;serif"/>
          <w:sz w:val="24"/>
        </w:rPr>
        <w:t xml:space="preserve">commercially reasonable efforts to obtain any insurance proceeds payable in respect of such casualty </w:t>
      </w:r>
      <w:bookmarkStart w:id="4286" w:name="_9kMON5YVt466BKNbQ49wx"/>
      <w:bookmarkEnd w:id="4286"/>
      <w:r>
        <w:rPr>
          <w:rFonts w:ascii="Times New Roman;Times;serif" w:hAnsi="Times New Roman;Times;serif"/>
          <w:sz w:val="24"/>
        </w:rPr>
        <w:t xml:space="preserve">loss from applicable third party insurance providers, and shall promptly remit, or shall cause to be remitted, such insurance proceeds to </w:t>
      </w:r>
      <w:bookmarkStart w:id="4287" w:name="_9kMI45J7aXv5BCCIFMOI3x"/>
      <w:bookmarkEnd w:id="4287"/>
      <w:r>
        <w:rPr>
          <w:rFonts w:ascii="Times New Roman;Times;serif" w:hAnsi="Times New Roman;Times;serif"/>
          <w:sz w:val="24"/>
        </w:rPr>
        <w:t>Buyer, net of any reasonable expenses incurred to obtain such insurance proceeds.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6.11</w:t>
      </w:r>
      <w:bookmarkStart w:id="4288" w:name="_Toc235366547"/>
      <w:bookmarkStart w:id="4289" w:name="_Toc235204965"/>
      <w:bookmarkStart w:id="4290" w:name="_Toc235142730"/>
      <w:bookmarkStart w:id="4291" w:name="_Toc228481616"/>
      <w:bookmarkStart w:id="4292" w:name="_9kR3WTr28BEJKKFEhPu3vxqx628XTGMN"/>
      <w:bookmarkStart w:id="4293" w:name="_Ref226895293"/>
      <w:bookmarkEnd w:id="4288"/>
      <w:bookmarkEnd w:id="4289"/>
      <w:bookmarkEnd w:id="4290"/>
      <w:bookmarkEnd w:id="4291"/>
      <w:bookmarkEnd w:id="4292"/>
      <w:bookmarkEnd w:id="4293"/>
      <w:r>
        <w:rPr>
          <w:rFonts w:ascii="Times New Roman;Times;serif" w:hAnsi="Times New Roman;Times;serif"/>
          <w:sz w:val="24"/>
          <w:u w:val="single"/>
        </w:rPr>
        <w:t>[***]</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294" w:name="_Toc235204966"/>
      <w:bookmarkStart w:id="4295" w:name="_Ref231498760"/>
      <w:bookmarkEnd w:id="4294"/>
      <w:bookmarkEnd w:id="4295"/>
      <w:r>
        <w:rPr>
          <w:rFonts w:ascii="Times New Roman;Times;serif" w:hAnsi="Times New Roman;Times;serif"/>
          <w:sz w:val="24"/>
        </w:rPr>
        <w:t xml:space="preserve">No later than [***], Buyer shall deliver to Seller a statement prepared in good faith setting for the amount of [***], together with reasonable supporting detail (the “[***] </w:t>
      </w:r>
      <w:r>
        <w:rPr>
          <w:rFonts w:ascii="Times New Roman;Times;serif" w:hAnsi="Times New Roman;Times;serif"/>
          <w:sz w:val="24"/>
          <w:u w:val="single"/>
        </w:rPr>
        <w:t>Statement</w:t>
      </w:r>
      <w:r>
        <w:rPr>
          <w:rFonts w:ascii="Times New Roman;Times;serif" w:hAnsi="Times New Roman;Times;serif"/>
          <w:sz w:val="24"/>
        </w:rPr>
        <w:t xml:space="preserve">”).  During the 30 days immediately following Buyer’s delivery of the [***] Statement (the “[***] </w:t>
      </w:r>
      <w:r>
        <w:rPr>
          <w:rFonts w:ascii="Times New Roman;Times;serif" w:hAnsi="Times New Roman;Times;serif"/>
          <w:sz w:val="24"/>
          <w:u w:val="single"/>
        </w:rPr>
        <w:t>Statement Review Period</w:t>
      </w:r>
      <w:r>
        <w:rPr>
          <w:rFonts w:ascii="Times New Roman;Times;serif" w:hAnsi="Times New Roman;Times;serif"/>
          <w:sz w:val="24"/>
        </w:rPr>
        <w:t>”), Buyer shall provide Seller and its representatives reasonable access to the books and records of the Company and such information used by Buyer to prepare the [***] Statement as Seller may reasonably request, in each case subject to the Access Limitations, for the purpose of reviewing the [***] Statement.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296" w:name="_Toc235204967"/>
      <w:bookmarkEnd w:id="4296"/>
      <w:r>
        <w:rPr>
          <w:rFonts w:ascii="Times New Roman;Times;serif" w:hAnsi="Times New Roman;Times;serif"/>
          <w:sz w:val="24"/>
        </w:rPr>
        <w:t xml:space="preserve">Unless Seller reasonably and in good faith delivers to Buyer, prior to the expiration of the [***] Statement Review Period, a written notice contesting any portion of the [***] Statement with reasonable supporting detail, the [***] Costs Statement shall be deemed final and binding upon the Parties upon expiration of such period, and Buyer and Seller shall, within 30 days thereafter, execute </w:t>
      </w:r>
      <w:bookmarkStart w:id="4297" w:name="_Ref229594932"/>
      <w:bookmarkStart w:id="4298" w:name="_Ref231497348"/>
      <w:bookmarkEnd w:id="4297"/>
      <w:bookmarkEnd w:id="4298"/>
      <w:r>
        <w:rPr>
          <w:rFonts w:ascii="Times New Roman;Times;serif" w:hAnsi="Times New Roman;Times;serif"/>
          <w:sz w:val="24"/>
        </w:rPr>
        <w:t>joint written instructions to the Escrow Agent directing the release of the amount of [***]set forth in the [***] Statement to Buyer by wire transfer of immediately available funds to an account designated in writing by Buyer.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299" w:name="_Toc235204968"/>
      <w:bookmarkStart w:id="4300" w:name="_Ref231497997"/>
      <w:bookmarkEnd w:id="4299"/>
      <w:bookmarkEnd w:id="4300"/>
      <w:r>
        <w:rPr>
          <w:rFonts w:ascii="Times New Roman;Times;serif" w:hAnsi="Times New Roman;Times;serif"/>
          <w:sz w:val="24"/>
        </w:rPr>
        <w:t xml:space="preserve">If Seller reasonably and in good faith contests any portion of the [***] Statement in accordance with </w:t>
      </w:r>
      <w:r>
        <w:rPr>
          <w:rFonts w:ascii="Times New Roman;Times;serif" w:hAnsi="Times New Roman;Times;serif"/>
          <w:sz w:val="24"/>
          <w:u w:val="single"/>
        </w:rPr>
        <w:t>Section 6.11(b)</w:t>
      </w:r>
      <w:r>
        <w:rPr>
          <w:rFonts w:ascii="Times New Roman;Times;serif" w:hAnsi="Times New Roman;Times;serif"/>
          <w:sz w:val="24"/>
        </w:rPr>
        <w:t xml:space="preserve">, Buyer and Seller shall promptly thereafter execute joint written instructions to the Escrow Agent directing the release to Buyer of the uncontested amount of such [***] set forth in the [***]Statement, and shall resolve the contested portion in accordance with the procedures set forth in </w:t>
      </w:r>
      <w:r>
        <w:rPr>
          <w:rFonts w:ascii="Times New Roman;Times;serif" w:hAnsi="Times New Roman;Times;serif"/>
          <w:sz w:val="24"/>
          <w:u w:val="single"/>
        </w:rPr>
        <w:t>Section 2.3(d)(iii)</w:t>
      </w:r>
      <w:r>
        <w:rPr>
          <w:rFonts w:ascii="Times New Roman;Times;serif" w:hAnsi="Times New Roman;Times;serif"/>
          <w:sz w:val="24"/>
        </w:rPr>
        <w:t xml:space="preserve"> and </w:t>
      </w:r>
      <w:r>
        <w:rPr>
          <w:rFonts w:ascii="Times New Roman;Times;serif" w:hAnsi="Times New Roman;Times;serif"/>
          <w:sz w:val="24"/>
          <w:u w:val="single"/>
        </w:rPr>
        <w:t>2.3(d)(iv)</w:t>
      </w:r>
      <w:r>
        <w:rPr>
          <w:rFonts w:ascii="Times New Roman;Times;serif" w:hAnsi="Times New Roman;Times;serif"/>
          <w:sz w:val="24"/>
        </w:rPr>
        <w:t xml:space="preserve"> for determining the Final Purchase Price.</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301" w:name="_Toc235204969"/>
      <w:bookmarkEnd w:id="4301"/>
      <w:r>
        <w:rPr>
          <w:rFonts w:ascii="Times New Roman;Times;serif" w:hAnsi="Times New Roman;Times;serif"/>
          <w:sz w:val="24"/>
        </w:rPr>
        <w:t xml:space="preserve">Within five Business Days of the final determination of the [***] pursuant to this </w:t>
      </w:r>
      <w:r>
        <w:rPr>
          <w:rFonts w:ascii="Times New Roman;Times;serif" w:hAnsi="Times New Roman;Times;serif"/>
          <w:sz w:val="24"/>
          <w:u w:val="single"/>
        </w:rPr>
        <w:t>Section 6.11</w:t>
      </w:r>
      <w:r>
        <w:rPr>
          <w:rFonts w:ascii="Times New Roman;Times;serif" w:hAnsi="Times New Roman;Times;serif"/>
          <w:sz w:val="24"/>
        </w:rPr>
        <w:t xml:space="preserve">, Buyer and Seller shall deliver joint written instructions to the Escrow Agent, directing the release of the following amounts from the [***] Escrow Fund, in each case, by wire transfer of immediately available funds, (i) to an account designated in writing by Buyer, the amount of the finally determined [***] Loss (less any prior releases of uncontested amounts pursuant to </w:t>
      </w:r>
      <w:r>
        <w:rPr>
          <w:rFonts w:ascii="Times New Roman;Times;serif" w:hAnsi="Times New Roman;Times;serif"/>
          <w:sz w:val="24"/>
          <w:u w:val="single"/>
        </w:rPr>
        <w:t>Section 6.11(c)</w:t>
      </w:r>
      <w:r>
        <w:rPr>
          <w:rFonts w:ascii="Times New Roman;Times;serif" w:hAnsi="Times New Roman;Times;serif"/>
          <w:sz w:val="24"/>
        </w:rPr>
        <w:t>), and (ii) to an account designated in writing by Seller, the amount, if any, by which the funds remaining in the [***] Escrow Fund following the release described in clause (i) exceeds such finally determined [***]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6.12</w:t>
      </w:r>
      <w:bookmarkStart w:id="4302" w:name="_Toc235366548"/>
      <w:bookmarkStart w:id="4303" w:name="_Toc235204970"/>
      <w:bookmarkStart w:id="4304" w:name="_Toc235142731"/>
      <w:bookmarkStart w:id="4305" w:name="_Toc228481617"/>
      <w:bookmarkStart w:id="4306" w:name="_Ref228385628"/>
      <w:bookmarkStart w:id="4307" w:name="_Toc232582303"/>
      <w:bookmarkStart w:id="4308" w:name="_Toc232582155"/>
      <w:bookmarkEnd w:id="4302"/>
      <w:bookmarkEnd w:id="4303"/>
      <w:bookmarkEnd w:id="4304"/>
      <w:bookmarkEnd w:id="4305"/>
      <w:bookmarkEnd w:id="4306"/>
      <w:bookmarkEnd w:id="4307"/>
      <w:bookmarkEnd w:id="4308"/>
      <w:r>
        <w:rPr>
          <w:rFonts w:ascii="Times New Roman;Times;serif" w:hAnsi="Times New Roman;Times;serif"/>
          <w:sz w:val="24"/>
          <w:u w:val="single"/>
        </w:rPr>
        <w:t>R&amp;W Insurance Policy</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309" w:name="_Toc235204971"/>
      <w:bookmarkEnd w:id="4309"/>
      <w:r>
        <w:rPr>
          <w:rFonts w:ascii="Times New Roman;Times;serif" w:hAnsi="Times New Roman;Times;serif"/>
          <w:sz w:val="24"/>
        </w:rPr>
        <w:t xml:space="preserve">Buyer has purchased or will purchase, bind, execute and deliver an insurance policy for the benefit of Buyer for all Losses resulting from breach or inaccuracy of the representations and warranties contained in </w:t>
      </w:r>
      <w:r>
        <w:rPr>
          <w:rFonts w:ascii="Times New Roman;Times;serif" w:hAnsi="Times New Roman;Times;serif"/>
          <w:sz w:val="24"/>
          <w:u w:val="single"/>
        </w:rPr>
        <w:t>Article III</w:t>
      </w:r>
      <w:r>
        <w:rPr>
          <w:rFonts w:ascii="Times New Roman;Times;serif" w:hAnsi="Times New Roman;Times;serif"/>
          <w:sz w:val="24"/>
        </w:rPr>
        <w:t>, which insurance policy will contain customary terms and conditions.  The insurer will agree expressly to waive any and all subrogation rights against Seller, Seller Guarantor, and their respective Affiliates (including each Excluded Entity) with respect to any claim made by Buyer under the R&amp;W Insurance Policy.  The insurer will expressly agree that Buyer will have no obligation to pursue any claim for Losses for breaches of representations and warranties against Seller, Seller Guarantor, and their respective Affiliates (including each Excluded Entity) in connection with any Losses incurred by Buyer, except in the event of Fraud.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310" w:name="_Toc235204972"/>
      <w:bookmarkEnd w:id="4310"/>
      <w:r>
        <w:rPr>
          <w:rFonts w:ascii="Times New Roman;Times;serif" w:hAnsi="Times New Roman;Times;serif"/>
          <w:sz w:val="24"/>
        </w:rPr>
        <w:t>Buyer agrees that any and all fees, costs, expenses, Taxes and other amounts or payments incurred or payable with respect to, in connection with, or as a result of the negotiation, execution, delivery or issuance of the R&amp;W Insurance Policy (including, among other things, the total premium, underwriting costs, brokerage and other commissions, fees and premium and other Taxes) shall, in each case, be borne, satisfied, discharged and paid solely and exclusively by Buyer and shall not be included or otherwise deemed or treated as being Seller Expenses.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311" w:name="_Toc235204973"/>
      <w:bookmarkEnd w:id="4311"/>
      <w:r>
        <w:rPr>
          <w:rFonts w:ascii="Times New Roman;Times;serif" w:hAnsi="Times New Roman;Times;serif"/>
          <w:sz w:val="24"/>
        </w:rPr>
        <w:t>Buyer agrees to use commercially reasonable efforts to maintain the R&amp;W Insurance Policy in full force and effect for the full policy period and not to terminate, cancel, amend, waive or otherwise modify the R&amp;W Insurance Policy or any coverage thereunder in a manner that is materially adverse to Seller without the prior written consent of Seller.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6.13</w:t>
      </w:r>
      <w:bookmarkStart w:id="4312" w:name="_Hlk232311258"/>
      <w:bookmarkStart w:id="4313" w:name="_Toc235366549"/>
      <w:bookmarkStart w:id="4314" w:name="_Toc235204974"/>
      <w:bookmarkStart w:id="4315" w:name="_Toc235142732"/>
      <w:bookmarkStart w:id="4316" w:name="_Toc228350364"/>
      <w:bookmarkEnd w:id="4312"/>
      <w:bookmarkEnd w:id="4313"/>
      <w:bookmarkEnd w:id="4314"/>
      <w:bookmarkEnd w:id="4315"/>
      <w:bookmarkEnd w:id="4316"/>
      <w:r>
        <w:rPr>
          <w:rFonts w:ascii="Times New Roman;Times;serif" w:hAnsi="Times New Roman;Times;serif"/>
          <w:sz w:val="24"/>
          <w:u w:val="single"/>
        </w:rPr>
        <w:t>Conduct of Business Prior to Closing</w:t>
      </w:r>
      <w:r>
        <w:rPr>
          <w:rFonts w:ascii="Times New Roman;Times;serif" w:hAnsi="Times New Roman;Times;serif"/>
          <w:sz w:val="24"/>
        </w:rPr>
        <w:t>.  From the date hereof until the Closing, except as (a) otherwise provided in this Agreement, (b) expressly set forth in the Restructuring Documents, or (c) consented to in writing by Buyer (which consent shall not be unreasonably withheld, conditioned or delayed), Seller shall, and shall cause the Company to, (i) conduct the Business in the Ordinary Course, and (ii) use commercially reasonable efforts to maintain and preserve intact the current organization, business and franchise of the Company and its Subsidiaries and to preserve the rights, franchises, goodwill and relationships of its employees, customers, lenders, suppliers, regulators and others having business relationships with the Company and its Subsidiaries.  Without limiting the foregoing, from the date hereof until the Closing Date, Seller shall cause the Company and its Subsidiaries to:</w:t>
      </w:r>
    </w:p>
    <w:tbl>
      <w:tblPr>
        <w:tblW w:w="4503" w:type="dxa"/>
        <w:jc w:val="left"/>
        <w:tblInd w:w="0" w:type="dxa"/>
        <w:tblLayout w:type="fixed"/>
        <w:tblCellMar>
          <w:top w:w="0" w:type="dxa"/>
          <w:left w:w="0" w:type="dxa"/>
          <w:bottom w:w="0" w:type="dxa"/>
          <w:right w:w="0" w:type="dxa"/>
        </w:tblCellMar>
      </w:tblPr>
      <w:tblGrid>
        <w:gridCol w:w="23"/>
        <w:gridCol w:w="350"/>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(A)</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preserve and maintain all material Licenses;</w:t>
            </w:r>
          </w:p>
        </w:tc>
      </w:tr>
    </w:tbl>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28" w:type="dxa"/>
        <w:jc w:val="left"/>
        <w:tblInd w:w="0" w:type="dxa"/>
        <w:tblLayout w:type="fixed"/>
        <w:tblCellMar>
          <w:top w:w="0" w:type="dxa"/>
          <w:left w:w="0" w:type="dxa"/>
          <w:bottom w:w="0" w:type="dxa"/>
          <w:right w:w="0" w:type="dxa"/>
        </w:tblCellMar>
      </w:tblPr>
      <w:tblGrid>
        <w:gridCol w:w="23"/>
        <w:gridCol w:w="335"/>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(B)</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4317" w:name="a701066"/>
            <w:bookmarkEnd w:id="4317"/>
            <w:r>
              <w:rPr>
                <w:rFonts w:ascii="Times New Roman;Times;serif" w:hAnsi="Times New Roman;Times;serif"/>
                <w:b w:val="false"/>
                <w:i w:val="false"/>
                <w:caps w:val="false"/>
                <w:smallCaps w:val="false"/>
                <w:sz w:val="24"/>
              </w:rPr>
              <w:t>pay its debts, Taxes and other obligations when due;</w:t>
            </w:r>
          </w:p>
        </w:tc>
      </w:tr>
    </w:tbl>
    <w:tbl>
      <w:tblPr>
        <w:tblW w:w="10205" w:type="dxa"/>
        <w:jc w:val="left"/>
        <w:tblInd w:w="0" w:type="dxa"/>
        <w:tblLayout w:type="fixed"/>
        <w:tblCellMar>
          <w:top w:w="0" w:type="dxa"/>
          <w:left w:w="0" w:type="dxa"/>
          <w:bottom w:w="0" w:type="dxa"/>
          <w:right w:w="0" w:type="dxa"/>
        </w:tblCellMar>
      </w:tblPr>
      <w:tblGrid>
        <w:gridCol w:w="23"/>
        <w:gridCol w:w="301"/>
        <w:gridCol w:w="9881"/>
      </w:tblGrid>
      <w:tr>
        <w:trPr/>
        <w:tc>
          <w:tcPr>
            <w:tcW w:w="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(C)</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4318" w:name="a523529"/>
            <w:bookmarkEnd w:id="4318"/>
            <w:r>
              <w:rPr>
                <w:rFonts w:ascii="Times New Roman;Times;serif" w:hAnsi="Times New Roman;Times;serif"/>
                <w:b w:val="false"/>
                <w:i w:val="false"/>
                <w:caps w:val="false"/>
                <w:smallCaps w:val="false"/>
                <w:sz w:val="24"/>
              </w:rPr>
              <w:t>maintain the properties and assets owned, operated or used by the Company in the same condition as they were on the date of this Agreement, subject to reasonable wear and tear;</w:t>
            </w:r>
          </w:p>
        </w:tc>
      </w:tr>
    </w:tbl>
    <w:tbl>
      <w:tblPr>
        <w:tblW w:w="3978" w:type="dxa"/>
        <w:jc w:val="left"/>
        <w:tblInd w:w="0" w:type="dxa"/>
        <w:tblLayout w:type="fixed"/>
        <w:tblCellMar>
          <w:top w:w="0" w:type="dxa"/>
          <w:left w:w="0" w:type="dxa"/>
          <w:bottom w:w="0" w:type="dxa"/>
          <w:right w:w="0" w:type="dxa"/>
        </w:tblCellMar>
      </w:tblPr>
      <w:tblGrid>
        <w:gridCol w:w="23"/>
        <w:gridCol w:w="350"/>
        <w:gridCol w:w="360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(D)</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preserve and maintain all Business IP;</w:t>
            </w:r>
          </w:p>
        </w:tc>
      </w:tr>
    </w:tbl>
    <w:tbl>
      <w:tblPr>
        <w:tblW w:w="10205" w:type="dxa"/>
        <w:jc w:val="left"/>
        <w:tblInd w:w="0" w:type="dxa"/>
        <w:tblLayout w:type="fixed"/>
        <w:tblCellMar>
          <w:top w:w="0" w:type="dxa"/>
          <w:left w:w="0" w:type="dxa"/>
          <w:bottom w:w="0" w:type="dxa"/>
          <w:right w:w="0" w:type="dxa"/>
        </w:tblCellMar>
      </w:tblPr>
      <w:tblGrid>
        <w:gridCol w:w="23"/>
        <w:gridCol w:w="268"/>
        <w:gridCol w:w="991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(E)</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sell, assign, transfer, abandon, allow to lapse or be cancelled, license, encumber, or otherwise dispose of any material assets or any Business IP or any other Intellectual Property Rights (including any domain names or social media handles) held by or under control of the Company or any of its Subsidiaries;</w:t>
            </w:r>
          </w:p>
        </w:tc>
      </w:tr>
    </w:tbl>
    <w:tbl>
      <w:tblPr>
        <w:tblW w:w="10205" w:type="dxa"/>
        <w:jc w:val="left"/>
        <w:tblInd w:w="0" w:type="dxa"/>
        <w:tblLayout w:type="fixed"/>
        <w:tblCellMar>
          <w:top w:w="0" w:type="dxa"/>
          <w:left w:w="0" w:type="dxa"/>
          <w:bottom w:w="0" w:type="dxa"/>
          <w:right w:w="0" w:type="dxa"/>
        </w:tblCellMar>
      </w:tblPr>
      <w:tblGrid>
        <w:gridCol w:w="23"/>
        <w:gridCol w:w="298"/>
        <w:gridCol w:w="9884"/>
      </w:tblGrid>
      <w:tr>
        <w:trPr/>
        <w:tc>
          <w:tcPr>
            <w:tcW w:w="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(F)</w:t>
            </w:r>
          </w:p>
        </w:tc>
        <w:tc>
          <w:tcPr>
            <w:tcW w:w="98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4319" w:name="a790562"/>
            <w:bookmarkEnd w:id="4319"/>
            <w:r>
              <w:rPr>
                <w:rFonts w:ascii="Times New Roman;Times;serif" w:hAnsi="Times New Roman;Times;serif"/>
                <w:b w:val="false"/>
                <w:i w:val="false"/>
                <w:caps w:val="false"/>
                <w:smallCaps w:val="false"/>
                <w:sz w:val="24"/>
              </w:rPr>
              <w:t>continue all Insurance Policies in full force and effect without modification, except as required by applicable Law;</w:t>
            </w:r>
          </w:p>
        </w:tc>
      </w:tr>
    </w:tbl>
    <w:tbl>
      <w:tblPr>
        <w:tblW w:w="7548" w:type="dxa"/>
        <w:jc w:val="left"/>
        <w:tblInd w:w="0" w:type="dxa"/>
        <w:tblLayout w:type="fixed"/>
        <w:tblCellMar>
          <w:top w:w="0" w:type="dxa"/>
          <w:left w:w="0" w:type="dxa"/>
          <w:bottom w:w="0" w:type="dxa"/>
          <w:right w:w="0" w:type="dxa"/>
        </w:tblCellMar>
      </w:tblPr>
      <w:tblGrid>
        <w:gridCol w:w="23"/>
        <w:gridCol w:w="350"/>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(G)</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4320" w:name="a989462"/>
            <w:bookmarkEnd w:id="4320"/>
            <w:r>
              <w:rPr>
                <w:rFonts w:ascii="Times New Roman;Times;serif" w:hAnsi="Times New Roman;Times;serif"/>
                <w:b w:val="false"/>
                <w:i w:val="false"/>
                <w:caps w:val="false"/>
                <w:smallCaps w:val="false"/>
                <w:sz w:val="24"/>
              </w:rPr>
              <w:t>defend and protect its properties and assets from infringement or usurpation;</w:t>
            </w:r>
          </w:p>
        </w:tc>
      </w:tr>
    </w:tbl>
    <w:tbl>
      <w:tblPr>
        <w:tblW w:w="9948" w:type="dxa"/>
        <w:jc w:val="left"/>
        <w:tblInd w:w="0" w:type="dxa"/>
        <w:tblLayout w:type="fixed"/>
        <w:tblCellMar>
          <w:top w:w="0" w:type="dxa"/>
          <w:left w:w="0" w:type="dxa"/>
          <w:bottom w:w="0" w:type="dxa"/>
          <w:right w:w="0" w:type="dxa"/>
        </w:tblCellMar>
      </w:tblPr>
      <w:tblGrid>
        <w:gridCol w:w="23"/>
        <w:gridCol w:w="350"/>
        <w:gridCol w:w="957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(H)</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4321" w:name="a658341"/>
            <w:bookmarkEnd w:id="4321"/>
            <w:r>
              <w:rPr>
                <w:rFonts w:ascii="Times New Roman;Times;serif" w:hAnsi="Times New Roman;Times;serif"/>
                <w:b w:val="false"/>
                <w:i w:val="false"/>
                <w:caps w:val="false"/>
                <w:smallCaps w:val="false"/>
                <w:sz w:val="24"/>
              </w:rPr>
              <w:t>perform its obligations in all material respects under all Contracts relating to or affecting the Business;</w:t>
            </w:r>
          </w:p>
        </w:tc>
      </w:tr>
    </w:tbl>
    <w:tbl>
      <w:tblPr>
        <w:tblW w:w="6288" w:type="dxa"/>
        <w:jc w:val="left"/>
        <w:tblInd w:w="0" w:type="dxa"/>
        <w:tblLayout w:type="fixed"/>
        <w:tblCellMar>
          <w:top w:w="0" w:type="dxa"/>
          <w:left w:w="0" w:type="dxa"/>
          <w:bottom w:w="0" w:type="dxa"/>
          <w:right w:w="0" w:type="dxa"/>
        </w:tblCellMar>
      </w:tblPr>
      <w:tblGrid>
        <w:gridCol w:w="23"/>
        <w:gridCol w:w="245"/>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(I)</w:t>
            </w:r>
          </w:p>
        </w:tc>
        <w:tc>
          <w:tcPr>
            <w:tcW w:w="6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4322" w:name="a651705"/>
            <w:bookmarkEnd w:id="4322"/>
            <w:r>
              <w:rPr>
                <w:rFonts w:ascii="Times New Roman;Times;serif" w:hAnsi="Times New Roman;Times;serif"/>
                <w:b w:val="false"/>
                <w:i w:val="false"/>
                <w:caps w:val="false"/>
                <w:smallCaps w:val="false"/>
                <w:sz w:val="24"/>
              </w:rPr>
              <w:t>maintain its books and records in accordance with past practice;</w:t>
            </w:r>
          </w:p>
        </w:tc>
      </w:tr>
    </w:tbl>
    <w:tbl>
      <w:tblPr>
        <w:tblW w:w="5643" w:type="dxa"/>
        <w:jc w:val="left"/>
        <w:tblInd w:w="0" w:type="dxa"/>
        <w:tblLayout w:type="fixed"/>
        <w:tblCellMar>
          <w:top w:w="0" w:type="dxa"/>
          <w:left w:w="0" w:type="dxa"/>
          <w:bottom w:w="0" w:type="dxa"/>
          <w:right w:w="0" w:type="dxa"/>
        </w:tblCellMar>
      </w:tblPr>
      <w:tblGrid>
        <w:gridCol w:w="23"/>
        <w:gridCol w:w="260"/>
        <w:gridCol w:w="536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(J)</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bookmarkStart w:id="4323" w:name="a406034"/>
            <w:bookmarkEnd w:id="4323"/>
            <w:r>
              <w:rPr>
                <w:rFonts w:ascii="Times New Roman;Times;serif" w:hAnsi="Times New Roman;Times;serif"/>
                <w:b w:val="false"/>
                <w:i w:val="false"/>
                <w:caps w:val="false"/>
                <w:smallCaps w:val="false"/>
                <w:sz w:val="24"/>
              </w:rPr>
              <w:t xml:space="preserve">comply in all material respects with all applicable Laws; </w:t>
            </w:r>
          </w:p>
        </w:tc>
      </w:tr>
    </w:tbl>
    <w:tbl>
      <w:tblPr>
        <w:tblW w:w="10205" w:type="dxa"/>
        <w:jc w:val="left"/>
        <w:tblInd w:w="0" w:type="dxa"/>
        <w:tblLayout w:type="fixed"/>
        <w:tblCellMar>
          <w:top w:w="0" w:type="dxa"/>
          <w:left w:w="0" w:type="dxa"/>
          <w:bottom w:w="0" w:type="dxa"/>
          <w:right w:w="0" w:type="dxa"/>
        </w:tblCellMar>
      </w:tblPr>
      <w:tblGrid>
        <w:gridCol w:w="23"/>
        <w:gridCol w:w="304"/>
        <w:gridCol w:w="9878"/>
      </w:tblGrid>
      <w:tr>
        <w:trPr/>
        <w:tc>
          <w:tcPr>
            <w:tcW w:w="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(K)</w:t>
            </w:r>
          </w:p>
        </w:tc>
        <w:tc>
          <w:tcPr>
            <w:tcW w:w="9878" w:type="dxa"/>
            <w:tcBorders/>
            <w:vAlign w:val="center"/>
          </w:tcPr>
          <w:p>
            <w:pPr>
              <w:pStyle w:val="TableContents"/>
              <w:bidi w:val="0"/>
              <w:spacing w:before="0" w:after="283"/>
              <w:jc w:val="left"/>
              <w:rPr/>
            </w:pPr>
            <w:bookmarkStart w:id="4324" w:name="_Ref169822516"/>
            <w:bookmarkEnd w:id="4324"/>
            <w:r>
              <w:rPr>
                <w:rFonts w:ascii="Times New Roman;Times;serif" w:hAnsi="Times New Roman;Times;serif"/>
                <w:b w:val="false"/>
                <w:i w:val="false"/>
                <w:caps w:val="false"/>
                <w:smallCaps w:val="false"/>
                <w:sz w:val="24"/>
              </w:rPr>
              <w:t>not change their accounting methodologies, practices, estimation techniques, assumptions or principles, except as required (i) by changes in GAAP, after the date of this Agreement or (ii) by changes in Law, after the date of this Agreement;</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3"/>
        <w:gridCol w:w="299"/>
        <w:gridCol w:w="9883"/>
      </w:tblGrid>
      <w:tr>
        <w:trPr/>
        <w:tc>
          <w:tcPr>
            <w:tcW w:w="2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(L)</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incur any Indebtedness for borrowed money or issue or sell any Equity or Equity Equivalents of the Company or any of its Subsidiaries;</w:t>
            </w:r>
          </w:p>
        </w:tc>
      </w:tr>
    </w:tbl>
    <w:tbl>
      <w:tblPr>
        <w:tblW w:w="10205" w:type="dxa"/>
        <w:jc w:val="left"/>
        <w:tblInd w:w="0" w:type="dxa"/>
        <w:tblLayout w:type="fixed"/>
        <w:tblCellMar>
          <w:top w:w="0" w:type="dxa"/>
          <w:left w:w="0" w:type="dxa"/>
          <w:bottom w:w="0" w:type="dxa"/>
          <w:right w:w="0" w:type="dxa"/>
        </w:tblCellMar>
      </w:tblPr>
      <w:tblGrid>
        <w:gridCol w:w="23"/>
        <w:gridCol w:w="315"/>
        <w:gridCol w:w="9867"/>
      </w:tblGrid>
      <w:tr>
        <w:trPr/>
        <w:tc>
          <w:tcPr>
            <w:tcW w:w="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(M)</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not terminate, modify or amend, or waive, release or assign any material rights or claims under, any Material Contract (or enter into any Contract or arrangement that would constitute a Material Contract if entered into prior to the date hereof), in each case other than (i) terminations of Contracts as a result of the expiration of the term of such Contracts, or (ii) renewals of Contracts in the Ordinary Course of Business on terms no less favorable to the Company and its Subsidiaries than the terms that exist as of the date hereof and that are terminable by the Company and its Subsidiaries upon no more than 60 days’ notice, at no cost to the Company or its applicable Subsidiaries; </w:t>
            </w:r>
          </w:p>
        </w:tc>
      </w:tr>
    </w:tbl>
    <w:tbl>
      <w:tblPr>
        <w:tblW w:w="10205" w:type="dxa"/>
        <w:jc w:val="left"/>
        <w:tblInd w:w="0" w:type="dxa"/>
        <w:tblLayout w:type="fixed"/>
        <w:tblCellMar>
          <w:top w:w="0" w:type="dxa"/>
          <w:left w:w="0" w:type="dxa"/>
          <w:bottom w:w="0" w:type="dxa"/>
          <w:right w:w="0" w:type="dxa"/>
        </w:tblCellMar>
      </w:tblPr>
      <w:tblGrid>
        <w:gridCol w:w="23"/>
        <w:gridCol w:w="329"/>
        <w:gridCol w:w="9853"/>
      </w:tblGrid>
      <w:tr>
        <w:trPr/>
        <w:tc>
          <w:tcPr>
            <w:tcW w:w="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(N)</w:t>
            </w:r>
          </w:p>
        </w:tc>
        <w:tc>
          <w:tcPr>
            <w:tcW w:w="98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not to declare, set aside, make or pay any dividend or other distribution (whether in cash, stock or other equity interests, property, rights or </w:t>
            </w:r>
          </w:p>
        </w:tc>
      </w:tr>
    </w:tbl>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otherwise), or enter into any agreement with respect to the voting of the Company or any of its Subsidiaries; and</w:t>
            </w:r>
          </w:p>
        </w:tc>
      </w:tr>
    </w:tbl>
    <w:tbl>
      <w:tblPr>
        <w:tblW w:w="10205" w:type="dxa"/>
        <w:jc w:val="left"/>
        <w:tblInd w:w="0" w:type="dxa"/>
        <w:tblLayout w:type="fixed"/>
        <w:tblCellMar>
          <w:top w:w="0" w:type="dxa"/>
          <w:left w:w="0" w:type="dxa"/>
          <w:bottom w:w="0" w:type="dxa"/>
          <w:right w:w="0" w:type="dxa"/>
        </w:tblCellMar>
      </w:tblPr>
      <w:tblGrid>
        <w:gridCol w:w="23"/>
        <w:gridCol w:w="326"/>
        <w:gridCol w:w="9856"/>
      </w:tblGrid>
      <w:tr>
        <w:trPr/>
        <w:tc>
          <w:tcPr>
            <w:tcW w:w="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rFonts w:ascii="Times New Roman;Times;serif" w:hAnsi="Times New Roman;Times;serif"/>
                <w:color w:val="010000"/>
                <w:sz w:val="24"/>
              </w:rPr>
            </w:pPr>
            <w:r>
              <w:rPr>
                <w:rFonts w:ascii="Times New Roman;Times;serif" w:hAnsi="Times New Roman;Times;serif"/>
                <w:color w:val="010000"/>
                <w:sz w:val="24"/>
              </w:rPr>
              <w:t>(O)</w:t>
            </w:r>
          </w:p>
        </w:tc>
        <w:tc>
          <w:tcPr>
            <w:tcW w:w="98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not take or permit any action that would cause any of the changes, events or conditions described in </w:t>
            </w:r>
            <w:r>
              <w:rPr>
                <w:rFonts w:ascii="Times New Roman;Times;serif" w:hAnsi="Times New Roman;Times;serif"/>
                <w:b w:val="false"/>
                <w:i w:val="false"/>
                <w:caps w:val="false"/>
                <w:smallCaps w:val="false"/>
                <w:sz w:val="24"/>
                <w:u w:val="single"/>
              </w:rPr>
              <w:t>Section 3.7</w:t>
            </w:r>
            <w:r>
              <w:rPr>
                <w:caps w:val="false"/>
                <w:smallCaps w:val="false"/>
              </w:rPr>
              <w:t xml:space="preserve"> </w:t>
            </w:r>
            <w:r>
              <w:rPr>
                <w:rFonts w:ascii="Times New Roman;Times;serif" w:hAnsi="Times New Roman;Times;serif"/>
                <w:b w:val="false"/>
                <w:i w:val="false"/>
                <w:caps w:val="false"/>
                <w:smallCaps w:val="false"/>
                <w:sz w:val="24"/>
              </w:rPr>
              <w:t>or in clauses (A) through (L) above.</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6.14</w:t>
      </w:r>
      <w:bookmarkStart w:id="4325" w:name="_Toc235366550"/>
      <w:bookmarkStart w:id="4326" w:name="_Toc235204975"/>
      <w:bookmarkStart w:id="4327" w:name="_Toc235142733"/>
      <w:bookmarkStart w:id="4328" w:name="_Ref232527197"/>
      <w:bookmarkEnd w:id="4325"/>
      <w:bookmarkEnd w:id="4326"/>
      <w:bookmarkEnd w:id="4327"/>
      <w:bookmarkEnd w:id="4328"/>
      <w:r>
        <w:rPr>
          <w:rFonts w:ascii="Times New Roman;Times;serif" w:hAnsi="Times New Roman;Times;serif"/>
          <w:sz w:val="24"/>
          <w:u w:val="single"/>
        </w:rPr>
        <w:t>Access to Information Prior to Closing</w:t>
      </w:r>
      <w:r>
        <w:rPr>
          <w:rFonts w:ascii="Times New Roman;Times;serif" w:hAnsi="Times New Roman;Times;serif"/>
          <w:sz w:val="24"/>
        </w:rPr>
        <w:t xml:space="preserve">.  From the date hereof until the Closing, Seller shall, and shall cause the </w:t>
      </w:r>
      <w:bookmarkStart w:id="4329" w:name="_Hlk232311396"/>
      <w:bookmarkEnd w:id="4329"/>
      <w:r>
        <w:rPr>
          <w:rFonts w:ascii="Times New Roman;Times;serif" w:hAnsi="Times New Roman;Times;serif"/>
          <w:sz w:val="24"/>
        </w:rPr>
        <w:t xml:space="preserve">Company and its Subsidiaries to, (a) afford Buyer and its Representatives full and free access to and the right to inspect all of the Real Property, properties, assets, premises, books and records, Contracts and other documents and data related to the Company and its Subsidiaries and, to the extent reasonably necessary to review the Restructuring and the Restructuring Documents, Seller and its other Affiliates; (b) furnish Buyer and its Representatives with such financial, operating and other data and information related to the Company and its Subsidiaries (and, to the extent reasonably necessary to review the Restructuring and the Restructuring Documents, Seller and its other Affiliates) as Buyer or any of its Representatives may reasonably request; (c) permit Buyer to meet with employees of the Company and its Subsidiaries and shall reasonably cooperate with Buyer in such process; and (d) instruct the Representatives of Seller and the Company and its Subsidiaries to cooperate with Buyer in its investigation of the Company and as otherwise permitted under this </w:t>
      </w:r>
      <w:r>
        <w:rPr>
          <w:rFonts w:ascii="Times New Roman;Times;serif" w:hAnsi="Times New Roman;Times;serif"/>
          <w:sz w:val="24"/>
          <w:u w:val="single"/>
        </w:rPr>
        <w:t>Section 6.14</w:t>
      </w:r>
      <w:r>
        <w:rPr>
          <w:rFonts w:ascii="Times New Roman;Times;serif" w:hAnsi="Times New Roman;Times;serif"/>
          <w:sz w:val="24"/>
        </w:rPr>
        <w:t xml:space="preserve">.  Any investigation pursuant to this </w:t>
      </w:r>
      <w:r>
        <w:rPr>
          <w:rFonts w:ascii="Times New Roman;Times;serif" w:hAnsi="Times New Roman;Times;serif"/>
          <w:sz w:val="24"/>
          <w:u w:val="single"/>
        </w:rPr>
        <w:t>Section 6.14</w:t>
      </w:r>
      <w:r>
        <w:rPr>
          <w:rFonts w:ascii="Times New Roman;Times;serif" w:hAnsi="Times New Roman;Times;serif"/>
          <w:sz w:val="24"/>
        </w:rPr>
        <w:t xml:space="preserve"> shall be conducted in such manner as not to interfere unreasonably with the conduct of the business of Seller or the Company and its Subsidiaries or their respective Affiliates.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6.15</w:t>
      </w:r>
      <w:bookmarkStart w:id="4330" w:name="_Toc235366551"/>
      <w:bookmarkStart w:id="4331" w:name="_Toc235204976"/>
      <w:bookmarkStart w:id="4332" w:name="_Toc235142734"/>
      <w:bookmarkStart w:id="4333" w:name="_Ref232527884"/>
      <w:bookmarkEnd w:id="4330"/>
      <w:bookmarkEnd w:id="4331"/>
      <w:bookmarkEnd w:id="4332"/>
      <w:bookmarkEnd w:id="4333"/>
      <w:r>
        <w:rPr>
          <w:rFonts w:ascii="Times New Roman;Times;serif" w:hAnsi="Times New Roman;Times;serif"/>
          <w:sz w:val="24"/>
          <w:u w:val="single"/>
        </w:rPr>
        <w:t>No Solicitation of Other Bids</w:t>
      </w:r>
      <w:r>
        <w:rPr>
          <w:rFonts w:ascii="Times New Roman;Times;serif" w:hAnsi="Times New Roman;Times;serif"/>
          <w:sz w:val="24"/>
        </w:rPr>
        <w:t xml:space="preserve">.  From the date hereof until the Closing: </w:t>
      </w:r>
    </w:p>
    <w:p>
      <w:pPr>
        <w:pStyle w:val="TextBody"/>
        <w:bidi w:val="0"/>
        <w:spacing w:before="120" w:after="283"/>
        <w:ind w:left="0" w:right="0" w:hanging="0"/>
        <w:jc w:val="both"/>
        <w:rPr>
          <w:rFonts w:ascii="Times New Roman;Times;serif" w:hAnsi="Times New Roman;Times;serif"/>
          <w:sz w:val="24"/>
        </w:rPr>
      </w:pPr>
      <w:r>
        <w:rPr>
          <w:rFonts w:ascii="Times New Roman;Times;serif" w:hAnsi="Times New Roman;Times;serif"/>
          <w:sz w:val="24"/>
        </w:rPr>
        <w:t>(a)</w:t>
      </w:r>
      <w:bookmarkStart w:id="4334" w:name="a409282"/>
      <w:bookmarkStart w:id="4335" w:name="_Toc235204977"/>
      <w:bookmarkEnd w:id="4334"/>
      <w:bookmarkEnd w:id="4335"/>
      <w:r>
        <w:rPr>
          <w:rFonts w:ascii="Times New Roman;Times;serif" w:hAnsi="Times New Roman;Times;serif"/>
          <w:sz w:val="24"/>
        </w:rPr>
        <w:t>Except with respect to the Excluded Business and the Excluded Entities, Seller shall not, and shall not authorize or permit any of its Affiliates (including the Company and its Subsidiaries) or any of its or their Representatives to, directly or indirectly, (i) encourage, solicit, initiate, facilitate or continue inquiries regarding an Acquisition Proposal or permit any other Person on its behalf to or to take any action to encourage, solicit, initiate, facilitate or continue discussions or negotiations; (ii) enter into discussions or negotiations with, or provide any information to, any Person concerning a possible Acquisition Proposal (as defined below); or (iii) enter into any Contract or other instruments (whether or not binding) regarding an Acquisition Proposal with any Person (other than the Buyer and its Representatives).  Seller shall immediately cease and cause to be terminated, and shall cause its Affiliates (including the Company and its Subsidiaries)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Times New Roman;Times;serif" w:hAnsi="Times New Roman;Times;serif"/>
          <w:sz w:val="24"/>
          <w:u w:val="single"/>
        </w:rPr>
        <w:t>Acquisition Proposal</w:t>
      </w:r>
      <w:r>
        <w:rPr>
          <w:rFonts w:ascii="Times New Roman;Times;serif" w:hAnsi="Times New Roman;Times;serif"/>
          <w:sz w:val="24"/>
        </w:rPr>
        <w:t xml:space="preserve">” shall mean, in one or more transactions, any inquiry, proposal or offer from any Person (other than Buyer or any of its Affiliates) concerning (X) a merger, consolidation, liquidation, recapitalization, share exchange or other business combination transaction involving the Company or its Subsidiaries; (Y) the issuance or, direct or indirect acquisition, sale, purchase, license, transfer or pledge of shares of capital stock or other equity securities of the Company or its Subsidiaries; or (Z) the sale, lease, exchange or other disposition of any material assets or properties of the Company or its Subsidiaries (it being understood that any and all of the equity interests in the Subsidiaries and any single Repair Shop or Distribution Center shall be deemed to be a material asset of the Company).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83"/>
        <w:ind w:left="0" w:right="0" w:hanging="0"/>
        <w:jc w:val="both"/>
        <w:rPr>
          <w:rFonts w:ascii="Times New Roman;Times;serif" w:hAnsi="Times New Roman;Times;serif"/>
          <w:sz w:val="24"/>
        </w:rPr>
      </w:pPr>
      <w:r>
        <w:rPr>
          <w:rFonts w:ascii="Times New Roman;Times;serif" w:hAnsi="Times New Roman;Times;serif"/>
          <w:sz w:val="24"/>
        </w:rPr>
        <w:t>(b)</w:t>
      </w:r>
      <w:bookmarkStart w:id="4336" w:name="a291787"/>
      <w:bookmarkEnd w:id="4336"/>
      <w:r>
        <w:rPr>
          <w:rFonts w:ascii="Times New Roman;Times;serif" w:hAnsi="Times New Roman;Times;serif"/>
          <w:sz w:val="24"/>
        </w:rPr>
        <w:t xml:space="preserve">In addition to the other obligations under this </w:t>
      </w:r>
      <w:r>
        <w:rPr>
          <w:rFonts w:ascii="Times New Roman;Times;serif" w:hAnsi="Times New Roman;Times;serif"/>
          <w:sz w:val="24"/>
          <w:u w:val="single"/>
        </w:rPr>
        <w:t>Section 6.15</w:t>
      </w:r>
      <w:r>
        <w:rPr>
          <w:rFonts w:ascii="Times New Roman;Times;serif" w:hAnsi="Times New Roman;Times;serif"/>
          <w:sz w:val="24"/>
        </w:rPr>
        <w:t>, Seller shall promptly (and in any event within two Business Days after receipt thereof by Seller or its Representatives) advise Buyer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 and provide copies of any written documentation received.</w:t>
      </w:r>
    </w:p>
    <w:p>
      <w:pPr>
        <w:pStyle w:val="TextBody"/>
        <w:bidi w:val="0"/>
        <w:spacing w:before="120" w:after="283"/>
        <w:ind w:left="0" w:right="0" w:hanging="0"/>
        <w:jc w:val="both"/>
        <w:rPr>
          <w:rFonts w:ascii="Times New Roman;Times;serif" w:hAnsi="Times New Roman;Times;serif"/>
          <w:sz w:val="24"/>
        </w:rPr>
      </w:pPr>
      <w:r>
        <w:rPr>
          <w:rFonts w:ascii="Times New Roman;Times;serif" w:hAnsi="Times New Roman;Times;serif"/>
          <w:sz w:val="24"/>
        </w:rPr>
        <w:t>(c)</w:t>
      </w:r>
      <w:bookmarkStart w:id="4337" w:name="a644271"/>
      <w:bookmarkEnd w:id="4337"/>
      <w:r>
        <w:rPr>
          <w:rFonts w:ascii="Times New Roman;Times;serif" w:hAnsi="Times New Roman;Times;serif"/>
          <w:sz w:val="24"/>
        </w:rPr>
        <w:t xml:space="preserve">Seller agrees that the rights and remedies for noncompliance with this </w:t>
      </w:r>
      <w:r>
        <w:rPr>
          <w:rFonts w:ascii="Times New Roman;Times;serif" w:hAnsi="Times New Roman;Times;serif"/>
          <w:sz w:val="24"/>
          <w:u w:val="single"/>
        </w:rPr>
        <w:t>Section 6.15</w:t>
      </w:r>
      <w:r>
        <w:rPr>
          <w:rFonts w:ascii="Times New Roman;Times;serif" w:hAnsi="Times New Roman;Times;serif"/>
          <w:sz w:val="24"/>
        </w:rPr>
        <w:t xml:space="preserve"> 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6.16</w:t>
      </w:r>
      <w:bookmarkStart w:id="4338" w:name="_Toc235366552"/>
      <w:bookmarkStart w:id="4339" w:name="_Toc235204978"/>
      <w:bookmarkStart w:id="4340" w:name="_Toc235142735"/>
      <w:bookmarkStart w:id="4341" w:name="_Ref232527240"/>
      <w:bookmarkEnd w:id="4338"/>
      <w:bookmarkEnd w:id="4339"/>
      <w:bookmarkEnd w:id="4340"/>
      <w:bookmarkEnd w:id="4341"/>
      <w:r>
        <w:rPr>
          <w:rFonts w:ascii="Times New Roman;Times;serif" w:hAnsi="Times New Roman;Times;serif"/>
          <w:sz w:val="24"/>
          <w:u w:val="single"/>
        </w:rPr>
        <w:t>Notice of Certain Events</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342" w:name="_Toc235204979"/>
      <w:bookmarkEnd w:id="4342"/>
      <w:r>
        <w:rPr>
          <w:rFonts w:ascii="Times New Roman;Times;serif" w:hAnsi="Times New Roman;Times;serif"/>
          <w:sz w:val="24"/>
        </w:rPr>
        <w:t>From the date hereof until the Closing, Seller shall promptly (and in any event within three Business Days after knowledge thereof) notify Buyer in writing of:</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r>
        <w:rPr>
          <w:rFonts w:ascii="Times New Roman;Times;serif" w:hAnsi="Times New Roman;Times;serif"/>
          <w:sz w:val="24"/>
        </w:rPr>
        <w:t xml:space="preserve">any fact, circumstance, event or action the existence, occurrence or taking of which (A) has had, or could reasonably be expected to have, individually or in the aggregate, a Material Adverse Effect, (B) has resulted in, or could reasonably be expected to result in, any representation or warranty made by Seller hereunder not being true and correct, or (C) has resulted in, or could reasonably be expected to result in, the failure of any of the conditions set forth in </w:t>
      </w:r>
      <w:r>
        <w:rPr>
          <w:rFonts w:ascii="Times New Roman;Times;serif" w:hAnsi="Times New Roman;Times;serif"/>
          <w:sz w:val="24"/>
          <w:u w:val="single"/>
        </w:rPr>
        <w:t>Article VII</w:t>
      </w:r>
      <w:r>
        <w:rPr>
          <w:rFonts w:ascii="Times New Roman;Times;serif" w:hAnsi="Times New Roman;Times;serif"/>
          <w:sz w:val="24"/>
        </w:rPr>
        <w:t xml:space="preserve"> or </w:t>
      </w:r>
      <w:r>
        <w:rPr>
          <w:rFonts w:ascii="Times New Roman;Times;serif" w:hAnsi="Times New Roman;Times;serif"/>
          <w:sz w:val="24"/>
          <w:u w:val="single"/>
        </w:rPr>
        <w:t>Section 7.2</w:t>
      </w:r>
      <w:r>
        <w:rPr>
          <w:rFonts w:ascii="Times New Roman;Times;serif" w:hAnsi="Times New Roman;Times;serif"/>
          <w:sz w:val="24"/>
        </w:rPr>
        <w:t xml:space="preserve"> to be satisfied;</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r>
        <w:rPr>
          <w:rFonts w:ascii="Times New Roman;Times;serif" w:hAnsi="Times New Roman;Times;serif"/>
          <w:sz w:val="24"/>
        </w:rPr>
        <w:t>any notice or other communication from any Person alleging that the consent of such Person is or may be required in connection with the transactions contemplated by this Agreement; and</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(iii)</w:t>
      </w:r>
      <w:r>
        <w:rPr>
          <w:rFonts w:ascii="Times New Roman;Times;serif" w:hAnsi="Times New Roman;Times;serif"/>
          <w:sz w:val="24"/>
        </w:rPr>
        <w:t xml:space="preserve">any Claim commenced or, to the Knowledge of Seller, threatened against, relating to or involving or otherwise affecting Seller or the Company that, if pending on the date of this Agreement, would have been required to have been disclosed pursuant to </w:t>
      </w:r>
      <w:r>
        <w:rPr>
          <w:rFonts w:ascii="Times New Roman;Times;serif" w:hAnsi="Times New Roman;Times;serif"/>
          <w:sz w:val="24"/>
          <w:u w:val="single"/>
        </w:rPr>
        <w:t>Section 3.13</w:t>
      </w:r>
      <w:r>
        <w:rPr>
          <w:rFonts w:ascii="Times New Roman;Times;serif" w:hAnsi="Times New Roman;Times;serif"/>
          <w:sz w:val="24"/>
        </w:rPr>
        <w:t xml:space="preserve"> or that relates to the consummation of the transactions contemplated by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343" w:name="_Toc235204980"/>
      <w:bookmarkEnd w:id="4343"/>
      <w:r>
        <w:rPr>
          <w:rFonts w:ascii="Times New Roman;Times;serif" w:hAnsi="Times New Roman;Times;serif"/>
          <w:sz w:val="24"/>
        </w:rPr>
        <w:t xml:space="preserve">Buyer’s receipt of information pursuant to this </w:t>
      </w:r>
      <w:r>
        <w:rPr>
          <w:rFonts w:ascii="Times New Roman;Times;serif" w:hAnsi="Times New Roman;Times;serif"/>
          <w:sz w:val="24"/>
          <w:u w:val="single"/>
        </w:rPr>
        <w:t>Section 6.16</w:t>
      </w:r>
      <w:r>
        <w:rPr>
          <w:rFonts w:ascii="Times New Roman;Times;serif" w:hAnsi="Times New Roman;Times;serif"/>
          <w:sz w:val="24"/>
        </w:rPr>
        <w:t xml:space="preserve"> shall not operate as a waiver or otherwise affect any representation, warranty or agreement given or made by Seller in this Agreement and shall not be deemed to amend or supplement the Schedules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6.17</w:t>
      </w:r>
      <w:bookmarkStart w:id="4344" w:name="_Toc235366553"/>
      <w:bookmarkStart w:id="4345" w:name="_Toc235204981"/>
      <w:bookmarkStart w:id="4346" w:name="_Toc235142736"/>
      <w:bookmarkEnd w:id="4344"/>
      <w:bookmarkEnd w:id="4345"/>
      <w:bookmarkEnd w:id="4346"/>
      <w:r>
        <w:rPr>
          <w:rFonts w:ascii="Times New Roman;Times;serif" w:hAnsi="Times New Roman;Times;serif"/>
          <w:sz w:val="24"/>
          <w:u w:val="single"/>
        </w:rPr>
        <w:t>Colchester Matters</w:t>
      </w:r>
      <w:bookmarkStart w:id="4347" w:name="_Toc235204982"/>
      <w:bookmarkEnd w:id="4347"/>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Segoe UI" w:hAnsi="Segoe UI"/>
          <w:color w:val="010000"/>
          <w:sz w:val="24"/>
        </w:rPr>
        <w:t>(a)</w:t>
      </w:r>
      <w:bookmarkStart w:id="4348" w:name="_Toc235204983"/>
      <w:bookmarkEnd w:id="4348"/>
      <w:r>
        <w:rPr>
          <w:rFonts w:ascii="Times New Roman;Times;serif" w:hAnsi="Times New Roman;Times;serif"/>
          <w:sz w:val="24"/>
          <w:u w:val="single"/>
        </w:rPr>
        <w:t>Vermont Approval</w:t>
      </w:r>
      <w:r>
        <w:rPr>
          <w:rFonts w:ascii="Times New Roman;Times;serif" w:hAnsi="Times New Roman;Times;serif"/>
          <w:sz w:val="24"/>
        </w:rPr>
        <w:t xml:space="preserve">.  As promptly as practicable and in any event no later than five Business Days following the date hereof, Seller shall, and shall cause its Affiliates to, use commercially reasonable efforts to obtain and deliver to Buyer an irrevocable written approval from the Vermont Commissioner of Financial Regulation approving the change of control of Colchester and the transactions contemplated by this Agreement, and Buyer shall reasonably cooperate with Seller in connection with obtaining the approval from the Vermont Commission of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Financial Regulation, including by providing information reasonably requested by the Vermont Commissioner of Financial Regulation regarding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349" w:name="_Toc235204984"/>
      <w:bookmarkEnd w:id="4349"/>
      <w:r>
        <w:rPr>
          <w:rFonts w:ascii="Times New Roman;Times;serif" w:hAnsi="Times New Roman;Times;serif"/>
          <w:sz w:val="24"/>
          <w:u w:val="single"/>
        </w:rPr>
        <w:t>A&amp;R [***]</w:t>
      </w:r>
      <w:r>
        <w:rPr>
          <w:rFonts w:ascii="Times New Roman;Times;serif" w:hAnsi="Times New Roman;Times;serif"/>
          <w:sz w:val="24"/>
        </w:rPr>
        <w:t>.  Prior to the Closing, Seller shall, and shall cause the Company and its applicable Subsidiaries to, amend and restate that certain [***], entered into by the Company or one of its Subsidiaries, on the one hand, and Colchester, on the other hand (as amended, the “</w:t>
      </w:r>
      <w:r>
        <w:rPr>
          <w:rFonts w:ascii="Times New Roman;Times;serif" w:hAnsi="Times New Roman;Times;serif"/>
          <w:sz w:val="24"/>
          <w:u w:val="single"/>
        </w:rPr>
        <w:t>[***]</w:t>
      </w:r>
      <w:r>
        <w:rPr>
          <w:rFonts w:ascii="Times New Roman;Times;serif" w:hAnsi="Times New Roman;Times;serif"/>
          <w:sz w:val="24"/>
        </w:rPr>
        <w:t>”), in form and substance reasonably satisfactory to Buyer, including that the [***] shall contain [***].  Seller shall provide Buyer with a reasonable opportunity to review and comment on such amendment and restatement prior to execution, and Seller shall consider in good faith and incorporate any reasonable comments provided by Buyer.</w:t>
      </w:r>
    </w:p>
    <w:p>
      <w:pPr>
        <w:pStyle w:val="TextBody"/>
        <w:bidi w:val="0"/>
        <w:spacing w:before="0" w:after="240"/>
        <w:ind w:left="0" w:right="0" w:hanging="0"/>
        <w:jc w:val="both"/>
        <w:rPr>
          <w:rFonts w:ascii="Times New Roman;Times;serif" w:hAnsi="Times New Roman;Times;serif"/>
          <w:sz w:val="24"/>
        </w:rPr>
      </w:pPr>
      <w:r>
        <w:rPr>
          <w:rFonts w:ascii="Segoe UI" w:hAnsi="Segoe UI"/>
          <w:color w:val="010000"/>
          <w:sz w:val="24"/>
        </w:rPr>
        <w:t>(c)</w:t>
      </w:r>
      <w:bookmarkStart w:id="4350" w:name="_Toc235204985"/>
      <w:bookmarkEnd w:id="4350"/>
      <w:r>
        <w:rPr>
          <w:rFonts w:ascii="Times New Roman;Times;serif" w:hAnsi="Times New Roman;Times;serif"/>
          <w:sz w:val="24"/>
          <w:u w:val="single"/>
        </w:rPr>
        <w:t>[***]</w:t>
      </w:r>
      <w:r>
        <w:rPr>
          <w:rFonts w:ascii="Times New Roman;Times;serif" w:hAnsi="Times New Roman;Times;serif"/>
          <w:sz w:val="24"/>
        </w:rPr>
        <w:t>.  If, prior to the Closing Date, Buyer requests in writing, Seller shall, and shall cause Colchester to, [***], including by delivering a [***] in accordance with the terms thereof, with such [***].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6.18</w:t>
      </w:r>
      <w:bookmarkStart w:id="4351" w:name="_Toc235366554"/>
      <w:bookmarkStart w:id="4352" w:name="_Toc235204986"/>
      <w:bookmarkStart w:id="4353" w:name="_Toc235142737"/>
      <w:bookmarkStart w:id="4354" w:name="_Ref233625713"/>
      <w:bookmarkStart w:id="4355" w:name="_Ref233623944"/>
      <w:bookmarkEnd w:id="4351"/>
      <w:bookmarkEnd w:id="4352"/>
      <w:bookmarkEnd w:id="4353"/>
      <w:bookmarkEnd w:id="4354"/>
      <w:bookmarkEnd w:id="4355"/>
      <w:r>
        <w:rPr>
          <w:rFonts w:ascii="Times New Roman;Times;serif" w:hAnsi="Times New Roman;Times;serif"/>
          <w:sz w:val="24"/>
          <w:u w:val="single"/>
        </w:rPr>
        <w:t>Restructuring</w:t>
      </w:r>
      <w:bookmarkStart w:id="4356" w:name="_Toc235204987"/>
      <w:bookmarkEnd w:id="4356"/>
      <w:r>
        <w:rPr>
          <w:rFonts w:ascii="Segoe UI" w:hAnsi="Segoe UI"/>
          <w:sz w:val="21"/>
        </w:rPr>
        <w:t>.</w:t>
      </w:r>
    </w:p>
    <w:p>
      <w:pPr>
        <w:pStyle w:val="TextBody"/>
        <w:bidi w:val="0"/>
        <w:spacing w:before="0" w:after="240"/>
        <w:ind w:left="0" w:right="0" w:hanging="0"/>
        <w:jc w:val="both"/>
        <w:rPr>
          <w:rFonts w:ascii="Times New Roman;Times;serif" w:hAnsi="Times New Roman;Times;serif"/>
          <w:sz w:val="24"/>
        </w:rPr>
      </w:pPr>
      <w:r>
        <w:rPr>
          <w:rFonts w:ascii="Segoe UI" w:hAnsi="Segoe UI"/>
          <w:color w:val="010000"/>
          <w:sz w:val="24"/>
        </w:rPr>
        <w:t>(a)</w:t>
      </w:r>
      <w:bookmarkStart w:id="4357" w:name="_Toc235204988"/>
      <w:bookmarkEnd w:id="4357"/>
      <w:r>
        <w:rPr>
          <w:rFonts w:ascii="Times New Roman;Times;serif" w:hAnsi="Times New Roman;Times;serif"/>
          <w:sz w:val="24"/>
        </w:rPr>
        <w:t xml:space="preserve">As soon as reasonably practicable following the date hereof and in any event on or prior to the Closing, Seller Guarantor shall complete in all material respects the Restructuring on or prior to the Closing in accordance with </w:t>
      </w:r>
      <w:r>
        <w:rPr>
          <w:rFonts w:ascii="Times New Roman;Times;serif" w:hAnsi="Times New Roman;Times;serif"/>
          <w:sz w:val="24"/>
          <w:u w:val="single"/>
        </w:rPr>
        <w:t>Exhibit B</w:t>
      </w:r>
      <w:r>
        <w:rPr>
          <w:rFonts w:ascii="Times New Roman;Times;serif" w:hAnsi="Times New Roman;Times;serif"/>
          <w:sz w:val="24"/>
        </w:rPr>
        <w:t xml:space="preserve">, the Restructuring Documents as consented to by Buyer in accordance with this </w:t>
      </w:r>
      <w:r>
        <w:rPr>
          <w:rFonts w:ascii="Times New Roman;Times;serif" w:hAnsi="Times New Roman;Times;serif"/>
          <w:sz w:val="24"/>
          <w:u w:val="single"/>
        </w:rPr>
        <w:t>Section 6.18</w:t>
      </w:r>
      <w:r>
        <w:rPr>
          <w:rFonts w:ascii="Times New Roman;Times;serif" w:hAnsi="Times New Roman;Times;serif"/>
          <w:sz w:val="24"/>
        </w:rPr>
        <w:t xml:space="preserve">, and in accordance with applicable Law.  Seller Guarantor shall prepare, negotiate, execute and deliver the Restructuring Documents, in each case, in form and substance reasonably satisfactory to Buyer consistent with </w:t>
      </w:r>
      <w:r>
        <w:rPr>
          <w:rFonts w:ascii="Times New Roman;Times;serif" w:hAnsi="Times New Roman;Times;serif"/>
          <w:sz w:val="24"/>
          <w:u w:val="single"/>
        </w:rPr>
        <w:t>Exhibit B</w:t>
      </w:r>
      <w:r>
        <w:rPr>
          <w:rFonts w:ascii="Times New Roman;Times;serif" w:hAnsi="Times New Roman;Times;serif"/>
          <w:sz w:val="24"/>
        </w:rPr>
        <w:t>.  Seller Guarantor shall keep Buyer reasonably informed regarding the status of the Restructuring and any developments from the date hereof until the Closing.</w:t>
      </w:r>
    </w:p>
    <w:p>
      <w:pPr>
        <w:pStyle w:val="TextBody"/>
        <w:bidi w:val="0"/>
        <w:spacing w:before="0" w:after="240"/>
        <w:ind w:left="0" w:right="0" w:hanging="0"/>
        <w:jc w:val="both"/>
        <w:rPr>
          <w:rFonts w:ascii="Times New Roman;Times;serif" w:hAnsi="Times New Roman;Times;serif"/>
          <w:sz w:val="24"/>
        </w:rPr>
      </w:pPr>
      <w:r>
        <w:rPr>
          <w:rFonts w:ascii="Segoe UI" w:hAnsi="Segoe UI"/>
          <w:color w:val="010000"/>
          <w:sz w:val="24"/>
        </w:rPr>
        <w:t>(b)</w:t>
      </w:r>
      <w:bookmarkStart w:id="4358" w:name="_Toc235204989"/>
      <w:bookmarkEnd w:id="4358"/>
      <w:r>
        <w:rPr>
          <w:rFonts w:ascii="Times New Roman;Times;serif" w:hAnsi="Times New Roman;Times;serif"/>
          <w:sz w:val="24"/>
        </w:rPr>
        <w:t xml:space="preserve">Seller Guarantor and Buyer promptly shall cooperate in good faith to finalize the Restructuring Documents in a manner consistent with the transactions contemplated by this Agreement.  Seller Guarantor shall provide Buyer with drafts of each Restructuring Document and each amendment, supplement or waiver thereto sufficiently in advance of the intended execution or filing date to afford Buyer a reasonable opportunity to review and comment.  Buyer shall provide its comments within two Business Days after receipt (or such shorter period as may be reasonably required under the circumstances).  Seller Guarantor shall consider in good faith any comments timely provided by Buyer and shall incorporate such comments to the extent reasonable, practical, and not inconsistent with </w:t>
      </w:r>
      <w:r>
        <w:rPr>
          <w:rFonts w:ascii="Times New Roman;Times;serif" w:hAnsi="Times New Roman;Times;serif"/>
          <w:sz w:val="24"/>
          <w:u w:val="single"/>
        </w:rPr>
        <w:t>Exhibit B</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359" w:name="_Ref234450136"/>
      <w:bookmarkStart w:id="4360" w:name="_Toc235204990"/>
      <w:bookmarkEnd w:id="4359"/>
      <w:bookmarkEnd w:id="4360"/>
      <w:r>
        <w:rPr>
          <w:rFonts w:ascii="Times New Roman;Times;serif" w:hAnsi="Times New Roman;Times;serif"/>
          <w:sz w:val="24"/>
        </w:rPr>
        <w:t xml:space="preserve">From and after the date of this Agreement, Seller Guarantor shall not, and shall cause its applicable Affiliates not to, without the prior written consent of Buyer, which consent shall not be unreasonably withheld, conditioned or delayed, (i) execute any Restructuring Document, (ii) amend, modify, supplement, terminate or waive any provision of any Restructuring Document, (iii) enter into any additional agreement or document that would constitute a Restructuring Document, or (iv) take any action that would reasonably be expected to result in a deviation from the Restructuring contemplated by </w:t>
      </w:r>
      <w:r>
        <w:rPr>
          <w:rFonts w:ascii="Times New Roman;Times;serif" w:hAnsi="Times New Roman;Times;serif"/>
          <w:sz w:val="24"/>
          <w:u w:val="single"/>
        </w:rPr>
        <w:t>Exhibit B</w:t>
      </w:r>
      <w:r>
        <w:rPr>
          <w:rFonts w:ascii="Times New Roman;Times;serif" w:hAnsi="Times New Roman;Times;serif"/>
          <w:sz w:val="24"/>
        </w:rPr>
        <w:t xml:space="preserve"> or any Restructuring Document previously approved by Buyer.  Notwithstanding the foregoing, Buyer shall have no right to require revision or modification of, or to withhold, condition or delay its consent with respect to, or otherwise veto, (i) any provision of a Restructuring Document that is prescribed or required by</w:t>
      </w:r>
      <w:r>
        <w:rPr>
          <w:rFonts w:ascii="TimesNewRomanPSMT" w:hAnsi="TimesNewRomanPSMT"/>
          <w:sz w:val="24"/>
        </w:rPr>
        <w:t>[***]</w:t>
      </w:r>
      <w:r>
        <w:rPr>
          <w:rFonts w:ascii="Times New Roman;Times;serif" w:hAnsi="Times New Roman;Times;serif"/>
          <w:sz w:val="24"/>
        </w:rPr>
        <w:t xml:space="preserve">, or (ii) any provision of a Restructuring Document that is required to comply with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applicable Law; </w:t>
      </w:r>
      <w:r>
        <w:rPr>
          <w:rFonts w:ascii="Times New Roman;Times;serif" w:hAnsi="Times New Roman;Times;serif"/>
          <w:i/>
          <w:sz w:val="24"/>
        </w:rPr>
        <w:t>provided</w:t>
      </w:r>
      <w:r>
        <w:rPr>
          <w:rFonts w:ascii="Times New Roman;Times;serif" w:hAnsi="Times New Roman;Times;serif"/>
          <w:sz w:val="24"/>
        </w:rPr>
        <w:t xml:space="preserve"> that Buyer and Seller Guarantor promptly shall determine in good faith and incorporate, with respect to the foregoing subsection (ii), the language necessary to satisfy such applicable Law and, with respect to the foregoing subsection (i), the language necessary to satisfy such </w:t>
      </w:r>
      <w:r>
        <w:rPr>
          <w:rFonts w:ascii="TimesNewRomanPSMT" w:hAnsi="TimesNewRomanPSMT"/>
          <w:sz w:val="24"/>
        </w:rPr>
        <w:t>[***]</w:t>
      </w:r>
      <w:r>
        <w:rPr>
          <w:rFonts w:ascii="Times New Roman;Times;serif" w:hAnsi="Times New Roman;Times;serif"/>
          <w:sz w:val="24"/>
        </w:rPr>
        <w:t xml:space="preserve">.  Seller may, without Buyer’s prior written consent, but with reasonable advance notice to Buyer, make any amendment, modification or supplement that is necessary to correct a scrivener’s or drafting error, or required in compliance with the foregoing sentence, or determined on the advice of counsel to be required by applicable Law.  In each case in determining whether to grant its consent, Buyer shall take into account that Seller Guarantor is providing the indemnification set forth in </w:t>
      </w:r>
      <w:r>
        <w:rPr>
          <w:rFonts w:ascii="Times New Roman;Times;serif" w:hAnsi="Times New Roman;Times;serif"/>
          <w:sz w:val="24"/>
          <w:u w:val="single"/>
        </w:rPr>
        <w:t>Section 5.2</w:t>
      </w:r>
      <w:r>
        <w:rPr>
          <w:rFonts w:ascii="Times New Roman;Times;serif" w:hAnsi="Times New Roman;Times;serif"/>
          <w:sz w:val="24"/>
        </w:rPr>
        <w:t xml:space="preserve"> with respect to the Restructuring (including the level of credit support therefor).  </w:t>
      </w:r>
    </w:p>
    <w:p>
      <w:pPr>
        <w:pStyle w:val="TextBody"/>
        <w:bidi w:val="0"/>
        <w:spacing w:before="0" w:after="240"/>
        <w:ind w:left="0" w:right="0" w:hanging="0"/>
        <w:jc w:val="both"/>
        <w:rPr>
          <w:rFonts w:ascii="Times New Roman;Times;serif" w:hAnsi="Times New Roman;Times;serif"/>
          <w:sz w:val="24"/>
        </w:rPr>
      </w:pPr>
      <w:r>
        <w:rPr>
          <w:rFonts w:ascii="Segoe UI" w:hAnsi="Segoe UI"/>
          <w:color w:val="010000"/>
          <w:sz w:val="24"/>
        </w:rPr>
        <w:t>(d)</w:t>
      </w:r>
      <w:bookmarkStart w:id="4361" w:name="_Toc235204991"/>
      <w:bookmarkEnd w:id="4361"/>
      <w:r>
        <w:rPr>
          <w:rFonts w:ascii="Times New Roman;Times;serif" w:hAnsi="Times New Roman;Times;serif"/>
          <w:sz w:val="24"/>
        </w:rPr>
        <w:t xml:space="preserve">Seller Guarantor shall promptly, and in no event later than two Business Days following its execution or filing pursuant to this </w:t>
      </w:r>
      <w:r>
        <w:rPr>
          <w:rFonts w:ascii="Times New Roman;Times;serif" w:hAnsi="Times New Roman;Times;serif"/>
          <w:sz w:val="24"/>
          <w:u w:val="single"/>
        </w:rPr>
        <w:t>Section 6.18</w:t>
      </w:r>
      <w:r>
        <w:rPr>
          <w:rFonts w:ascii="Times New Roman;Times;serif" w:hAnsi="Times New Roman;Times;serif"/>
          <w:sz w:val="24"/>
        </w:rPr>
        <w:t>, furnish Buyer with copies of all executed Restructuring Documents and any amendments, modifications, supplements or waivers thereto, together with evidence reasonably satisfactory to Buyer that each such document has been duly executed, delivered, filed or otherwise made effective in accordance with its terms and applicable Law.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362" w:name="_Toc235204992"/>
      <w:bookmarkEnd w:id="4362"/>
      <w:r>
        <w:rPr>
          <w:rFonts w:ascii="Times New Roman;Times;serif" w:hAnsi="Times New Roman;Times;serif"/>
          <w:sz w:val="24"/>
        </w:rPr>
        <w:t xml:space="preserve">Seller Guarantor shall promptly, and in no event later than two Business Days after Seller Guarantor first becomes aware thereof, notify Buyer in writing of any issue, dispute, delay or circumstance of which Seller Guarantor becomes aware that would reasonably be expected to prevent or materially delay completion of the Restructuring or result in any departure from </w:t>
      </w:r>
      <w:r>
        <w:rPr>
          <w:rFonts w:ascii="Times New Roman;Times;serif" w:hAnsi="Times New Roman;Times;serif"/>
          <w:sz w:val="24"/>
          <w:u w:val="single"/>
        </w:rPr>
        <w:t>Exhibit B</w:t>
      </w:r>
      <w:r>
        <w:rPr>
          <w:rFonts w:ascii="Times New Roman;Times;serif" w:hAnsi="Times New Roman;Times;serif"/>
          <w:sz w:val="24"/>
        </w:rPr>
        <w:t xml:space="preserve">.  The Parties shall cooperate in good faith to address any such matter in a manner consistent with the transactions contemplated by this Agreement, subject to the terms of this </w:t>
      </w:r>
      <w:r>
        <w:rPr>
          <w:rFonts w:ascii="Times New Roman;Times;serif" w:hAnsi="Times New Roman;Times;serif"/>
          <w:sz w:val="24"/>
          <w:u w:val="single"/>
        </w:rPr>
        <w:t>Section 6.18</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363" w:name="_Toc235204993"/>
      <w:bookmarkEnd w:id="4363"/>
      <w:r>
        <w:rPr>
          <w:rFonts w:ascii="Times New Roman;Times;serif" w:hAnsi="Times New Roman;Times;serif"/>
          <w:sz w:val="24"/>
        </w:rPr>
        <w:t xml:space="preserve">Buyer shall not take any action, or fail to take any action, the primary purpose of which is to delay or impede the completion of the Restructuring.  Buyer shall not be entitled to assert as a basis for refusing to consummate the Closing any failure of the Restructuring to be completed to the extent such failure results primarily from Buyer’s breach of this </w:t>
      </w:r>
      <w:r>
        <w:rPr>
          <w:rFonts w:ascii="Times New Roman;Times;serif" w:hAnsi="Times New Roman;Times;serif"/>
          <w:sz w:val="24"/>
          <w:u w:val="single"/>
        </w:rPr>
        <w:t>Section 6.18</w:t>
      </w:r>
      <w:r>
        <w:rPr>
          <w:rFonts w:ascii="Times New Roman;Times;serif" w:hAnsi="Times New Roman;Times;serif"/>
          <w:sz w:val="24"/>
        </w:rPr>
        <w:t xml:space="preserve"> or its unreasonable withholding, conditioning or delaying of any consent, approval or cooperation required under this </w:t>
      </w:r>
      <w:r>
        <w:rPr>
          <w:rFonts w:ascii="Times New Roman;Times;serif" w:hAnsi="Times New Roman;Times;serif"/>
          <w:sz w:val="24"/>
          <w:u w:val="single"/>
        </w:rPr>
        <w:t>Section 6.18</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6.19</w:t>
      </w:r>
      <w:bookmarkStart w:id="4364" w:name="_Toc235366555"/>
      <w:bookmarkStart w:id="4365" w:name="_Toc235204994"/>
      <w:bookmarkStart w:id="4366" w:name="_Toc235142738"/>
      <w:bookmarkEnd w:id="4364"/>
      <w:bookmarkEnd w:id="4365"/>
      <w:bookmarkEnd w:id="4366"/>
      <w:r>
        <w:rPr>
          <w:rFonts w:ascii="Times New Roman;Times;serif" w:hAnsi="Times New Roman;Times;serif"/>
          <w:sz w:val="24"/>
          <w:u w:val="single"/>
        </w:rPr>
        <w:t>Data Room Copies</w:t>
      </w:r>
      <w:r>
        <w:rPr>
          <w:rFonts w:ascii="Times New Roman;Times;serif" w:hAnsi="Times New Roman;Times;serif"/>
          <w:sz w:val="24"/>
        </w:rPr>
        <w:t>.  Within five Business Days following the date of this Agreement, Seller shall cause to be delivered to Buyer, four electronic copies of the Data Room as in effect as of 12:01 a.m., Eastern Time, on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6.20</w:t>
      </w:r>
      <w:bookmarkStart w:id="4367" w:name="_Toc235366556"/>
      <w:bookmarkStart w:id="4368" w:name="_Toc235204995"/>
      <w:bookmarkStart w:id="4369" w:name="_Toc235142739"/>
      <w:bookmarkStart w:id="4370" w:name="_Ref233915613"/>
      <w:bookmarkEnd w:id="4367"/>
      <w:bookmarkEnd w:id="4368"/>
      <w:bookmarkEnd w:id="4369"/>
      <w:bookmarkEnd w:id="4370"/>
      <w:r>
        <w:rPr>
          <w:rFonts w:ascii="Times New Roman;Times;serif" w:hAnsi="Times New Roman;Times;serif"/>
          <w:sz w:val="24"/>
          <w:u w:val="single"/>
        </w:rPr>
        <w:t>Replacement of Seller Credit Support</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371" w:name="_Toc235204996"/>
      <w:bookmarkEnd w:id="4371"/>
      <w:r>
        <w:rPr>
          <w:rFonts w:ascii="Times New Roman;Times;serif" w:hAnsi="Times New Roman;Times;serif"/>
          <w:sz w:val="24"/>
        </w:rPr>
        <w:t xml:space="preserve">As promptly as reasonably practicable following the Closing, and in any event no later than 90 days following the Closing Buyer shall, at Buyer’s sole cost and expense, use commercially reasonable efforts to obtain replacement letters of credit, surety bonds, insurance policies, guarantees, collateral placement or other credit support, or such other arrangements reasonably acceptable to the applicable beneficiary, sufficient to fully replace, individually and in the aggregate, all of the Seller Credit Support (other than the </w:t>
      </w:r>
      <w:r>
        <w:rPr>
          <w:rFonts w:ascii="TimesNewRomanPSMT" w:hAnsi="TimesNewRomanPSMT"/>
          <w:sz w:val="24"/>
        </w:rPr>
        <w:t>[***]</w:t>
      </w:r>
      <w:r>
        <w:rPr>
          <w:rFonts w:ascii="Times New Roman;Times;serif" w:hAnsi="Times New Roman;Times;serif"/>
          <w:sz w:val="24"/>
        </w:rPr>
        <w:t xml:space="preserve"> Bond).</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372" w:name="_Toc235204997"/>
      <w:bookmarkStart w:id="4373" w:name="_Ref234155081"/>
      <w:bookmarkEnd w:id="4372"/>
      <w:bookmarkEnd w:id="4373"/>
      <w:r>
        <w:rPr>
          <w:rFonts w:ascii="Times New Roman;Times;serif" w:hAnsi="Times New Roman;Times;serif"/>
          <w:sz w:val="24"/>
        </w:rPr>
        <w:t xml:space="preserve">From and after the Closing until the earlier of (i) the date that is 90 days following the Closing and (ii) the date on which all Seller Credit Support (other than the </w:t>
      </w:r>
      <w:r>
        <w:rPr>
          <w:rFonts w:ascii="TimesNewRomanPSMT" w:hAnsi="TimesNewRomanPSMT"/>
          <w:sz w:val="24"/>
        </w:rPr>
        <w:t>[***]</w:t>
      </w:r>
      <w:r>
        <w:rPr>
          <w:rFonts w:ascii="Times New Roman;Times;serif" w:hAnsi="Times New Roman;Times;serif"/>
          <w:sz w:val="24"/>
        </w:rPr>
        <w:t xml:space="preserve"> Bond) has been replaced and Seller and its applicable Affiliates have received unconditional written releases from all obligations and contingent liabilities thereunder, Seller shall not, and shall cause its applicable Affiliates not to, cancel, amend, modify or permit the lapse of any Seller Credit Support without Buyer’s prior written consent not to be unreasonably withheld, conditioned or delayed.  Seller shall reasonably cooperate, at Buyer’s sole cost and expense, with Buyer’s efforts to replace the applicable Seller Credit Support, including by providing information and executing customary instruments reasonably requested by the applicable beneficiary or replacement credit support provider; </w:t>
      </w:r>
      <w:r>
        <w:rPr>
          <w:rFonts w:ascii="Times New Roman;Times;serif" w:hAnsi="Times New Roman;Times;serif"/>
          <w:i/>
          <w:sz w:val="24"/>
        </w:rPr>
        <w:t>provided</w:t>
      </w:r>
      <w:r>
        <w:rPr>
          <w:rFonts w:ascii="Times New Roman;Times;serif" w:hAnsi="Times New Roman;Times;serif"/>
          <w:sz w:val="24"/>
        </w:rPr>
        <w:t>, that neither Seller nor any of its Affiliates shall be required to incur any liability, extend any credit, provide any collateral or execute any new guarantee or reimbursement agreement, amend any existing facility or otherwise take any action that could reasonably be expected to increase its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374" w:name="_Toc235204998"/>
      <w:bookmarkEnd w:id="4374"/>
      <w:r>
        <w:rPr>
          <w:rFonts w:ascii="Times New Roman;Times;serif" w:hAnsi="Times New Roman;Times;serif"/>
          <w:sz w:val="24"/>
        </w:rPr>
        <w:t xml:space="preserve">The obligations set forth in this </w:t>
      </w:r>
      <w:r>
        <w:rPr>
          <w:rFonts w:ascii="Times New Roman;Times;serif" w:hAnsi="Times New Roman;Times;serif"/>
          <w:sz w:val="24"/>
          <w:u w:val="single"/>
        </w:rPr>
        <w:t>Section 6.20</w:t>
      </w:r>
      <w:r>
        <w:rPr>
          <w:rFonts w:ascii="Times New Roman;Times;serif" w:hAnsi="Times New Roman;Times;serif"/>
          <w:sz w:val="24"/>
        </w:rPr>
        <w:t xml:space="preserve"> shall continue for the period described in </w:t>
      </w:r>
      <w:r>
        <w:rPr>
          <w:rFonts w:ascii="Times New Roman;Times;serif" w:hAnsi="Times New Roman;Times;serif"/>
          <w:sz w:val="24"/>
          <w:u w:val="single"/>
        </w:rPr>
        <w:t>Section 6.20(b)</w:t>
      </w:r>
      <w:r>
        <w:rPr>
          <w:rFonts w:ascii="Times New Roman;Times;serif" w:hAnsi="Times New Roman;Times;serif"/>
          <w:sz w:val="24"/>
        </w:rPr>
        <w:t xml:space="preserve"> until every item of Seller Credit Support (other than the </w:t>
      </w:r>
      <w:r>
        <w:rPr>
          <w:rFonts w:ascii="TimesNewRomanPSMT" w:hAnsi="TimesNewRomanPSMT"/>
          <w:sz w:val="24"/>
        </w:rPr>
        <w:t>[***]</w:t>
      </w:r>
      <w:r>
        <w:rPr>
          <w:rFonts w:ascii="Times New Roman;Times;serif" w:hAnsi="Times New Roman;Times;serif"/>
          <w:sz w:val="24"/>
        </w:rPr>
        <w:t xml:space="preserve"> Bond) has been terminated, cancelled or replaced and Seller and its </w:t>
      </w:r>
      <w:r>
        <w:rPr>
          <w:rFonts w:ascii="Times New Roman;Times;serif" w:hAnsi="Times New Roman;Times;serif"/>
          <w:color w:val="1B1A18"/>
          <w:sz w:val="24"/>
        </w:rPr>
        <w:t xml:space="preserve">applicable </w:t>
      </w:r>
      <w:r>
        <w:rPr>
          <w:rFonts w:ascii="Times New Roman;Times;serif" w:hAnsi="Times New Roman;Times;serif"/>
          <w:sz w:val="24"/>
        </w:rPr>
        <w:t>Affiliates have received unconditional written releases from all obligations and contingent liabilities 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375" w:name="_Toc235204999"/>
      <w:bookmarkEnd w:id="4375"/>
      <w:r>
        <w:rPr>
          <w:rFonts w:ascii="Times New Roman;Times;serif" w:hAnsi="Times New Roman;Times;serif"/>
          <w:sz w:val="24"/>
        </w:rPr>
        <w:t xml:space="preserve">Buyer shall reimburse Seller within five Business Days for any amounts drawn under, paid pursuant to, or otherwise incurred in connection with the Seller Credit Support (other than the </w:t>
      </w:r>
      <w:r>
        <w:rPr>
          <w:rFonts w:ascii="TimesNewRomanPSMT" w:hAnsi="TimesNewRomanPSMT"/>
          <w:sz w:val="24"/>
        </w:rPr>
        <w:t>[***]</w:t>
      </w:r>
      <w:r>
        <w:rPr>
          <w:rFonts w:ascii="Times New Roman;Times;serif" w:hAnsi="Times New Roman;Times;serif"/>
          <w:sz w:val="24"/>
        </w:rPr>
        <w:t xml:space="preserve"> Bond), together with reasonable and documented related costs and expenses.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376" w:name="_Toc235205000"/>
      <w:bookmarkEnd w:id="4376"/>
      <w:r>
        <w:rPr>
          <w:rFonts w:ascii="Times New Roman;Times;serif" w:hAnsi="Times New Roman;Times;serif"/>
          <w:sz w:val="24"/>
        </w:rPr>
        <w:t xml:space="preserve">If Buyer fails to replace any Seller Credit Support (other than the </w:t>
      </w:r>
      <w:r>
        <w:rPr>
          <w:rFonts w:ascii="TimesNewRomanPSMT" w:hAnsi="TimesNewRomanPSMT"/>
          <w:sz w:val="24"/>
        </w:rPr>
        <w:t>[***]</w:t>
      </w:r>
      <w:r>
        <w:rPr>
          <w:rFonts w:ascii="Times New Roman;Times;serif" w:hAnsi="Times New Roman;Times;serif"/>
          <w:sz w:val="24"/>
        </w:rPr>
        <w:t xml:space="preserve"> Bond) by the applicable deadline set forth in subsection (a) above, in addition to, and not in replacement of, any other remedy available to it, Seller may require Buyer, within five Business Days following written request therefor, to provide cash collateral, a replacement letter of credit issued by a nationally recognized financial institution, or other security reasonably satisfactory to Seller, in an amount equal to 100% of the maximum exposure under the applicable Seller Credit Support.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377" w:name="_Toc235205001"/>
      <w:bookmarkStart w:id="4378" w:name="_Ref234457993"/>
      <w:bookmarkEnd w:id="4377"/>
      <w:bookmarkEnd w:id="4378"/>
      <w:r>
        <w:rPr>
          <w:rFonts w:ascii="Times New Roman;Times;serif" w:hAnsi="Times New Roman;Times;serif"/>
          <w:sz w:val="24"/>
        </w:rPr>
        <w:t xml:space="preserve">Buyer shall indemnify, defend and hold harmless Seller and its Affiliates from and against any and all Liabilities and Losses, arising out of, relating to or resulting from the Post-Closing provision and maintenance of the Seller Credit Support (other than the </w:t>
      </w:r>
      <w:r>
        <w:rPr>
          <w:rFonts w:ascii="TimesNewRomanPSMT" w:hAnsi="TimesNewRomanPSMT"/>
          <w:sz w:val="24"/>
        </w:rPr>
        <w:t>[***]</w:t>
      </w:r>
      <w:r>
        <w:rPr>
          <w:rFonts w:ascii="Times New Roman;Times;serif" w:hAnsi="Times New Roman;Times;serif"/>
          <w:sz w:val="24"/>
        </w:rPr>
        <w:t xml:space="preserve"> Bond) in accordance with this </w:t>
      </w:r>
      <w:r>
        <w:rPr>
          <w:rFonts w:ascii="Times New Roman;Times;serif" w:hAnsi="Times New Roman;Times;serif"/>
          <w:sz w:val="24"/>
          <w:u w:val="single"/>
        </w:rPr>
        <w:t>Section 6.20</w:t>
      </w:r>
      <w:r>
        <w:rPr>
          <w:rFonts w:ascii="Times New Roman;Times;serif" w:hAnsi="Times New Roman;Times;serif"/>
          <w:sz w:val="24"/>
        </w:rPr>
        <w:t xml:space="preserve"> by Seller and its Affiliates (other than as a result of any action willfully or negligently taken by of Seller or its Affiliates) and the breach of any of Buyer’s or its Affiliate’s obligations therewith.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4379" w:name="_Toc235205002"/>
      <w:bookmarkEnd w:id="4379"/>
      <w:r>
        <w:rPr>
          <w:rFonts w:ascii="Times New Roman;Times;serif" w:hAnsi="Times New Roman;Times;serif"/>
          <w:sz w:val="24"/>
        </w:rPr>
        <w:t xml:space="preserve">Until such time as the –[***] Litigation is fully and finally adjudicated, all amounts owing with respect thereto have been paid by the party owing such amounts, and Seller’s indemnification obligation under </w:t>
      </w:r>
      <w:r>
        <w:rPr>
          <w:rFonts w:ascii="Times New Roman;Times;serif" w:hAnsi="Times New Roman;Times;serif"/>
          <w:sz w:val="24"/>
          <w:u w:val="single"/>
        </w:rPr>
        <w:t>Section 5.2(a)(viii)</w:t>
      </w:r>
      <w:r>
        <w:rPr>
          <w:rFonts w:ascii="Times New Roman;Times;serif" w:hAnsi="Times New Roman;Times;serif"/>
          <w:sz w:val="24"/>
        </w:rPr>
        <w:t xml:space="preserve"> have been fully satisfied (or are no longer applicable due to final and non-appealable adjudication of the –[***] Litigation in favor of the Company or its applicable Subsidiary), Seller shall maintain in place (and supplement as may be required by any applicable third party or Government Entity) the </w:t>
      </w:r>
      <w:r>
        <w:rPr>
          <w:rFonts w:ascii="TimesNewRomanPSMT" w:hAnsi="TimesNewRomanPSMT"/>
          <w:sz w:val="24"/>
        </w:rPr>
        <w:t>[***]</w:t>
      </w:r>
      <w:r>
        <w:rPr>
          <w:rFonts w:ascii="Times New Roman;Times;serif" w:hAnsi="Times New Roman;Times;serif"/>
          <w:sz w:val="24"/>
        </w:rPr>
        <w:t xml:space="preserve"> Bond.</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6.21</w:t>
      </w:r>
      <w:bookmarkStart w:id="4380" w:name="_Toc235366557"/>
      <w:bookmarkStart w:id="4381" w:name="_Toc235205003"/>
      <w:bookmarkStart w:id="4382" w:name="_Toc235142740"/>
      <w:bookmarkStart w:id="4383" w:name="_Ref233667974"/>
      <w:bookmarkEnd w:id="4380"/>
      <w:bookmarkEnd w:id="4381"/>
      <w:bookmarkEnd w:id="4382"/>
      <w:bookmarkEnd w:id="4383"/>
      <w:r>
        <w:rPr>
          <w:rFonts w:ascii="Times New Roman;Times;serif" w:hAnsi="Times New Roman;Times;serif"/>
          <w:sz w:val="24"/>
          <w:u w:val="single"/>
        </w:rPr>
        <w:t>Post-Closing Misdirected Payments.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384" w:name="_Toc235205004"/>
      <w:bookmarkEnd w:id="4384"/>
      <w:r>
        <w:rPr>
          <w:rFonts w:ascii="Times New Roman;Times;serif" w:hAnsi="Times New Roman;Times;serif"/>
          <w:sz w:val="24"/>
        </w:rPr>
        <w:t>Following the Closing, if either Party or any of its Affiliates receives any cash, checks, wire transfers, refunds, credits, rebates or other funds that are the property of, or otherwise rightfully belong to, the other Party or any of its Affiliates under this Agreement or as a result of the transactions effected hereby, such receiving Party shall promptly (and in any event within ten Business Days after becoming aware thereof) remit or cause to be remitted such amounts to the Party entitled thereto.  Pending such remittance, the receiving Party shall hold such amounts for the benefit of the entitled Party and shall not exercise dominion or control over such amounts except as reasonably necessary to effect the prompt transfer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385" w:name="_Toc235205005"/>
      <w:bookmarkEnd w:id="4385"/>
      <w:r>
        <w:rPr>
          <w:rFonts w:ascii="Times New Roman;Times;serif" w:hAnsi="Times New Roman;Times;serif"/>
          <w:sz w:val="24"/>
        </w:rPr>
        <w:t>Following the Closing, if either Party or any of its Affiliates inadvertently pays any invoice, charge or other amount that is the responsibility of the other Party or any of its Affiliates solely as a result of administrative delay, transition of accounts, automatic payment arrangements, billing practices, delayed transfer of vendor accounts or other similar transition-related circumstances arising from the transactions contemplated by this Agreement (including utilities, property taxes, telecommunications services, insurance premiums, maintenance contracts and other recurring operating expenses), the paying Party shall promptly notify the other Party and provide reasonable supporting documentation.  The Party responsible for such obligation shall promptly reimburse the paying Party for the amount so paid, and in any event within ten Business Days after receipt of such notice and supporting documentation.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386" w:name="_Toc235205006"/>
      <w:bookmarkEnd w:id="4386"/>
      <w:r>
        <w:rPr>
          <w:rFonts w:ascii="Times New Roman;Times;serif" w:hAnsi="Times New Roman;Times;serif"/>
          <w:sz w:val="24"/>
        </w:rPr>
        <w:t xml:space="preserve">Without limiting the foregoing, nothing in this </w:t>
      </w:r>
      <w:r>
        <w:rPr>
          <w:rFonts w:ascii="Times New Roman;Times;serif" w:hAnsi="Times New Roman;Times;serif"/>
          <w:sz w:val="24"/>
          <w:u w:val="single"/>
        </w:rPr>
        <w:t>Section 6.21</w:t>
      </w:r>
      <w:r>
        <w:rPr>
          <w:rFonts w:ascii="Times New Roman;Times;serif" w:hAnsi="Times New Roman;Times;serif"/>
          <w:sz w:val="24"/>
        </w:rPr>
        <w:t xml:space="preserve"> shall (i) authorize either Party to knowingly or deliberately satisfy, prepay or assume any obligation of the other Party, (ii) require reimbursement for any payment knowingly or deliberately made on behalf of the other Party or their Affiliates, or (iii) alter the allocation of liabilities, obligations or expenses otherwise provided in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387" w:name="_Toc235205007"/>
      <w:bookmarkEnd w:id="4387"/>
      <w:r>
        <w:rPr>
          <w:rFonts w:ascii="Times New Roman;Times;serif" w:hAnsi="Times New Roman;Times;serif"/>
          <w:sz w:val="24"/>
          <w:u w:val="single"/>
        </w:rPr>
        <w:t>Cooperation</w:t>
      </w:r>
      <w:r>
        <w:rPr>
          <w:rFonts w:ascii="Times New Roman;Times;serif" w:hAnsi="Times New Roman;Times;serif"/>
          <w:sz w:val="24"/>
        </w:rPr>
        <w:t xml:space="preserve">.  Each Party shall reasonably cooperate with the other Party to identify, reconcile and resolve any matters arising under this </w:t>
      </w:r>
      <w:r>
        <w:rPr>
          <w:rFonts w:ascii="Times New Roman;Times;serif" w:hAnsi="Times New Roman;Times;serif"/>
          <w:sz w:val="24"/>
          <w:u w:val="single"/>
        </w:rPr>
        <w:t>Section 6.21</w:t>
      </w:r>
      <w:r>
        <w:rPr>
          <w:rFonts w:ascii="Times New Roman;Times;serif" w:hAnsi="Times New Roman;Times;serif"/>
          <w:sz w:val="24"/>
        </w:rPr>
        <w:t xml:space="preserve">, including by providing such records, invoices, payment confirmations and other information as may be reasonably requested.  The rights and obligations set forth in this </w:t>
      </w:r>
      <w:r>
        <w:rPr>
          <w:rFonts w:ascii="Times New Roman;Times;serif" w:hAnsi="Times New Roman;Times;serif"/>
          <w:sz w:val="24"/>
          <w:u w:val="single"/>
        </w:rPr>
        <w:t>Section 6.21</w:t>
      </w:r>
      <w:r>
        <w:rPr>
          <w:rFonts w:ascii="Times New Roman;Times;serif" w:hAnsi="Times New Roman;Times;serif"/>
          <w:sz w:val="24"/>
        </w:rPr>
        <w:t xml:space="preserve"> are intended solely to facilitate the prompt correction of administrative errors occurring in connection with the transactions contemplated hereby or the sale of the Business following the Closing and shall not prejudice any Party’s rights or remedies under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388" w:name="_Toc235205008"/>
      <w:bookmarkEnd w:id="4388"/>
      <w:r>
        <w:rPr>
          <w:rFonts w:ascii="Times New Roman;Times;serif" w:hAnsi="Times New Roman;Times;serif"/>
          <w:sz w:val="24"/>
        </w:rPr>
        <w:t xml:space="preserve">Each Party’s obligation to remit amounts or reimburse the other Party pursuant to this </w:t>
      </w:r>
      <w:r>
        <w:rPr>
          <w:rFonts w:ascii="Times New Roman;Times;serif" w:hAnsi="Times New Roman;Times;serif"/>
          <w:sz w:val="24"/>
          <w:u w:val="single"/>
        </w:rPr>
        <w:t>Section 6.21</w:t>
      </w:r>
      <w:r>
        <w:rPr>
          <w:rFonts w:ascii="Times New Roman;Times;serif" w:hAnsi="Times New Roman;Times;serif"/>
          <w:sz w:val="24"/>
        </w:rPr>
        <w:t xml:space="preserve"> shall be absolute and unconditional and shall not be subject to any right of setoff, recoupment, deduction, counterclaim or defense of any kind, whether arising under this Agreement, any Transaction Document or otherwise.  Any claim that a Party may have against the other Party shall be asserted separately in accordance with the terms of this Agreement and shall not delay or reduce any payment required under this </w:t>
      </w:r>
      <w:r>
        <w:rPr>
          <w:rFonts w:ascii="Times New Roman;Times;serif" w:hAnsi="Times New Roman;Times;serif"/>
          <w:sz w:val="24"/>
          <w:u w:val="single"/>
        </w:rPr>
        <w:t>Section 6.21</w:t>
      </w:r>
      <w:r>
        <w:rPr>
          <w:rFonts w:ascii="Times New Roman;Times;serif" w:hAnsi="Times New Roman;Times;serif"/>
          <w:sz w:val="24"/>
        </w:rPr>
        <w:t>.</w:t>
      </w:r>
      <w:bookmarkStart w:id="4389" w:name="_Hlk233673169"/>
      <w:bookmarkEnd w:id="4389"/>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6.22</w:t>
      </w:r>
      <w:bookmarkStart w:id="4390" w:name="_Ref233914572_1"/>
      <w:bookmarkStart w:id="4391" w:name="_Toc235366558"/>
      <w:bookmarkStart w:id="4392" w:name="_Toc235205009"/>
      <w:bookmarkStart w:id="4393" w:name="_Toc235142741"/>
      <w:bookmarkStart w:id="4394" w:name="_Ref233918344"/>
      <w:bookmarkStart w:id="4395" w:name="_Ref233915618"/>
      <w:bookmarkStart w:id="4396" w:name="_Ref233914572"/>
      <w:bookmarkEnd w:id="4390"/>
      <w:bookmarkEnd w:id="4391"/>
      <w:bookmarkEnd w:id="4392"/>
      <w:bookmarkEnd w:id="4393"/>
      <w:bookmarkEnd w:id="4394"/>
      <w:bookmarkEnd w:id="4395"/>
      <w:bookmarkEnd w:id="4396"/>
      <w:r>
        <w:rPr>
          <w:rFonts w:ascii="Times New Roman;Times;serif" w:hAnsi="Times New Roman;Times;serif"/>
          <w:sz w:val="24"/>
          <w:u w:val="single"/>
        </w:rPr>
        <w:t xml:space="preserve">Certain Retained Leases; Post-Closing Cooperation and Cost Allocation.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397" w:name="_Toc235205010"/>
      <w:bookmarkStart w:id="4398" w:name="_Ref234156111"/>
      <w:bookmarkEnd w:id="4397"/>
      <w:bookmarkEnd w:id="4398"/>
      <w:r>
        <w:rPr>
          <w:rFonts w:ascii="Times New Roman;Times;serif" w:hAnsi="Times New Roman;Times;serif"/>
          <w:sz w:val="24"/>
        </w:rPr>
        <w:t xml:space="preserve">Notwithstanding anything in this Agreement, including </w:t>
      </w:r>
      <w:r>
        <w:rPr>
          <w:rFonts w:ascii="Times New Roman;Times;serif" w:hAnsi="Times New Roman;Times;serif"/>
          <w:sz w:val="24"/>
          <w:u w:val="single"/>
        </w:rPr>
        <w:t>Exhibit B</w:t>
      </w:r>
      <w:r>
        <w:rPr>
          <w:rFonts w:ascii="Times New Roman;Times;serif" w:hAnsi="Times New Roman;Times;serif"/>
          <w:sz w:val="24"/>
        </w:rPr>
        <w:t xml:space="preserve">, if any Lease intended to be assigned to LeaseCo set forth on </w:t>
      </w:r>
      <w:r>
        <w:rPr>
          <w:rFonts w:ascii="Times New Roman;Times;serif" w:hAnsi="Times New Roman;Times;serif"/>
          <w:sz w:val="24"/>
          <w:u w:val="single"/>
        </w:rPr>
        <w:t>Schedule 6.22(a)</w:t>
      </w:r>
      <w:r>
        <w:rPr>
          <w:rFonts w:ascii="Times New Roman;Times;serif" w:hAnsi="Times New Roman;Times;serif"/>
          <w:sz w:val="24"/>
        </w:rPr>
        <w:t xml:space="preserve"> (which schedule may be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supplemented by Seller following the date hereof and prior to the Closing Date to add no more than ten additional Leases) cannot be assigned as of the Closing (each, a “</w:t>
      </w:r>
      <w:r>
        <w:rPr>
          <w:rFonts w:ascii="Times New Roman;Times;serif" w:hAnsi="Times New Roman;Times;serif"/>
          <w:sz w:val="24"/>
          <w:u w:val="single"/>
        </w:rPr>
        <w:t>Retained Lease</w:t>
      </w:r>
      <w:r>
        <w:rPr>
          <w:rFonts w:ascii="Times New Roman;Times;serif" w:hAnsi="Times New Roman;Times;serif"/>
          <w:sz w:val="24"/>
        </w:rPr>
        <w:t xml:space="preserve">”) because a required landlord consent has not been obtained, such assignment would violate applicable Law or the applicable Lease, or Buyer and Seller Guarantor mutually determine that assignment should occur after Closing, such Retained Lease shall remain in the name of the Company or one of its Subsidiaries until assigned pursuant to this </w:t>
      </w:r>
      <w:r>
        <w:rPr>
          <w:rFonts w:ascii="Times New Roman;Times;serif" w:hAnsi="Times New Roman;Times;serif"/>
          <w:sz w:val="24"/>
          <w:u w:val="single"/>
        </w:rPr>
        <w:t>Section 6.22</w:t>
      </w:r>
      <w:r>
        <w:rPr>
          <w:rFonts w:ascii="Times New Roman;Times;serif" w:hAnsi="Times New Roman;Times;serif"/>
          <w:sz w:val="24"/>
        </w:rPr>
        <w:t>.  The failure, in and of itself, to complete any such assignment of a Retained Lease prior to Closing shall not constitute a breach of this Agreement or a failure of any condition to Closing.  During the period from the Closing until such Retained Lease is validly and fully assigned to LeaseCo in accordance with this </w:t>
      </w:r>
      <w:r>
        <w:rPr>
          <w:rFonts w:ascii="Times New Roman;Times;serif" w:hAnsi="Times New Roman;Times;serif"/>
          <w:sz w:val="24"/>
          <w:u w:val="single"/>
        </w:rPr>
        <w:t>Section 6.22</w:t>
      </w:r>
      <w:r>
        <w:rPr>
          <w:rFonts w:ascii="Times New Roman;Times;serif" w:hAnsi="Times New Roman;Times;serif"/>
          <w:sz w:val="24"/>
        </w:rPr>
        <w:t>, Buyer, the Company and their respective Subsidiaries, assigns and sublessees shall be solely entitled to occupy and use the premises subject to such Retained Lease consistent with the terms of such Retained Lease.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399" w:name="_Toc235205011"/>
      <w:bookmarkEnd w:id="4399"/>
      <w:r>
        <w:rPr>
          <w:rFonts w:ascii="Times New Roman;Times;serif" w:hAnsi="Times New Roman;Times;serif"/>
          <w:sz w:val="24"/>
        </w:rPr>
        <w:t xml:space="preserve">Following Closing, Buyer and Seller Guarantor shall, and shall cause their respective Affiliates (including the Company), to cooperate in good faith and use commercially reasonable efforts to obtain all landlord consents and complete the assignment of each Retained Lease to LeaseCo, as promptly as reasonably practicable.  Seller Guarantor shall cause its applicable Affiliates (including LeaseCo) and Buyer shall cause the Company and its applicable Subsidiaries to, timely execute all landlord forms and provide such financial and operational information reasonably requested by landlords; </w:t>
      </w:r>
      <w:r>
        <w:rPr>
          <w:rFonts w:ascii="Times New Roman;Times;serif" w:hAnsi="Times New Roman;Times;serif"/>
          <w:i/>
          <w:sz w:val="24"/>
        </w:rPr>
        <w:t>provided</w:t>
      </w:r>
      <w:r>
        <w:rPr>
          <w:rFonts w:ascii="Times New Roman;Times;serif" w:hAnsi="Times New Roman;Times;serif"/>
          <w:sz w:val="24"/>
        </w:rPr>
        <w:t xml:space="preserve">, that </w:t>
      </w:r>
      <w:r>
        <w:rPr>
          <w:rFonts w:ascii="Times New Roman;Times;serif" w:hAnsi="Times New Roman;Times;serif"/>
          <w:color w:val="1B1A18"/>
          <w:sz w:val="24"/>
        </w:rPr>
        <w:t>neither Seller</w:t>
      </w:r>
      <w:r>
        <w:rPr>
          <w:rFonts w:ascii="Times New Roman;Times;serif" w:hAnsi="Times New Roman;Times;serif"/>
          <w:sz w:val="24"/>
        </w:rPr>
        <w:t xml:space="preserve"> Guarantor</w:t>
      </w:r>
      <w:r>
        <w:rPr>
          <w:rFonts w:ascii="Times New Roman;Times;serif" w:hAnsi="Times New Roman;Times;serif"/>
          <w:color w:val="1B1A18"/>
          <w:sz w:val="24"/>
        </w:rPr>
        <w:t>, Buyer, the Company nor any of their respective Subsidiaries shall be required to</w:t>
      </w:r>
      <w:r>
        <w:rPr>
          <w:rFonts w:ascii="Times New Roman;Times;serif" w:hAnsi="Times New Roman;Times;serif"/>
          <w:sz w:val="24"/>
        </w:rPr>
        <w:t xml:space="preserve"> pay additional consideration (except for any consideration that may be payable in accordance with the applicable Lease, which shall be the sole responsibility of Seller Guarantor) or accept materially adverse amendments to the applicable </w:t>
      </w:r>
      <w:r>
        <w:rPr>
          <w:rFonts w:ascii="Times New Roman;Times;serif" w:hAnsi="Times New Roman;Times;serif"/>
          <w:color w:val="1B1A18"/>
          <w:sz w:val="24"/>
        </w:rPr>
        <w:t>Retained Lease, or take any action that would reasonably be expected to impair Buyer’s, the Company’s or their respective Subsidiaries’ rights under such Retained Lease, Lease corresponding to a Closed Leased Location or this </w:t>
      </w:r>
      <w:r>
        <w:rPr>
          <w:rFonts w:ascii="Times New Roman;Times;serif" w:hAnsi="Times New Roman;Times;serif"/>
          <w:sz w:val="24"/>
          <w:u w:val="single"/>
        </w:rPr>
        <w:t>Section 6.22</w:t>
      </w:r>
      <w:r>
        <w:rPr>
          <w:rFonts w:ascii="Arial;Helvetica;sans-serif" w:hAnsi="Arial;Helvetica;sans-serif"/>
          <w:color w:val="1B1A18"/>
          <w:sz w:val="21"/>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400" w:name="_Toc235205012"/>
      <w:bookmarkStart w:id="4401" w:name="_Ref234155874"/>
      <w:bookmarkEnd w:id="4400"/>
      <w:bookmarkEnd w:id="4401"/>
      <w:r>
        <w:rPr>
          <w:rFonts w:ascii="Times New Roman;Times;serif" w:hAnsi="Times New Roman;Times;serif"/>
          <w:sz w:val="24"/>
        </w:rPr>
        <w:t xml:space="preserve">Seller Guarantor may use commercially reasonable efforts to identify a subtenant for any Retained Lease; </w:t>
      </w:r>
      <w:r>
        <w:rPr>
          <w:rFonts w:ascii="Times New Roman;Times;serif" w:hAnsi="Times New Roman;Times;serif"/>
          <w:i/>
          <w:sz w:val="24"/>
        </w:rPr>
        <w:t>provided</w:t>
      </w:r>
      <w:r>
        <w:rPr>
          <w:rFonts w:ascii="Times New Roman;Times;serif" w:hAnsi="Times New Roman;Times;serif"/>
          <w:sz w:val="24"/>
        </w:rPr>
        <w:t>, that (i) any proposed subtenant and the terms and conditions of any proposed sublease shall be subject to Buyer’s prior written approval, not to be unreasonably withheld, conditioned or delayed, and (ii) no sublease shall be executed, delivered or become effective unless and until Buyer has approved the subtenant and the sublease in writing.  For the avoidance of doubt, Buyer may consider any factor a reasonable commercial landlord would consider in evaluating a proposed subtenant, including creditworthiness, intended use, operating history and compatibility with the premises underlying the Retained Lease.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402" w:name="_Toc235205013"/>
      <w:bookmarkStart w:id="4403" w:name="_Ref234155894"/>
      <w:bookmarkEnd w:id="4402"/>
      <w:bookmarkEnd w:id="4403"/>
      <w:r>
        <w:rPr>
          <w:rFonts w:ascii="Times New Roman;Times;serif" w:hAnsi="Times New Roman;Times;serif"/>
          <w:sz w:val="24"/>
        </w:rPr>
        <w:t xml:space="preserve">From and after the Closing and continuing for the entire remaining term of each Retained Lease (including any renewal and any option term that Seller Guarantor would have been obligated to exercise had the applicable prime lease been assigned to LeaseCo and the underlying premises subleased back to the Company pursuant to an applicable New Sublease Agreement), Seller Guarantor shall pay to Buyer, no later than five Business Days prior to each date on which any installment of rent becomes due and payable, an amount equal to the full amount of such rent and other charges becoming due on such date, other than (i) any amounts that would have been due by the Company or its applicable Subsidiary to LeaseCo under a New Sublease Agreement had the applicable prime lease been assigned to LeaseCo and the underlying premises subleased back to the Company pursuant to an applicable New Sublease Agreement and (ii) the amount of rent received by the Company or its applicable Subsidiary from a tenant under a Retail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Lease for a portion of such Real Property.  Seller Guarantor’s obligation to make such payments shall be absolute and unconditional and shall not be subject to any setoff, counterclaim, defense or deduction.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404" w:name="_Toc235205014"/>
      <w:bookmarkEnd w:id="4404"/>
      <w:r>
        <w:rPr>
          <w:rFonts w:ascii="Times New Roman;Times;serif" w:hAnsi="Times New Roman;Times;serif"/>
          <w:sz w:val="24"/>
        </w:rPr>
        <w:t xml:space="preserve">Seller Guarantor’s obligation to pay rent and other charges pursuant to clause (d) shall terminate with respect to a Retained Lease solely upon the occurrence of one of the following: (i) such Retained Lease has been validly and fully assigned to LeaseCo or another Affiliate of Seller Guarantor and the Company and its Subsidiaries have been fully and unconditionally released from all obligations and liabilities thereunder; or (ii) a subtenant approved by Buyer in writing in accordance with </w:t>
      </w:r>
      <w:r>
        <w:rPr>
          <w:rFonts w:ascii="Times New Roman;Times;serif" w:hAnsi="Times New Roman;Times;serif"/>
          <w:sz w:val="24"/>
          <w:u w:val="single"/>
        </w:rPr>
        <w:t>Section 6.22(c)</w:t>
      </w:r>
      <w:r>
        <w:rPr>
          <w:rFonts w:ascii="Times New Roman;Times;serif" w:hAnsi="Times New Roman;Times;serif"/>
          <w:sz w:val="24"/>
        </w:rPr>
        <w:t xml:space="preserve"> has assumed occupancy and entered into a sublease with the Company or its applicable Subsidiary to occupy all space in the applicable property that is not utilized for the applicable Repair Shop; </w:t>
      </w:r>
      <w:r>
        <w:rPr>
          <w:rFonts w:ascii="Times New Roman;Times;serif" w:hAnsi="Times New Roman;Times;serif"/>
          <w:i/>
          <w:sz w:val="24"/>
        </w:rPr>
        <w:t>provided</w:t>
      </w:r>
      <w:r>
        <w:rPr>
          <w:rFonts w:ascii="Times New Roman;Times;serif" w:hAnsi="Times New Roman;Times;serif"/>
          <w:sz w:val="24"/>
        </w:rPr>
        <w:t xml:space="preserve">, that Seller Guarantor’s payment obligations under </w:t>
      </w:r>
      <w:r>
        <w:rPr>
          <w:rFonts w:ascii="Times New Roman;Times;serif" w:hAnsi="Times New Roman;Times;serif"/>
          <w:sz w:val="24"/>
          <w:u w:val="single"/>
        </w:rPr>
        <w:t>Section 6.22(d)</w:t>
      </w:r>
      <w:r>
        <w:rPr>
          <w:rFonts w:ascii="Times New Roman;Times;serif" w:hAnsi="Times New Roman;Times;serif"/>
          <w:sz w:val="24"/>
        </w:rPr>
        <w:t xml:space="preserve"> shall be relieved only for the duration of such sublease and upon the expiration or earlier termination of any such sublease (or any default by the subtenant in its payment obligations thereunder), Seller Guarantor’s payment obligations under </w:t>
      </w:r>
      <w:r>
        <w:rPr>
          <w:rFonts w:ascii="Times New Roman;Times;serif" w:hAnsi="Times New Roman;Times;serif"/>
          <w:sz w:val="24"/>
          <w:u w:val="single"/>
        </w:rPr>
        <w:t>Section 6.22(d)</w:t>
      </w:r>
      <w:r>
        <w:rPr>
          <w:rFonts w:ascii="Times New Roman;Times;serif" w:hAnsi="Times New Roman;Times;serif"/>
          <w:sz w:val="24"/>
        </w:rPr>
        <w:t xml:space="preserve"> shall automatically resume.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405" w:name="_Toc235205015"/>
      <w:bookmarkEnd w:id="4405"/>
      <w:r>
        <w:rPr>
          <w:rFonts w:ascii="Times New Roman;Times;serif" w:hAnsi="Times New Roman;Times;serif"/>
          <w:sz w:val="24"/>
        </w:rPr>
        <w:t>Neither Party shall unreasonably withhold, condition or delay its cooperation under this </w:t>
      </w:r>
      <w:r>
        <w:rPr>
          <w:rFonts w:ascii="Times New Roman;Times;serif" w:hAnsi="Times New Roman;Times;serif"/>
          <w:sz w:val="24"/>
          <w:u w:val="single"/>
        </w:rPr>
        <w:t>Section 6.22</w:t>
      </w:r>
      <w:r>
        <w:rPr>
          <w:rFonts w:ascii="Times New Roman;Times;serif" w:hAnsi="Times New Roman;Times;serif"/>
          <w:sz w:val="24"/>
        </w:rPr>
        <w:t>; provided, that nothing in this </w:t>
      </w:r>
      <w:r>
        <w:rPr>
          <w:rFonts w:ascii="Times New Roman;Times;serif" w:hAnsi="Times New Roman;Times;serif"/>
          <w:sz w:val="24"/>
          <w:u w:val="single"/>
        </w:rPr>
        <w:t>Section 6.22</w:t>
      </w:r>
      <w:r>
        <w:rPr>
          <w:rFonts w:ascii="Times New Roman;Times;serif" w:hAnsi="Times New Roman;Times;serif"/>
          <w:sz w:val="24"/>
        </w:rPr>
        <w:t> shall limit, waive or otherwise modify Buyer’s approval rights with respect to any proposed subtenant or sublease.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6.23</w:t>
      </w:r>
      <w:bookmarkStart w:id="4406" w:name="_Ref233853706"/>
      <w:bookmarkStart w:id="4407" w:name="_Toc235366559"/>
      <w:bookmarkStart w:id="4408" w:name="_Toc235205016"/>
      <w:bookmarkStart w:id="4409" w:name="_Toc235142742"/>
      <w:bookmarkStart w:id="4410" w:name="_Ref233915629"/>
      <w:bookmarkEnd w:id="4406"/>
      <w:bookmarkEnd w:id="4407"/>
      <w:bookmarkEnd w:id="4408"/>
      <w:bookmarkEnd w:id="4409"/>
      <w:bookmarkEnd w:id="4410"/>
      <w:r>
        <w:rPr>
          <w:rFonts w:ascii="Times New Roman;Times;serif" w:hAnsi="Times New Roman;Times;serif"/>
          <w:sz w:val="24"/>
          <w:u w:val="single"/>
        </w:rPr>
        <w:t>Seller Cooperation</w:t>
      </w:r>
      <w:r>
        <w:rPr>
          <w:rFonts w:ascii="Times New Roman;Times;serif" w:hAnsi="Times New Roman;Times;serif"/>
          <w:sz w:val="24"/>
        </w:rPr>
        <w:t>.  </w:t>
      </w:r>
      <w:bookmarkStart w:id="4411" w:name="_Toc235205017"/>
      <w:bookmarkEnd w:id="4411"/>
      <w:r>
        <w:rPr>
          <w:rFonts w:ascii="Times New Roman;Times;serif" w:hAnsi="Times New Roman;Times;serif"/>
          <w:sz w:val="24"/>
        </w:rPr>
        <w:t xml:space="preserve">Prior to the Closing, and without limitation to Buyer’s rights pursuant to </w:t>
      </w:r>
      <w:r>
        <w:rPr>
          <w:rFonts w:ascii="Times New Roman;Times;serif" w:hAnsi="Times New Roman;Times;serif"/>
          <w:sz w:val="24"/>
          <w:u w:val="single"/>
        </w:rPr>
        <w:t>Section 6.14</w:t>
      </w:r>
      <w:r>
        <w:rPr>
          <w:rFonts w:ascii="Times New Roman;Times;serif" w:hAnsi="Times New Roman;Times;serif"/>
          <w:sz w:val="24"/>
        </w:rPr>
        <w:t>, Seller Guarantor shall use reasonable best efforts to, and shall cause its Subsidiaries to use reasonable best efforts to, and use its reasonable best efforts to, deliver to Buyer (a) the unaudited consolidated balance sheet, statement of income, and statement of cash flows of the Company, as of June 30, 2026, as promptly as practicable and in no event later than 45 days after the end of such quarter.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6.24</w:t>
      </w:r>
      <w:bookmarkStart w:id="4412" w:name="_Toc235366560"/>
      <w:bookmarkStart w:id="4413" w:name="_Toc235205018"/>
      <w:bookmarkStart w:id="4414" w:name="_Toc235142743"/>
      <w:bookmarkStart w:id="4415" w:name="_Ref233927851"/>
      <w:bookmarkEnd w:id="4412"/>
      <w:bookmarkEnd w:id="4413"/>
      <w:bookmarkEnd w:id="4414"/>
      <w:bookmarkEnd w:id="4415"/>
      <w:r>
        <w:rPr>
          <w:rFonts w:ascii="Times New Roman;Times;serif" w:hAnsi="Times New Roman;Times;serif"/>
          <w:sz w:val="24"/>
          <w:u w:val="single"/>
        </w:rPr>
        <w:t>Contractual Matters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416" w:name="_Toc235205019"/>
      <w:bookmarkEnd w:id="4416"/>
      <w:r>
        <w:rPr>
          <w:rFonts w:ascii="Times New Roman;Times;serif" w:hAnsi="Times New Roman;Times;serif"/>
          <w:sz w:val="24"/>
        </w:rPr>
        <w:t>From and after the date of this Agreement and until the Closing, Seller Guarantor shall, and shall cause its Affiliates to, use commercially reasonable efforts to obtain and deliver to Buyer, as promptly as practicable and in any event no later than the Closing Date, written consents from the applicable counterparties for any Contract to which the Company or any of its Subsidiaries is a party, which contains any restriction, termination right or other adverse term, in connection with a change of control of the Company or its applicable Subsidiaries, solely to the extent Buyer requests in writing for Seller Guarantor to pursue such consent, or otherwise in connection with the transactions contemplated hereby.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417" w:name="_Ref235350958"/>
      <w:bookmarkStart w:id="4418" w:name="_Toc235205020"/>
      <w:bookmarkEnd w:id="4417"/>
      <w:bookmarkEnd w:id="4418"/>
      <w:r>
        <w:rPr>
          <w:rFonts w:ascii="Times New Roman;Times;serif" w:hAnsi="Times New Roman;Times;serif"/>
          <w:sz w:val="24"/>
        </w:rPr>
        <w:t xml:space="preserve">With respect to the Material Contract listed as the [***] contract on </w:t>
      </w:r>
      <w:r>
        <w:rPr>
          <w:rFonts w:ascii="Times New Roman;Times;serif" w:hAnsi="Times New Roman;Times;serif"/>
          <w:sz w:val="24"/>
          <w:u w:val="single"/>
        </w:rPr>
        <w:t>Schedule 3.10</w:t>
      </w:r>
      <w:r>
        <w:rPr>
          <w:rFonts w:ascii="Times New Roman;Times;serif" w:hAnsi="Times New Roman;Times;serif"/>
          <w:sz w:val="24"/>
        </w:rPr>
        <w:t xml:space="preserve">, including any subcontract thereof, including that certain [***], by and between [***] and The Pep Boys – Manny, Moe &amp; Jack, dated [***], the Parties will cooperate from and after the date of this Agreement until the Closing to terminate such Material Contract (and all statements of work and ancillary documents related thereto).  If the counterparty requires a fee or other financial concession for such termination, as between Buyer and Seller, Buyer shall be responsible for such fee, subject to Buyer’s reasonable approval.  If no such termination is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available or Buyer does not approve a required fee, the applicable Material Contract will remain in place.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r>
        <w:rPr>
          <w:rFonts w:ascii="Times New Roman;Times;serif" w:hAnsi="Times New Roman;Times;serif"/>
          <w:sz w:val="24"/>
        </w:rPr>
        <w:t>Prior to the Closing, the Seller shall ensure that all fees, costs and expenses payable by the Company and its Subsidiaries in connection with Contracts with [***] and its Affiliates are paid in full and any such amounts remaining unpaid as of immediately prior to the Closing shall be accrued as a current liability in the calculation of Net Working Capital.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6.25</w:t>
      </w:r>
      <w:bookmarkStart w:id="4419" w:name="_Toc235366561"/>
      <w:bookmarkStart w:id="4420" w:name="_Toc235205021"/>
      <w:bookmarkStart w:id="4421" w:name="_Toc235142744"/>
      <w:bookmarkStart w:id="4422" w:name="_Ref234786738"/>
      <w:bookmarkEnd w:id="4419"/>
      <w:bookmarkEnd w:id="4420"/>
      <w:bookmarkEnd w:id="4421"/>
      <w:bookmarkEnd w:id="4422"/>
      <w:r>
        <w:rPr>
          <w:rFonts w:ascii="Times New Roman;Times;serif" w:hAnsi="Times New Roman;Times;serif"/>
          <w:sz w:val="24"/>
          <w:u w:val="single"/>
        </w:rPr>
        <w:t>No Impairment</w:t>
      </w:r>
      <w:r>
        <w:rPr>
          <w:rFonts w:ascii="Times New Roman;Times;serif" w:hAnsi="Times New Roman;Times;serif"/>
          <w:sz w:val="24"/>
        </w:rPr>
        <w:t>.  For so long as Buyer Guarantor or Seller Guarantor shall have ongoing obligations hereunder or under the terms of any applicable Transaction Document, neither Buyer Guarantor nor Seller Guarantor shall directly or indirectly, take any action, by amendment of such Person’s organizational documents or through any reorganization, transfer of assets, consolidation, merger, dissolution, issue or sale of equity interests or securities, or any other voluntary action, with the intention of avoiding or seeking to avoid the observance or performance of any of the terms to be observed or performed under this Agreement or any other Transaction Documents</w:t>
      </w:r>
      <w:bookmarkStart w:id="4423" w:name="_Toc233892567"/>
      <w:bookmarkEnd w:id="4423"/>
      <w:r>
        <w:rPr>
          <w:rFonts w:ascii="Times New Roman;Times;serif" w:hAnsi="Times New Roman;Times;serif"/>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VII</w:t>
      </w:r>
      <w:bookmarkStart w:id="4424" w:name="_Ref232618916"/>
      <w:bookmarkEnd w:id="4424"/>
      <w:r>
        <w:rPr>
          <w:rFonts w:ascii="Times New Roman;Times;serif" w:hAnsi="Times New Roman;Times;serif"/>
          <w:b/>
          <w:sz w:val="24"/>
        </w:rPr>
        <w:t>​</w:t>
        <w:br/>
      </w:r>
      <w:bookmarkStart w:id="4425" w:name="_Toc235366562"/>
      <w:bookmarkStart w:id="4426" w:name="_Ref235351120"/>
      <w:bookmarkStart w:id="4427" w:name="_Toc235205022"/>
      <w:bookmarkStart w:id="4428" w:name="_Toc235142745"/>
      <w:bookmarkEnd w:id="4425"/>
      <w:bookmarkEnd w:id="4426"/>
      <w:bookmarkEnd w:id="4427"/>
      <w:bookmarkEnd w:id="4428"/>
      <w:r>
        <w:rPr>
          <w:rFonts w:ascii="Times New Roman;Times;serif" w:hAnsi="Times New Roman;Times;serif"/>
          <w:b/>
          <w:sz w:val="24"/>
        </w:rPr>
        <w:t>CONDITIONS TO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w:t>
      </w:r>
      <w:bookmarkStart w:id="4429" w:name="_Toc235366563"/>
      <w:bookmarkStart w:id="4430" w:name="_Toc235205023"/>
      <w:bookmarkStart w:id="4431" w:name="_Toc235142746"/>
      <w:bookmarkEnd w:id="4429"/>
      <w:bookmarkEnd w:id="4430"/>
      <w:bookmarkEnd w:id="4431"/>
      <w:r>
        <w:rPr>
          <w:rFonts w:ascii="Times New Roman;Times;serif" w:hAnsi="Times New Roman;Times;serif"/>
          <w:sz w:val="24"/>
          <w:u w:val="single"/>
        </w:rPr>
        <w:t>Conditions to Obligations of the Parties</w:t>
      </w:r>
      <w:r>
        <w:rPr>
          <w:rFonts w:ascii="Times New Roman;Times;serif" w:hAnsi="Times New Roman;Times;serif"/>
          <w:sz w:val="24"/>
        </w:rPr>
        <w:t>.  The obligations of each Party to consummate the transactions contemplated by this Agreement shall be subject to the fulfillment, at or prior to the Closing, of the following condition: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432" w:name="_Toc235205024"/>
      <w:bookmarkEnd w:id="4432"/>
      <w:r>
        <w:rPr>
          <w:rFonts w:ascii="Times New Roman;Times;serif" w:hAnsi="Times New Roman;Times;serif"/>
          <w:sz w:val="24"/>
        </w:rPr>
        <w:t>No Government Entity shall have enacted, issued, promulgated, enforced or entered any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7.2</w:t>
      </w:r>
      <w:bookmarkStart w:id="4433" w:name="_Ref232457129"/>
      <w:bookmarkStart w:id="4434" w:name="_Ref232457097"/>
      <w:bookmarkStart w:id="4435" w:name="_Ref232515100"/>
      <w:bookmarkStart w:id="4436" w:name="_Toc235366564"/>
      <w:bookmarkStart w:id="4437" w:name="_Toc235205025"/>
      <w:bookmarkStart w:id="4438" w:name="_Toc235142747"/>
      <w:bookmarkStart w:id="4439" w:name="_Ref232618922"/>
      <w:bookmarkStart w:id="4440" w:name="_Ref232617743"/>
      <w:bookmarkStart w:id="4441" w:name="_Ref232617727"/>
      <w:bookmarkEnd w:id="4433"/>
      <w:bookmarkEnd w:id="4434"/>
      <w:bookmarkEnd w:id="4435"/>
      <w:bookmarkEnd w:id="4436"/>
      <w:bookmarkEnd w:id="4437"/>
      <w:bookmarkEnd w:id="4438"/>
      <w:bookmarkEnd w:id="4439"/>
      <w:bookmarkEnd w:id="4440"/>
      <w:bookmarkEnd w:id="4441"/>
      <w:r>
        <w:rPr>
          <w:rFonts w:ascii="Times New Roman;Times;serif" w:hAnsi="Times New Roman;Times;serif"/>
          <w:sz w:val="24"/>
          <w:u w:val="single"/>
        </w:rPr>
        <w:t>Conditions to Obligations of Buyer</w:t>
      </w:r>
      <w:r>
        <w:rPr>
          <w:rFonts w:ascii="Times New Roman;Times;serif" w:hAnsi="Times New Roman;Times;serif"/>
          <w:sz w:val="24"/>
        </w:rPr>
        <w:t>.  The obligations of Buyer to consummate the transactions contemplated by this Agreement shall be subject to the fulfillment or Buyer’s waiver, at or prior to the Closing, of each of the following conditions: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442" w:name="_Toc235205026"/>
      <w:bookmarkStart w:id="4443" w:name="_Ref232515095"/>
      <w:bookmarkEnd w:id="4442"/>
      <w:bookmarkEnd w:id="4443"/>
      <w:r>
        <w:rPr>
          <w:rFonts w:ascii="Times New Roman;Times;serif" w:hAnsi="Times New Roman;Times;serif"/>
          <w:sz w:val="24"/>
        </w:rPr>
        <w:t xml:space="preserve">The (i) Fundamental Representations shall be true and correct in all respects at and as of the date of this Agreement and as of the Closing as though made at Closing (except those representations and warranties that address matters only as of a specified date, the accuracy of which shall be determined as of that specified date), and (ii) all other representations and warranties contained in </w:t>
      </w:r>
      <w:r>
        <w:rPr>
          <w:rFonts w:ascii="Times New Roman;Times;serif" w:hAnsi="Times New Roman;Times;serif"/>
          <w:sz w:val="24"/>
          <w:u w:val="single"/>
        </w:rPr>
        <w:t>Article III</w:t>
      </w:r>
      <w:r>
        <w:rPr>
          <w:rFonts w:ascii="Times New Roman;Times;serif" w:hAnsi="Times New Roman;Times;serif"/>
          <w:sz w:val="24"/>
        </w:rPr>
        <w:t xml:space="preserve"> (except for the Fundamental Representations) shall be true and correct in all respects (without giving effect to any limitation as to “materiality” or “Material Adverse Effect” or any similar limitation contained in this Agreement) at and as of the date of this Agreement and as of the Closing as though made at Closing (except those representations and warranties that address matters only as of a specified date, the accuracy of which shall be determined as of that specified date), except where failure would not reasonably expected to have, individually or in the aggregate,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444" w:name="_Toc235205027"/>
      <w:bookmarkEnd w:id="4444"/>
      <w:r>
        <w:rPr>
          <w:rFonts w:ascii="Times New Roman;Times;serif" w:hAnsi="Times New Roman;Times;serif"/>
          <w:sz w:val="24"/>
        </w:rPr>
        <w:t xml:space="preserve">Seller shall have received all consents, authorizations, Orders and approvals from the Government Entities referred to in </w:t>
      </w:r>
      <w:bookmarkStart w:id="4445" w:name="_Hlk232256612"/>
      <w:bookmarkEnd w:id="4445"/>
      <w:r>
        <w:rPr>
          <w:rFonts w:ascii="Times New Roman;Times;serif" w:hAnsi="Times New Roman;Times;serif"/>
          <w:sz w:val="24"/>
          <w:u w:val="single"/>
        </w:rPr>
        <w:t>Section 3.2(b)</w:t>
      </w:r>
      <w:r>
        <w:rPr>
          <w:rFonts w:ascii="Times New Roman;Times;serif" w:hAnsi="Times New Roman;Times;serif"/>
          <w:sz w:val="24"/>
        </w:rPr>
        <w:t xml:space="preserve"> of the Schedules, including the prior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written approval of the Vermont Commissioner of Financial Regulation approving the change of control of Colchester, in form and substance reasonably satisfactory to Buyer, which is not subject to any qualifications, limitations or conditions that are adverse to Buyer, the Company or any of their respective Subsidiaries, and no such consent, authorization, Order and approval shall have been revoked.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446" w:name="_Toc235205028"/>
      <w:bookmarkStart w:id="4447" w:name="_Ref232515096"/>
      <w:bookmarkEnd w:id="4446"/>
      <w:bookmarkEnd w:id="4447"/>
      <w:r>
        <w:rPr>
          <w:rFonts w:ascii="Times New Roman;Times;serif" w:hAnsi="Times New Roman;Times;serif"/>
          <w:sz w:val="24"/>
        </w:rPr>
        <w:t xml:space="preserve">Seller shall have duly performed and complied in all material respects with all agreements and covenants required by this Agreement to be performed or complied with by it prior to or on the Closing Date; </w:t>
      </w:r>
      <w:r>
        <w:rPr>
          <w:rFonts w:ascii="Times New Roman;Times;serif" w:hAnsi="Times New Roman;Times;serif"/>
          <w:i/>
          <w:sz w:val="24"/>
        </w:rPr>
        <w:t>provided</w:t>
      </w:r>
      <w:r>
        <w:rPr>
          <w:rFonts w:ascii="Times New Roman;Times;serif" w:hAnsi="Times New Roman;Times;serif"/>
          <w:sz w:val="24"/>
        </w:rPr>
        <w:t xml:space="preserve">, that, with respect to agreements and covenants that are qualified by materiality, Seller shall have performed such agreements and covenants, as so qualified, in all respects.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448" w:name="_Toc235205029"/>
      <w:bookmarkStart w:id="4449" w:name="_Ref232515097"/>
      <w:bookmarkEnd w:id="4448"/>
      <w:bookmarkEnd w:id="4449"/>
      <w:r>
        <w:rPr>
          <w:rFonts w:ascii="Times New Roman;Times;serif" w:hAnsi="Times New Roman;Times;serif"/>
          <w:sz w:val="24"/>
        </w:rPr>
        <w:t>From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450" w:name="_Toc235205030"/>
      <w:bookmarkStart w:id="4451" w:name="_Hlk232326747"/>
      <w:bookmarkEnd w:id="4450"/>
      <w:bookmarkEnd w:id="4451"/>
      <w:r>
        <w:rPr>
          <w:rFonts w:ascii="Times New Roman;Times;serif" w:hAnsi="Times New Roman;Times;serif"/>
          <w:sz w:val="24"/>
        </w:rPr>
        <w:t xml:space="preserve">The other Transaction Documents, including the Escrow Agreement and the Transition Services Agreement, shall have been executed and delivered by the parties thereto (other than Buyer) and true and complete copies thereof shall have been delivered to Buyer.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452" w:name="_Toc235205031"/>
      <w:bookmarkEnd w:id="4452"/>
      <w:r>
        <w:rPr>
          <w:rFonts w:ascii="Times New Roman;Times;serif" w:hAnsi="Times New Roman;Times;serif"/>
          <w:sz w:val="24"/>
        </w:rPr>
        <w:t>Seller shall have delivered resignations effective as of the Closing Date of all of the Company’s and its Subsidiaries’ officers and directors (or equivalent member of a governing body) (in each case, in form and substance reasonably satisfactory to Buyer).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4453" w:name="_Toc235205032"/>
      <w:bookmarkStart w:id="4454" w:name="_Ref232457913"/>
      <w:bookmarkEnd w:id="4453"/>
      <w:bookmarkEnd w:id="4454"/>
      <w:r>
        <w:rPr>
          <w:rFonts w:ascii="Times New Roman;Times;serif" w:hAnsi="Times New Roman;Times;serif"/>
          <w:sz w:val="24"/>
        </w:rPr>
        <w:t xml:space="preserve">Seller shall have delivered duly executed payoff letters and UCC-3 termination statements and other terminations, pay-offs or releases (including Intellectual Property Rights security interest releases in form and substance necessary for recordation in the United States Patent and Trademark Office, United States Copyright Office, or any other similar domestic or foreign office, department, or agency), evidencing the satisfaction in full of all outstanding Indebtedness of the Company and its Subsidiaries and the release of all Liens relating thereto (in each case, in form and substance reasonably satisfactory to Buyer), except with respect to the Tax Liens listed on </w:t>
      </w:r>
      <w:r>
        <w:rPr>
          <w:rFonts w:ascii="Times New Roman;Times;serif" w:hAnsi="Times New Roman;Times;serif"/>
          <w:sz w:val="24"/>
          <w:u w:val="single"/>
        </w:rPr>
        <w:t>Schedule 1.1(d)</w:t>
      </w:r>
      <w:r>
        <w:rPr>
          <w:rFonts w:ascii="Times New Roman;Times;serif" w:hAnsi="Times New Roman;Times;serif"/>
          <w:sz w:val="24"/>
        </w:rPr>
        <w:t>, if not released prior to the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4455" w:name="_Toc235205033"/>
      <w:bookmarkStart w:id="4456" w:name="_Hlk232323759"/>
      <w:bookmarkEnd w:id="4455"/>
      <w:bookmarkEnd w:id="4456"/>
      <w:r>
        <w:rPr>
          <w:rFonts w:ascii="Times New Roman;Times;serif" w:hAnsi="Times New Roman;Times;serif"/>
          <w:sz w:val="24"/>
        </w:rPr>
        <w:t xml:space="preserve">Seller shall have delivered evidence of the termination of all Affiliate Agreements and Affiliate Transactions (other than in connection with the Seller Credit Support, the Restructuring Documents or otherwise as set forth on </w:t>
      </w:r>
      <w:r>
        <w:rPr>
          <w:rFonts w:ascii="Times New Roman;Times;serif" w:hAnsi="Times New Roman;Times;serif"/>
          <w:sz w:val="24"/>
          <w:u w:val="single"/>
        </w:rPr>
        <w:t>Schedule 7.2(h)</w:t>
      </w:r>
      <w:r>
        <w:rPr>
          <w:rFonts w:ascii="Times New Roman;Times;serif" w:hAnsi="Times New Roman;Times;serif"/>
          <w:sz w:val="24"/>
        </w:rPr>
        <w:t>), with no surviving obligations, Liabilities or commitments of the Company or any of its Subsidiaries to Seller Guarantor or any of its Affiliates (in each case, in form and substance reasonably satisfactory to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(i)</w:t>
      </w:r>
      <w:bookmarkStart w:id="4457" w:name="_Toc235205034"/>
      <w:bookmarkEnd w:id="4457"/>
      <w:r>
        <w:rPr>
          <w:rFonts w:ascii="Times New Roman;Times;serif" w:hAnsi="Times New Roman;Times;serif"/>
          <w:sz w:val="24"/>
        </w:rPr>
        <w:t xml:space="preserve">Seller shall have delivered to Buyer evidence of consummation of the Restructuring in all respects in accordance with </w:t>
      </w:r>
      <w:r>
        <w:rPr>
          <w:rFonts w:ascii="Times New Roman;Times;serif" w:hAnsi="Times New Roman;Times;serif"/>
          <w:sz w:val="24"/>
          <w:u w:val="single"/>
        </w:rPr>
        <w:t>Exhibit B</w:t>
      </w:r>
      <w:r>
        <w:rPr>
          <w:rFonts w:ascii="Times New Roman;Times;serif" w:hAnsi="Times New Roman;Times;serif"/>
          <w:sz w:val="24"/>
        </w:rPr>
        <w:t xml:space="preserve">, </w:t>
      </w:r>
      <w:r>
        <w:rPr>
          <w:rFonts w:ascii="Times New Roman;Times;serif" w:hAnsi="Times New Roman;Times;serif"/>
          <w:sz w:val="24"/>
          <w:u w:val="single"/>
        </w:rPr>
        <w:t>Section 6.18</w:t>
      </w:r>
      <w:r>
        <w:rPr>
          <w:rFonts w:ascii="Times New Roman;Times;serif" w:hAnsi="Times New Roman;Times;serif"/>
          <w:sz w:val="24"/>
        </w:rPr>
        <w:t xml:space="preserve"> and the Restructuring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(j)</w:t>
      </w:r>
      <w:bookmarkStart w:id="4458" w:name="_Toc235205035"/>
      <w:bookmarkStart w:id="4459" w:name="_Ref232457980"/>
      <w:bookmarkStart w:id="4460" w:name="_Hlk232324140"/>
      <w:bookmarkEnd w:id="4458"/>
      <w:bookmarkEnd w:id="4459"/>
      <w:bookmarkEnd w:id="4460"/>
      <w:r>
        <w:rPr>
          <w:rFonts w:ascii="Times New Roman;Times;serif" w:hAnsi="Times New Roman;Times;serif"/>
          <w:sz w:val="24"/>
        </w:rPr>
        <w:t xml:space="preserve">Seller shall have delivered a properly completed and duly executed IRS Form W-9 of Seller (or, if Seller is a disregarded entity for U.S. federal income tax purposes,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Seller’s regarded owner for U.S. federal income tax purposes) certifying that Seller (or Seller’s regarded owner for U.S. federal income tax purposes) is not subject to backup withholding.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(k)</w:t>
      </w:r>
      <w:bookmarkStart w:id="4461" w:name="_Toc235205036"/>
      <w:bookmarkEnd w:id="4461"/>
      <w:r>
        <w:rPr>
          <w:rFonts w:ascii="Times New Roman;Times;serif" w:hAnsi="Times New Roman;Times;serif"/>
          <w:sz w:val="24"/>
        </w:rPr>
        <w:t xml:space="preserve">Seller shall have delivered each of the Lease Amendment Agreements, substantially in the form attached hereto as </w:t>
      </w:r>
      <w:r>
        <w:rPr>
          <w:rFonts w:ascii="Times New Roman;Times;serif" w:hAnsi="Times New Roman;Times;serif"/>
          <w:sz w:val="24"/>
          <w:u w:val="single"/>
        </w:rPr>
        <w:t>Exhibit I-2(a)</w:t>
      </w:r>
      <w:r>
        <w:rPr>
          <w:rFonts w:ascii="Times New Roman;Times;serif" w:hAnsi="Times New Roman;Times;serif"/>
          <w:sz w:val="24"/>
        </w:rPr>
        <w:t xml:space="preserve"> containing those applicable terms described in the definition of “Lease Amendment Agreement” hereof, and the New Sublease Agreements, substantially in the form attached hereto as </w:t>
      </w:r>
      <w:r>
        <w:rPr>
          <w:rFonts w:ascii="Times New Roman;Times;serif" w:hAnsi="Times New Roman;Times;serif"/>
          <w:sz w:val="24"/>
          <w:u w:val="single"/>
        </w:rPr>
        <w:t>Exhibit L-2(a)</w:t>
      </w:r>
      <w:r>
        <w:rPr>
          <w:rFonts w:ascii="Times New Roman;Times;serif" w:hAnsi="Times New Roman;Times;serif"/>
          <w:sz w:val="24"/>
        </w:rPr>
        <w:t xml:space="preserve">, </w:t>
      </w:r>
      <w:r>
        <w:rPr>
          <w:rFonts w:ascii="Times New Roman;Times;serif" w:hAnsi="Times New Roman;Times;serif"/>
          <w:sz w:val="24"/>
          <w:u w:val="single"/>
        </w:rPr>
        <w:t>Exhibit L-2(b)</w:t>
      </w:r>
      <w:r>
        <w:rPr>
          <w:rFonts w:ascii="Times New Roman;Times;serif" w:hAnsi="Times New Roman;Times;serif"/>
          <w:sz w:val="24"/>
        </w:rPr>
        <w:t xml:space="preserve"> or </w:t>
      </w:r>
      <w:r>
        <w:rPr>
          <w:rFonts w:ascii="Times New Roman;Times;serif" w:hAnsi="Times New Roman;Times;serif"/>
          <w:sz w:val="24"/>
          <w:u w:val="single"/>
        </w:rPr>
        <w:t>Exhibit L-2(c)</w:t>
      </w:r>
      <w:r>
        <w:rPr>
          <w:rFonts w:ascii="Times New Roman;Times;serif" w:hAnsi="Times New Roman;Times;serif"/>
          <w:sz w:val="24"/>
        </w:rPr>
        <w:t>, as applicable, containing those applicable terms described in the definition of “New Sublease Agreement” hereof, in each case, duly executed by LeaseCo and the Company or one of its Subsidiaries.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(l)</w:t>
      </w:r>
      <w:bookmarkStart w:id="4462" w:name="_Toc235205037"/>
      <w:bookmarkStart w:id="4463" w:name="_Ref232617722"/>
      <w:bookmarkEnd w:id="4462"/>
      <w:bookmarkEnd w:id="4463"/>
      <w:r>
        <w:rPr>
          <w:rFonts w:ascii="Times New Roman;Times;serif" w:hAnsi="Times New Roman;Times;serif"/>
          <w:sz w:val="24"/>
        </w:rPr>
        <w:t xml:space="preserve">Seller shall have delivered duly executed estoppel certificates from not less than [***]% of the applicable landlords under each of the Leases (in each case, in form and substance reasonably satisfactory to Buyer and otherwise in accordance with the provisions of </w:t>
      </w:r>
      <w:r>
        <w:rPr>
          <w:rFonts w:ascii="Times New Roman;Times;serif" w:hAnsi="Times New Roman;Times;serif"/>
          <w:sz w:val="24"/>
          <w:u w:val="single"/>
        </w:rPr>
        <w:t>Section 6.5(d)</w:t>
      </w:r>
      <w:r>
        <w:rPr>
          <w:rFonts w:ascii="Times New Roman;Times;serif" w:hAnsi="Times New Roman;Times;serif"/>
          <w:sz w:val="24"/>
        </w:rPr>
        <w:t xml:space="preserve">), which [***]% shall include estoppel certificate for those locations listed on </w:t>
      </w:r>
      <w:r>
        <w:rPr>
          <w:rFonts w:ascii="Times New Roman;Times;serif" w:hAnsi="Times New Roman;Times;serif"/>
          <w:sz w:val="24"/>
          <w:u w:val="single"/>
        </w:rPr>
        <w:t>Schedule 7.2(l)</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(m)</w:t>
      </w:r>
      <w:bookmarkStart w:id="4464" w:name="_Toc235205038"/>
      <w:bookmarkStart w:id="4465" w:name="_Ref232617739"/>
      <w:bookmarkEnd w:id="4464"/>
      <w:bookmarkEnd w:id="4465"/>
      <w:r>
        <w:rPr>
          <w:rFonts w:ascii="Times New Roman;Times;serif" w:hAnsi="Times New Roman;Times;serif"/>
          <w:sz w:val="24"/>
        </w:rPr>
        <w:t xml:space="preserve">Seller shall have delivered duly executed consents from </w:t>
      </w:r>
      <w:bookmarkStart w:id="4466" w:name="_Hlk232333437"/>
      <w:bookmarkEnd w:id="4466"/>
      <w:r>
        <w:rPr>
          <w:rFonts w:ascii="Times New Roman;Times;serif" w:hAnsi="Times New Roman;Times;serif"/>
          <w:sz w:val="24"/>
        </w:rPr>
        <w:t xml:space="preserve">the applicable landlords under each of the Leases for those locations listed on </w:t>
      </w:r>
      <w:r>
        <w:rPr>
          <w:rFonts w:ascii="Times New Roman;Times;serif" w:hAnsi="Times New Roman;Times;serif"/>
          <w:sz w:val="24"/>
          <w:u w:val="single"/>
        </w:rPr>
        <w:t>Schedule 7.2(m)</w:t>
      </w:r>
      <w:r>
        <w:rPr>
          <w:rFonts w:ascii="Times New Roman;Times;serif" w:hAnsi="Times New Roman;Times;serif"/>
          <w:sz w:val="24"/>
        </w:rPr>
        <w:t xml:space="preserve"> </w:t>
      </w:r>
      <w:bookmarkStart w:id="4467" w:name="_Hlk232333471"/>
      <w:bookmarkEnd w:id="4467"/>
      <w:r>
        <w:rPr>
          <w:rFonts w:ascii="Times New Roman;Times;serif" w:hAnsi="Times New Roman;Times;serif"/>
          <w:sz w:val="24"/>
        </w:rPr>
        <w:t xml:space="preserve">(in form and substance reasonably satisfactory to Buyer and otherwise in accordance with the provisions of </w:t>
      </w:r>
      <w:r>
        <w:rPr>
          <w:rFonts w:ascii="Times New Roman;Times;serif" w:hAnsi="Times New Roman;Times;serif"/>
          <w:sz w:val="24"/>
          <w:u w:val="single"/>
        </w:rPr>
        <w:t>Section 6.5(e)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(n)</w:t>
      </w:r>
      <w:bookmarkStart w:id="4468" w:name="_Toc235205039"/>
      <w:bookmarkEnd w:id="4468"/>
      <w:r>
        <w:rPr>
          <w:rFonts w:ascii="Times New Roman;Times;serif" w:hAnsi="Times New Roman;Times;serif"/>
          <w:sz w:val="24"/>
        </w:rPr>
        <w:t xml:space="preserve">At least five Business Days before Closing, Seller shall have delivered the Preliminary Closing Statement, including the Estimated Cash and Cash Equivalents, the Estimated Net Working Capital Adjustment, the Estimated Closing Indebtedness, the Estimated Unpaid Seller Expenses, the Estimated Unpaid Income Taxes, and the calculation of the Estimated Purchase Price pursuant to </w:t>
      </w:r>
      <w:r>
        <w:rPr>
          <w:rFonts w:ascii="Times New Roman;Times;serif" w:hAnsi="Times New Roman;Times;serif"/>
          <w:sz w:val="24"/>
          <w:u w:val="single"/>
        </w:rPr>
        <w:t>Section 2.3(a)</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(o)</w:t>
      </w:r>
      <w:bookmarkStart w:id="4469" w:name="_Toc235205040"/>
      <w:bookmarkEnd w:id="4469"/>
      <w:r>
        <w:rPr>
          <w:rFonts w:ascii="Times New Roman;Times;serif" w:hAnsi="Times New Roman;Times;serif"/>
          <w:sz w:val="24"/>
        </w:rPr>
        <w:t>Seller shall have delivered, certificate(s) representing all of the Company Shares, duly endorsed in blank or accompanied by stock powers or other proper instruments of assignment endorsed in blank in proper form for transfer (in form and substance reasonably satisfactory to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(p)</w:t>
      </w:r>
      <w:bookmarkStart w:id="4470" w:name="_Toc235205041"/>
      <w:bookmarkEnd w:id="4470"/>
      <w:r>
        <w:rPr>
          <w:rFonts w:ascii="Times New Roman;Times;serif" w:hAnsi="Times New Roman;Times;serif"/>
          <w:sz w:val="24"/>
        </w:rPr>
        <w:t xml:space="preserve">Seller shall have delivered evidence of termination of the Tax sharing agreements described in </w:t>
      </w:r>
      <w:r>
        <w:rPr>
          <w:rFonts w:ascii="Times New Roman;Times;serif" w:hAnsi="Times New Roman;Times;serif"/>
          <w:sz w:val="24"/>
          <w:u w:val="single"/>
        </w:rPr>
        <w:t>Section 6.1(d)</w:t>
      </w:r>
      <w:r>
        <w:rPr>
          <w:rFonts w:ascii="Times New Roman;Times;serif" w:hAnsi="Times New Roman;Times;serif"/>
          <w:sz w:val="24"/>
        </w:rPr>
        <w:t xml:space="preserve"> (in form and substance reasonably satisfactory to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(q)</w:t>
      </w:r>
      <w:bookmarkStart w:id="4471" w:name="_Toc235205042"/>
      <w:bookmarkStart w:id="4472" w:name="a58883"/>
      <w:bookmarkEnd w:id="4471"/>
      <w:bookmarkEnd w:id="4472"/>
      <w:r>
        <w:rPr>
          <w:rFonts w:ascii="Times New Roman;Times;serif" w:hAnsi="Times New Roman;Times;serif"/>
          <w:sz w:val="24"/>
        </w:rPr>
        <w:t xml:space="preserve">Buyer shall have received a certificate of the Secretary (or equivalent officer) of Seller certifying that attached thereto are true and complete copies of all resolutions adopted by the Board of Directors of Seller authorizing the execution, delivery and performance of this Agreement </w:t>
      </w:r>
      <w:bookmarkStart w:id="4473" w:name="_Hlk232309439"/>
      <w:bookmarkEnd w:id="4473"/>
      <w:r>
        <w:rPr>
          <w:rFonts w:ascii="Times New Roman;Times;serif" w:hAnsi="Times New Roman;Times;serif"/>
          <w:sz w:val="24"/>
        </w:rPr>
        <w:t>and the other Transaction Documents to which it is a party and the consummation of the transactions contemplated hereby and thereby, and that all such resolutions are in full force and effect and are all the resolutions adopted in connection with the transactions contemplated hereby and thereby.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(r)</w:t>
      </w:r>
      <w:bookmarkStart w:id="4474" w:name="_Toc235205043"/>
      <w:bookmarkStart w:id="4475" w:name="a753169"/>
      <w:bookmarkEnd w:id="4474"/>
      <w:bookmarkEnd w:id="4475"/>
      <w:r>
        <w:rPr>
          <w:rFonts w:ascii="Times New Roman;Times;serif" w:hAnsi="Times New Roman;Times;serif"/>
          <w:sz w:val="24"/>
        </w:rPr>
        <w:t>Buyer shall have received a certificate of the Secretary (or equivalent officer) of Seller certifying the names and signatures of the Persons of Seller authorized to sign this Agreement, the other Transaction Documents to which it is a party, and the other documents to be delivered hereunder and thereunder.</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(s)</w:t>
      </w:r>
      <w:bookmarkStart w:id="4476" w:name="_Toc235205044"/>
      <w:bookmarkStart w:id="4477" w:name="_9kR3WTr29A66EIDlf1uns34k1J4poq6ME120tBG"/>
      <w:bookmarkStart w:id="4478" w:name="_Ref138555389"/>
      <w:bookmarkEnd w:id="4476"/>
      <w:bookmarkEnd w:id="4477"/>
      <w:bookmarkEnd w:id="4478"/>
      <w:r>
        <w:rPr>
          <w:rFonts w:ascii="Times New Roman;Times;serif" w:hAnsi="Times New Roman;Times;serif"/>
          <w:sz w:val="24"/>
        </w:rPr>
        <w:t xml:space="preserve">Seller shall have delivered an executed certificate in form and substance reasonably acceptable to </w:t>
      </w:r>
      <w:bookmarkStart w:id="4479" w:name="_9kMPDM6ZWu4ABBHELNH2w"/>
      <w:bookmarkEnd w:id="4479"/>
      <w:r>
        <w:rPr>
          <w:rFonts w:ascii="Times New Roman;Times;serif" w:hAnsi="Times New Roman;Times;serif"/>
          <w:sz w:val="24"/>
        </w:rPr>
        <w:t xml:space="preserve">Buyer and executed by an authorized officer of Seller that each of the conditions set forth in </w:t>
      </w:r>
      <w:r>
        <w:rPr>
          <w:rFonts w:ascii="Times New Roman;Times;serif" w:hAnsi="Times New Roman;Times;serif"/>
          <w:sz w:val="24"/>
          <w:u w:val="single"/>
        </w:rPr>
        <w:t>Section 7.2(a)</w:t>
      </w:r>
      <w:r>
        <w:rPr>
          <w:rFonts w:ascii="Times New Roman;Times;serif" w:hAnsi="Times New Roman;Times;serif"/>
          <w:sz w:val="24"/>
        </w:rPr>
        <w:t xml:space="preserve">, </w:t>
      </w:r>
      <w:r>
        <w:rPr>
          <w:rFonts w:ascii="Times New Roman;Times;serif" w:hAnsi="Times New Roman;Times;serif"/>
          <w:sz w:val="24"/>
          <w:u w:val="single"/>
        </w:rPr>
        <w:t>Section 7.2(c)</w:t>
      </w:r>
      <w:r>
        <w:rPr>
          <w:rFonts w:ascii="Times New Roman;Times;serif" w:hAnsi="Times New Roman;Times;serif"/>
          <w:sz w:val="24"/>
        </w:rPr>
        <w:t xml:space="preserve"> and </w:t>
      </w:r>
      <w:r>
        <w:rPr>
          <w:rFonts w:ascii="Times New Roman;Times;serif" w:hAnsi="Times New Roman;Times;serif"/>
          <w:sz w:val="24"/>
          <w:u w:val="single"/>
        </w:rPr>
        <w:t>Section 7.2(d)</w:t>
      </w:r>
      <w:r>
        <w:rPr>
          <w:rFonts w:ascii="Times New Roman;Times;serif" w:hAnsi="Times New Roman;Times;serif"/>
          <w:sz w:val="24"/>
        </w:rPr>
        <w:t xml:space="preserve"> has been satisfied.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(t)</w:t>
      </w:r>
      <w:bookmarkStart w:id="4480" w:name="_Toc235205045"/>
      <w:bookmarkEnd w:id="4480"/>
      <w:r>
        <w:rPr>
          <w:rFonts w:ascii="Times New Roman;Times;serif" w:hAnsi="Times New Roman;Times;serif"/>
          <w:sz w:val="24"/>
        </w:rPr>
        <w:t>Seller shall have delivered four electronic copies of the Data Room as in effect as of 12:01 a.m., Eastern Time, on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(u)</w:t>
      </w:r>
      <w:bookmarkStart w:id="4481" w:name="_Toc235205046"/>
      <w:bookmarkEnd w:id="4481"/>
      <w:r>
        <w:rPr>
          <w:rFonts w:ascii="Times New Roman;Times;serif" w:hAnsi="Times New Roman;Times;serif"/>
          <w:sz w:val="24"/>
        </w:rPr>
        <w:t xml:space="preserve">From the date of this Agreement, there shall not have occurred (and no event, circumstance or condition shall have arisen that, with or without notice, lapse of time or both, would reasonably be expected to result in) a Lease Default Event with respect to </w:t>
      </w:r>
      <w:r>
        <w:rPr>
          <w:rFonts w:ascii="TimesNewRomanPSMT" w:hAnsi="TimesNewRomanPSMT"/>
          <w:sz w:val="24"/>
        </w:rPr>
        <w:t>[***]</w:t>
      </w:r>
      <w:r>
        <w:rPr>
          <w:rFonts w:ascii="Times New Roman;Times;serif" w:hAnsi="Times New Roman;Times;serif"/>
          <w:sz w:val="24"/>
        </w:rPr>
        <w:t xml:space="preserve"> or more of the Leases.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(v)</w:t>
      </w:r>
      <w:bookmarkStart w:id="4482" w:name="_Toc235205047"/>
      <w:bookmarkEnd w:id="4482"/>
      <w:r>
        <w:rPr>
          <w:rFonts w:ascii="Times New Roman;Times;serif" w:hAnsi="Times New Roman;Times;serif"/>
          <w:sz w:val="24"/>
        </w:rPr>
        <w:t>Seller shall have delivered to Buyer true, correct and complete copies of the fully executed amendment and restatement of the Colchester Note, together with such other evidence as Buyer may reasonably request confirming that such amendment and restatement has become effective in accordance with its terms (in each case, in form and substance reasonably satisfactory to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(w)</w:t>
      </w:r>
      <w:bookmarkStart w:id="4483" w:name="_Toc235205048"/>
      <w:bookmarkEnd w:id="4483"/>
      <w:r>
        <w:rPr>
          <w:rFonts w:ascii="Times New Roman;Times;serif" w:hAnsi="Times New Roman;Times;serif"/>
          <w:sz w:val="24"/>
        </w:rPr>
        <w:t xml:space="preserve">Seller shall have delivered evidence of the termination of the Leases set forth on </w:t>
      </w:r>
      <w:r>
        <w:rPr>
          <w:rFonts w:ascii="Times New Roman;Times;serif" w:hAnsi="Times New Roman;Times;serif"/>
          <w:sz w:val="24"/>
          <w:u w:val="single"/>
        </w:rPr>
        <w:t>Exhibit I-1</w:t>
      </w:r>
      <w:r>
        <w:rPr>
          <w:rFonts w:ascii="Times New Roman;Times;serif" w:hAnsi="Times New Roman;Times;serif"/>
          <w:sz w:val="24"/>
        </w:rPr>
        <w:t xml:space="preserve"> to this Agreement indicating a term length of zero years with no further Liability to the Company or any of its Subsidiaries (in form and substance reasonably satisfactory to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(x)</w:t>
      </w:r>
      <w:r>
        <w:rPr>
          <w:rFonts w:ascii="Times New Roman;Times;serif" w:hAnsi="Times New Roman;Times;serif"/>
          <w:sz w:val="24"/>
        </w:rPr>
        <w:t>With respect to any Repair Shop with respect to which, prior to the Closing Date, Seller Guarantor or any of its Affiliates has entered into a definitive agreement to purchase the underlying real property or has purchased the underlying real property, if Buyer elects in its sole discretion, Seller shall have delivered a duly executed new lease in a form consistent with the Leases for which an Affiliate of Seller is the landlord, as modified by the form of Lease Amendment Agreement (including [***] duration),  containing the rent due under the existing lease for the applicable site and the other specific terms applicable to such property (e.g., super center or service center and, if a super center, separately demised or not).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(y)</w:t>
      </w:r>
      <w:bookmarkStart w:id="4484" w:name="_Toc235205049"/>
      <w:bookmarkEnd w:id="4484"/>
      <w:r>
        <w:rPr>
          <w:rFonts w:ascii="Times New Roman;Times;serif" w:hAnsi="Times New Roman;Times;serif"/>
          <w:sz w:val="24"/>
        </w:rPr>
        <w:t>Seller shall have delivered to Buyer such other documents or instruments as Buyer reasonably requests and are reasonably necessary to consummate the transactions contemplated by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7.3</w:t>
      </w:r>
      <w:bookmarkStart w:id="4485" w:name="_Toc235366565"/>
      <w:bookmarkStart w:id="4486" w:name="_Toc235205050"/>
      <w:bookmarkStart w:id="4487" w:name="_Toc235142748"/>
      <w:bookmarkStart w:id="4488" w:name="_Ref232515215"/>
      <w:bookmarkStart w:id="4489" w:name="_Ref232515211"/>
      <w:bookmarkStart w:id="4490" w:name="_Ref232515207"/>
      <w:bookmarkStart w:id="4491" w:name="_Toc232582314"/>
      <w:bookmarkStart w:id="4492" w:name="_Toc232582166"/>
      <w:bookmarkEnd w:id="4485"/>
      <w:bookmarkEnd w:id="4486"/>
      <w:bookmarkEnd w:id="4487"/>
      <w:bookmarkEnd w:id="4488"/>
      <w:bookmarkEnd w:id="4489"/>
      <w:bookmarkEnd w:id="4490"/>
      <w:bookmarkEnd w:id="4491"/>
      <w:bookmarkEnd w:id="4492"/>
      <w:r>
        <w:rPr>
          <w:rFonts w:ascii="Times New Roman;Times;serif" w:hAnsi="Times New Roman;Times;serif"/>
          <w:sz w:val="24"/>
          <w:u w:val="single"/>
        </w:rPr>
        <w:t>Conditions to Obligations of Seller</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493" w:name="_Toc235205051"/>
      <w:bookmarkStart w:id="4494" w:name="_Ref232515204"/>
      <w:bookmarkEnd w:id="4493"/>
      <w:bookmarkEnd w:id="4494"/>
      <w:r>
        <w:rPr>
          <w:rFonts w:ascii="Times New Roman;Times;serif" w:hAnsi="Times New Roman;Times;serif"/>
          <w:sz w:val="24"/>
        </w:rPr>
        <w:t xml:space="preserve">The representations and warranties contained in </w:t>
      </w:r>
      <w:r>
        <w:rPr>
          <w:rFonts w:ascii="Times New Roman;Times;serif" w:hAnsi="Times New Roman;Times;serif"/>
          <w:sz w:val="24"/>
          <w:u w:val="single"/>
        </w:rPr>
        <w:t>Article IV</w:t>
      </w:r>
      <w:r>
        <w:rPr>
          <w:rFonts w:ascii="Times New Roman;Times;serif" w:hAnsi="Times New Roman;Times;serif"/>
          <w:sz w:val="24"/>
        </w:rPr>
        <w:t xml:space="preserve"> shall be true and correct at Closing as though made at Closing (except those representations and warranties that address matters only as of a specified date, the accuracy of which shall be determined as of that specified date in all respects), except where failure would not reasonably expected to have, individually or in the aggregate,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495" w:name="_Toc235205052"/>
      <w:bookmarkStart w:id="4496" w:name="_Ref232515212"/>
      <w:bookmarkEnd w:id="4495"/>
      <w:bookmarkEnd w:id="4496"/>
      <w:r>
        <w:rPr>
          <w:rFonts w:ascii="Times New Roman;Times;serif" w:hAnsi="Times New Roman;Times;serif"/>
          <w:sz w:val="24"/>
        </w:rPr>
        <w:t xml:space="preserve">Seller shall have received all consents, authorizations, Orders and approvals from the Government Entities referred to in </w:t>
      </w:r>
      <w:r>
        <w:rPr>
          <w:rFonts w:ascii="Times New Roman;Times;serif" w:hAnsi="Times New Roman;Times;serif"/>
          <w:sz w:val="24"/>
          <w:u w:val="single"/>
        </w:rPr>
        <w:t>Section 4.2(b)</w:t>
      </w:r>
      <w:r>
        <w:rPr>
          <w:rFonts w:ascii="Times New Roman;Times;serif" w:hAnsi="Times New Roman;Times;serif"/>
          <w:sz w:val="24"/>
        </w:rPr>
        <w:t xml:space="preserve"> of the Schedules, in form and substance reasonably satisfactory to Seller, and no such consent, authorization, Order and approval shall have been revoked.</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497" w:name="_Toc235205053"/>
      <w:bookmarkStart w:id="4498" w:name="_Ref232515219"/>
      <w:bookmarkEnd w:id="4497"/>
      <w:bookmarkEnd w:id="4498"/>
      <w:r>
        <w:rPr>
          <w:rFonts w:ascii="Times New Roman;Times;serif" w:hAnsi="Times New Roman;Times;serif"/>
          <w:sz w:val="24"/>
        </w:rPr>
        <w:t xml:space="preserve">Buyer shall have duly performed and complied in all material respects with all agreements and covenants required by this Agreement to be performed or complied with by it prior to or on the Closing Date; </w:t>
      </w:r>
      <w:r>
        <w:rPr>
          <w:rFonts w:ascii="Times New Roman;Times;serif" w:hAnsi="Times New Roman;Times;serif"/>
          <w:i/>
          <w:sz w:val="24"/>
        </w:rPr>
        <w:t>provided</w:t>
      </w:r>
      <w:r>
        <w:rPr>
          <w:rFonts w:ascii="Times New Roman;Times;serif" w:hAnsi="Times New Roman;Times;serif"/>
          <w:sz w:val="24"/>
        </w:rPr>
        <w:t>, that, with respect to agreements and covenants that are qualified by materiality, Buyer shall have performed such agreements and covenants, as so qualified, in all respects.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499" w:name="_Toc235205054"/>
      <w:bookmarkEnd w:id="4499"/>
      <w:r>
        <w:rPr>
          <w:rFonts w:ascii="Times New Roman;Times;serif" w:hAnsi="Times New Roman;Times;serif"/>
          <w:sz w:val="24"/>
        </w:rPr>
        <w:t xml:space="preserve">Buyer shall deliver, or cause the delivery, to Seller the Payment of the Estimated Purchase Price and the other amounts specified in </w:t>
      </w:r>
      <w:r>
        <w:rPr>
          <w:rFonts w:ascii="Times New Roman;Times;serif" w:hAnsi="Times New Roman;Times;serif"/>
          <w:sz w:val="24"/>
          <w:u w:val="single"/>
        </w:rPr>
        <w:t>Section 2.3(b)</w:t>
      </w:r>
      <w:r>
        <w:rPr>
          <w:rFonts w:ascii="Times New Roman;Times;serif" w:hAnsi="Times New Roman;Times;serif"/>
          <w:sz w:val="24"/>
        </w:rPr>
        <w:t xml:space="preserve"> in accordance with the provisions set forth in </w:t>
      </w:r>
      <w:r>
        <w:rPr>
          <w:rFonts w:ascii="Times New Roman;Times;serif" w:hAnsi="Times New Roman;Times;serif"/>
          <w:sz w:val="24"/>
          <w:u w:val="single"/>
        </w:rPr>
        <w:t>Section 2.3(b)</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500" w:name="_Toc235205055"/>
      <w:bookmarkEnd w:id="4500"/>
      <w:r>
        <w:rPr>
          <w:rFonts w:ascii="Times New Roman;Times;serif" w:hAnsi="Times New Roman;Times;serif"/>
          <w:sz w:val="24"/>
        </w:rPr>
        <w:t>Buyer shall provide evidence of the fully bound R&amp;W Insurance Policy.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501" w:name="_Toc235205056"/>
      <w:bookmarkEnd w:id="4501"/>
      <w:r>
        <w:rPr>
          <w:rFonts w:ascii="Times New Roman;Times;serif" w:hAnsi="Times New Roman;Times;serif"/>
          <w:sz w:val="24"/>
        </w:rPr>
        <w:t>The other Transaction Documents, including the Escrow Agreement and the Transition Services Agreement, shall have been executed and delivered by the parties thereto (other than Seller and its Affiliates (including the Company and its Subsidiaries) and any other party to any Restructuring Document) and true and complete copies thereof shall have been delivered to Seller.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4502" w:name="_Toc235205057"/>
      <w:bookmarkEnd w:id="4502"/>
      <w:r>
        <w:rPr>
          <w:rFonts w:ascii="Times New Roman;Times;serif" w:hAnsi="Times New Roman;Times;serif"/>
          <w:sz w:val="24"/>
        </w:rPr>
        <w:t xml:space="preserve">an executed certificate in form and substance reasonably acceptable to Seller and executed by an authorized officer of Buyer that each of the conditions set forth in </w:t>
      </w:r>
      <w:r>
        <w:rPr>
          <w:rFonts w:ascii="Times New Roman;Times;serif" w:hAnsi="Times New Roman;Times;serif"/>
          <w:sz w:val="24"/>
          <w:u w:val="single"/>
        </w:rPr>
        <w:t>Section 7.3(a)</w:t>
      </w:r>
      <w:r>
        <w:rPr>
          <w:rFonts w:ascii="Times New Roman;Times;serif" w:hAnsi="Times New Roman;Times;serif"/>
          <w:sz w:val="24"/>
        </w:rPr>
        <w:t xml:space="preserve"> and </w:t>
      </w:r>
      <w:r>
        <w:rPr>
          <w:rFonts w:ascii="Times New Roman;Times;serif" w:hAnsi="Times New Roman;Times;serif"/>
          <w:sz w:val="24"/>
          <w:u w:val="single"/>
        </w:rPr>
        <w:t>7.3(c)</w:t>
      </w:r>
      <w:r>
        <w:rPr>
          <w:rFonts w:ascii="Times New Roman;Times;serif" w:hAnsi="Times New Roman;Times;serif"/>
          <w:sz w:val="24"/>
        </w:rPr>
        <w:t xml:space="preserve"> has been satisfied.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4503" w:name="_Toc235205058"/>
      <w:bookmarkEnd w:id="4503"/>
      <w:r>
        <w:rPr>
          <w:rFonts w:ascii="Times New Roman;Times;serif" w:hAnsi="Times New Roman;Times;serif"/>
          <w:sz w:val="24"/>
        </w:rPr>
        <w:t>Buyer shall have delivered to Seller such other documents or instruments as Seller reasonably requests and are reasonably necessary to consummate the transactions contemplated by this Agreement.</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VIII</w:t>
      </w:r>
      <w:r>
        <w:rPr>
          <w:rFonts w:ascii="Times New Roman;Times;serif" w:hAnsi="Times New Roman;Times;serif"/>
          <w:b/>
          <w:sz w:val="24"/>
        </w:rPr>
        <w:t>​</w:t>
        <w:br/>
      </w:r>
      <w:bookmarkStart w:id="4504" w:name="_Toc235366566"/>
      <w:bookmarkStart w:id="4505" w:name="_Toc235205059"/>
      <w:bookmarkStart w:id="4506" w:name="_Toc235142749"/>
      <w:bookmarkEnd w:id="4504"/>
      <w:bookmarkEnd w:id="4505"/>
      <w:bookmarkEnd w:id="4506"/>
      <w:r>
        <w:rPr>
          <w:rFonts w:ascii="Times New Roman;Times;serif" w:hAnsi="Times New Roman;Times;serif"/>
          <w:b/>
          <w:sz w:val="24"/>
        </w:rPr>
        <w:t>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8.1</w:t>
      </w:r>
      <w:bookmarkStart w:id="4507" w:name="_Hlk232315806"/>
      <w:bookmarkStart w:id="4508" w:name="_Toc235366567"/>
      <w:bookmarkStart w:id="4509" w:name="_Toc235205060"/>
      <w:bookmarkStart w:id="4510" w:name="_Toc235142750"/>
      <w:bookmarkStart w:id="4511" w:name="_Ref232518759"/>
      <w:bookmarkStart w:id="4512" w:name="_Ref232517350"/>
      <w:bookmarkStart w:id="4513" w:name="_Ref232516865"/>
      <w:bookmarkStart w:id="4514" w:name="_Ref232515866"/>
      <w:bookmarkEnd w:id="4507"/>
      <w:bookmarkEnd w:id="4508"/>
      <w:bookmarkEnd w:id="4509"/>
      <w:bookmarkEnd w:id="4510"/>
      <w:bookmarkEnd w:id="4511"/>
      <w:bookmarkEnd w:id="4512"/>
      <w:bookmarkEnd w:id="4513"/>
      <w:bookmarkEnd w:id="4514"/>
      <w:r>
        <w:rPr>
          <w:rFonts w:ascii="Times New Roman;Times;serif" w:hAnsi="Times New Roman;Times;serif"/>
          <w:sz w:val="24"/>
          <w:u w:val="single"/>
        </w:rPr>
        <w:t>Termination</w:t>
      </w:r>
      <w:r>
        <w:rPr>
          <w:rFonts w:ascii="Times New Roman;Times;serif" w:hAnsi="Times New Roman;Times;serif"/>
          <w:sz w:val="24"/>
        </w:rPr>
        <w:t>.  This Agreement only may be terminated at any time prior to the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515" w:name="_Toc235205061"/>
      <w:bookmarkStart w:id="4516" w:name="_Ref232459277"/>
      <w:bookmarkEnd w:id="4515"/>
      <w:bookmarkEnd w:id="4516"/>
      <w:r>
        <w:rPr>
          <w:rFonts w:ascii="Times New Roman;Times;serif" w:hAnsi="Times New Roman;Times;serif"/>
          <w:sz w:val="24"/>
        </w:rPr>
        <w:t xml:space="preserve">by the mutual written consent of Seller and Buyer;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517" w:name="_Toc235205062"/>
      <w:bookmarkStart w:id="4518" w:name="_Ref232459285"/>
      <w:bookmarkEnd w:id="4517"/>
      <w:bookmarkEnd w:id="4518"/>
      <w:r>
        <w:rPr>
          <w:rFonts w:ascii="Times New Roman;Times;serif" w:hAnsi="Times New Roman;Times;serif"/>
          <w:sz w:val="24"/>
        </w:rPr>
        <w:t xml:space="preserve">by Buyer by written notice to Seller if Buyer is not then in material breach of any provision of this Agreement and (i) there has been a breach, inaccuracy in or failure to perform any representation, warranty, covenant or agreement made by Seller pursuant to this Agreement that would give rise to the failure of any of the conditions to the obligations of Buyer specified in </w:t>
      </w:r>
      <w:r>
        <w:rPr>
          <w:rFonts w:ascii="Times New Roman;Times;serif" w:hAnsi="Times New Roman;Times;serif"/>
          <w:sz w:val="24"/>
          <w:u w:val="single"/>
        </w:rPr>
        <w:t>Article VII</w:t>
      </w:r>
      <w:r>
        <w:rPr>
          <w:rFonts w:ascii="Times New Roman;Times;serif" w:hAnsi="Times New Roman;Times;serif"/>
          <w:sz w:val="24"/>
        </w:rPr>
        <w:t xml:space="preserve"> and such breach, inaccuracy or failure has not been cured by Seller within 15 days of Seller’s receipt of such written notice of breach from Buyer, and in any event prior to the Outside Date, (ii) Seller fails to consummate the Closing within five Business Days following the date the Closing was required to occur pursuant to this Agreement and Buyer was ready, willing and able to consummate the Closing, or (iii) Seller repudiates this Agreement (and does not legally retract such repudiation); </w:t>
      </w:r>
      <w:r>
        <w:rPr>
          <w:rFonts w:ascii="Times New Roman;Times;serif" w:hAnsi="Times New Roman;Times;serif"/>
          <w:i/>
          <w:sz w:val="24"/>
        </w:rPr>
        <w:t>provided</w:t>
      </w:r>
      <w:r>
        <w:rPr>
          <w:rFonts w:ascii="Times New Roman;Times;serif" w:hAnsi="Times New Roman;Times;serif"/>
          <w:sz w:val="24"/>
        </w:rPr>
        <w:t xml:space="preserve">, that a valid termination of this Agreement by Seller pursuant to </w:t>
      </w:r>
      <w:r>
        <w:rPr>
          <w:rFonts w:ascii="Times New Roman;Times;serif" w:hAnsi="Times New Roman;Times;serif"/>
          <w:sz w:val="24"/>
          <w:u w:val="single"/>
        </w:rPr>
        <w:t>Section 8.1</w:t>
      </w:r>
      <w:r>
        <w:rPr>
          <w:rFonts w:ascii="Times New Roman;Times;serif" w:hAnsi="Times New Roman;Times;serif"/>
          <w:sz w:val="24"/>
        </w:rPr>
        <w:t xml:space="preserve"> or any other communications regarding such a termination or any other discussion regarding the transactions contemplated hereby that does not legally constitute a repudiation of this Agreement in violation of its terms, shall not be deemed a repudiation of this Agreement;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519" w:name="_Ref232459300"/>
      <w:bookmarkStart w:id="4520" w:name="_Toc235205063"/>
      <w:bookmarkStart w:id="4521" w:name="_Ref232516626"/>
      <w:bookmarkEnd w:id="4519"/>
      <w:bookmarkEnd w:id="4520"/>
      <w:bookmarkEnd w:id="4521"/>
      <w:r>
        <w:rPr>
          <w:rFonts w:ascii="Times New Roman;Times;serif" w:hAnsi="Times New Roman;Times;serif"/>
          <w:sz w:val="24"/>
        </w:rPr>
        <w:t xml:space="preserve">by Seller by written notice to Buyer if Seller is not then in material breach of any provision of this Agreement and (i) there has been a breach, inaccuracy in or failure to perform any representation, warranty, covenant or agreement made by Buyer pursuant to this Agreement that would give rise to the failure of any of the conditions to the obligations of Seller specified in </w:t>
      </w:r>
      <w:r>
        <w:rPr>
          <w:rFonts w:ascii="Times New Roman;Times;serif" w:hAnsi="Times New Roman;Times;serif"/>
          <w:sz w:val="24"/>
          <w:u w:val="single"/>
        </w:rPr>
        <w:t>Article VII</w:t>
      </w:r>
      <w:r>
        <w:rPr>
          <w:rFonts w:ascii="Times New Roman;Times;serif" w:hAnsi="Times New Roman;Times;serif"/>
          <w:sz w:val="24"/>
        </w:rPr>
        <w:t xml:space="preserve"> and such breach, inaccuracy or failure has not been cured by Buyer within 15 days of Buyer’s receipt of written notice of such breach from Seller, and in any event prior to the Outside Date, (ii) Buyer fails to consummate the Closing within five Business Days following the date the Closing was required to occur pursuant to this Agreement and Seller was ready, willing and able to consummate the Closing, or (iii) Buyer repudiates this Agreement (and does not legally retract such repudiation); </w:t>
      </w:r>
      <w:r>
        <w:rPr>
          <w:rFonts w:ascii="Times New Roman;Times;serif" w:hAnsi="Times New Roman;Times;serif"/>
          <w:i/>
          <w:sz w:val="24"/>
        </w:rPr>
        <w:t>provided</w:t>
      </w:r>
      <w:r>
        <w:rPr>
          <w:rFonts w:ascii="Times New Roman;Times;serif" w:hAnsi="Times New Roman;Times;serif"/>
          <w:sz w:val="24"/>
        </w:rPr>
        <w:t xml:space="preserve">, that a valid termination of this Agreement by Buyer pursuant to </w:t>
      </w:r>
      <w:r>
        <w:rPr>
          <w:rFonts w:ascii="Times New Roman;Times;serif" w:hAnsi="Times New Roman;Times;serif"/>
          <w:sz w:val="24"/>
          <w:u w:val="single"/>
        </w:rPr>
        <w:t>Section 8.1</w:t>
      </w:r>
      <w:r>
        <w:rPr>
          <w:rFonts w:ascii="Times New Roman;Times;serif" w:hAnsi="Times New Roman;Times;serif"/>
          <w:sz w:val="24"/>
        </w:rPr>
        <w:t xml:space="preserve"> or any other communications regarding such a termination or any other discussion regarding the transactions contemplated hereby that does not legally constitute a repudiation of this Agreement in violation of its terms, shall not be deemed a repudiation of this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522" w:name="_Toc235205064"/>
      <w:bookmarkStart w:id="4523" w:name="_Ref232515868"/>
      <w:bookmarkEnd w:id="4522"/>
      <w:bookmarkEnd w:id="4523"/>
      <w:r>
        <w:rPr>
          <w:rFonts w:ascii="Times New Roman;Times;serif" w:hAnsi="Times New Roman;Times;serif"/>
          <w:sz w:val="24"/>
        </w:rPr>
        <w:t xml:space="preserve">by </w:t>
      </w:r>
      <w:bookmarkStart w:id="4524" w:name="_Ref29065309"/>
      <w:bookmarkEnd w:id="4524"/>
      <w:r>
        <w:rPr>
          <w:rFonts w:ascii="Times New Roman;Times;serif" w:hAnsi="Times New Roman;Times;serif"/>
          <w:sz w:val="24"/>
        </w:rPr>
        <w:t xml:space="preserve">Buyer or Seller by written notice to the other, if the Closing does not occur by the Outside Date; </w:t>
      </w:r>
      <w:r>
        <w:rPr>
          <w:rFonts w:ascii="Times New Roman;Times;serif" w:hAnsi="Times New Roman;Times;serif"/>
          <w:i/>
          <w:sz w:val="24"/>
        </w:rPr>
        <w:t>provided,</w:t>
      </w:r>
      <w:r>
        <w:rPr>
          <w:rFonts w:ascii="Times New Roman;Times;serif" w:hAnsi="Times New Roman;Times;serif"/>
          <w:sz w:val="24"/>
        </w:rPr>
        <w:t xml:space="preserve"> that the right to terminate this Agreement under this </w:t>
      </w:r>
      <w:r>
        <w:rPr>
          <w:rFonts w:ascii="Times New Roman;Times;serif" w:hAnsi="Times New Roman;Times;serif"/>
          <w:sz w:val="24"/>
          <w:u w:val="single"/>
        </w:rPr>
        <w:t>Section 8.1(d)</w:t>
      </w:r>
      <w:r>
        <w:rPr>
          <w:rFonts w:ascii="Times New Roman;Times;serif" w:hAnsi="Times New Roman;Times;serif"/>
          <w:sz w:val="24"/>
        </w:rPr>
        <w:t xml:space="preserve"> shall not be available to any party whose breach of a representation, warranty, covenant or agreement under this Agreement has been the primary cause of or resulted in the failure of the Closing to occur on or before such date;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525" w:name="_Toc235205065"/>
      <w:bookmarkStart w:id="4526" w:name="_Ref232459291"/>
      <w:bookmarkEnd w:id="4525"/>
      <w:bookmarkEnd w:id="4526"/>
      <w:r>
        <w:rPr>
          <w:rFonts w:ascii="Times New Roman;Times;serif" w:hAnsi="Times New Roman;Times;serif"/>
          <w:sz w:val="24"/>
        </w:rPr>
        <w:t>by Buyer or Seller by written notice to the other, if (i) there shall be any Law that makes consummation of the transactions contemplated by this Agreement illegal or otherwise prohibited or (ii) any Government Entity shall have issued a final and non-appealable Order restraining or enjoining the transactions contemplated by this Agreement, and such Order shall have become final and non-appealable.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8.2</w:t>
      </w:r>
      <w:bookmarkStart w:id="4527" w:name="_Toc235366568"/>
      <w:bookmarkStart w:id="4528" w:name="_Toc235205066"/>
      <w:bookmarkStart w:id="4529" w:name="_Toc235142751"/>
      <w:bookmarkStart w:id="4530" w:name="_Ref232523002"/>
      <w:bookmarkStart w:id="4531" w:name="_Ref232518923"/>
      <w:bookmarkStart w:id="4532" w:name="_Ref232517641"/>
      <w:bookmarkStart w:id="4533" w:name="_Ref232517405"/>
      <w:bookmarkStart w:id="4534" w:name="_Ref232517326"/>
      <w:bookmarkEnd w:id="4527"/>
      <w:bookmarkEnd w:id="4528"/>
      <w:bookmarkEnd w:id="4529"/>
      <w:bookmarkEnd w:id="4530"/>
      <w:bookmarkEnd w:id="4531"/>
      <w:bookmarkEnd w:id="4532"/>
      <w:bookmarkEnd w:id="4533"/>
      <w:bookmarkEnd w:id="4534"/>
      <w:r>
        <w:rPr>
          <w:rFonts w:ascii="Times New Roman;Times;serif" w:hAnsi="Times New Roman;Times;serif"/>
          <w:sz w:val="24"/>
          <w:u w:val="single"/>
        </w:rPr>
        <w:t>Effect of Termination</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535" w:name="_Toc235205067"/>
      <w:bookmarkEnd w:id="4535"/>
      <w:r>
        <w:rPr>
          <w:rFonts w:ascii="Times New Roman;Times;serif" w:hAnsi="Times New Roman;Times;serif"/>
          <w:sz w:val="24"/>
        </w:rPr>
        <w:t>In the event of the termination of this Agreement:</w:t>
      </w:r>
      <w:bookmarkStart w:id="4536" w:name="_Ref232518924"/>
      <w:bookmarkEnd w:id="4536"/>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w:t>
      </w:r>
      <w:r>
        <w:rPr>
          <w:rFonts w:ascii="Times New Roman;Times;serif" w:hAnsi="Times New Roman;Times;serif"/>
          <w:sz w:val="24"/>
        </w:rPr>
        <w:t xml:space="preserve">in accordance with </w:t>
      </w:r>
      <w:r>
        <w:rPr>
          <w:rFonts w:ascii="Times New Roman;Times;serif" w:hAnsi="Times New Roman;Times;serif"/>
          <w:sz w:val="24"/>
          <w:u w:val="single"/>
        </w:rPr>
        <w:t>Section 8.1(a)</w:t>
      </w:r>
      <w:r>
        <w:rPr>
          <w:rFonts w:ascii="Times New Roman;Times;serif" w:hAnsi="Times New Roman;Times;serif"/>
          <w:sz w:val="24"/>
        </w:rPr>
        <w:t xml:space="preserve">, </w:t>
      </w:r>
      <w:r>
        <w:rPr>
          <w:rFonts w:ascii="Times New Roman;Times;serif" w:hAnsi="Times New Roman;Times;serif"/>
          <w:sz w:val="24"/>
          <w:u w:val="single"/>
        </w:rPr>
        <w:t>Section 8.1(b)</w:t>
      </w:r>
      <w:r>
        <w:rPr>
          <w:rFonts w:ascii="Times New Roman;Times;serif" w:hAnsi="Times New Roman;Times;serif"/>
          <w:sz w:val="24"/>
        </w:rPr>
        <w:t xml:space="preserve">, </w:t>
      </w:r>
      <w:r>
        <w:rPr>
          <w:rFonts w:ascii="Times New Roman;Times;serif" w:hAnsi="Times New Roman;Times;serif"/>
          <w:sz w:val="24"/>
          <w:u w:val="single"/>
        </w:rPr>
        <w:t>Section 8.1(d)</w:t>
      </w:r>
      <w:r>
        <w:rPr>
          <w:rFonts w:ascii="Times New Roman;Times;serif" w:hAnsi="Times New Roman;Times;serif"/>
          <w:sz w:val="24"/>
        </w:rPr>
        <w:t xml:space="preserve"> or </w:t>
      </w:r>
      <w:r>
        <w:rPr>
          <w:rFonts w:ascii="Times New Roman;Times;serif" w:hAnsi="Times New Roman;Times;serif"/>
          <w:sz w:val="24"/>
          <w:u w:val="single"/>
        </w:rPr>
        <w:t>Section 8.1(e)</w:t>
      </w:r>
      <w:r>
        <w:rPr>
          <w:rFonts w:ascii="Times New Roman;Times;serif" w:hAnsi="Times New Roman;Times;serif"/>
          <w:sz w:val="24"/>
        </w:rPr>
        <w:t xml:space="preserve">, this Agreement shall forthwith become void and there shall be no liability on the part of any Party hereto, except as provided in </w:t>
      </w:r>
      <w:r>
        <w:rPr>
          <w:rFonts w:ascii="Times New Roman;Times;serif" w:hAnsi="Times New Roman;Times;serif"/>
          <w:sz w:val="24"/>
          <w:u w:val="single"/>
        </w:rPr>
        <w:t>Section 8.2(b)</w:t>
      </w:r>
      <w:r>
        <w:rPr>
          <w:rFonts w:ascii="Times New Roman;Times;serif" w:hAnsi="Times New Roman;Times;serif"/>
          <w:sz w:val="24"/>
        </w:rPr>
        <w:t>; or</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color w:val="010000"/>
          <w:sz w:val="24"/>
        </w:rPr>
        <w:t>(ii)</w:t>
      </w:r>
      <w:bookmarkStart w:id="4537" w:name="_Ref232518925"/>
      <w:bookmarkEnd w:id="4537"/>
      <w:r>
        <w:rPr>
          <w:rFonts w:ascii="Times New Roman;Times;serif" w:hAnsi="Times New Roman;Times;serif"/>
          <w:sz w:val="24"/>
        </w:rPr>
        <w:t xml:space="preserve">if Seller has a right to, and does, validly terminate this Agreement pursuant to </w:t>
      </w:r>
      <w:r>
        <w:rPr>
          <w:rFonts w:ascii="Times New Roman;Times;serif" w:hAnsi="Times New Roman;Times;serif"/>
          <w:sz w:val="24"/>
          <w:u w:val="single"/>
        </w:rPr>
        <w:t>Section 8.1(c)</w:t>
      </w:r>
      <w:r>
        <w:rPr>
          <w:rFonts w:ascii="Times New Roman;Times;serif" w:hAnsi="Times New Roman;Times;serif"/>
          <w:sz w:val="24"/>
        </w:rPr>
        <w:t>, Buyer shall, within one Business Day following Seller’s written demand therefor, pay to Seller a reverse termination fee by wire transfer of immediately available funds in an amount of $[***] (the “</w:t>
      </w:r>
      <w:r>
        <w:rPr>
          <w:rFonts w:ascii="Times New Roman;Times;serif" w:hAnsi="Times New Roman;Times;serif"/>
          <w:sz w:val="24"/>
          <w:u w:val="single"/>
        </w:rPr>
        <w:t>Reverse Termination Fee</w:t>
      </w:r>
      <w:r>
        <w:rPr>
          <w:rFonts w:ascii="Times New Roman;Times;serif" w:hAnsi="Times New Roman;Times;serif"/>
          <w:sz w:val="24"/>
        </w:rPr>
        <w:t xml:space="preserve">”) as full, complete and final settlement of all claims arising from Buyer’s failure to consummate the transactions contemplated by this Agreement.  Seller’s receipt of the Reverse Termination Fee shall be the sole and exclusive remedy of Seller against Buyer for any Loss relating to or arising from this Agreement or the transactions contemplated hereunder.  Upon receipt of the Reverse Termination Fee by Seller, this Agreement shall forthwith become void and none of Buyer or any of its Affiliates (including Buyer Guarantor) shall have any liability to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260" w:right="0" w:hanging="0"/>
        <w:jc w:val="both"/>
        <w:rPr>
          <w:rFonts w:ascii="Times New Roman;Times;serif" w:hAnsi="Times New Roman;Times;serif"/>
          <w:sz w:val="24"/>
        </w:rPr>
      </w:pPr>
      <w:r>
        <w:rPr>
          <w:rFonts w:ascii="Times New Roman;Times;serif" w:hAnsi="Times New Roman;Times;serif"/>
          <w:sz w:val="24"/>
        </w:rPr>
        <w:t xml:space="preserve">Seller or any of its Affiliates arising out of or relating to this Agreement, the transactions contemplated hereby or the termination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538" w:name="_Toc235205068"/>
      <w:bookmarkStart w:id="4539" w:name="_Ref169798296"/>
      <w:bookmarkEnd w:id="4538"/>
      <w:bookmarkEnd w:id="4539"/>
      <w:r>
        <w:rPr>
          <w:rFonts w:ascii="Times New Roman;Times;serif" w:hAnsi="Times New Roman;Times;serif"/>
          <w:sz w:val="24"/>
        </w:rPr>
        <w:t xml:space="preserve">Notwithstanding anything herein to the contrary, (i) no termination of this Agreement shall relieve any Party of any liability for damages to the other Parties hereto resulting from any willful and material breach of this Agreement, except as provided in </w:t>
      </w:r>
      <w:r>
        <w:rPr>
          <w:rFonts w:ascii="Times New Roman;Times;serif" w:hAnsi="Times New Roman;Times;serif"/>
          <w:sz w:val="24"/>
          <w:u w:val="single"/>
        </w:rPr>
        <w:t>Section 8.2(a)(ii)</w:t>
      </w:r>
      <w:r>
        <w:rPr>
          <w:rFonts w:ascii="Times New Roman;Times;serif" w:hAnsi="Times New Roman;Times;serif"/>
          <w:sz w:val="24"/>
        </w:rPr>
        <w:t xml:space="preserve">, and (ii) this </w:t>
      </w:r>
      <w:r>
        <w:rPr>
          <w:rFonts w:ascii="Times New Roman;Times;serif" w:hAnsi="Times New Roman;Times;serif"/>
          <w:sz w:val="24"/>
          <w:u w:val="single"/>
        </w:rPr>
        <w:t>Section 8.2</w:t>
      </w:r>
      <w:r>
        <w:rPr>
          <w:rFonts w:ascii="Times New Roman;Times;serif" w:hAnsi="Times New Roman;Times;serif"/>
          <w:sz w:val="24"/>
        </w:rPr>
        <w:t xml:space="preserve">, </w:t>
      </w:r>
      <w:r>
        <w:rPr>
          <w:rFonts w:ascii="Times New Roman;Times;serif" w:hAnsi="Times New Roman;Times;serif"/>
          <w:sz w:val="24"/>
          <w:u w:val="single"/>
        </w:rPr>
        <w:t>Article IX</w:t>
      </w:r>
      <w:r>
        <w:rPr>
          <w:rFonts w:ascii="Times New Roman;Times;serif" w:hAnsi="Times New Roman;Times;serif"/>
          <w:sz w:val="24"/>
        </w:rPr>
        <w:t xml:space="preserve"> and the Confidentiality Agreement shall survive termination of this Agreement.</w:t>
      </w:r>
    </w:p>
    <w:p>
      <w:pPr>
        <w:pStyle w:val="TextBody"/>
        <w:bidi w:val="0"/>
        <w:spacing w:before="0" w:after="240"/>
        <w:ind w:left="0" w:right="0" w:hanging="0"/>
        <w:jc w:val="center"/>
        <w:rPr>
          <w:rFonts w:ascii="Times New Roman;Times;serif" w:hAnsi="Times New Roman;Times;serif"/>
          <w:b/>
          <w:sz w:val="24"/>
        </w:rPr>
      </w:pPr>
      <w:r>
        <w:rPr>
          <w:rFonts w:ascii="Times New Roman Bold" w:hAnsi="Times New Roman Bold"/>
          <w:b/>
          <w:caps/>
          <w:color w:val="010000"/>
          <w:sz w:val="24"/>
        </w:rPr>
        <w:t>Article IX</w:t>
      </w:r>
      <w:r>
        <w:rPr>
          <w:rFonts w:ascii="Times New Roman;Times;serif" w:hAnsi="Times New Roman;Times;serif"/>
          <w:b/>
          <w:sz w:val="24"/>
        </w:rPr>
        <w:t>​</w:t>
        <w:br/>
      </w:r>
      <w:bookmarkStart w:id="4540" w:name="_Toc235366569"/>
      <w:bookmarkStart w:id="4541" w:name="_Toc235205069"/>
      <w:bookmarkStart w:id="4542" w:name="_Toc235142752"/>
      <w:bookmarkStart w:id="4543" w:name="_Ref233243980"/>
      <w:bookmarkStart w:id="4544" w:name="_Ref232517984"/>
      <w:bookmarkStart w:id="4545" w:name="_Toc228481618"/>
      <w:bookmarkStart w:id="4546" w:name="_Ref416482986"/>
      <w:bookmarkStart w:id="4547" w:name="_Ref83652595"/>
      <w:bookmarkStart w:id="4548" w:name="_Toc892173"/>
      <w:bookmarkStart w:id="4549" w:name="_Ref507269779"/>
      <w:bookmarkStart w:id="4550" w:name="_Ref507269569"/>
      <w:bookmarkStart w:id="4551" w:name="_Toc465317357"/>
      <w:bookmarkStart w:id="4552" w:name="_Toc464684610"/>
      <w:bookmarkStart w:id="4553" w:name="_Toc464561917"/>
      <w:bookmarkStart w:id="4554" w:name="_Toc440773805"/>
      <w:bookmarkStart w:id="4555" w:name="_Ref440767745"/>
      <w:bookmarkStart w:id="4556" w:name="_Toc440766940"/>
      <w:bookmarkStart w:id="4557" w:name="_Toc440765352"/>
      <w:bookmarkStart w:id="4558" w:name="_Toc440764593"/>
      <w:bookmarkStart w:id="4559" w:name="_Toc440761033"/>
      <w:bookmarkStart w:id="4560" w:name="_Toc416469763"/>
      <w:bookmarkStart w:id="4561" w:name="_Toc128463323"/>
      <w:bookmarkStart w:id="4562" w:name="_Ref103153847"/>
      <w:bookmarkStart w:id="4563" w:name="_Toc101210350"/>
      <w:bookmarkStart w:id="4564" w:name="_Toc518197982"/>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r>
        <w:rPr>
          <w:rFonts w:ascii="Times New Roman;Times;serif" w:hAnsi="Times New Roman;Times;serif"/>
          <w:b/>
          <w:sz w:val="24"/>
        </w:rPr>
        <w:t>Miscellaneous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w:t>
      </w:r>
      <w:bookmarkStart w:id="4565" w:name="_Hlk232315533"/>
      <w:bookmarkStart w:id="4566" w:name="_Hlk232255247"/>
      <w:bookmarkStart w:id="4567" w:name="_Toc235366570"/>
      <w:bookmarkStart w:id="4568" w:name="_Toc235205070"/>
      <w:bookmarkStart w:id="4569" w:name="_Toc235142753"/>
      <w:bookmarkStart w:id="4570" w:name="_Toc228481619"/>
      <w:bookmarkStart w:id="4571" w:name="_Ref83652596"/>
      <w:bookmarkStart w:id="4572" w:name="_Toc892174"/>
      <w:bookmarkStart w:id="4573" w:name="_Ref507269780"/>
      <w:bookmarkStart w:id="4574" w:name="_Ref507269570"/>
      <w:bookmarkStart w:id="4575" w:name="_Toc465317358"/>
      <w:bookmarkStart w:id="4576" w:name="_Toc464684611"/>
      <w:bookmarkStart w:id="4577" w:name="_Toc464561918"/>
      <w:bookmarkStart w:id="4578" w:name="_Toc440773806"/>
      <w:bookmarkStart w:id="4579" w:name="_Ref440767746"/>
      <w:bookmarkStart w:id="4580" w:name="_Toc440766941"/>
      <w:bookmarkStart w:id="4581" w:name="_Toc440765353"/>
      <w:bookmarkStart w:id="4582" w:name="_Toc440764594"/>
      <w:bookmarkStart w:id="4583" w:name="_Toc440761034"/>
      <w:bookmarkStart w:id="4584" w:name="_Ref416482987"/>
      <w:bookmarkStart w:id="4585" w:name="_Toc416469764"/>
      <w:bookmarkStart w:id="4586" w:name="_Toc128463324"/>
      <w:bookmarkStart w:id="4587" w:name="_Toc101210351"/>
      <w:bookmarkStart w:id="4588" w:name="_Ref101208215"/>
      <w:bookmarkStart w:id="4589" w:name="_Ref101204982"/>
      <w:bookmarkStart w:id="4590" w:name="_Ref77438056"/>
      <w:bookmarkStart w:id="4591" w:name="_Ref76391777"/>
      <w:bookmarkStart w:id="4592" w:name="_Ref22736204"/>
      <w:bookmarkStart w:id="4593" w:name="_Ref22705726"/>
      <w:bookmarkStart w:id="4594" w:name="_Toc518197983"/>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r>
        <w:rPr>
          <w:rFonts w:ascii="Times New Roman;Times;serif" w:hAnsi="Times New Roman;Times;serif"/>
          <w:sz w:val="24"/>
          <w:u w:val="single"/>
        </w:rPr>
        <w:t>Fees and Expenses</w:t>
      </w:r>
      <w:bookmarkStart w:id="4595" w:name="_Hlk232254567"/>
      <w:bookmarkEnd w:id="4595"/>
      <w:r>
        <w:rPr>
          <w:rFonts w:ascii="Times New Roman;Times;serif" w:hAnsi="Times New Roman;Times;serif"/>
          <w:sz w:val="24"/>
        </w:rPr>
        <w:t xml:space="preserve">.  Except as otherwise provided in this Agreement, </w:t>
      </w:r>
      <w:bookmarkStart w:id="4596" w:name="DocXTextRef394"/>
      <w:bookmarkEnd w:id="4596"/>
      <w:r>
        <w:rPr>
          <w:rFonts w:ascii="Times New Roman;Times;serif" w:hAnsi="Times New Roman;Times;serif"/>
          <w:sz w:val="24"/>
        </w:rPr>
        <w:t xml:space="preserve">(a) Buyer shall pay all costs and expenses incurred by Buyer in connection with the negotiation, preparation and execution of this Agreement and the consummation of the transactions contemplated by this Agreement, whether or not the transactions contemplated by this Agreement are consummated, and </w:t>
      </w:r>
      <w:bookmarkStart w:id="4597" w:name="DocXTextRef395"/>
      <w:bookmarkEnd w:id="4597"/>
      <w:r>
        <w:rPr>
          <w:rFonts w:ascii="Times New Roman;Times;serif" w:hAnsi="Times New Roman;Times;serif"/>
          <w:sz w:val="24"/>
        </w:rPr>
        <w:t>(b) Seller shall pay at or prior to the Closing all costs and expenses incurred by the Company or its Subsidiaries or Seller in connection with the negotiation, preparation and execution of this Agreement and the consummation of the transactions contemplated by this Agreement or the other Transaction Documents (including, for the avoidance of doubt, all Seller Expenses), whether or not the transactions contemplated by this Agreement are consummated.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9.2</w:t>
      </w:r>
      <w:bookmarkStart w:id="4598" w:name="_Hlk232315881"/>
      <w:bookmarkStart w:id="4599" w:name="_Toc235366571"/>
      <w:bookmarkStart w:id="4600" w:name="_Toc235205071"/>
      <w:bookmarkStart w:id="4601" w:name="_Toc235142754"/>
      <w:bookmarkStart w:id="4602" w:name="_Toc228481620"/>
      <w:bookmarkStart w:id="4603" w:name="_9kR3WTr28BEKEEHdNnvpwZXywxuEQ"/>
      <w:bookmarkStart w:id="4604" w:name="_9kR3WTr29CEILNHdNnvpwZXywxuEQ"/>
      <w:bookmarkStart w:id="4605" w:name="_Toc225445941"/>
      <w:bookmarkStart w:id="4606" w:name="_Ref225158408"/>
      <w:bookmarkEnd w:id="4598"/>
      <w:bookmarkEnd w:id="4599"/>
      <w:bookmarkEnd w:id="4600"/>
      <w:bookmarkEnd w:id="4601"/>
      <w:bookmarkEnd w:id="4602"/>
      <w:bookmarkEnd w:id="4603"/>
      <w:bookmarkEnd w:id="4604"/>
      <w:bookmarkEnd w:id="4605"/>
      <w:bookmarkEnd w:id="4606"/>
      <w:r>
        <w:rPr>
          <w:rFonts w:ascii="Times New Roman;Times;serif" w:hAnsi="Times New Roman;Times;serif"/>
          <w:sz w:val="24"/>
          <w:u w:val="single"/>
        </w:rPr>
        <w:t>Seller Guaranty</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607" w:name="_Ref_ContractCompanion_9kb9Us4BC"/>
      <w:bookmarkStart w:id="4608" w:name="_Hlk173709289"/>
      <w:bookmarkStart w:id="4609" w:name="_Toc235205072"/>
      <w:bookmarkStart w:id="4610" w:name="_Ref234067704"/>
      <w:bookmarkEnd w:id="4607"/>
      <w:bookmarkEnd w:id="4608"/>
      <w:bookmarkEnd w:id="4609"/>
      <w:bookmarkEnd w:id="4610"/>
      <w:r>
        <w:rPr>
          <w:rFonts w:ascii="Times New Roman;Times;serif" w:hAnsi="Times New Roman;Times;serif"/>
          <w:sz w:val="24"/>
        </w:rPr>
        <w:t>In consideration of Buyer agreeing to enter into this Agreement, and in acknowledgment of the substantial and direct benefits that Seller Guarantor will derive from Seller’s performance under this Agreement, Seller Guarantor hereby unconditionally and irrevocably guarantees (the “</w:t>
      </w:r>
      <w:r>
        <w:rPr>
          <w:rFonts w:ascii="Times New Roman;Times;serif" w:hAnsi="Times New Roman;Times;serif"/>
          <w:sz w:val="24"/>
          <w:u w:val="single"/>
        </w:rPr>
        <w:t>Seller Guaranty</w:t>
      </w:r>
      <w:r>
        <w:rPr>
          <w:rFonts w:ascii="Times New Roman;Times;serif" w:hAnsi="Times New Roman;Times;serif"/>
          <w:sz w:val="24"/>
        </w:rPr>
        <w:t>”) to Buyer, the payment and performance of all obligations of Seller in this Agreement (the “</w:t>
      </w:r>
      <w:r>
        <w:rPr>
          <w:rFonts w:ascii="Times New Roman;Times;serif" w:hAnsi="Times New Roman;Times;serif"/>
          <w:sz w:val="24"/>
          <w:u w:val="single"/>
        </w:rPr>
        <w:t>Seller Guaranteed Obligations</w:t>
      </w:r>
      <w:r>
        <w:rPr>
          <w:rFonts w:ascii="Times New Roman;Times;serif" w:hAnsi="Times New Roman;Times;serif"/>
          <w:sz w:val="24"/>
        </w:rPr>
        <w:t xml:space="preserve">”) when and to the extent that Seller Guaranteed Obligation shall become due and payable, subject to the limitations set forth in this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611" w:name="_Toc235205073"/>
      <w:bookmarkEnd w:id="4611"/>
      <w:r>
        <w:rPr>
          <w:rFonts w:ascii="Times New Roman;Times;serif" w:hAnsi="Times New Roman;Times;serif"/>
          <w:sz w:val="24"/>
        </w:rPr>
        <w:t>If and whenever Seller defaults for any reason in the performance of any of the Seller Guaranteed Obligations, Seller Guarantor shall immediately upon demand from Buyer unconditionally perform (or procure performance of) and satisfy (or procure satisfaction of) such Seller Guaranteed Obligation in the manner prescribed by this Agreement and so that the same benefits shall be conferred on Buyer and its Affiliates as would have been received if such Seller Guaranteed Obligation had been duly performed and satisfied by Seller.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612" w:name="_Toc235205074"/>
      <w:bookmarkEnd w:id="4612"/>
      <w:r>
        <w:rPr>
          <w:rFonts w:ascii="Times New Roman;Times;serif" w:hAnsi="Times New Roman;Times;serif"/>
          <w:sz w:val="24"/>
        </w:rPr>
        <w:t>This Seller Guaranty is an irrevocable, absolute, unconditional and continuing guarantee and shall remain in force until all the Seller Guaranteed Obligations have been performed or satisfied in full.  This Seller Guaranty is in addition to, without limitation to and not in substitution for, any rights or security that Buyer and its Affiliates may now or after the date hereof have or hold for the performance and observance of the Seller Guaranteed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613" w:name="_Toc235205075"/>
      <w:bookmarkEnd w:id="4613"/>
      <w:r>
        <w:rPr>
          <w:rFonts w:ascii="Times New Roman;Times;serif" w:hAnsi="Times New Roman;Times;serif"/>
          <w:sz w:val="24"/>
        </w:rPr>
        <w:t xml:space="preserve">A separate Claim or separate Claims under this Seller Guaranty may be brought and prosecuted against Seller Guarantor whether or not any Claim is brought or prosecuted against Seller or any other Person or whether Seller or any other Person is joined in any such Claim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or Claims.  Any circumstance which operates to toll any statute of limitations applicable to Seller or Buyer shall also operate to toll the statute of limitations applicable to Seller Guarantor.  This Seller Guaranty is an unconditional guaranty of payment and not of collection.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614" w:name="_Toc235205076"/>
      <w:bookmarkEnd w:id="4614"/>
      <w:r>
        <w:rPr>
          <w:rFonts w:ascii="Times New Roman;Times;serif" w:hAnsi="Times New Roman;Times;serif"/>
          <w:sz w:val="24"/>
        </w:rPr>
        <w:t>Seller Guarantor hereby waives the right to require Buyer to proceed against Seller or any other Person liable on the Seller Guaranteed Obligations or to pursue any other remedy in Buyer’s power whatsoever, and Seller Guarantor waives the right to have the proceeds of property of Seller or any other Person liable on the Seller Guaranteed Obligations first applied to the discharge of the Seller Guaranteed Obligations.  Seller Guarantor hereby waives, to the fullest extent permitted by Law, all rights and benefits under any applicable Law purporting to reduce a guarantor’s obligations in proportion to the obligation of the principal.  When making any demand on Seller Guarantor under this Seller Guaranty with respect to the Seller Guaranteed Obligations, Buyer may, but shall be under no obligation to, make a similar demand on Seller, and any failure by Buyer to make any such demand or to collect any payments from Seller shall not relieve Seller Guarantor of its obligations or Liabilities under this Seller Guaranty.  Buyer may, at its election, exercise any right or remedy it may have against Seller or any other Person without affecting or impairing in any way the Liability of Seller Guarantor under this Seller Guaranty, except to the extent the Seller Guaranteed Obligations have been paid, and Seller Guarantor waives any defense arising out of the absence, impairment or loss of any right of reimbursement or subrogation or any other right or remedy of Seller Guarantor against Seller, whether resulting from such election by Buyer or otherwise.  Seller Guarantor hereby waives any defense based upon or arising by reason of: (i) any lack of authority of any officer, director or any other Person acting or purporting to act on behalf of Seller, or any defect in the formation of Seller; (ii) any act or omission by Seller which directly or indirectly results in or aids the discharge of Seller of any Seller Guaranteed Obligations by operation of law or otherwise; (iii) any default, failure, or delay, willful or otherwise, in the performance of the Seller Guaranteed Obligations; (iv) any modification of the Seller Guaranteed Obligations, in any form whatsoever, including the renewal, extension, acceleration or other change in time for payment or performance of the Seller Guaranteed Obligations, any waiver or modification of conditions precedent or any other change in the terms of the Seller Guaranteed Obligations or any part thereof; (v) the value, genuineness, irregularity, illegality, invalidity or enforceability of the Seller Guaranteed Obligations, this Agreement or any other agreement or instrument referred to in this Agreement; (vi) any change in ownership of Seller or Seller Guarantor or the dissolution, liquidation, winding-up, restructuring, bankruptcy or other change in the corporate existence of Seller or Seller Guarantor; (vii) any other circumstances that might otherwise constitute a legal or equitable discharge of a surety or guarantor; (viii) the existence of any Claim, set-off or other right that Seller Guarantor may have at any time against Buyer, Seller, any of their Affiliates or the Business, whether in connection with any Seller Guaranteed Obligation or otherwise; (ix) the adequacy of any other means Buyer may have of obtaining repayment of any of the Seller Guaranteed Obligations; or (x) the addition, substitution</w:t>
      </w:r>
      <w:bookmarkStart w:id="4615" w:name="s9436a0df3f6542a89cf65945d880d6f9"/>
      <w:bookmarkEnd w:id="4615"/>
      <w:r>
        <w:rPr>
          <w:rFonts w:ascii="Times New Roman;Times;serif" w:hAnsi="Times New Roman;Times;serif"/>
          <w:sz w:val="24"/>
        </w:rPr>
        <w:t xml:space="preserve"> or release of any Person now or hereafter liable with respect to the Seller Guaranteed Obligations or otherwise interested in the transactions contemplated by this Agreement or any Transaction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616" w:name="_Toc235205077"/>
      <w:bookmarkEnd w:id="4616"/>
      <w:r>
        <w:rPr>
          <w:rFonts w:ascii="Times New Roman;Times;serif" w:hAnsi="Times New Roman;Times;serif"/>
          <w:sz w:val="24"/>
        </w:rPr>
        <w:t xml:space="preserve">Seller Guarantor hereby waives all presentments, demands for performance, notices of nonperformance or default, protests, notices of protest, notices of dishonor and notices of acceptance of this Seller Guaranty and of the existence, creation or incurring of new or additional obligations with respect to the Seller Guaranteed Obligations.  Seller Guarantor assumes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responsibility for being and keeping itself informed of the financial condition of Seller and of all other circumstances bearing upon the risk of nonpayment or nonperformance by Seller of the Seller Guaranteed Obligations which diligent inquiry would reveal, represents that it has adequate means of obtaining such financial information from Seller on a continuing basis, and agrees that Buyer shall have no duty to advise Seller Guarantor of information known to it regarding such condition or any such circumstances.  Seller Guarantor hereby waives notice of any action taken or omitted by Buyer in reliance hereon, any requirement that Buyer be diligent and prompt in making demands hereunder, notice of any waiver or amendment of any terms and conditions of this Agreement or any Transaction Documents, notice of any default by Seller or the assertion of any right of Buyer under this Agreement, and any right to plead or assert any election of remedies in any Claim to enforce this Seller Guaranty with respect to the Seller Guaranteed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4617" w:name="_Toc235205078"/>
      <w:bookmarkEnd w:id="4617"/>
      <w:r>
        <w:rPr>
          <w:rFonts w:ascii="Times New Roman;Times;serif" w:hAnsi="Times New Roman;Times;serif"/>
          <w:sz w:val="24"/>
        </w:rPr>
        <w:t>This Seller Guaranty shall continue to be effective or be reinstated, as the case may be, if at any time payment, or any part thereof, of any or all of the Seller Guaranteed Obligations is rescinded or must otherwise be restored or returned by Buyer upon the insolvency, bankruptcy or reorganization of Seller.  Notwithstanding any modification, discharge or extension of the Seller Guaranteed Obligations or any amendment, waiver, modification, stay or cure of Buyer’s rights which may occur in any bankruptcy or reorganization case or proceeding concerning Seller, whether permanent or temporary, and whether or not assented to by Buyer, Seller Guarantor hereby agrees that it shall be obligated hereunder to pay and perform the Seller Guaranteed Obligations and discharge its other obligations in accordance with the terms of the Seller Guaranteed Obligations as set forth in this Seller Guaranty in effect on the date of this Agreement.  Seller Guarantor understands and acknowledges that by virtue of this Seller Guaranty, it has specifically assumed any and all risks of a bankruptcy or reorganization case or proceeding with respect to Seller.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4618" w:name="_Toc235205079"/>
      <w:bookmarkEnd w:id="4618"/>
      <w:r>
        <w:rPr>
          <w:rFonts w:ascii="Times New Roman;Times;serif" w:hAnsi="Times New Roman;Times;serif"/>
          <w:sz w:val="24"/>
        </w:rPr>
        <w:t>Seller Guarantor is duly organized, validly existing and in good standing under the Laws of the state of Delaware.  Seller Guarantor possesses full power and authority necessary to own and operate its properties and assets and to carry on its businesses in all material respects as presently conducted and as contemplated to be conducted immediately after the Closing.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(i)</w:t>
      </w:r>
      <w:bookmarkStart w:id="4619" w:name="_Toc235205080"/>
      <w:bookmarkEnd w:id="4619"/>
      <w:r>
        <w:rPr>
          <w:rFonts w:ascii="Times New Roman;Times;serif" w:hAnsi="Times New Roman;Times;serif"/>
          <w:sz w:val="24"/>
        </w:rPr>
        <w:t>Seller Guarantor possesses full legal right and all requisite power and authority, and has taken all actions necessary, to authorize, execute, deliver and perform this Agreement and each other Transaction Document to which Seller Guarantor is a party, and to consummate the transactions contemplated hereby and thereby, in accordance with the terms of this Agreement and the other Transaction Documents.  No other corporate action on the part of Seller Guarantor is necessary to authorize the execution, delivery and performance of this Agreement or any other Transaction Document or the consummation of the transactions contemplated hereby and thereby.  Each Transaction Document to which Seller Guarantor is or will be a party has been, or upon execution will be, duly and validly executed and delivered by such party, and constitutes, or upon its execution and delivery will constitute (in each case, assuming due execution and delivery by each other party thereto), a valid and legally binding obligation of Seller Guarantor, enforceable against Seller Guarantor in accordance with its terms and conditions, subject to applicable bankruptcy, insolvency, reorganization, moratorium and similar Laws affecting creditors’ rights generally, and subject, as to enforceability, to general principles of equity.</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(j)</w:t>
      </w:r>
      <w:bookmarkStart w:id="4620" w:name="_Toc235205081"/>
      <w:bookmarkEnd w:id="4620"/>
      <w:r>
        <w:rPr>
          <w:rFonts w:ascii="Times New Roman;Times;serif" w:hAnsi="Times New Roman;Times;serif"/>
          <w:sz w:val="24"/>
        </w:rPr>
        <w:t xml:space="preserve">No filing with or notice to, and no permit, authorization, registration, consent or approval of, any Government Entity is required on the part of Seller Guarantor for the execution, delivery and performance by Seller Guarantor of this Agreement and the other Transaction Documents nor the consummation of the transactions contemplated by this Agreement and the other Transaction Documents.  Neither the execution, delivery or performance by Seller Guarantor of this Agreement and the other Transaction Documents nor the consummation of the transactions contemplated by this Agreement and the other Transaction Documents, will (i) conflict with or result in a breach, violation or infringement of the terms, conditions or provisions of, (ii) constitute a default under (whether with or without the passage of time, the giving of notice or both), (iii) result in the creation of any Lien (except for a Permitted Lien), (iv) give any Person the right to modify, cancel, terminate, suspend, revoke or accelerate or increase any obligation under, (v) result in a violation of, or (vi) give rise to a loss of benefit under (A) the certificate of incorporation or bylaws (or other comparable organizational documents) of Seller Guarantor, </w:t>
      </w:r>
      <w:bookmarkStart w:id="4621" w:name="_9kR3WTrAGBEGHLHu11I5oDmJ1GCni4s7NLPJ622"/>
      <w:bookmarkEnd w:id="4621"/>
      <w:r>
        <w:rPr>
          <w:rFonts w:ascii="Times New Roman;Times;serif" w:hAnsi="Times New Roman;Times;serif"/>
          <w:sz w:val="24"/>
        </w:rPr>
        <w:t xml:space="preserve">(B) any Law or Order to which Seller Guarantor or any of its respective properties or assets is subject or bound, or </w:t>
      </w:r>
      <w:bookmarkStart w:id="4622" w:name="_9kR3WTrAGBEGIMHu11J6oDDqy327rvYWEKP7tDV"/>
      <w:bookmarkEnd w:id="4622"/>
      <w:r>
        <w:rPr>
          <w:rFonts w:ascii="Times New Roman;Times;serif" w:hAnsi="Times New Roman;Times;serif"/>
          <w:sz w:val="24"/>
        </w:rPr>
        <w:t xml:space="preserve">(C) any material Contract to which Seller Guarantor is a party or by which its properties, rights or assets is subject or bound or any Material Contract, except in the case of </w:t>
      </w:r>
      <w:bookmarkStart w:id="4623" w:name="_9kMHG5YVtCIDGIJNJw33K7qFoL3IEpk6u9PNRL8"/>
      <w:bookmarkEnd w:id="4623"/>
      <w:r>
        <w:rPr>
          <w:rFonts w:ascii="Times New Roman;Times;serif" w:hAnsi="Times New Roman;Times;serif"/>
          <w:sz w:val="24"/>
        </w:rPr>
        <w:t xml:space="preserve">clauses (B) and </w:t>
      </w:r>
      <w:bookmarkStart w:id="4624" w:name="_9kMHG5YVtCIDGIKOJw33L8qFFs0549txaYGMR9v"/>
      <w:bookmarkEnd w:id="4624"/>
      <w:r>
        <w:rPr>
          <w:rFonts w:ascii="Times New Roman;Times;serif" w:hAnsi="Times New Roman;Times;serif"/>
          <w:sz w:val="24"/>
        </w:rPr>
        <w:t>(C), for breaches, violations, infringements or Liens that would not be expected to (1) prevent, hinder or materially delay any of the transactions completed by this Agreement, or (2) materially impair the ability of Seller Guarantor to perform its obligations under this Agreement and the other Transaction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(k)</w:t>
      </w:r>
      <w:bookmarkStart w:id="4625" w:name="_Toc235205082"/>
      <w:bookmarkStart w:id="4626" w:name="_Ref229603104"/>
      <w:bookmarkEnd w:id="4625"/>
      <w:bookmarkEnd w:id="4626"/>
      <w:r>
        <w:rPr>
          <w:rFonts w:ascii="Times New Roman;Times;serif" w:hAnsi="Times New Roman;Times;serif"/>
          <w:sz w:val="24"/>
        </w:rPr>
        <w:t xml:space="preserve">Seller Guarantor warrants and agrees that each of the waivers set forth in this </w:t>
      </w:r>
      <w:r>
        <w:rPr>
          <w:rFonts w:ascii="Times New Roman;Times;serif" w:hAnsi="Times New Roman;Times;serif"/>
          <w:sz w:val="24"/>
          <w:u w:val="single"/>
        </w:rPr>
        <w:t>Section 9.2</w:t>
      </w:r>
      <w:r>
        <w:rPr>
          <w:rFonts w:ascii="Times New Roman;Times;serif" w:hAnsi="Times New Roman;Times;serif"/>
          <w:sz w:val="24"/>
        </w:rPr>
        <w:t xml:space="preserve"> is made with Seller Guarantor’s full knowledge of its significance and consequences and made after the opportunity to consult with counsel of its own choosing, and that under the circumstances, the waivers are reasonable and not contrary to public policy or Law.  If any of said waivers are determined to be contrary to any applicable Law or public policy, such waiver shall be effective only to the extent permitted by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(l)</w:t>
      </w:r>
      <w:bookmarkStart w:id="4627" w:name="_Toc235205083"/>
      <w:bookmarkEnd w:id="4627"/>
      <w:r>
        <w:rPr>
          <w:rFonts w:ascii="Times New Roman;Times;serif" w:hAnsi="Times New Roman;Times;serif"/>
          <w:sz w:val="24"/>
        </w:rPr>
        <w:t>Seller Guarantor shall have no obligations under this Agreement or the other Transaction Documents with respect to Seller or the transactions contemplated hereby or thereby, except as set forth in this Agreement.  Notwithstanding anything to the contrary set forth in this Agreement, in connection with the Seller Guaranteed Obligations, Seller Guarantor shall be entitled to defenses available to Seller solely to the extent such defenses constitute rights and limitations of Seller expressly contemplated and set forth in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(m)</w:t>
      </w:r>
      <w:bookmarkStart w:id="4628" w:name="_Toc235205084"/>
      <w:bookmarkEnd w:id="4628"/>
      <w:r>
        <w:rPr>
          <w:rFonts w:ascii="Times New Roman;Times;serif" w:hAnsi="Times New Roman;Times;serif"/>
          <w:sz w:val="24"/>
        </w:rPr>
        <w:t>The Seller Guaranty shall remain in full force and effect and shall be binding on Seller Guarantor until Seller has satisfied the Seller Guaranteed Obligations, and after such occurrence, the Seller Guaranty shall automatically terminate, shall have no further force and effect, and shall no longer be binding on Seller Guarantor.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(n)</w:t>
      </w:r>
      <w:bookmarkStart w:id="4629" w:name="_Ref229603156"/>
      <w:bookmarkStart w:id="4630" w:name="_Toc235205085"/>
      <w:bookmarkEnd w:id="4629"/>
      <w:bookmarkEnd w:id="4630"/>
      <w:r>
        <w:rPr>
          <w:rFonts w:ascii="Times New Roman;Times;serif" w:hAnsi="Times New Roman;Times;serif"/>
          <w:sz w:val="24"/>
        </w:rPr>
        <w:t xml:space="preserve">Nothing in this </w:t>
      </w:r>
      <w:r>
        <w:rPr>
          <w:rFonts w:ascii="Times New Roman;Times;serif" w:hAnsi="Times New Roman;Times;serif"/>
          <w:sz w:val="24"/>
          <w:u w:val="single"/>
        </w:rPr>
        <w:t>Section 9.2</w:t>
      </w:r>
      <w:r>
        <w:rPr>
          <w:rFonts w:ascii="Times New Roman;Times;serif" w:hAnsi="Times New Roman;Times;serif"/>
          <w:sz w:val="24"/>
        </w:rPr>
        <w:t xml:space="preserve"> is intended or shall be construed to confer upon or give any Person other than Buyer and its permitted assigns, any rights or remedies under this </w:t>
      </w:r>
      <w:r>
        <w:rPr>
          <w:rFonts w:ascii="Times New Roman;Times;serif" w:hAnsi="Times New Roman;Times;serif"/>
          <w:sz w:val="24"/>
          <w:u w:val="single"/>
        </w:rPr>
        <w:t>Section 9.2</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(o)</w:t>
      </w:r>
      <w:bookmarkStart w:id="4631" w:name="_Toc235205086"/>
      <w:bookmarkEnd w:id="4631"/>
      <w:r>
        <w:rPr>
          <w:rFonts w:ascii="Times New Roman;Times;serif" w:hAnsi="Times New Roman;Times;serif"/>
          <w:sz w:val="24"/>
        </w:rPr>
        <w:t xml:space="preserve">Notwithstanding anything herein to the contrary, the obligations of Seller Guarantor shall be coextensive with, and shall not exceed, the obligations of Seller under this Agreement, and Seller Guarantor shall be entitled to the benefit of all limitations on liability,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defenses, survival periods, thresholds, baskets, caps, exclusions and other protections available to Seller under this Agreement, and in no event shall the aggregate liability of Seller Guarantor exceed the aggregate liability of Seller under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9.3</w:t>
      </w:r>
      <w:bookmarkStart w:id="4632" w:name="_Toc235366572"/>
      <w:bookmarkStart w:id="4633" w:name="_Toc235205087"/>
      <w:bookmarkStart w:id="4634" w:name="_Toc235142755"/>
      <w:bookmarkStart w:id="4635" w:name="_Toc228481621"/>
      <w:bookmarkStart w:id="4636" w:name="_9kR3WTr28BEKFFINMG1vYWxvwtDP"/>
      <w:bookmarkStart w:id="4637" w:name="_9kR3WTr29CEHKNINMG1vYWxvwtDP"/>
      <w:bookmarkStart w:id="4638" w:name="_Ref228396427"/>
      <w:bookmarkStart w:id="4639" w:name="_Ref228347996"/>
      <w:bookmarkEnd w:id="4632"/>
      <w:bookmarkEnd w:id="4633"/>
      <w:bookmarkEnd w:id="4634"/>
      <w:bookmarkEnd w:id="4635"/>
      <w:bookmarkEnd w:id="4636"/>
      <w:bookmarkEnd w:id="4637"/>
      <w:bookmarkEnd w:id="4638"/>
      <w:bookmarkEnd w:id="4639"/>
      <w:r>
        <w:rPr>
          <w:rFonts w:ascii="Times New Roman;Times;serif" w:hAnsi="Times New Roman;Times;serif"/>
          <w:sz w:val="24"/>
          <w:u w:val="single"/>
        </w:rPr>
        <w:t>Buyer Guaranty</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640" w:name="_Ref127386883"/>
      <w:bookmarkStart w:id="4641" w:name="_Toc235205088"/>
      <w:bookmarkStart w:id="4642" w:name="_Ref234060375"/>
      <w:bookmarkEnd w:id="4640"/>
      <w:bookmarkEnd w:id="4641"/>
      <w:bookmarkEnd w:id="4642"/>
      <w:r>
        <w:rPr>
          <w:rFonts w:ascii="Times New Roman;Times;serif" w:hAnsi="Times New Roman;Times;serif"/>
          <w:sz w:val="24"/>
        </w:rPr>
        <w:t>In consideration of Seller agreeing to enter into this Agreement, and in acknowledgment of the substantial and direct benefits that Buyer Guarantor will derive from Buyer’s performance under this Agreement, Buyer Guarantor hereby unconditionally and irrevocably guarantees (the “</w:t>
      </w:r>
      <w:r>
        <w:rPr>
          <w:rFonts w:ascii="Times New Roman;Times;serif" w:hAnsi="Times New Roman;Times;serif"/>
          <w:sz w:val="24"/>
          <w:u w:val="single"/>
        </w:rPr>
        <w:t>Buyer Guaranty</w:t>
      </w:r>
      <w:r>
        <w:rPr>
          <w:rFonts w:ascii="Times New Roman;Times;serif" w:hAnsi="Times New Roman;Times;serif"/>
          <w:sz w:val="24"/>
        </w:rPr>
        <w:t>”) to Seller, the payment and performance of all obligations of Buyer in this Agreement (the “</w:t>
      </w:r>
      <w:r>
        <w:rPr>
          <w:rFonts w:ascii="Times New Roman;Times;serif" w:hAnsi="Times New Roman;Times;serif"/>
          <w:sz w:val="24"/>
          <w:u w:val="single"/>
        </w:rPr>
        <w:t>Buyer Guaranteed Obligation</w:t>
      </w:r>
      <w:r>
        <w:rPr>
          <w:rFonts w:ascii="Times New Roman;Times;serif" w:hAnsi="Times New Roman;Times;serif"/>
          <w:sz w:val="24"/>
        </w:rPr>
        <w:t>”) when and to the extent that Buyer Guaranteed Obligation shall become due and payable, subject to the limitations set forth in this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643" w:name="_Toc235205089"/>
      <w:bookmarkEnd w:id="4643"/>
      <w:r>
        <w:rPr>
          <w:rFonts w:ascii="Times New Roman;Times;serif" w:hAnsi="Times New Roman;Times;serif"/>
          <w:sz w:val="24"/>
        </w:rPr>
        <w:t>If and whenever Buyer defaults for any reason in the performance of any of the Buyer Guaranteed Obligations, Buyer Guarantor shall immediately upon demand from Seller unconditionally perform (or procure performance of) and satisfy (or procure satisfaction of) such Buyer Guaranteed Obligation in the manner prescribed by this Agreement and so that the same benefits shall be conferred on Seller and its Affiliates as would have been received if such Buyer Guaranteed Obligation had been duly performed and satisfied by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(c)</w:t>
      </w:r>
      <w:bookmarkStart w:id="4644" w:name="_Toc235205090"/>
      <w:bookmarkEnd w:id="4644"/>
      <w:r>
        <w:rPr>
          <w:rFonts w:ascii="Times New Roman;Times;serif" w:hAnsi="Times New Roman;Times;serif"/>
          <w:sz w:val="24"/>
        </w:rPr>
        <w:t>This Buyer Guaranty is an irrevocable, absolute, unconditional and continuing guarantee and shall remain in force until all the Buyer Guaranteed Obligations have been performed or satisfied in full.  This Buyer Guaranty is in addition to, without limitation to and not in substitution for, any rights or security that Seller and its Affiliates may now or after the date hereof have or hold for the performance and observance of the Buyer Guaranteed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(d)</w:t>
      </w:r>
      <w:bookmarkStart w:id="4645" w:name="_Toc235205091"/>
      <w:bookmarkEnd w:id="4645"/>
      <w:r>
        <w:rPr>
          <w:rFonts w:ascii="Times New Roman;Times;serif" w:hAnsi="Times New Roman;Times;serif"/>
          <w:sz w:val="24"/>
        </w:rPr>
        <w:t>A separate Claim or separate Claims under this Buyer Guaranty may be brought and prosecuted against Buyer Guarantor whether or not any Claim is brought or prosecuted against Buyer or any other Person or whether Buyer or any other Person is joined in any such Claim or Claims.  Any circumstance which operates to toll any statute of limitations applicable to Buyer or Seller shall also operate to toll the statute of limitations applicable to Buyer Guarantor.  This Buyer Guaranty is an unconditional guaranty of payment and not of collection.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(e)</w:t>
      </w:r>
      <w:bookmarkStart w:id="4646" w:name="_Toc235205092"/>
      <w:bookmarkEnd w:id="4646"/>
      <w:r>
        <w:rPr>
          <w:rFonts w:ascii="Times New Roman;Times;serif" w:hAnsi="Times New Roman;Times;serif"/>
          <w:sz w:val="24"/>
        </w:rPr>
        <w:t xml:space="preserve">Buyer Guarantor hereby waives the right to require Seller to proceed against Buyer or any other Person liable on the Buyer Guaranteed Obligations or to pursue any other remedy in Seller’s power whatsoever, and Buyer Guarantor waives the right to have the proceeds of property of Buyer or any other Person liable on the Buyer Guaranteed Obligations first applied to the discharge of the Buyer Guaranteed Obligations.  Buyer Guarantor hereby waives, to the fullest extent permitted by Law, all rights and benefits under any applicable Law purporting to reduce a guarantor’s obligations in proportion to the obligation of the principal.  When making any demand on Buyer Guarantor under this Buyer Guaranty with respect to the Buyer Guaranteed Obligations, Seller may, but shall be under no obligation to, make a similar demand on Buyer, and any failure by Seller to make any such demand or to collect any payments from Buyer shall not relieve Buyer Guarantor of its obligations or Liabilities under this Buyer Guaranty.  Seller may, at its election, exercise any right or remedy it may have against Buyer or any other Person without affecting or impairing in any way the Liability of Buyer Guarantor under this Buyer Guaranty,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except to the extent the Buyer Guaranteed Obligations have been paid, and Buyer Guarantor waives any defense arising out of the absence, impairment or loss of any right of reimbursement or subrogation or any other right or remedy of Buyer Guarantor against Buyer, whether resulting from such election by Seller or otherwise.  Buyer Guarantor hereby waives any defense based upon or arising by reason of: (i) any lack of authority of any officer, director or any other Person acting or purporting to act on behalf of Buyer, or any defect in the formation of Buyer; (ii) any act or omission by Buyer which directly or indirectly results in or aids the discharge of Buyer of any Buyer Guaranteed Obligations by operation of law or otherwise; (iii) any default, failure, or delay, willful or otherwise, in the performance of the Buyer Guaranteed Obligations; (iv) any modification of the Buyer Guaranteed Obligations, in any form whatsoever, including the renewal, extension, acceleration or other change in time for payment or performance of the Buyer Guaranteed Obligations, any waiver or modification of conditions precedent or any other change in the terms of the Buyer Guaranteed Obligations or any part thereof; (v) the value, genuineness, irregularity, illegality, invalidity or enforceability of the Buyer Guaranteed Obligations, this Agreement or any other agreement or instrument referred to in this Agreement; (vi) any change in ownership of Buyer or Buyer Guarantor or the dissolution, liquidation, winding-up, restructuring, bankruptcy or other change in the corporate existence of Buyer or Buyer Guarantor; (vii) any other circumstances that might otherwise constitute a legal or equitable discharge of a surety or guarantor; (viii) the existence of any Claim, set-off or other right that Buyer Guarantor may have at any time against Seller, Buyer, any of their Affiliates or the Excluded Business, whether in connection with any Buyer Guaranteed Obligation or otherwise; (ix) the adequacy of any other means Seller may have of obtaining repayment of any of the Buyer Guaranteed Obligations; or (x) the addition, substitution or release of any Person now or hereafter liable with respect to the Buyer Guaranteed Obligations or otherwise interested in the transactions contemplated by this Agreement or any Transaction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(f)</w:t>
      </w:r>
      <w:bookmarkStart w:id="4647" w:name="_Toc235205093"/>
      <w:bookmarkEnd w:id="4647"/>
      <w:r>
        <w:rPr>
          <w:rFonts w:ascii="Times New Roman;Times;serif" w:hAnsi="Times New Roman;Times;serif"/>
          <w:sz w:val="24"/>
        </w:rPr>
        <w:t>Buyer Guarantor hereby waives all presentments, demands for performance, notices of nonperformance or default, protests, notices of protest, notices of dishonor and notices of acceptance of this Buyer Guaranty and of the existence, creation or incurring of new or additional obligations with respect to the Buyer Guaranteed Obligations.  Buyer Guarantor assumes the responsibility for being and keeping itself informed of the financial condition of Buyer and of all other circumstances bearing upon the risk of nonpayment or nonperformance by Buyer of the Buyer Guaranteed Obligations which diligent inquiry would reveal, represents that it has adequate means of obtaining such financial information from Buyer on a continuing basis, and agrees that Seller shall have no duty to advise Buyer Guarantor of information known to it regarding such condition or any such circumstances.  Buyer Guarantor hereby waives notice of any action taken or omitted by Seller in reliance hereon, any requirement that Seller be diligent and prompt in making demands hereunder, notice of any waiver or amendment of any terms and conditions of this Agreement or any Transaction Documents, notice of any default by Buyer or the assertion of any right of Seller under this Agreement, and any right to plead or assert any election of remedies in any Claim to enforce this Buyer Guaranty with respect to the Buyer Guaranteed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(g)</w:t>
      </w:r>
      <w:bookmarkStart w:id="4648" w:name="_Toc235205094"/>
      <w:bookmarkEnd w:id="4648"/>
      <w:r>
        <w:rPr>
          <w:rFonts w:ascii="Times New Roman;Times;serif" w:hAnsi="Times New Roman;Times;serif"/>
          <w:sz w:val="24"/>
        </w:rPr>
        <w:t xml:space="preserve">This Buyer Guaranty shall continue to be effective or be reinstated, as the case may be, if at any time payment, or any part thereof, of any or all of the Buyer Guaranteed Obligations is rescinded or must otherwise be restored or returned by Seller upon the insolvency, bankruptcy or reorganization of Buyer.  Notwithstanding any modification, discharge or extension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the Buyer Guaranteed Obligations or any amendment, waiver, modification, stay or cure of Seller’s rights which may occur in any bankruptcy or reorganization case or proceeding concerning Buyer, whether permanent or temporary, and whether or not assented to by Seller, Buyer Guarantor hereby agrees that it shall be obligated hereunder to pay and perform the Buyer Guaranteed Obligations and discharge its other obligations in accordance with the terms of the Buyer Guaranteed Obligations as set forth in this Buyer Guaranty in effect on the date of this Agreement.  Buyer Guarantor understands and acknowledges that by virtue of this Buyer Guaranty, it has specifically assumed any and all risks of a bankruptcy or reorganization case or proceeding with respect to Buyer.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(h)</w:t>
      </w:r>
      <w:bookmarkStart w:id="4649" w:name="_Toc235205095"/>
      <w:bookmarkEnd w:id="4649"/>
      <w:r>
        <w:rPr>
          <w:rFonts w:ascii="Times New Roman;Times;serif" w:hAnsi="Times New Roman;Times;serif"/>
          <w:sz w:val="24"/>
        </w:rPr>
        <w:t xml:space="preserve">Buyer Guarantor is duly organized, validly existing and in good standing under the Laws of the state of Delaware.  Buyer Guarantor possesses full power and authority necessary to own and operate its properties and assets and to carry on its businesses in all material respects as presently conducted and as contemplated to be conducted immediately after the Closing.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(i)</w:t>
      </w:r>
      <w:bookmarkStart w:id="4650" w:name="_Toc235205096"/>
      <w:bookmarkEnd w:id="4650"/>
      <w:r>
        <w:rPr>
          <w:rFonts w:ascii="Times New Roman;Times;serif" w:hAnsi="Times New Roman;Times;serif"/>
          <w:sz w:val="24"/>
        </w:rPr>
        <w:t xml:space="preserve">Buyer Guarantor possesses full legal right and all requisite power and authority, and has taken all actions necessary, to authorize, execute, deliver and perform this Agreement and each other Transaction Document to which Buyer Guarantor is a party, and to consummate the transactions contemplated hereby and thereby, in accordance with the terms of this Agreement and the other Transaction Documents.  No other corporate action on the part of Buyer Guarantor is necessary to authorize the execution, delivery and performance of this Agreement or any other Transaction Document or the consummation of the transactions contemplated hereby and thereby.  Each Transaction Document to which Buyer Guarantor is or will be a party has been, or upon execution will be, duly and validly executed and delivered by such party, and constitutes, or upon its execution and delivery will constitute (in each case, assuming due execution and delivery by each other party thereto), a valid and legally binding obligation of Buyer Guarantor, enforceable against Buyer Guarantor in accordance with its terms and conditions, subject to applicable bankruptcy, insolvency, reorganization, moratorium and similar Laws affecting creditors’ rights generally, and subject, as to enforceability, to general principles of equity.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(j)</w:t>
      </w:r>
      <w:bookmarkStart w:id="4651" w:name="_Toc235205097"/>
      <w:bookmarkEnd w:id="4651"/>
      <w:r>
        <w:rPr>
          <w:rFonts w:ascii="Times New Roman;Times;serif" w:hAnsi="Times New Roman;Times;serif"/>
          <w:sz w:val="24"/>
        </w:rPr>
        <w:t xml:space="preserve">No filing with or notice to, and no permit, authorization, registration, consent or approval of, any Government Entity is required on the part of Buyer Guarantor for the execution, delivery and performance by Buyer Guarantor of this Agreement and the other Transaction Documents nor the consummation of the transactions contemplated by this Agreement and the other Transaction Documents.  Neither the execution, delivery or performance by Buyer Guarantor of this Agreement and the other Transaction Documents nor the consummation of the transactions contemplated by this Agreement and the other Transaction Documents, will (i) conflict with or result in a breach, violation or infringement of the terms, conditions or provisions of, (ii) constitute a default under (whether with or without the passage of time, the giving of notice or both), (iii) result in the creation of any Lien (except for a Permitted Lien), (iv) give any Person the right to modify, cancel, terminate, suspend, revoke or accelerate or increase any obligation under, (v) result in a violation of, or (vi) give rise to a loss of benefit under (A) the certificate of incorporation or bylaws (or other comparable organizational documents) of Buyer Guarantor, </w:t>
      </w:r>
      <w:bookmarkStart w:id="4652" w:name="_9kR3WTrAGBEGJNIv11I5oDmJ1GCni4s7NLPJ622"/>
      <w:bookmarkEnd w:id="4652"/>
      <w:r>
        <w:rPr>
          <w:rFonts w:ascii="Times New Roman;Times;serif" w:hAnsi="Times New Roman;Times;serif"/>
          <w:sz w:val="24"/>
        </w:rPr>
        <w:t xml:space="preserve">(B) any Law or Order to which Buyer Guarantor or any of its respective properties or assets is subject or bound, or </w:t>
      </w:r>
      <w:bookmarkStart w:id="4653" w:name="_9kR3WTrAGBEHBEIv11J6oDDqy327rvYWEKP7tDV"/>
      <w:bookmarkEnd w:id="4653"/>
      <w:r>
        <w:rPr>
          <w:rFonts w:ascii="Times New Roman;Times;serif" w:hAnsi="Times New Roman;Times;serif"/>
          <w:sz w:val="24"/>
        </w:rPr>
        <w:t xml:space="preserve">(C) any material Contract to which Buyer Guarantor is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 party or by which its properties, rights or assets is subject or bound or any Material Contract, except in the case of </w:t>
      </w:r>
      <w:bookmarkStart w:id="4654" w:name="_9kMHG5YVtCIDGILPKx33K7qFoL3IEpk6u9PNRL8"/>
      <w:bookmarkEnd w:id="4654"/>
      <w:r>
        <w:rPr>
          <w:rFonts w:ascii="Times New Roman;Times;serif" w:hAnsi="Times New Roman;Times;serif"/>
          <w:sz w:val="24"/>
        </w:rPr>
        <w:t xml:space="preserve">clauses (B) and </w:t>
      </w:r>
      <w:bookmarkStart w:id="4655" w:name="_9kMHG5YVtCIDGJDGKx33L8qFFs0549txaYGMR9v"/>
      <w:bookmarkEnd w:id="4655"/>
      <w:r>
        <w:rPr>
          <w:rFonts w:ascii="Times New Roman;Times;serif" w:hAnsi="Times New Roman;Times;serif"/>
          <w:sz w:val="24"/>
        </w:rPr>
        <w:t>(C), for breaches, violations, infringements or Liens that would not be expected to (1) prevent, hinder or materially delay any of the transactions completed by this Agreement, or (2) materially impair the ability of Buyer Guarantor to perform its obligations under this Agreement and the other Transaction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(k)</w:t>
      </w:r>
      <w:bookmarkStart w:id="4656" w:name="_Toc235205098"/>
      <w:bookmarkEnd w:id="4656"/>
      <w:r>
        <w:rPr>
          <w:rFonts w:ascii="Times New Roman;Times;serif" w:hAnsi="Times New Roman;Times;serif"/>
          <w:sz w:val="24"/>
        </w:rPr>
        <w:t xml:space="preserve">Buyer Guarantor warrants and agrees that each of the waivers set forth in this </w:t>
      </w:r>
      <w:r>
        <w:rPr>
          <w:rFonts w:ascii="Times New Roman;Times;serif" w:hAnsi="Times New Roman;Times;serif"/>
          <w:sz w:val="24"/>
          <w:u w:val="single"/>
        </w:rPr>
        <w:t xml:space="preserve">Section </w:t>
      </w:r>
      <w:bookmarkStart w:id="4657" w:name="_9kMHzG6ZWu5CFHKNQLQPJ4ybZ0yzwGS"/>
      <w:bookmarkEnd w:id="4657"/>
      <w:r>
        <w:rPr>
          <w:rFonts w:ascii="Times New Roman;Times;serif" w:hAnsi="Times New Roman;Times;serif"/>
          <w:sz w:val="24"/>
          <w:u w:val="single"/>
        </w:rPr>
        <w:t>9.3</w:t>
      </w:r>
      <w:r>
        <w:rPr>
          <w:rFonts w:ascii="Times New Roman;Times;serif" w:hAnsi="Times New Roman;Times;serif"/>
          <w:sz w:val="24"/>
        </w:rPr>
        <w:t xml:space="preserve"> is made with Buyer Guarantor’s full knowledge of its significance and consequences and made after the opportunity to consult with counsel of its own choosing, and that under the circumstances, the waivers are reasonable and not contrary to public policy or Law.  If any of said waivers are determined to be contrary to any applicable Law or public policy, such waiver shall be effective only to the extent permitted by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(l)</w:t>
      </w:r>
      <w:bookmarkStart w:id="4658" w:name="_Toc235205099"/>
      <w:bookmarkEnd w:id="4658"/>
      <w:r>
        <w:rPr>
          <w:rFonts w:ascii="Times New Roman;Times;serif" w:hAnsi="Times New Roman;Times;serif"/>
          <w:sz w:val="24"/>
        </w:rPr>
        <w:t>Buyer Guarantor shall have no obligations under this Agreement or the other Transaction Documents with respect to Buyer or the transactions contemplated hereby or thereby, except as set forth in this Agreement.  Notwithstanding anything to the contrary set forth in this Agreement, in connection with the Buyer Guaranteed Obligations, Buyer Guarantor shall be entitled to defenses available to Buyer solely to the extent such defenses constitute rights and limitations of Buyer expressly contemplated and set forth in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(m)</w:t>
      </w:r>
      <w:bookmarkStart w:id="4659" w:name="_Toc235205100"/>
      <w:bookmarkEnd w:id="4659"/>
      <w:r>
        <w:rPr>
          <w:rFonts w:ascii="Times New Roman;Times;serif" w:hAnsi="Times New Roman;Times;serif"/>
          <w:sz w:val="24"/>
        </w:rPr>
        <w:t xml:space="preserve">Buyer Guarantor possesses full legal right and all requisite power and authority, and has taken all actions necessary, to authorize, execute, deliver and perform this Agreement, and to consummate the transactions contemplated hereby, in accordance with the terms of this Agreement.  No other corporate action on the part of Buyer Guarantor is necessary to authorize the execution, delivery and performance of this Agreement or the payment, when due, of the Buyer Guaranteed Obligations.  This Agreement has been duly and validly executed and delivered by Buyer Guarantor, and constitutes a valid and legally binding obligation of Buyer Guarantor, enforceable against Buyer Guarantor in accordance with its terms and conditions, subject to applicable bankruptcy, insolvency, reorganization, moratorium and similar Laws affecting creditors’ rights generally, and subject, as to enforceability, to general principles of equity.  At the Closing, Buyer Guarantor will have sufficient funds available to consummate the transactions contemplated by this Agreement and to perform its obligations hereunder under this </w:t>
      </w:r>
      <w:r>
        <w:rPr>
          <w:rFonts w:ascii="Times New Roman;Times;serif" w:hAnsi="Times New Roman;Times;serif"/>
          <w:sz w:val="24"/>
          <w:u w:val="single"/>
        </w:rPr>
        <w:t xml:space="preserve">Section </w:t>
      </w:r>
      <w:bookmarkStart w:id="4660" w:name="_9kMML5YVt4BEGJMPKPOI3xaYzxyvFR"/>
      <w:bookmarkEnd w:id="4660"/>
      <w:r>
        <w:rPr>
          <w:rFonts w:ascii="Times New Roman;Times;serif" w:hAnsi="Times New Roman;Times;serif"/>
          <w:sz w:val="24"/>
          <w:u w:val="single"/>
        </w:rPr>
        <w:t>9.3</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(n)</w:t>
      </w:r>
      <w:bookmarkStart w:id="4661" w:name="_Toc235205101"/>
      <w:bookmarkEnd w:id="4661"/>
      <w:r>
        <w:rPr>
          <w:rFonts w:ascii="Times New Roman;Times;serif" w:hAnsi="Times New Roman;Times;serif"/>
          <w:sz w:val="24"/>
        </w:rPr>
        <w:t xml:space="preserve">The Buyer Guaranty shall remain in full force and effect and shall be binding on the Buyer Guarantor until Buyer has satisfied the Buyer Guaranteed Obligations, and after such occurrence, the Buyer Guaranty shall automatically terminate, shall have no further force and effect, and shall no longer be binding on Buyer Guarantor.  The Buyer Guaranty shall survive in full force and effect and shall be binding on the Buyer Guarantor until the later of (i) sixty days from the date of this Agreement and (ii) the final, non-appealable and conclusive determination of the Final Purchase Price, pursuant to </w:t>
      </w:r>
      <w:r>
        <w:rPr>
          <w:rFonts w:ascii="Times New Roman;Times;serif" w:hAnsi="Times New Roman;Times;serif"/>
          <w:sz w:val="24"/>
          <w:u w:val="single"/>
        </w:rPr>
        <w:t>Section 2.3(d)</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(o)</w:t>
      </w:r>
      <w:bookmarkStart w:id="4662" w:name="_Toc235205102"/>
      <w:bookmarkEnd w:id="4662"/>
      <w:r>
        <w:rPr>
          <w:rFonts w:ascii="Times New Roman;Times;serif" w:hAnsi="Times New Roman;Times;serif"/>
          <w:sz w:val="24"/>
        </w:rPr>
        <w:t xml:space="preserve">Nothing in this </w:t>
      </w:r>
      <w:r>
        <w:rPr>
          <w:rFonts w:ascii="Times New Roman;Times;serif" w:hAnsi="Times New Roman;Times;serif"/>
          <w:sz w:val="24"/>
          <w:u w:val="single"/>
        </w:rPr>
        <w:t xml:space="preserve">Section </w:t>
      </w:r>
      <w:bookmarkStart w:id="4663" w:name="_9kMNM5YVt4BEGJMPKPOI3xaYzxyvFR"/>
      <w:bookmarkEnd w:id="4663"/>
      <w:r>
        <w:rPr>
          <w:rFonts w:ascii="Times New Roman;Times;serif" w:hAnsi="Times New Roman;Times;serif"/>
          <w:sz w:val="24"/>
          <w:u w:val="single"/>
        </w:rPr>
        <w:t>9.3</w:t>
      </w:r>
      <w:r>
        <w:rPr>
          <w:rFonts w:ascii="Times New Roman;Times;serif" w:hAnsi="Times New Roman;Times;serif"/>
          <w:sz w:val="24"/>
        </w:rPr>
        <w:t xml:space="preserve"> is intended or shall be construed to confer upon or give any Person other than Seller and its permitted assigns, any rights or remedies under this </w:t>
      </w:r>
      <w:r>
        <w:rPr>
          <w:rFonts w:ascii="Times New Roman;Times;serif" w:hAnsi="Times New Roman;Times;serif"/>
          <w:sz w:val="24"/>
          <w:u w:val="single"/>
        </w:rPr>
        <w:t xml:space="preserve">Section </w:t>
      </w:r>
      <w:bookmarkStart w:id="4664" w:name="_9kMON5YVt4BEGJMPKPOI3xaYzxyvFR"/>
      <w:bookmarkEnd w:id="4664"/>
      <w:r>
        <w:rPr>
          <w:rFonts w:ascii="Times New Roman;Times;serif" w:hAnsi="Times New Roman;Times;serif"/>
          <w:sz w:val="24"/>
          <w:u w:val="single"/>
        </w:rPr>
        <w:t>9.3</w:t>
      </w:r>
      <w:r>
        <w:rPr>
          <w:rFonts w:ascii="Times New Roman;Times;serif" w:hAnsi="Times New Roman;Times;serif"/>
          <w:sz w:val="24"/>
        </w:rPr>
        <w: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(p)</w:t>
      </w:r>
      <w:bookmarkStart w:id="4665" w:name="_Toc235205103"/>
      <w:bookmarkEnd w:id="4665"/>
      <w:r>
        <w:rPr>
          <w:rFonts w:ascii="Times New Roman;Times;serif" w:hAnsi="Times New Roman;Times;serif"/>
          <w:sz w:val="24"/>
        </w:rPr>
        <w:t>Notwithstanding anything herein to the contrary, the obligations of Buyer Guarantor shall be coextensive with, and shall not exceed, the obligations of Buyer under this Agreement, and Buyer Guarantor shall be entitled to the benefit of all limitations on liability, defenses, survival periods, thresholds, baskets, caps, exclusions and other protections available to Buyer under this Agreement, and in no event shall the aggregate liability of Buyer Guarantor exceed the aggregate liability of Buyer under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9.4</w:t>
      </w:r>
      <w:bookmarkStart w:id="4666" w:name="_Toc235366573"/>
      <w:bookmarkStart w:id="4667" w:name="_Toc235205104"/>
      <w:bookmarkStart w:id="4668" w:name="_Toc235142756"/>
      <w:bookmarkStart w:id="4669" w:name="_Toc228481622"/>
      <w:bookmarkStart w:id="4670" w:name="_Ref83652597"/>
      <w:bookmarkStart w:id="4671" w:name="_Toc892175"/>
      <w:bookmarkStart w:id="4672" w:name="_Ref507269781"/>
      <w:bookmarkStart w:id="4673" w:name="_Ref507269571"/>
      <w:bookmarkStart w:id="4674" w:name="_Toc465317359"/>
      <w:bookmarkStart w:id="4675" w:name="_Toc464684612"/>
      <w:bookmarkStart w:id="4676" w:name="_Toc464561920"/>
      <w:bookmarkStart w:id="4677" w:name="_Toc440773808"/>
      <w:bookmarkStart w:id="4678" w:name="_Ref440767748"/>
      <w:bookmarkStart w:id="4679" w:name="_Toc440766943"/>
      <w:bookmarkStart w:id="4680" w:name="_Toc440765355"/>
      <w:bookmarkStart w:id="4681" w:name="_Toc440764596"/>
      <w:bookmarkStart w:id="4682" w:name="_Toc440761036"/>
      <w:bookmarkStart w:id="4683" w:name="_Toc424916159"/>
      <w:bookmarkStart w:id="4684" w:name="_Toc226038786"/>
      <w:bookmarkStart w:id="4685" w:name="_Toc226035609"/>
      <w:bookmarkStart w:id="4686" w:name="_Toc226038785"/>
      <w:bookmarkStart w:id="4687" w:name="_Toc226035608"/>
      <w:bookmarkStart w:id="4688" w:name="_Toc226038784"/>
      <w:bookmarkStart w:id="4689" w:name="_Toc226035607"/>
      <w:bookmarkStart w:id="4690" w:name="_Toc226038783"/>
      <w:bookmarkStart w:id="4691" w:name="_Toc226035606"/>
      <w:bookmarkStart w:id="4692" w:name="_Toc226038782"/>
      <w:bookmarkStart w:id="4693" w:name="_Toc226035605"/>
      <w:bookmarkStart w:id="4694" w:name="_Toc226038781"/>
      <w:bookmarkStart w:id="4695" w:name="_Toc226035604"/>
      <w:bookmarkStart w:id="4696" w:name="_Toc226038780"/>
      <w:bookmarkStart w:id="4697" w:name="_Toc226035603"/>
      <w:bookmarkStart w:id="4698" w:name="_Toc226038779"/>
      <w:bookmarkStart w:id="4699" w:name="_Toc226035602"/>
      <w:bookmarkStart w:id="4700" w:name="_Toc226038778"/>
      <w:bookmarkStart w:id="4701" w:name="_Toc226035601"/>
      <w:bookmarkStart w:id="4702" w:name="_Toc226038777"/>
      <w:bookmarkStart w:id="4703" w:name="_Toc226035600"/>
      <w:bookmarkStart w:id="4704" w:name="_Toc226038776"/>
      <w:bookmarkStart w:id="4705" w:name="_Toc226035599"/>
      <w:bookmarkStart w:id="4706" w:name="_Toc226038775"/>
      <w:bookmarkStart w:id="4707" w:name="_Toc226035598"/>
      <w:bookmarkStart w:id="4708" w:name="_Toc226038774"/>
      <w:bookmarkStart w:id="4709" w:name="_Toc226035597"/>
      <w:bookmarkStart w:id="4710" w:name="_Toc226038773"/>
      <w:bookmarkStart w:id="4711" w:name="_Toc226035596"/>
      <w:bookmarkStart w:id="4712" w:name="_Toc226038772"/>
      <w:bookmarkStart w:id="4713" w:name="_Toc22603559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r>
        <w:rPr>
          <w:rFonts w:ascii="Times New Roman;Times;serif" w:hAnsi="Times New Roman;Times;serif"/>
          <w:sz w:val="24"/>
          <w:u w:val="single"/>
        </w:rPr>
        <w:t>Further Assurances</w:t>
      </w:r>
      <w:r>
        <w:rPr>
          <w:rFonts w:ascii="Times New Roman;Times;serif" w:hAnsi="Times New Roman;Times;serif"/>
          <w:sz w:val="24"/>
        </w:rPr>
        <w:t>.  Buyer and Seller shall, and shall cause their respective Affiliates to, from time to time (including following the Closing) at the request of the other Party, without any additional consideration, furnish such requesting Party such further information or assurances, execute and deliver such additional documents, instruments and conveyances, and take such other actions and do such other things, as may be reasonably necessary or appropriate to carry out the provisions of this Agreement and the other Transaction Documents and give effect to the transactions contemplated by this Agreement and the other Transaction Documents, including to vest in Buyer good and valid title to the Company Shares.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9.5</w:t>
      </w:r>
      <w:bookmarkStart w:id="4714" w:name="_Toc235366574"/>
      <w:bookmarkStart w:id="4715" w:name="_Toc235205105"/>
      <w:bookmarkStart w:id="4716" w:name="_Toc235142757"/>
      <w:bookmarkStart w:id="4717" w:name="_Ref233928264"/>
      <w:bookmarkStart w:id="4718" w:name="_Toc228481623"/>
      <w:bookmarkStart w:id="4719" w:name="_Ref225238925"/>
      <w:bookmarkStart w:id="4720" w:name="_Ref83652598"/>
      <w:bookmarkStart w:id="4721" w:name="_Toc892176"/>
      <w:bookmarkStart w:id="4722" w:name="_Ref507269782"/>
      <w:bookmarkStart w:id="4723" w:name="_Ref507269572"/>
      <w:bookmarkStart w:id="4724" w:name="_Toc465317360"/>
      <w:bookmarkStart w:id="4725" w:name="_Toc464684613"/>
      <w:bookmarkStart w:id="4726" w:name="_Toc464561921"/>
      <w:bookmarkStart w:id="4727" w:name="_Toc440773809"/>
      <w:bookmarkStart w:id="4728" w:name="_Ref440767749"/>
      <w:bookmarkStart w:id="4729" w:name="_Toc440766944"/>
      <w:bookmarkStart w:id="4730" w:name="_Toc440765356"/>
      <w:bookmarkStart w:id="4731" w:name="_Toc440764597"/>
      <w:bookmarkStart w:id="4732" w:name="_Toc440761037"/>
      <w:bookmarkStart w:id="4733" w:name="_Ref416482989"/>
      <w:bookmarkStart w:id="4734" w:name="_Toc416469766"/>
      <w:bookmarkStart w:id="4735" w:name="_Toc128463325"/>
      <w:bookmarkStart w:id="4736" w:name="_Toc101210352"/>
      <w:bookmarkStart w:id="4737" w:name="_Ref22736194"/>
      <w:bookmarkStart w:id="4738" w:name="_Toc518197984"/>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r>
        <w:rPr>
          <w:rFonts w:ascii="Times New Roman;Times;serif" w:hAnsi="Times New Roman;Times;serif"/>
          <w:sz w:val="24"/>
          <w:u w:val="single"/>
        </w:rPr>
        <w:t>Press Release and Announcements</w:t>
      </w:r>
      <w:r>
        <w:rPr>
          <w:rFonts w:ascii="Times New Roman;Times;serif" w:hAnsi="Times New Roman;Times;serif"/>
          <w:sz w:val="24"/>
        </w:rPr>
        <w:t xml:space="preserve">.  Buyer and Seller shall consult with each other before issuing, and give each other a reasonable opportunity to review and comment upon, any press </w:t>
      </w:r>
      <w:bookmarkStart w:id="4739" w:name="_9kMH0H6ZWu577DLJeNopfuz"/>
      <w:bookmarkEnd w:id="4739"/>
      <w:r>
        <w:rPr>
          <w:rFonts w:ascii="Times New Roman;Times;serif" w:hAnsi="Times New Roman;Times;serif"/>
          <w:sz w:val="24"/>
        </w:rPr>
        <w:t xml:space="preserve">release or other public statements with respect to this Agreement and the other Transaction Documents, and the transactions contemplated hereby and thereby, and neither Buyer nor Seller, nor their respective Affiliates, shall issue any such press </w:t>
      </w:r>
      <w:bookmarkStart w:id="4740" w:name="_9kMH1I6ZWu577DLJeNopfuz"/>
      <w:bookmarkEnd w:id="4740"/>
      <w:r>
        <w:rPr>
          <w:rFonts w:ascii="Times New Roman;Times;serif" w:hAnsi="Times New Roman;Times;serif"/>
          <w:sz w:val="24"/>
        </w:rPr>
        <w:t xml:space="preserve">release or make any public announcement, without the prior consent of the other Party, except that no such approval shall be necessary to the extent disclosure is required by applicable Law, or any listing </w:t>
      </w:r>
      <w:bookmarkStart w:id="4741" w:name="_9kMHzzH7aXv688EILT9xwktuwC"/>
      <w:bookmarkEnd w:id="4741"/>
      <w:r>
        <w:rPr>
          <w:rFonts w:ascii="Times New Roman;Times;serif" w:hAnsi="Times New Roman;Times;serif"/>
          <w:sz w:val="24"/>
        </w:rPr>
        <w:t xml:space="preserve">agreement with, or rules, of any national securities exchange or interdealer quotation service or by the request of any Government Entity; </w:t>
      </w:r>
      <w:r>
        <w:rPr>
          <w:rFonts w:ascii="Times New Roman;Times;serif" w:hAnsi="Times New Roman;Times;serif"/>
          <w:i/>
          <w:sz w:val="24"/>
        </w:rPr>
        <w:t>provided</w:t>
      </w:r>
      <w:r>
        <w:rPr>
          <w:rFonts w:ascii="Times New Roman;Times;serif" w:hAnsi="Times New Roman;Times;serif"/>
          <w:sz w:val="24"/>
        </w:rPr>
        <w:t xml:space="preserve">, that, unless such disclosure or document to be disclosed is entirely consistent with another public statement or filing made previously in accordance with this </w:t>
      </w:r>
      <w:r>
        <w:rPr>
          <w:rFonts w:ascii="Times New Roman;Times;serif" w:hAnsi="Times New Roman;Times;serif"/>
          <w:sz w:val="24"/>
          <w:u w:val="single"/>
        </w:rPr>
        <w:t>Section 9.5</w:t>
      </w:r>
      <w:r>
        <w:rPr>
          <w:rFonts w:ascii="Times New Roman;Times;serif" w:hAnsi="Times New Roman;Times;serif"/>
          <w:sz w:val="24"/>
        </w:rPr>
        <w:t xml:space="preserve">, Buyer or Seller, as applicable, shall use commercially reasonable efforts to allow the other Party reasonable time to review and comment on such release, announcement or in any other filing with any national securities exchange or Government Entity mentioning the transaction contemplated hereby or otherwise filing or disclosing the existence or terms of this Agreement or any Transaction Document, in each case, in advance of such issuance (and will consider any such comments in good faith);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a Party may issue a press release or make a public statement that is consistent with prior press releases issued or public statements made in compliance with this </w:t>
      </w:r>
      <w:r>
        <w:rPr>
          <w:rFonts w:ascii="Times New Roman;Times;serif" w:hAnsi="Times New Roman;Times;serif"/>
          <w:sz w:val="24"/>
          <w:u w:val="single"/>
        </w:rPr>
        <w:t>S</w:t>
      </w:r>
      <w:bookmarkStart w:id="4742" w:name="_BA_Cite_0D893D_000762"/>
      <w:bookmarkEnd w:id="4742"/>
      <w:r>
        <w:rPr>
          <w:rFonts w:ascii="Times New Roman;Times;serif" w:hAnsi="Times New Roman;Times;serif"/>
          <w:sz w:val="24"/>
          <w:u w:val="single"/>
        </w:rPr>
        <w:t>ection 9.5</w:t>
      </w:r>
      <w:r>
        <w:rPr>
          <w:rFonts w:ascii="Times New Roman;Times;serif" w:hAnsi="Times New Roman;Times;serif"/>
          <w:sz w:val="24"/>
        </w:rPr>
        <w:t xml:space="preserve"> without such additional consultation and without such additional consent.  Notwithstanding the foregoing, Buyer, the Company and their Affiliates may, without consulting Seller, provide ordinary course communications regarding this Agreement and the other Transaction Documents, and the transactions contemplated hereby and thereby, </w:t>
      </w:r>
      <w:r>
        <w:rPr>
          <w:rFonts w:ascii="TimesNewRomanPSMT" w:hAnsi="TimesNewRomanPSMT"/>
          <w:sz w:val="24"/>
        </w:rPr>
        <w:t xml:space="preserve">to its employees, including any representative bodies of such employees, or to have discussions with such Persons, about the transactions contemplated by this Agreement and </w:t>
      </w:r>
      <w:r>
        <w:rPr>
          <w:rFonts w:ascii="Times New Roman;Times;serif" w:hAnsi="Times New Roman;Times;serif"/>
          <w:sz w:val="24"/>
        </w:rPr>
        <w:t xml:space="preserve">the other Transaction Documents </w:t>
      </w:r>
      <w:r>
        <w:rPr>
          <w:rFonts w:ascii="TimesNewRomanPSMT" w:hAnsi="TimesNewRomanPSMT"/>
          <w:sz w:val="24"/>
        </w:rPr>
        <w:t xml:space="preserve">(so long as such Persons are instructed to keep the transactions contemplated by this Agreement and </w:t>
      </w:r>
      <w:r>
        <w:rPr>
          <w:rFonts w:ascii="Times New Roman;Times;serif" w:hAnsi="Times New Roman;Times;serif"/>
          <w:sz w:val="24"/>
        </w:rPr>
        <w:t xml:space="preserve">the other Transaction Documents </w:t>
      </w:r>
      <w:r>
        <w:rPr>
          <w:rFonts w:ascii="TimesNewRomanPSMT" w:hAnsi="TimesNewRomanPSMT"/>
          <w:sz w:val="24"/>
        </w:rPr>
        <w:t>confidential).  Notwithstanding the foregoing or anything in this Agreement to the contrary, Buyer and its Affiliates may make such announcements from time to time to their respective Affiliates in order that such Persons may provide information about this Agreement and</w:t>
      </w:r>
      <w:r>
        <w:rPr>
          <w:rFonts w:ascii="Times New Roman;Times;serif" w:hAnsi="Times New Roman;Times;serif"/>
          <w:sz w:val="24"/>
        </w:rPr>
        <w:t xml:space="preserve"> the other Transaction Documents, </w:t>
      </w:r>
      <w:r>
        <w:rPr>
          <w:rFonts w:ascii="TimesNewRomanPSMT" w:hAnsi="TimesNewRomanPSMT"/>
          <w:sz w:val="24"/>
        </w:rPr>
        <w:t xml:space="preserve">and the transactions contemplated hereby and thereby, to their respective limited partners, prospective limited partners and financing sources in connection with their ordinary course fundraising, reporting and other </w:t>
      </w:r>
      <w:r>
        <w:rPr>
          <w:rFonts w:ascii="Times New Roman;Times;serif" w:hAnsi="Times New Roman;Times;serif"/>
          <w:sz w:val="24"/>
        </w:rPr>
        <w:t>activities</w:t>
      </w:r>
      <w:r>
        <w:rPr>
          <w:rFonts w:ascii="TimesNewRomanPSMT" w:hAnsi="TimesNewRomanPSMT"/>
          <w:sz w:val="24"/>
        </w:rPr>
        <w:t xml:space="preserve">.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9.6</w:t>
      </w:r>
      <w:bookmarkStart w:id="4743" w:name="_Toc235366575"/>
      <w:bookmarkStart w:id="4744" w:name="_Toc235205106"/>
      <w:bookmarkStart w:id="4745" w:name="_Toc235142758"/>
      <w:bookmarkStart w:id="4746" w:name="_Toc228481624"/>
      <w:bookmarkStart w:id="4747" w:name="_Ref83652599"/>
      <w:bookmarkStart w:id="4748" w:name="_Toc892177"/>
      <w:bookmarkStart w:id="4749" w:name="_Ref507269783"/>
      <w:bookmarkStart w:id="4750" w:name="_Ref507269573"/>
      <w:bookmarkStart w:id="4751" w:name="_Toc465317361"/>
      <w:bookmarkStart w:id="4752" w:name="_Toc464684614"/>
      <w:bookmarkStart w:id="4753" w:name="_Toc464561922"/>
      <w:bookmarkStart w:id="4754" w:name="_Toc440773810"/>
      <w:bookmarkStart w:id="4755" w:name="_Ref440767750"/>
      <w:bookmarkStart w:id="4756" w:name="_Toc440766945"/>
      <w:bookmarkStart w:id="4757" w:name="_Toc440765357"/>
      <w:bookmarkStart w:id="4758" w:name="_Toc440764598"/>
      <w:bookmarkStart w:id="4759" w:name="_Toc440761038"/>
      <w:bookmarkStart w:id="4760" w:name="_Ref416482991"/>
      <w:bookmarkStart w:id="4761" w:name="_Toc416469768"/>
      <w:bookmarkStart w:id="4762" w:name="_Toc128463327"/>
      <w:bookmarkStart w:id="4763" w:name="_Toc101210354"/>
      <w:bookmarkStart w:id="4764" w:name="_Ref22736213"/>
      <w:bookmarkStart w:id="4765" w:name="_Toc518197987"/>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r>
        <w:rPr>
          <w:rFonts w:ascii="Times New Roman;Times;serif" w:hAnsi="Times New Roman;Times;serif"/>
          <w:sz w:val="24"/>
          <w:u w:val="single"/>
        </w:rPr>
        <w:t>Consent to Amendments; Waivers</w:t>
      </w:r>
      <w:r>
        <w:rPr>
          <w:rFonts w:ascii="Times New Roman;Times;serif" w:hAnsi="Times New Roman;Times;serif"/>
          <w:sz w:val="24"/>
        </w:rPr>
        <w:t xml:space="preserve">.  This Agreement may be amended, or any provision of this Agreement may be waived upon the approval, in writing, executed </w:t>
      </w:r>
      <w:bookmarkStart w:id="4766" w:name="_Ref507269699"/>
      <w:bookmarkEnd w:id="4766"/>
      <w:r>
        <w:rPr>
          <w:rFonts w:ascii="Times New Roman;Times;serif" w:hAnsi="Times New Roman;Times;serif"/>
          <w:sz w:val="24"/>
        </w:rPr>
        <w:t>by Buyer, Seller and Seller Guarantor.  No course of dealing between or among the Parties shall be deemed effective to modify, amend or discharge any part of this Agreement or any rights or obligations of any such Party under or by reason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9.7</w:t>
      </w:r>
      <w:bookmarkStart w:id="4767" w:name="_Toc235366576"/>
      <w:bookmarkStart w:id="4768" w:name="_Toc235205107"/>
      <w:bookmarkStart w:id="4769" w:name="_Toc235142759"/>
      <w:bookmarkStart w:id="4770" w:name="_Toc228481625"/>
      <w:bookmarkStart w:id="4771" w:name="_Ref83652600"/>
      <w:bookmarkStart w:id="4772" w:name="_Toc892178"/>
      <w:bookmarkStart w:id="4773" w:name="_Ref507269784"/>
      <w:bookmarkStart w:id="4774" w:name="_Ref507269574"/>
      <w:bookmarkStart w:id="4775" w:name="_Toc465317362"/>
      <w:bookmarkStart w:id="4776" w:name="_Toc464684615"/>
      <w:bookmarkStart w:id="4777" w:name="_Toc464561923"/>
      <w:bookmarkStart w:id="4778" w:name="_Toc440773811"/>
      <w:bookmarkStart w:id="4779" w:name="_Ref440767751"/>
      <w:bookmarkStart w:id="4780" w:name="_Toc440766946"/>
      <w:bookmarkStart w:id="4781" w:name="_Toc440765358"/>
      <w:bookmarkStart w:id="4782" w:name="_Toc440764599"/>
      <w:bookmarkStart w:id="4783" w:name="_Toc440761039"/>
      <w:bookmarkStart w:id="4784" w:name="_Ref416482992"/>
      <w:bookmarkStart w:id="4785" w:name="_Toc416469769"/>
      <w:bookmarkStart w:id="4786" w:name="_Toc128463328"/>
      <w:bookmarkStart w:id="4787" w:name="_Toc101210355"/>
      <w:bookmarkStart w:id="4788" w:name="_Toc518197988"/>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r>
        <w:rPr>
          <w:rFonts w:ascii="Times New Roman;Times;serif" w:hAnsi="Times New Roman;Times;serif"/>
          <w:sz w:val="24"/>
          <w:u w:val="single"/>
        </w:rPr>
        <w:t>Successors and Assigns</w:t>
      </w:r>
      <w:r>
        <w:rPr>
          <w:rFonts w:ascii="Times New Roman;Times;serif" w:hAnsi="Times New Roman;Times;serif"/>
          <w:sz w:val="24"/>
        </w:rPr>
        <w:t xml:space="preserve">.  This Agreement and all covenants and agreements contained herein and rights, interests or obligations hereunder, by or on behalf of any of the Parties, shall bind and inure to the benefit of the respective successors and permitted assigns of the Parties hereto whether so expressed or not, except that neither this Agreement nor any of the covenants and agreements herein or rights, interests or obligations hereunder may be assigned or delegated by Seller without the prior written consent of Buyer, and neither this Agreement nor any of the covenants and agreements herein or rights, interests or obligations hereunder may be assigned or delegated by Buyer without the prior written consent of Seller; </w:t>
      </w:r>
      <w:r>
        <w:rPr>
          <w:rFonts w:ascii="Times New Roman;Times;serif" w:hAnsi="Times New Roman;Times;serif"/>
          <w:i/>
          <w:sz w:val="24"/>
        </w:rPr>
        <w:t>provided</w:t>
      </w:r>
      <w:r>
        <w:rPr>
          <w:rFonts w:ascii="Times New Roman;Times;serif" w:hAnsi="Times New Roman;Times;serif"/>
          <w:sz w:val="24"/>
        </w:rPr>
        <w:t xml:space="preserve">, that Buyer may (a) assign this Agreement and its rights and obligations hereunder without such prior written consent to any of its Affiliates, which assignment shall not relieve Buyer of its obligations hereunder or (b) make a collateral assignment in connection with any debt financing.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9.8</w:t>
      </w:r>
      <w:bookmarkStart w:id="4789" w:name="_Toc235366577"/>
      <w:bookmarkStart w:id="4790" w:name="_Toc235205108"/>
      <w:bookmarkStart w:id="4791" w:name="_Toc235142760"/>
      <w:bookmarkStart w:id="4792" w:name="_Toc228481626"/>
      <w:bookmarkStart w:id="4793" w:name="_Ref83652601"/>
      <w:bookmarkStart w:id="4794" w:name="_Toc892179"/>
      <w:bookmarkStart w:id="4795" w:name="_Ref507269785"/>
      <w:bookmarkStart w:id="4796" w:name="_Ref507269575"/>
      <w:bookmarkStart w:id="4797" w:name="_Toc465317363"/>
      <w:bookmarkStart w:id="4798" w:name="_Toc464684616"/>
      <w:bookmarkStart w:id="4799" w:name="_Toc464561924"/>
      <w:bookmarkStart w:id="4800" w:name="_Toc440773812"/>
      <w:bookmarkStart w:id="4801" w:name="_Ref440767752"/>
      <w:bookmarkStart w:id="4802" w:name="_Toc440766947"/>
      <w:bookmarkStart w:id="4803" w:name="_Toc440765359"/>
      <w:bookmarkStart w:id="4804" w:name="_Toc440764600"/>
      <w:bookmarkStart w:id="4805" w:name="_Toc440761040"/>
      <w:bookmarkStart w:id="4806" w:name="_Ref416482993"/>
      <w:bookmarkStart w:id="4807" w:name="_Toc416469770"/>
      <w:bookmarkStart w:id="4808" w:name="_Toc128463329"/>
      <w:bookmarkStart w:id="4809" w:name="_Toc101210356"/>
      <w:bookmarkStart w:id="4810" w:name="_Toc518197989"/>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r>
        <w:rPr>
          <w:rFonts w:ascii="Times New Roman;Times;serif" w:hAnsi="Times New Roman;Times;serif"/>
          <w:sz w:val="24"/>
          <w:u w:val="single"/>
        </w:rPr>
        <w:t>Severability</w:t>
      </w:r>
      <w:r>
        <w:rPr>
          <w:rFonts w:ascii="Times New Roman;Times;serif" w:hAnsi="Times New Roman;Times;serif"/>
          <w:sz w:val="24"/>
        </w:rPr>
        <w:t>.  Whenever possible, each provision of this Agreement shall be interpreted in such manner as to be effective and valid under applicable Law, but if any provision of this Agreement or the application of any such provision to any Person or circumstance shall be held to be prohibited by, illegal or unenforceable under applicable Law in any respect by a court of competent jurisdiction, such provision shall be ineffective only to the extent of such prohibition, illegality or unenforceability, without invalidating the remainder of such provision or the remaining provisions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9.9</w:t>
      </w:r>
      <w:bookmarkStart w:id="4811" w:name="_Toc235366578"/>
      <w:bookmarkStart w:id="4812" w:name="_Toc235205109"/>
      <w:bookmarkStart w:id="4813" w:name="_Toc235142761"/>
      <w:bookmarkStart w:id="4814" w:name="_Toc228481627"/>
      <w:bookmarkStart w:id="4815" w:name="_Ref83652602"/>
      <w:bookmarkStart w:id="4816" w:name="_Toc892180"/>
      <w:bookmarkStart w:id="4817" w:name="_Ref507269786"/>
      <w:bookmarkStart w:id="4818" w:name="_Ref507269576"/>
      <w:bookmarkStart w:id="4819" w:name="_Toc465317364"/>
      <w:bookmarkStart w:id="4820" w:name="_Toc464684617"/>
      <w:bookmarkStart w:id="4821" w:name="_Toc464561925"/>
      <w:bookmarkStart w:id="4822" w:name="_Toc440773813"/>
      <w:bookmarkStart w:id="4823" w:name="_Ref440767753"/>
      <w:bookmarkStart w:id="4824" w:name="_Toc440766948"/>
      <w:bookmarkStart w:id="4825" w:name="_Toc440765360"/>
      <w:bookmarkStart w:id="4826" w:name="_Toc440764601"/>
      <w:bookmarkStart w:id="4827" w:name="_Toc440761041"/>
      <w:bookmarkStart w:id="4828" w:name="_Ref416482994"/>
      <w:bookmarkStart w:id="4829" w:name="_Toc416469771"/>
      <w:bookmarkStart w:id="4830" w:name="_Toc128463330"/>
      <w:bookmarkStart w:id="4831" w:name="_Toc101210357"/>
      <w:bookmarkStart w:id="4832" w:name="_Toc51819799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r>
        <w:rPr>
          <w:rFonts w:ascii="Times New Roman;Times;serif" w:hAnsi="Times New Roman;Times;serif"/>
          <w:sz w:val="24"/>
          <w:u w:val="single"/>
        </w:rPr>
        <w:t>Counterparts</w:t>
      </w:r>
      <w:r>
        <w:rPr>
          <w:rFonts w:ascii="Times New Roman;Times;serif" w:hAnsi="Times New Roman;Times;serif"/>
          <w:sz w:val="24"/>
        </w:rPr>
        <w:t>.  This Agreement may be executed in counterparts (including by means of facsimile or scanned and emailed signature pages), any one of which need not contain the signatures of more than one Party, but all such counterparts taken together shall constitute one and the same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9.10</w:t>
      </w:r>
      <w:bookmarkStart w:id="4833" w:name="_Toc235366579"/>
      <w:bookmarkStart w:id="4834" w:name="_Toc235205110"/>
      <w:bookmarkStart w:id="4835" w:name="_Toc235142762"/>
      <w:bookmarkStart w:id="4836" w:name="_Toc228481628"/>
      <w:bookmarkStart w:id="4837" w:name="_Ref83652603"/>
      <w:bookmarkStart w:id="4838" w:name="_Toc892181"/>
      <w:bookmarkStart w:id="4839" w:name="_Ref507269787"/>
      <w:bookmarkStart w:id="4840" w:name="_Ref507269577"/>
      <w:bookmarkStart w:id="4841" w:name="_Toc465317365"/>
      <w:bookmarkStart w:id="4842" w:name="_Toc464684618"/>
      <w:bookmarkStart w:id="4843" w:name="_Toc464561926"/>
      <w:bookmarkStart w:id="4844" w:name="_Toc440773814"/>
      <w:bookmarkStart w:id="4845" w:name="_Ref440767754"/>
      <w:bookmarkStart w:id="4846" w:name="_Toc440766949"/>
      <w:bookmarkStart w:id="4847" w:name="_Toc440765361"/>
      <w:bookmarkStart w:id="4848" w:name="_Toc440764602"/>
      <w:bookmarkStart w:id="4849" w:name="_Toc440761042"/>
      <w:bookmarkStart w:id="4850" w:name="_Ref416482995"/>
      <w:bookmarkStart w:id="4851" w:name="_Toc416469772"/>
      <w:bookmarkStart w:id="4852" w:name="_Toc128463331"/>
      <w:bookmarkStart w:id="4853" w:name="_Toc101210358"/>
      <w:bookmarkStart w:id="4854" w:name="_Toc518197991"/>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r>
        <w:rPr>
          <w:rFonts w:ascii="Times New Roman;Times;serif" w:hAnsi="Times New Roman;Times;serif"/>
          <w:sz w:val="24"/>
          <w:u w:val="single"/>
        </w:rPr>
        <w:t>Descriptive Headings; Interpretation</w:t>
      </w:r>
      <w:r>
        <w:rPr>
          <w:rFonts w:ascii="Times New Roman;Times;serif" w:hAnsi="Times New Roman;Times;serif"/>
          <w:sz w:val="24"/>
        </w:rPr>
        <w:t>.  The headings and captions used in this Agreement and the table of contents to this Agreement are for reference purposes only and shall not affect in any way the meaning or interpretation of this Agreement.  The word “</w:t>
      </w:r>
      <w:bookmarkStart w:id="4855" w:name="dtDNI56"/>
      <w:bookmarkEnd w:id="4855"/>
      <w:r>
        <w:rPr>
          <w:rFonts w:ascii="Times New Roman;Times;serif" w:hAnsi="Times New Roman;Times;serif"/>
          <w:sz w:val="24"/>
        </w:rPr>
        <w:t>or” shall not be exclusive.  The word “</w:t>
      </w:r>
      <w:bookmarkStart w:id="4856" w:name="dtDNI57"/>
      <w:bookmarkEnd w:id="4856"/>
      <w:r>
        <w:rPr>
          <w:rFonts w:ascii="Times New Roman;Times;serif" w:hAnsi="Times New Roman;Times;serif"/>
          <w:sz w:val="24"/>
        </w:rPr>
        <w:t>extent” in the phrase “</w:t>
      </w:r>
      <w:bookmarkStart w:id="4857" w:name="dtDNI58"/>
      <w:bookmarkEnd w:id="4857"/>
      <w:r>
        <w:rPr>
          <w:rFonts w:ascii="Times New Roman;Times;serif" w:hAnsi="Times New Roman;Times;serif"/>
          <w:sz w:val="24"/>
        </w:rPr>
        <w:t>to the extent” shall mean to the degree to which a subject or other thing extends, and such phase shall not mean simply “</w:t>
      </w:r>
      <w:bookmarkStart w:id="4858" w:name="dtDNI59"/>
      <w:bookmarkEnd w:id="4858"/>
      <w:r>
        <w:rPr>
          <w:rFonts w:ascii="Times New Roman;Times;serif" w:hAnsi="Times New Roman;Times;serif"/>
          <w:sz w:val="24"/>
        </w:rPr>
        <w:t>if”.  References to “</w:t>
      </w:r>
      <w:bookmarkStart w:id="4859" w:name="dtDNI60"/>
      <w:bookmarkEnd w:id="4859"/>
      <w:r>
        <w:rPr>
          <w:rFonts w:ascii="Times New Roman;Times;serif" w:hAnsi="Times New Roman;Times;serif"/>
          <w:sz w:val="24"/>
        </w:rPr>
        <w:t>written” or “</w:t>
      </w:r>
      <w:bookmarkStart w:id="4860" w:name="dtDNI61"/>
      <w:bookmarkEnd w:id="4860"/>
      <w:r>
        <w:rPr>
          <w:rFonts w:ascii="Times New Roman;Times;serif" w:hAnsi="Times New Roman;Times;serif"/>
          <w:sz w:val="24"/>
        </w:rPr>
        <w:t>in writing” include electronic form.  The words “</w:t>
      </w:r>
      <w:bookmarkStart w:id="4861" w:name="dtDNI62"/>
      <w:bookmarkEnd w:id="4861"/>
      <w:r>
        <w:rPr>
          <w:rFonts w:ascii="Times New Roman;Times;serif" w:hAnsi="Times New Roman;Times;serif"/>
          <w:sz w:val="24"/>
        </w:rPr>
        <w:t>hereof”, “</w:t>
      </w:r>
      <w:bookmarkStart w:id="4862" w:name="dtDNI63"/>
      <w:bookmarkEnd w:id="4862"/>
      <w:r>
        <w:rPr>
          <w:rFonts w:ascii="Times New Roman;Times;serif" w:hAnsi="Times New Roman;Times;serif"/>
          <w:sz w:val="24"/>
        </w:rPr>
        <w:t>herein” and “</w:t>
      </w:r>
      <w:bookmarkStart w:id="4863" w:name="dtDNI64"/>
      <w:bookmarkEnd w:id="4863"/>
      <w:r>
        <w:rPr>
          <w:rFonts w:ascii="Times New Roman;Times;serif" w:hAnsi="Times New Roman;Times;serif"/>
          <w:sz w:val="24"/>
        </w:rPr>
        <w:t xml:space="preserve">hereunder” and words of similar import when used in this Agreement refer to this Agreement as a whole (including any </w:t>
      </w:r>
      <w:bookmarkStart w:id="4864" w:name="DocXTextRef397"/>
      <w:bookmarkEnd w:id="4864"/>
      <w:r>
        <w:rPr>
          <w:rFonts w:ascii="Times New Roman;Times;serif" w:hAnsi="Times New Roman;Times;serif"/>
          <w:sz w:val="24"/>
        </w:rPr>
        <w:t>Schedules, Annexes and Exhibits hereto) and not to any particular provision of this Agreement, and all Article, Section, Schedule, Annex and Exhibit references are to this Agreement unless otherwise specified.  Any capitalized terms used in any Schedule, Annex or Exhibit attached hereto and not otherwise defined therein shall have the meanings set forth in this Agreement.  The words “</w:t>
      </w:r>
      <w:bookmarkStart w:id="4865" w:name="dtDNI65"/>
      <w:bookmarkEnd w:id="4865"/>
      <w:r>
        <w:rPr>
          <w:rFonts w:ascii="Times New Roman;Times;serif" w:hAnsi="Times New Roman;Times;serif"/>
          <w:sz w:val="24"/>
        </w:rPr>
        <w:t>include,” “</w:t>
      </w:r>
      <w:bookmarkStart w:id="4866" w:name="dtDNI66"/>
      <w:bookmarkEnd w:id="4866"/>
      <w:r>
        <w:rPr>
          <w:rFonts w:ascii="Times New Roman;Times;serif" w:hAnsi="Times New Roman;Times;serif"/>
          <w:sz w:val="24"/>
        </w:rPr>
        <w:t>includes” and “</w:t>
      </w:r>
      <w:bookmarkStart w:id="4867" w:name="dtDNI67"/>
      <w:bookmarkEnd w:id="4867"/>
      <w:r>
        <w:rPr>
          <w:rFonts w:ascii="Times New Roman;Times;serif" w:hAnsi="Times New Roman;Times;serif"/>
          <w:sz w:val="24"/>
        </w:rPr>
        <w:t>including” will be deemed to be followed by the phrase “</w:t>
      </w:r>
      <w:bookmarkStart w:id="4868" w:name="dtDNI68"/>
      <w:bookmarkEnd w:id="4868"/>
      <w:r>
        <w:rPr>
          <w:rFonts w:ascii="Times New Roman;Times;serif" w:hAnsi="Times New Roman;Times;serif"/>
          <w:sz w:val="24"/>
        </w:rPr>
        <w:t>without limitation.”  The word “</w:t>
      </w:r>
      <w:bookmarkStart w:id="4869" w:name="dtDNI69"/>
      <w:bookmarkEnd w:id="4869"/>
      <w:r>
        <w:rPr>
          <w:rFonts w:ascii="Times New Roman;Times;serif" w:hAnsi="Times New Roman;Times;serif"/>
          <w:sz w:val="24"/>
        </w:rPr>
        <w:t>asset(s)” will be deemed to be followed by the words “</w:t>
      </w:r>
      <w:bookmarkStart w:id="4870" w:name="dtDNI70"/>
      <w:bookmarkEnd w:id="4870"/>
      <w:r>
        <w:rPr>
          <w:rFonts w:ascii="Times New Roman;Times;serif" w:hAnsi="Times New Roman;Times;serif"/>
          <w:sz w:val="24"/>
        </w:rPr>
        <w:t xml:space="preserve">tangible or intangible” unless otherwise specified.  The meanings given to terms defined herein will be equally applicable to both the singular and plural forms of such terms.  Whenever the context may require, any pronoun includes the corresponding masculine, feminine and neuter forms.  All references to </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caps w:val="false"/>
          <w:smallCaps w:val="false"/>
        </w:rPr>
        <w:t>“</w:t>
      </w:r>
      <w:bookmarkStart w:id="4871" w:name="dtDNI71"/>
      <w:bookmarkEnd w:id="4871"/>
      <w:r>
        <w:rPr>
          <w:rFonts w:ascii="Times New Roman;Times;serif" w:hAnsi="Times New Roman;Times;serif"/>
          <w:b w:val="false"/>
          <w:i w:val="false"/>
          <w:caps w:val="false"/>
          <w:smallCaps w:val="false"/>
          <w:sz w:val="24"/>
        </w:rPr>
        <w:t>dollars</w:t>
      </w:r>
      <w:r>
        <w:rPr>
          <w:caps w:val="false"/>
          <w:smallCaps w:val="false"/>
        </w:rPr>
        <w:t xml:space="preserve">” </w:t>
      </w:r>
      <w:r>
        <w:rPr>
          <w:rFonts w:ascii="Times New Roman;Times;serif" w:hAnsi="Times New Roman;Times;serif"/>
          <w:b w:val="false"/>
          <w:i w:val="false"/>
          <w:caps w:val="false"/>
          <w:smallCaps w:val="false"/>
          <w:sz w:val="24"/>
        </w:rPr>
        <w:t>or “</w:t>
      </w:r>
      <w:bookmarkStart w:id="4872" w:name="dtDNI72"/>
      <w:bookmarkEnd w:id="4872"/>
      <w:r>
        <w:rPr>
          <w:rFonts w:ascii="Times New Roman;Times;serif" w:hAnsi="Times New Roman;Times;serif"/>
          <w:b w:val="false"/>
          <w:i w:val="false"/>
          <w:caps w:val="false"/>
          <w:smallCaps w:val="false"/>
          <w:sz w:val="24"/>
        </w:rPr>
        <w:t>$</w:t>
      </w:r>
      <w:r>
        <w:rPr>
          <w:caps w:val="false"/>
          <w:smallCaps w:val="false"/>
        </w:rPr>
        <w:t xml:space="preserve">” </w:t>
      </w:r>
      <w:r>
        <w:rPr>
          <w:rFonts w:ascii="Times New Roman;Times;serif" w:hAnsi="Times New Roman;Times;serif"/>
          <w:b w:val="false"/>
          <w:i w:val="false"/>
          <w:caps w:val="false"/>
          <w:smallCaps w:val="false"/>
          <w:sz w:val="24"/>
        </w:rPr>
        <w:t>will be deemed references to the lawful money of the United States of America.  Any reference in this Agreement to a “</w:t>
      </w:r>
      <w:bookmarkStart w:id="4873" w:name="dtDNI73"/>
      <w:bookmarkEnd w:id="4873"/>
      <w:r>
        <w:rPr>
          <w:rFonts w:ascii="Times New Roman;Times;serif" w:hAnsi="Times New Roman;Times;serif"/>
          <w:b w:val="false"/>
          <w:i w:val="false"/>
          <w:caps w:val="false"/>
          <w:smallCaps w:val="false"/>
          <w:sz w:val="24"/>
        </w:rPr>
        <w:t>day</w:t>
      </w:r>
      <w:r>
        <w:rPr>
          <w:caps w:val="false"/>
          <w:smallCaps w:val="false"/>
        </w:rPr>
        <w:t xml:space="preserve">” </w:t>
      </w:r>
      <w:r>
        <w:rPr>
          <w:rFonts w:ascii="Times New Roman;Times;serif" w:hAnsi="Times New Roman;Times;serif"/>
          <w:b w:val="false"/>
          <w:i w:val="false"/>
          <w:caps w:val="false"/>
          <w:smallCaps w:val="false"/>
          <w:sz w:val="24"/>
        </w:rPr>
        <w:t>or a number of “</w:t>
      </w:r>
      <w:bookmarkStart w:id="4874" w:name="dtDNI74"/>
      <w:bookmarkEnd w:id="4874"/>
      <w:r>
        <w:rPr>
          <w:rFonts w:ascii="Times New Roman;Times;serif" w:hAnsi="Times New Roman;Times;serif"/>
          <w:b w:val="false"/>
          <w:i w:val="false"/>
          <w:caps w:val="false"/>
          <w:smallCaps w:val="false"/>
          <w:sz w:val="24"/>
        </w:rPr>
        <w:t>days</w:t>
      </w:r>
      <w:r>
        <w:rPr>
          <w:caps w:val="false"/>
          <w:smallCaps w:val="false"/>
        </w:rPr>
        <w:t xml:space="preserve">” </w:t>
      </w:r>
      <w:r>
        <w:rPr>
          <w:rFonts w:ascii="Times New Roman;Times;serif" w:hAnsi="Times New Roman;Times;serif"/>
          <w:b w:val="false"/>
          <w:i w:val="false"/>
          <w:caps w:val="false"/>
          <w:smallCaps w:val="false"/>
          <w:sz w:val="24"/>
        </w:rPr>
        <w:t>(without explicit reference to “</w:t>
      </w:r>
      <w:bookmarkStart w:id="4875" w:name="dtDNI75"/>
      <w:bookmarkEnd w:id="4875"/>
      <w:r>
        <w:rPr>
          <w:rFonts w:ascii="Times New Roman;Times;serif" w:hAnsi="Times New Roman;Times;serif"/>
          <w:b w:val="false"/>
          <w:i w:val="false"/>
          <w:caps w:val="false"/>
          <w:smallCaps w:val="false"/>
          <w:sz w:val="24"/>
        </w:rPr>
        <w:t>Business Day</w:t>
      </w:r>
      <w:r>
        <w:rPr>
          <w:caps w:val="false"/>
          <w:smallCaps w:val="false"/>
        </w:rPr>
        <w:t>”</w:t>
      </w:r>
      <w:r>
        <w:rPr>
          <w:rFonts w:ascii="Times New Roman;Times;serif" w:hAnsi="Times New Roman;Times;serif"/>
          <w:b w:val="false"/>
          <w:i w:val="false"/>
          <w:caps w:val="false"/>
          <w:smallCaps w:val="false"/>
          <w:sz w:val="24"/>
        </w:rPr>
        <w:t>) shall be interpreted as a reference to a calendar day or number of calendar days.  If any action or notice is to be taken or given on or by a particular calendar day, and such calendar day is not a Business Day, then such action or notice may be deferred until the next Business Day.  The words “</w:t>
      </w:r>
      <w:bookmarkStart w:id="4876" w:name="dtDNI76"/>
      <w:bookmarkEnd w:id="4876"/>
      <w:r>
        <w:rPr>
          <w:rFonts w:ascii="Times New Roman;Times;serif" w:hAnsi="Times New Roman;Times;serif"/>
          <w:b w:val="false"/>
          <w:i w:val="false"/>
          <w:caps w:val="false"/>
          <w:smallCaps w:val="false"/>
          <w:sz w:val="24"/>
        </w:rPr>
        <w:t>Seller has provided</w:t>
      </w:r>
      <w:r>
        <w:rPr>
          <w:caps w:val="false"/>
          <w:smallCaps w:val="false"/>
        </w:rPr>
        <w:t xml:space="preserve">” </w:t>
      </w:r>
      <w:r>
        <w:rPr>
          <w:rFonts w:ascii="Times New Roman;Times;serif" w:hAnsi="Times New Roman;Times;serif"/>
          <w:b w:val="false"/>
          <w:i w:val="false"/>
          <w:caps w:val="false"/>
          <w:smallCaps w:val="false"/>
          <w:sz w:val="24"/>
        </w:rPr>
        <w:t xml:space="preserve">or “made available” or words of similar import with respect to any item provided or made available by </w:t>
      </w:r>
      <w:bookmarkStart w:id="4877" w:name="_9kR3WTr1ABAEGgLltnuA8RSM71"/>
      <w:bookmarkEnd w:id="4877"/>
      <w:r>
        <w:rPr>
          <w:rFonts w:ascii="Times New Roman;Times;serif" w:hAnsi="Times New Roman;Times;serif"/>
          <w:b w:val="false"/>
          <w:i w:val="false"/>
          <w:caps w:val="false"/>
          <w:smallCaps w:val="false"/>
          <w:sz w:val="24"/>
        </w:rPr>
        <w:t>Seller to Buyer</w:t>
      </w:r>
      <w:r>
        <w:rPr>
          <w:caps w:val="false"/>
          <w:smallCaps w:val="false"/>
        </w:rPr>
        <w:t xml:space="preserve"> </w:t>
      </w:r>
      <w:r>
        <w:rPr>
          <w:rFonts w:ascii="Times New Roman;Times;serif" w:hAnsi="Times New Roman;Times;serif"/>
          <w:b w:val="false"/>
          <w:i w:val="false"/>
          <w:caps w:val="false"/>
          <w:smallCaps w:val="false"/>
          <w:sz w:val="24"/>
        </w:rPr>
        <w:t>shall mean posted on or prior to the date of this Agreement in the Data Room.  All references to “</w:t>
      </w:r>
      <w:bookmarkStart w:id="4878" w:name="dtDNI77"/>
      <w:bookmarkEnd w:id="4878"/>
      <w:r>
        <w:rPr>
          <w:rFonts w:ascii="Times New Roman;Times;serif" w:hAnsi="Times New Roman;Times;serif"/>
          <w:b w:val="false"/>
          <w:i w:val="false"/>
          <w:caps w:val="false"/>
          <w:smallCaps w:val="false"/>
          <w:sz w:val="24"/>
        </w:rPr>
        <w:t>data</w:t>
      </w:r>
      <w:r>
        <w:rPr>
          <w:caps w:val="false"/>
          <w:smallCaps w:val="false"/>
        </w:rPr>
        <w:t xml:space="preserve">” </w:t>
      </w:r>
      <w:r>
        <w:rPr>
          <w:rFonts w:ascii="Times New Roman;Times;serif" w:hAnsi="Times New Roman;Times;serif"/>
          <w:b w:val="false"/>
          <w:i w:val="false"/>
          <w:caps w:val="false"/>
          <w:smallCaps w:val="false"/>
          <w:sz w:val="24"/>
        </w:rPr>
        <w:t>include “</w:t>
      </w:r>
      <w:bookmarkStart w:id="4879" w:name="dtDNI78"/>
      <w:bookmarkEnd w:id="4879"/>
      <w:r>
        <w:rPr>
          <w:rFonts w:ascii="Times New Roman;Times;serif" w:hAnsi="Times New Roman;Times;serif"/>
          <w:b w:val="false"/>
          <w:i w:val="false"/>
          <w:caps w:val="false"/>
          <w:smallCaps w:val="false"/>
          <w:sz w:val="24"/>
        </w:rPr>
        <w:t>information</w:t>
      </w:r>
      <w:r>
        <w:rPr>
          <w:caps w:val="false"/>
          <w:smallCaps w:val="false"/>
        </w:rPr>
        <w:t xml:space="preserve">” </w:t>
      </w:r>
      <w:r>
        <w:rPr>
          <w:rFonts w:ascii="Times New Roman;Times;serif" w:hAnsi="Times New Roman;Times;serif"/>
          <w:b w:val="false"/>
          <w:i w:val="false"/>
          <w:caps w:val="false"/>
          <w:smallCaps w:val="false"/>
          <w:sz w:val="24"/>
        </w:rPr>
        <w:t>and vice versa.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9.11</w:t>
      </w:r>
      <w:bookmarkStart w:id="4880" w:name="_Toc235366580"/>
      <w:bookmarkStart w:id="4881" w:name="_Toc235205111"/>
      <w:bookmarkStart w:id="4882" w:name="_Toc235142763"/>
      <w:bookmarkStart w:id="4883" w:name="_Toc228481629"/>
      <w:bookmarkStart w:id="4884" w:name="_Ref83652604"/>
      <w:bookmarkStart w:id="4885" w:name="_Toc892182"/>
      <w:bookmarkStart w:id="4886" w:name="_Ref507269788"/>
      <w:bookmarkStart w:id="4887" w:name="_Ref507269578"/>
      <w:bookmarkStart w:id="4888" w:name="_Toc465317366"/>
      <w:bookmarkStart w:id="4889" w:name="_Toc464684619"/>
      <w:bookmarkStart w:id="4890" w:name="_Toc464561927"/>
      <w:bookmarkStart w:id="4891" w:name="_Toc440773815"/>
      <w:bookmarkStart w:id="4892" w:name="_Ref440767755"/>
      <w:bookmarkStart w:id="4893" w:name="_Toc440766950"/>
      <w:bookmarkStart w:id="4894" w:name="_Toc440765362"/>
      <w:bookmarkStart w:id="4895" w:name="_Toc440764603"/>
      <w:bookmarkStart w:id="4896" w:name="_Toc440761043"/>
      <w:bookmarkStart w:id="4897" w:name="_Ref416482996"/>
      <w:bookmarkStart w:id="4898" w:name="_Toc416469773"/>
      <w:bookmarkStart w:id="4899" w:name="_Toc128463332"/>
      <w:bookmarkStart w:id="4900" w:name="_Ref101251989"/>
      <w:bookmarkStart w:id="4901" w:name="_Toc101210359"/>
      <w:bookmarkStart w:id="4902" w:name="_Toc518197992"/>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r>
        <w:rPr>
          <w:rFonts w:ascii="Times New Roman;Times;serif" w:hAnsi="Times New Roman;Times;serif"/>
          <w:sz w:val="24"/>
          <w:u w:val="single"/>
        </w:rPr>
        <w:t>Entire Agreement</w:t>
      </w:r>
      <w:r>
        <w:rPr>
          <w:rFonts w:ascii="Times New Roman;Times;serif" w:hAnsi="Times New Roman;Times;serif"/>
          <w:sz w:val="24"/>
        </w:rPr>
        <w:t xml:space="preserve">.  This Agreement (including the </w:t>
      </w:r>
      <w:bookmarkStart w:id="4903" w:name="DocXTextRef398"/>
      <w:bookmarkEnd w:id="4903"/>
      <w:r>
        <w:rPr>
          <w:rFonts w:ascii="Times New Roman;Times;serif" w:hAnsi="Times New Roman;Times;serif"/>
          <w:sz w:val="24"/>
        </w:rPr>
        <w:t>Schedules, Annexes and Exhibits hereto), the other Transaction Documents and the Confidentiality Agreement constitute the entire agreement and understanding among the Parties with respect to the subject matter hereof and supersede all prior agreements and understandings, whether written or oral, relating to such subject matter in any way</w:t>
      </w:r>
      <w:bookmarkStart w:id="4904" w:name="_Toc257060644"/>
      <w:bookmarkStart w:id="4905" w:name="_Toc257059972"/>
      <w:bookmarkStart w:id="4906" w:name="_Toc257057599"/>
      <w:bookmarkStart w:id="4907" w:name="_Ref203888875"/>
      <w:bookmarkStart w:id="4908" w:name="_Toc415064542"/>
      <w:bookmarkStart w:id="4909" w:name="_Ref319541452"/>
      <w:bookmarkEnd w:id="4904"/>
      <w:bookmarkEnd w:id="4905"/>
      <w:bookmarkEnd w:id="4906"/>
      <w:bookmarkEnd w:id="4907"/>
      <w:bookmarkEnd w:id="4908"/>
      <w:bookmarkEnd w:id="4909"/>
      <w:r>
        <w:rPr>
          <w:rFonts w:ascii="Times New Roman;Times;serif" w:hAnsi="Times New Roman;Times;serif"/>
          <w:sz w:val="24"/>
        </w:rPr>
        <w:t xml:space="preserve"> to the subject matter hereof or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9.12</w:t>
      </w:r>
      <w:bookmarkStart w:id="4910" w:name="_Toc235366581"/>
      <w:bookmarkStart w:id="4911" w:name="_Toc235205112"/>
      <w:bookmarkStart w:id="4912" w:name="_Toc235142764"/>
      <w:bookmarkStart w:id="4913" w:name="_Toc228481630"/>
      <w:bookmarkStart w:id="4914" w:name="_Ref440766728"/>
      <w:bookmarkStart w:id="4915" w:name="_Ref440766498"/>
      <w:bookmarkStart w:id="4916" w:name="_Ref83652605"/>
      <w:bookmarkStart w:id="4917" w:name="_Toc892183"/>
      <w:bookmarkStart w:id="4918" w:name="_Ref507269789"/>
      <w:bookmarkStart w:id="4919" w:name="_Ref507269579"/>
      <w:bookmarkStart w:id="4920" w:name="_Toc465317367"/>
      <w:bookmarkStart w:id="4921" w:name="_Toc464684620"/>
      <w:bookmarkStart w:id="4922" w:name="_Toc464561928"/>
      <w:bookmarkStart w:id="4923" w:name="_Toc440773816"/>
      <w:bookmarkStart w:id="4924" w:name="_Ref440767756"/>
      <w:bookmarkStart w:id="4925" w:name="_Toc440766951"/>
      <w:bookmarkStart w:id="4926" w:name="_Toc440765363"/>
      <w:bookmarkStart w:id="4927" w:name="_Toc440764604"/>
      <w:bookmarkStart w:id="4928" w:name="_Toc440761044"/>
      <w:bookmarkStart w:id="4929" w:name="_Ref416482997"/>
      <w:bookmarkStart w:id="4930" w:name="_Toc416469774"/>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r>
        <w:rPr>
          <w:rFonts w:ascii="Times New Roman;Times;serif" w:hAnsi="Times New Roman;Times;serif"/>
          <w:sz w:val="24"/>
          <w:u w:val="single"/>
        </w:rPr>
        <w:t>Specific Performance</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(a)</w:t>
      </w:r>
      <w:bookmarkStart w:id="4931" w:name="_Toc235205113"/>
      <w:bookmarkStart w:id="4932" w:name="_Ref234172198"/>
      <w:bookmarkEnd w:id="4931"/>
      <w:bookmarkEnd w:id="4932"/>
      <w:r>
        <w:rPr>
          <w:rFonts w:ascii="Times New Roman;Times;serif" w:hAnsi="Times New Roman;Times;serif"/>
          <w:sz w:val="24"/>
        </w:rPr>
        <w:t xml:space="preserve">Each Party acknowledges that the Parties will be irreparably harmed and that there will be no adequate remedy at law for any violation by any Party of any of the covenants or agreements contained in the Transaction Documents.  It is accordingly agreed that, in addition to any other remedies which may be available upon the breach of any such covenants or agreements, (except in the circumstances described in the final sentence of this </w:t>
      </w:r>
      <w:r>
        <w:rPr>
          <w:rFonts w:ascii="Times New Roman;Times;serif" w:hAnsi="Times New Roman;Times;serif"/>
          <w:sz w:val="24"/>
          <w:u w:val="single"/>
        </w:rPr>
        <w:t>Section 9.12(a)</w:t>
      </w:r>
      <w:r>
        <w:rPr>
          <w:rFonts w:ascii="Times New Roman;Times;serif" w:hAnsi="Times New Roman;Times;serif"/>
          <w:sz w:val="24"/>
        </w:rPr>
        <w:t xml:space="preserve">) each of the Parties shall be entitled to equitable relief, without proof of actual damages, including an injunction or injunctions or Orders for specific performance to prevent breaches of this Agreement and to enforce specifically the terms and provisions of this Agreement, in addition to any other remedy to which they are entitled at Law or in equity as a remedy for any such breach or threatened breach.  Notwithstanding the foregoing, in any circumstance in which Seller is entitled to terminate this Agreement pursuant to </w:t>
      </w:r>
      <w:r>
        <w:rPr>
          <w:rFonts w:ascii="Times New Roman;Times;serif" w:hAnsi="Times New Roman;Times;serif"/>
          <w:sz w:val="24"/>
          <w:u w:val="single"/>
        </w:rPr>
        <w:t>Section 8.1(c)</w:t>
      </w:r>
      <w:r>
        <w:rPr>
          <w:rFonts w:ascii="Times New Roman;Times;serif" w:hAnsi="Times New Roman;Times;serif"/>
          <w:sz w:val="24"/>
        </w:rPr>
        <w:t>, Seller’s sole and exclusive remedy shall be its right to terminate this Agreement and the payment of the Reverse Termination Fee by Buyer in accordance with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olor w:val="010000"/>
          <w:sz w:val="24"/>
        </w:rPr>
        <w:t>(b)</w:t>
      </w:r>
      <w:bookmarkStart w:id="4933" w:name="_Toc235205114"/>
      <w:bookmarkEnd w:id="4933"/>
      <w:r>
        <w:rPr>
          <w:rFonts w:ascii="Times New Roman;Times;serif" w:hAnsi="Times New Roman;Times;serif"/>
          <w:sz w:val="24"/>
        </w:rPr>
        <w:t xml:space="preserve">Each Party further agrees that no other Party or any other Person shall be required to obtain, furnish or post any bond or similar instrument in connection with or as a condition to obtaining any remedy referred to in this </w:t>
      </w:r>
      <w:r>
        <w:rPr>
          <w:rFonts w:ascii="Times New Roman;Times;serif" w:hAnsi="Times New Roman;Times;serif"/>
          <w:sz w:val="24"/>
          <w:u w:val="single"/>
        </w:rPr>
        <w:t>Section 9.12</w:t>
      </w:r>
      <w:r>
        <w:rPr>
          <w:rFonts w:ascii="Times New Roman;Times;serif" w:hAnsi="Times New Roman;Times;serif"/>
          <w:sz w:val="24"/>
        </w:rPr>
        <w:t>, and each Party irrevocably waives any right it may have to require the obtaining, furnishing or posting of any such bond or similar instrument.  Each Party further agrees that the only permitted objection that it may raise in response to any action for equitable relief is that it contests the existence of a breach or threatened breach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9.13</w:t>
      </w:r>
      <w:bookmarkStart w:id="4934" w:name="_Toc235366582"/>
      <w:bookmarkStart w:id="4935" w:name="_Toc235205115"/>
      <w:bookmarkStart w:id="4936" w:name="_Toc235142765"/>
      <w:bookmarkStart w:id="4937" w:name="_Toc228481631"/>
      <w:bookmarkStart w:id="4938" w:name="_Ref83652606"/>
      <w:bookmarkStart w:id="4939" w:name="_Toc892184"/>
      <w:bookmarkStart w:id="4940" w:name="_Ref507269790"/>
      <w:bookmarkStart w:id="4941" w:name="_Ref507269580"/>
      <w:bookmarkStart w:id="4942" w:name="_Toc465317368"/>
      <w:bookmarkStart w:id="4943" w:name="_Toc464684621"/>
      <w:bookmarkStart w:id="4944" w:name="_Toc464561929"/>
      <w:bookmarkStart w:id="4945" w:name="_Toc440773817"/>
      <w:bookmarkStart w:id="4946" w:name="_Ref440767757"/>
      <w:bookmarkStart w:id="4947" w:name="_Toc440766952"/>
      <w:bookmarkStart w:id="4948" w:name="_Toc440765364"/>
      <w:bookmarkStart w:id="4949" w:name="_Toc440764605"/>
      <w:bookmarkStart w:id="4950" w:name="_Toc440761045"/>
      <w:bookmarkStart w:id="4951" w:name="_Ref416482998"/>
      <w:bookmarkStart w:id="4952" w:name="_Toc416469775"/>
      <w:bookmarkStart w:id="4953" w:name="_Toc128463333"/>
      <w:bookmarkStart w:id="4954" w:name="_Toc101210361"/>
      <w:bookmarkStart w:id="4955" w:name="_Toc51819799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r>
        <w:rPr>
          <w:rFonts w:ascii="Times New Roman;Times;serif" w:hAnsi="Times New Roman;Times;serif"/>
          <w:sz w:val="24"/>
          <w:u w:val="single"/>
        </w:rPr>
        <w:t>No Third Party Beneficiaries</w:t>
      </w:r>
      <w:r>
        <w:rPr>
          <w:rFonts w:ascii="Times New Roman;Times;serif" w:hAnsi="Times New Roman;Times;serif"/>
          <w:sz w:val="24"/>
        </w:rPr>
        <w:t>.  Except with respect to the Buyer Indemnified Persons and the Seller Indemnified Persons, who shall be third party beneficiaries hereunder, this Agreement is for the sole benefit of the Parties and their successors and permitted assigns and nothing herein expressed or implied shall give or be construed to give any Person, other than the Parties and such permitted successors and assigns, any legal or equitable rights hereunder.</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9.14</w:t>
      </w:r>
      <w:bookmarkStart w:id="4956" w:name="_Toc235366583"/>
      <w:bookmarkStart w:id="4957" w:name="_Toc235205116"/>
      <w:bookmarkStart w:id="4958" w:name="_Toc235142766"/>
      <w:bookmarkStart w:id="4959" w:name="_Toc228481632"/>
      <w:bookmarkStart w:id="4960" w:name="_Ref83652607"/>
      <w:bookmarkStart w:id="4961" w:name="_Toc892185"/>
      <w:bookmarkStart w:id="4962" w:name="_Ref507269791"/>
      <w:bookmarkStart w:id="4963" w:name="_Ref507269581"/>
      <w:bookmarkStart w:id="4964" w:name="_Toc465317369"/>
      <w:bookmarkStart w:id="4965" w:name="_Toc464684622"/>
      <w:bookmarkStart w:id="4966" w:name="_Toc464561930"/>
      <w:bookmarkStart w:id="4967" w:name="_Toc440773818"/>
      <w:bookmarkStart w:id="4968" w:name="_Ref440767758"/>
      <w:bookmarkStart w:id="4969" w:name="_Toc440766953"/>
      <w:bookmarkStart w:id="4970" w:name="_Toc440765365"/>
      <w:bookmarkStart w:id="4971" w:name="_Toc440764606"/>
      <w:bookmarkStart w:id="4972" w:name="_Toc440761046"/>
      <w:bookmarkStart w:id="4973" w:name="_Ref416482999"/>
      <w:bookmarkStart w:id="4974" w:name="_Toc416469776"/>
      <w:bookmarkStart w:id="4975" w:name="_Toc128463334"/>
      <w:bookmarkStart w:id="4976" w:name="_Toc101210362"/>
      <w:bookmarkStart w:id="4977" w:name="_Ref77438066"/>
      <w:bookmarkStart w:id="4978" w:name="_Toc518197994"/>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r>
        <w:rPr>
          <w:rFonts w:ascii="Times New Roman;Times;serif" w:hAnsi="Times New Roman;Times;serif"/>
          <w:sz w:val="24"/>
          <w:u w:val="single"/>
        </w:rPr>
        <w:t>Schedules, Annexes and Exhibits</w:t>
      </w:r>
      <w:r>
        <w:rPr>
          <w:rFonts w:ascii="Times New Roman;Times;serif" w:hAnsi="Times New Roman;Times;serif"/>
          <w:sz w:val="24"/>
        </w:rPr>
        <w:t xml:space="preserve">.  All </w:t>
      </w:r>
      <w:bookmarkStart w:id="4979" w:name="DocXTextRef399"/>
      <w:bookmarkEnd w:id="4979"/>
      <w:r>
        <w:rPr>
          <w:rFonts w:ascii="Times New Roman;Times;serif" w:hAnsi="Times New Roman;Times;serif"/>
          <w:sz w:val="24"/>
        </w:rPr>
        <w:t>Schedules, Annexes and Exhibits attached hereto or referred to herein are hereby incorporated in and made a part of this Agreement as if set forth in full 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9.15</w:t>
      </w:r>
      <w:bookmarkStart w:id="4980" w:name="_Toc235366584"/>
      <w:bookmarkStart w:id="4981" w:name="_Toc235205117"/>
      <w:bookmarkStart w:id="4982" w:name="_Toc235142767"/>
      <w:bookmarkStart w:id="4983" w:name="_Toc228481633"/>
      <w:bookmarkStart w:id="4984" w:name="_Ref83652608"/>
      <w:bookmarkStart w:id="4985" w:name="_Toc892186"/>
      <w:bookmarkStart w:id="4986" w:name="_Ref507269792"/>
      <w:bookmarkStart w:id="4987" w:name="_Ref507269582"/>
      <w:bookmarkStart w:id="4988" w:name="_Toc465317370"/>
      <w:bookmarkStart w:id="4989" w:name="_Toc464684623"/>
      <w:bookmarkStart w:id="4990" w:name="_Toc464561931"/>
      <w:bookmarkStart w:id="4991" w:name="_Toc440773819"/>
      <w:bookmarkStart w:id="4992" w:name="_Ref440767759"/>
      <w:bookmarkStart w:id="4993" w:name="_Toc440766954"/>
      <w:bookmarkStart w:id="4994" w:name="_Toc440765366"/>
      <w:bookmarkStart w:id="4995" w:name="_Toc440764607"/>
      <w:bookmarkStart w:id="4996" w:name="_Toc440761047"/>
      <w:bookmarkStart w:id="4997" w:name="_Ref416483000"/>
      <w:bookmarkStart w:id="4998" w:name="_Toc416469777"/>
      <w:bookmarkStart w:id="4999" w:name="_Toc128463335"/>
      <w:bookmarkStart w:id="5000" w:name="_Toc101210363"/>
      <w:bookmarkStart w:id="5001" w:name="_Ref77438077"/>
      <w:bookmarkStart w:id="5002" w:name="_Ref22736508"/>
      <w:bookmarkStart w:id="5003" w:name="_Toc518197995"/>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r>
        <w:rPr>
          <w:rFonts w:ascii="Times New Roman;Times;serif" w:hAnsi="Times New Roman;Times;serif"/>
          <w:sz w:val="24"/>
          <w:u w:val="single"/>
        </w:rPr>
        <w:t>Governing Law</w:t>
      </w:r>
      <w:r>
        <w:rPr>
          <w:rFonts w:ascii="Times New Roman;Times;serif" w:hAnsi="Times New Roman;Times;serif"/>
          <w:sz w:val="24"/>
        </w:rPr>
        <w:t>.  This Agreement shall be interpreted and construed in accordance with the laws of the State of Delaware.  Any and all claims, controversies, and causes of action arising out of or relating to this Agreement, whether sounding in contract, tort, or statute, shall be governed by the laws of the State of Delaware, including its statutes of limitations, without giving effect to any conflict-of-laws or other rule that would result in the application of the laws of a different jurisdiction.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9.16</w:t>
      </w:r>
      <w:bookmarkStart w:id="5004" w:name="_Toc235366585"/>
      <w:bookmarkStart w:id="5005" w:name="_Toc235205118"/>
      <w:bookmarkStart w:id="5006" w:name="_Toc235142768"/>
      <w:bookmarkEnd w:id="5004"/>
      <w:bookmarkEnd w:id="5005"/>
      <w:bookmarkEnd w:id="5006"/>
      <w:r>
        <w:rPr>
          <w:rFonts w:ascii="Times New Roman;Times;serif" w:hAnsi="Times New Roman;Times;serif"/>
          <w:sz w:val="24"/>
          <w:u w:val="single"/>
        </w:rPr>
        <w:t>Jurisdiction; Venue</w:t>
      </w:r>
      <w:r>
        <w:rPr>
          <w:rFonts w:ascii="Times New Roman;Times;serif" w:hAnsi="Times New Roman;Times;serif"/>
          <w:sz w:val="24"/>
        </w:rPr>
        <w:t>.  Each of the Parties irrevocably consents to the exclusive jurisdiction of and venue in the Delaware Court of Chancery within the State of Delaware (or, if the Delaware Court of Chancery declines to accept jurisdiction over a particular matter, any federal court of the United States located in the State of Delaware, or, if any such federal court of the United States located in the State of Delaware declines to accept jurisdiction over a particular matter, any state court located in the State of Delaware) in connection with any dispute arising out of or relating to this Agreement or the transactions contemplated by this Agreement or the other Transaction Documents (a “Dispute”).  Each Party hereby authorizes and accepts service of process sufficient for personal jurisdiction in any Claim against it as contemplated by this Section 9.16 by any means of providing notice set forth in Section 9.18 of this Agreement.  Each Party waives and covenants not to assert or plead any objection that such Party might otherwise have to such jurisdiction, venue and process.  Each Party hereby agrees not to commence any Claim relating to or arising out of or relating to this Agreement or the transactions contemplated by this Agreement or the other Transaction Documents in any jurisdiction or courts other than as provided herein.  Any final judgment rendered against a Party in any Claim shall be conclusive as to the subject of such final judgment and may be enforced in other jurisdictions in any manner provided by Law.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9.17</w:t>
      </w:r>
      <w:bookmarkStart w:id="5007" w:name="_Toc235366586"/>
      <w:bookmarkStart w:id="5008" w:name="_Toc235205119"/>
      <w:bookmarkStart w:id="5009" w:name="_Toc235142769"/>
      <w:bookmarkStart w:id="5010" w:name="_Toc228481635"/>
      <w:bookmarkStart w:id="5011" w:name="_Ref228387522"/>
      <w:bookmarkStart w:id="5012" w:name="_Ref440766784"/>
      <w:bookmarkStart w:id="5013" w:name="_Ref440766595"/>
      <w:bookmarkStart w:id="5014" w:name="_Ref83652610"/>
      <w:bookmarkStart w:id="5015" w:name="_Toc892188"/>
      <w:bookmarkStart w:id="5016" w:name="_Ref507269794"/>
      <w:bookmarkStart w:id="5017" w:name="_Ref507269584"/>
      <w:bookmarkStart w:id="5018" w:name="_Toc465317372"/>
      <w:bookmarkStart w:id="5019" w:name="_Toc464684625"/>
      <w:bookmarkStart w:id="5020" w:name="_Toc464561933"/>
      <w:bookmarkStart w:id="5021" w:name="_Toc440773821"/>
      <w:bookmarkStart w:id="5022" w:name="_Ref440770722"/>
      <w:bookmarkStart w:id="5023" w:name="_Ref440767762"/>
      <w:bookmarkStart w:id="5024" w:name="_Toc440766956"/>
      <w:bookmarkStart w:id="5025" w:name="_Toc440765368"/>
      <w:bookmarkStart w:id="5026" w:name="_Toc440764609"/>
      <w:bookmarkStart w:id="5027" w:name="_Toc440761049"/>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r>
        <w:rPr>
          <w:rFonts w:ascii="Times New Roman;Times;serif" w:hAnsi="Times New Roman;Times;serif"/>
          <w:sz w:val="24"/>
          <w:u w:val="single"/>
        </w:rPr>
        <w:t>Waiver of Jury Trial</w:t>
      </w:r>
      <w:bookmarkStart w:id="5028" w:name="_Toc440764610"/>
      <w:bookmarkStart w:id="5029" w:name="_Toc440761050"/>
      <w:bookmarkEnd w:id="5028"/>
      <w:bookmarkEnd w:id="5029"/>
      <w:r>
        <w:rPr>
          <w:rFonts w:ascii="Times New Roman;Times;serif" w:hAnsi="Times New Roman;Times;serif"/>
          <w:sz w:val="24"/>
        </w:rPr>
        <w:t xml:space="preserve">.  Each Party, Seller Guarantor and Buyer Guarantor waives, to the fullest extent permitted by applicable Law, any right it may have to trial by jury in respect of any Dispute.  Each Party, Seller Guarantor and Buyer Guarantor acknowledges that it and the other parties hereto have been induced to enter into this Agreement by, among other things, the mutual waiver in this </w:t>
      </w:r>
      <w:r>
        <w:rPr>
          <w:rFonts w:ascii="Times New Roman;Times;serif" w:hAnsi="Times New Roman;Times;serif"/>
          <w:sz w:val="24"/>
          <w:u w:val="single"/>
        </w:rPr>
        <w:t>Section 9.17</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9.18</w:t>
      </w:r>
      <w:bookmarkStart w:id="5030" w:name="_Toc235366587"/>
      <w:bookmarkStart w:id="5031" w:name="_Toc235205120"/>
      <w:bookmarkStart w:id="5032" w:name="_Toc235142770"/>
      <w:bookmarkStart w:id="5033" w:name="_Toc228481636"/>
      <w:bookmarkStart w:id="5034" w:name="_Ref440766753"/>
      <w:bookmarkStart w:id="5035" w:name="_Ref83652611"/>
      <w:bookmarkStart w:id="5036" w:name="_Toc892189"/>
      <w:bookmarkStart w:id="5037" w:name="_Ref507269795"/>
      <w:bookmarkStart w:id="5038" w:name="_Ref507269585"/>
      <w:bookmarkStart w:id="5039" w:name="_Toc465317373"/>
      <w:bookmarkStart w:id="5040" w:name="_Toc464684626"/>
      <w:bookmarkStart w:id="5041" w:name="_Toc464561934"/>
      <w:bookmarkStart w:id="5042" w:name="_Toc440773822"/>
      <w:bookmarkStart w:id="5043" w:name="_Ref440767763"/>
      <w:bookmarkStart w:id="5044" w:name="_Toc440766957"/>
      <w:bookmarkStart w:id="5045" w:name="_Toc440765369"/>
      <w:bookmarkStart w:id="5046" w:name="_Toc440764611"/>
      <w:bookmarkStart w:id="5047" w:name="_Toc440761051"/>
      <w:bookmarkStart w:id="5048" w:name="_Ref416483001"/>
      <w:bookmarkStart w:id="5049" w:name="_Toc416469780"/>
      <w:bookmarkStart w:id="5050" w:name="_Toc128463338"/>
      <w:bookmarkStart w:id="5051" w:name="_Toc101210366"/>
      <w:bookmarkStart w:id="5052" w:name="_Ref23241086"/>
      <w:bookmarkStart w:id="5053" w:name="_Ref22736241"/>
      <w:bookmarkStart w:id="5054" w:name="_Toc518197996"/>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r>
        <w:rPr>
          <w:rFonts w:ascii="Times New Roman;Times;serif" w:hAnsi="Times New Roman;Times;serif"/>
          <w:sz w:val="24"/>
          <w:u w:val="single"/>
        </w:rPr>
        <w:t>Notices</w:t>
      </w:r>
      <w:r>
        <w:rPr>
          <w:rFonts w:ascii="Times New Roman;Times;serif" w:hAnsi="Times New Roman;Times;serif"/>
          <w:sz w:val="24"/>
        </w:rPr>
        <w:t xml:space="preserve">.  All notices, demands or other communications to be given or delivered under or by reason of the provisions of this Agreement shall be in writing and shall be deemed to have been given when delivered personally to the recipient, when transmitted by email if transmitted prior to </w:t>
      </w:r>
      <w:bookmarkStart w:id="5055" w:name="DocXTextRef404"/>
      <w:bookmarkEnd w:id="5055"/>
      <w:r>
        <w:rPr>
          <w:rFonts w:ascii="Times New Roman;Times;serif" w:hAnsi="Times New Roman;Times;serif"/>
          <w:sz w:val="24"/>
        </w:rPr>
        <w:t xml:space="preserve">6 pm (Eastern time) and if not, the next Business Day, three Business Days after being sent to recipient by </w:t>
      </w:r>
      <w:bookmarkStart w:id="5056" w:name="_9kR3WTr266AEHjBxEx8BWJowF"/>
      <w:bookmarkEnd w:id="5056"/>
      <w:r>
        <w:rPr>
          <w:rFonts w:ascii="Times New Roman;Times;serif" w:hAnsi="Times New Roman;Times;serif"/>
          <w:sz w:val="24"/>
        </w:rPr>
        <w:t>U.S. First Class mail (postage prepaid), or one Business Day after being sent to the recipient by reputable overnight courier service (charges prepaid).  Such notices, demands and other communications shall be sent to Buyer and Seller at the addresses indicated below or to such other address or to the attention of such other Person as the recipient party has specified by prior written notice to the sending party.  All notices, demands and other communications hereunder may be given by any other means, but shall not be deemed to have been duly given unless and until it is actually received by the intended recipient.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to Seller:</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Icahn Automotive Group LLC</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c/o Icahn Enterprises L.P.</w:t>
        <w:br/>
        <w:t>16690 Collins Avenue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Sunny Isles Beach, FL 33160 </w:t>
        <w:br/>
        <w:t>Attn: Jesse Lynn; Ted Papapostolou,</w:t>
        <w:br/>
        <w:t xml:space="preserve">Email: [***] </w:t>
      </w:r>
    </w:p>
    <w:p>
      <w:pPr>
        <w:pStyle w:val="TextBody"/>
        <w:bidi w:val="0"/>
        <w:spacing w:before="0" w:after="240"/>
        <w:ind w:left="0" w:right="0" w:firstLine="720"/>
        <w:jc w:val="both"/>
        <w:rPr>
          <w:rFonts w:ascii="Times New Roman;Times;serif" w:hAnsi="Times New Roman;Times;serif"/>
          <w:i/>
          <w:sz w:val="24"/>
        </w:rPr>
      </w:pPr>
      <w:r>
        <w:rPr>
          <w:rFonts w:ascii="Times New Roman;Times;serif" w:hAnsi="Times New Roman;Times;serif"/>
          <w:i/>
          <w:sz w:val="24"/>
        </w:rPr>
        <w:t>with a copy (which shall not constitute notice to Seller) to:</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Brown Rudnick LLP</w:t>
        <w:br/>
        <w:t>Times Square Tower</w:t>
      </w:r>
    </w:p>
    <w:p>
      <w:pPr>
        <w:pStyle w:val="TextBody"/>
        <w:bidi w:val="0"/>
        <w:spacing w:before="0" w:after="0"/>
        <w:ind w:left="720" w:right="0" w:hanging="0"/>
        <w:jc w:val="left"/>
        <w:rPr>
          <w:rFonts w:ascii="Times New Roman;Times;serif" w:hAnsi="Times New Roman;Times;serif"/>
          <w:sz w:val="24"/>
        </w:rPr>
      </w:pPr>
      <w:r>
        <w:rPr>
          <w:rFonts w:ascii="Times New Roman;Times;serif" w:hAnsi="Times New Roman;Times;serif"/>
          <w:sz w:val="24"/>
        </w:rPr>
        <w:t>7 Times Square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New York, NY 10036</w:t>
        <w:br/>
        <w:t>Attn: Thomas Regan; John Cushing</w:t>
        <w:br/>
        <w:t xml:space="preserve">Email: tregan@brownrudnick.com; jcushing@brownrudnick.com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to Buyer or the Company:</w:t>
      </w:r>
    </w:p>
    <w:p>
      <w:pPr>
        <w:pStyle w:val="TextBody"/>
        <w:bidi w:val="0"/>
        <w:spacing w:before="0" w:after="0"/>
        <w:ind w:left="720" w:right="230" w:hanging="0"/>
        <w:jc w:val="both"/>
        <w:rPr>
          <w:rFonts w:ascii="Times New Roman;Times;serif" w:hAnsi="Times New Roman;Times;serif"/>
          <w:sz w:val="24"/>
        </w:rPr>
      </w:pPr>
      <w:bookmarkStart w:id="5057" w:name="_Toc128463339"/>
      <w:bookmarkStart w:id="5058" w:name="_Toc101210367"/>
      <w:bookmarkStart w:id="5059" w:name="_Ref77438083"/>
      <w:bookmarkStart w:id="5060" w:name="_Ref22736549"/>
      <w:bookmarkStart w:id="5061" w:name="_Toc518197997"/>
      <w:bookmarkEnd w:id="5057"/>
      <w:bookmarkEnd w:id="5058"/>
      <w:bookmarkEnd w:id="5059"/>
      <w:bookmarkEnd w:id="5060"/>
      <w:bookmarkEnd w:id="5061"/>
      <w:r>
        <w:rPr>
          <w:rFonts w:ascii="Times New Roman;Times;serif" w:hAnsi="Times New Roman;Times;serif"/>
          <w:sz w:val="24"/>
        </w:rPr>
        <w:t>Mavis Tire Express Services Corp.</w:t>
      </w:r>
    </w:p>
    <w:p>
      <w:pPr>
        <w:pStyle w:val="TextBody"/>
        <w:bidi w:val="0"/>
        <w:spacing w:before="0" w:after="0"/>
        <w:ind w:left="720" w:right="230" w:hanging="0"/>
        <w:jc w:val="both"/>
        <w:rPr>
          <w:rFonts w:ascii="Times New Roman;Times;serif" w:hAnsi="Times New Roman;Times;serif"/>
          <w:sz w:val="24"/>
        </w:rPr>
      </w:pPr>
      <w:r>
        <w:rPr>
          <w:rFonts w:ascii="Times New Roman;Times;serif" w:hAnsi="Times New Roman;Times;serif"/>
          <w:sz w:val="24"/>
        </w:rPr>
        <w:t>100 Hillside Ave</w:t>
      </w:r>
    </w:p>
    <w:p>
      <w:pPr>
        <w:pStyle w:val="TextBody"/>
        <w:bidi w:val="0"/>
        <w:spacing w:before="0" w:after="0"/>
        <w:ind w:left="720" w:right="230" w:hanging="0"/>
        <w:jc w:val="both"/>
        <w:rPr>
          <w:rFonts w:ascii="Times New Roman;Times;serif" w:hAnsi="Times New Roman;Times;serif"/>
          <w:sz w:val="24"/>
        </w:rPr>
      </w:pPr>
      <w:r>
        <w:rPr>
          <w:rFonts w:ascii="Times New Roman;Times;serif" w:hAnsi="Times New Roman;Times;serif"/>
          <w:sz w:val="24"/>
        </w:rPr>
        <w:t>White Plains, NY 10603</w:t>
      </w:r>
    </w:p>
    <w:p>
      <w:pPr>
        <w:pStyle w:val="TextBody"/>
        <w:bidi w:val="0"/>
        <w:spacing w:before="0" w:after="0"/>
        <w:ind w:left="720" w:right="230" w:hanging="0"/>
        <w:jc w:val="both"/>
        <w:rPr>
          <w:rFonts w:ascii="Times New Roman;Times;serif" w:hAnsi="Times New Roman;Times;serif"/>
          <w:sz w:val="24"/>
        </w:rPr>
      </w:pPr>
      <w:r>
        <w:rPr>
          <w:rFonts w:ascii="Times New Roman;Times;serif" w:hAnsi="Times New Roman;Times;serif"/>
          <w:sz w:val="24"/>
        </w:rPr>
        <w:t>Attention: [***]</w:t>
      </w:r>
    </w:p>
    <w:p>
      <w:pPr>
        <w:pStyle w:val="TextBody"/>
        <w:bidi w:val="0"/>
        <w:spacing w:before="0" w:after="0"/>
        <w:ind w:left="720" w:right="230" w:hanging="0"/>
        <w:jc w:val="both"/>
        <w:rPr>
          <w:rFonts w:ascii="Times New Roman;Times;serif" w:hAnsi="Times New Roman;Times;serif"/>
          <w:sz w:val="24"/>
        </w:rPr>
      </w:pPr>
      <w:r>
        <w:rPr>
          <w:rFonts w:ascii="Times New Roman;Times;serif" w:hAnsi="Times New Roman;Times;serif"/>
          <w:sz w:val="24"/>
        </w:rPr>
        <w:t>Telephone: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Email: [***] </w:t>
      </w:r>
    </w:p>
    <w:p>
      <w:pPr>
        <w:pStyle w:val="TextBody"/>
        <w:bidi w:val="0"/>
        <w:spacing w:before="0" w:after="240"/>
        <w:ind w:left="0" w:right="0" w:firstLine="720"/>
        <w:jc w:val="both"/>
        <w:rPr>
          <w:rFonts w:ascii="Times New Roman;Times;serif" w:hAnsi="Times New Roman;Times;serif"/>
          <w:i/>
          <w:sz w:val="24"/>
        </w:rPr>
      </w:pPr>
      <w:r>
        <w:rPr>
          <w:rFonts w:ascii="Times New Roman;Times;serif" w:hAnsi="Times New Roman;Times;serif"/>
          <w:i/>
          <w:sz w:val="24"/>
        </w:rPr>
        <w:t>with a copy (which shall not constitute notice to Buyer or the Company) to:</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Covington &amp; Burling LLP</w:t>
        <w:br/>
        <w:t>30 Hudson Yards</w:t>
        <w:br/>
        <w:t>New York, NY 10001</w:t>
        <w:br/>
        <w:t>Attention: Stephen Infante; Allison Schiffman</w:t>
        <w:br/>
        <w:t>Email: sinfante@cov.com; aschiffman@cov.com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9.19</w:t>
      </w:r>
      <w:bookmarkStart w:id="5062" w:name="_Toc235366588"/>
      <w:bookmarkStart w:id="5063" w:name="_Toc235205121"/>
      <w:bookmarkStart w:id="5064" w:name="_Toc235142771"/>
      <w:bookmarkStart w:id="5065" w:name="_Toc228481637"/>
      <w:bookmarkStart w:id="5066" w:name="_Ref83652612"/>
      <w:bookmarkStart w:id="5067" w:name="_Toc892190"/>
      <w:bookmarkStart w:id="5068" w:name="_Ref507269796"/>
      <w:bookmarkStart w:id="5069" w:name="_Ref507269586"/>
      <w:bookmarkStart w:id="5070" w:name="_Toc465317374"/>
      <w:bookmarkStart w:id="5071" w:name="_Toc464684627"/>
      <w:bookmarkStart w:id="5072" w:name="_Toc464561935"/>
      <w:bookmarkStart w:id="5073" w:name="_Toc440773823"/>
      <w:bookmarkStart w:id="5074" w:name="_Ref440767764"/>
      <w:bookmarkStart w:id="5075" w:name="_Toc440766958"/>
      <w:bookmarkStart w:id="5076" w:name="_Toc440765370"/>
      <w:bookmarkStart w:id="5077" w:name="_Toc440764612"/>
      <w:bookmarkStart w:id="5078" w:name="_Toc440761052"/>
      <w:bookmarkStart w:id="5079" w:name="_Ref416483002"/>
      <w:bookmarkStart w:id="5080" w:name="_Toc41646978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r>
        <w:rPr>
          <w:rFonts w:ascii="Times New Roman;Times;serif" w:hAnsi="Times New Roman;Times;serif"/>
          <w:sz w:val="24"/>
          <w:u w:val="single"/>
        </w:rPr>
        <w:t>No Strict Construction</w:t>
      </w:r>
      <w:r>
        <w:rPr>
          <w:rFonts w:ascii="Times New Roman;Times;serif" w:hAnsi="Times New Roman;Times;serif"/>
          <w:sz w:val="24"/>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bookmarkStart w:id="5081" w:name="_Toc518197998"/>
      <w:bookmarkStart w:id="5082" w:name="_Toc257060649"/>
      <w:bookmarkStart w:id="5083" w:name="_Toc257059977"/>
      <w:bookmarkStart w:id="5084" w:name="_Toc257057604"/>
      <w:bookmarkStart w:id="5085" w:name="_Toc415064547"/>
      <w:bookmarkStart w:id="5086" w:name="_Ref319539383"/>
      <w:bookmarkEnd w:id="5081"/>
      <w:bookmarkEnd w:id="5082"/>
      <w:bookmarkEnd w:id="5083"/>
      <w:bookmarkEnd w:id="5084"/>
      <w:bookmarkEnd w:id="5085"/>
      <w:bookmarkEnd w:id="5086"/>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4"/>
        </w:rPr>
      </w:pPr>
      <w:r>
        <w:rPr>
          <w:rFonts w:ascii="Times New Roman;Times;serif" w:hAnsi="Times New Roman;Times;serif"/>
          <w:sz w:val="24"/>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the Parties have executed this Agreement on the date first written above.</w:t>
      </w:r>
    </w:p>
    <w:tbl>
      <w:tblPr>
        <w:tblW w:w="7249" w:type="dxa"/>
        <w:jc w:val="left"/>
        <w:tblInd w:w="0" w:type="dxa"/>
        <w:tblLayout w:type="fixed"/>
        <w:tblCellMar>
          <w:top w:w="0" w:type="dxa"/>
          <w:left w:w="0" w:type="dxa"/>
          <w:bottom w:w="0" w:type="dxa"/>
          <w:right w:w="0" w:type="dxa"/>
        </w:tblCellMar>
      </w:tblPr>
      <w:tblGrid>
        <w:gridCol w:w="124"/>
        <w:gridCol w:w="1187"/>
        <w:gridCol w:w="1852"/>
        <w:gridCol w:w="408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78740" cy="175260"/>
                      <wp:effectExtent l="0" t="0" r="0" b="0"/>
                      <wp:wrapNone/>
                      <wp:docPr id="751" name="Frame75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0"/>
              <w:ind w:left="0" w:right="0" w:hanging="0"/>
              <w:jc w:val="left"/>
              <w:rPr/>
            </w:pPr>
            <w:r>
              <w:rPr/>
              <w:t>​</w:t>
            </w:r>
          </w:p>
        </w:tc>
        <w:tc>
          <w:tcPr>
            <w:tcW w:w="593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3770630" cy="350520"/>
                      <wp:effectExtent l="0" t="0" r="0" b="0"/>
                      <wp:wrapNone/>
                      <wp:docPr id="752" name="Frame752"/>
                      <a:graphic xmlns:a="http://schemas.openxmlformats.org/drawingml/2006/main">
                        <a:graphicData uri="http://schemas.microsoft.com/office/word/2010/wordprocessingShape">
                          <wps:wsp>
                            <wps:cNvSpPr txBox="1"/>
                            <wps:spPr>
                              <a:xfrm>
                                <a:off x="0" y="0"/>
                                <a:ext cx="3770630" cy="3505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125"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MAVIS TIRE SUPPLY, LLC</w:t>
            </w:r>
          </w:p>
        </w:tc>
      </w:tr>
      <w:tr>
        <w:trPr/>
        <w:tc>
          <w:tcPr>
            <w:tcW w:w="124" w:type="dxa"/>
            <w:tcBorders/>
            <w:vAlign w:val="center"/>
          </w:tcPr>
          <w:p>
            <w:pPr>
              <w:pStyle w:val="TableContents"/>
              <w:bidi w:val="0"/>
              <w:spacing w:before="0" w:after="0"/>
              <w:ind w:left="0" w:right="0" w:hanging="0"/>
              <w:jc w:val="left"/>
              <w:rPr/>
            </w:pPr>
            <w:r>
              <w:rPr/>
              <w:t>​</w:t>
            </w:r>
          </w:p>
        </w:tc>
        <w:tc>
          <w:tcPr>
            <w:tcW w:w="71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12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 </w:t>
            </w:r>
          </w:p>
        </w:tc>
        <w:tc>
          <w:tcPr>
            <w:tcW w:w="5938"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David J. Sorbaro</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18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w:t>
            </w:r>
          </w:p>
        </w:tc>
        <w:tc>
          <w:tcPr>
            <w:tcW w:w="4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David J. Sorbaro</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0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Co-CEO</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pPr>
            <w:r>
              <w:rPr/>
              <w:t>​</w:t>
            </w:r>
          </w:p>
        </w:tc>
        <w:tc>
          <w:tcPr>
            <w:tcW w:w="40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pPr>
            <w:r>
              <w:rPr/>
              <w:t>​</w:t>
            </w:r>
          </w:p>
        </w:tc>
        <w:tc>
          <w:tcPr>
            <w:tcW w:w="40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12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METIS HOLDCO, INC., solely for purposes of Sections 6.25</w:t>
            </w:r>
            <w:r>
              <w:rPr>
                <w:rFonts w:ascii="Times New Roman;Times;serif" w:hAnsi="Times New Roman;Times;serif"/>
                <w:sz w:val="24"/>
              </w:rPr>
              <w:t xml:space="preserve"> </w:t>
            </w:r>
            <w:r>
              <w:rPr>
                <w:rFonts w:ascii="Times New Roman;Times;serif" w:hAnsi="Times New Roman;Times;serif"/>
                <w:b/>
                <w:sz w:val="24"/>
              </w:rPr>
              <w:t>and 9.3</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pPr>
            <w:r>
              <w:rPr/>
              <w:t>​</w:t>
            </w:r>
          </w:p>
        </w:tc>
        <w:tc>
          <w:tcPr>
            <w:tcW w:w="40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pPr>
            <w:r>
              <w:rPr/>
              <w:t>​</w:t>
            </w:r>
          </w:p>
        </w:tc>
        <w:tc>
          <w:tcPr>
            <w:tcW w:w="40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 </w:t>
            </w:r>
          </w:p>
        </w:tc>
        <w:tc>
          <w:tcPr>
            <w:tcW w:w="5938"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David J. Sorbaro</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18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w:t>
            </w:r>
          </w:p>
        </w:tc>
        <w:tc>
          <w:tcPr>
            <w:tcW w:w="4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David J. Sorbaro</w:t>
            </w:r>
          </w:p>
        </w:tc>
      </w:tr>
      <w:tr>
        <w:trPr/>
        <w:tc>
          <w:tcPr>
            <w:tcW w:w="12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0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Co-CEO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257"/>
        <w:gridCol w:w="2653"/>
        <w:gridCol w:w="617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78740" cy="175260"/>
                      <wp:effectExtent l="0" t="0" r="0" b="0"/>
                      <wp:wrapNone/>
                      <wp:docPr id="753" name="Frame75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7" w:type="dxa"/>
            <w:tcBorders/>
            <w:vAlign w:val="center"/>
          </w:tcPr>
          <w:p>
            <w:pPr>
              <w:pStyle w:val="TableContents"/>
              <w:bidi w:val="0"/>
              <w:spacing w:before="0" w:after="0"/>
              <w:ind w:left="0" w:right="0" w:hanging="0"/>
              <w:jc w:val="left"/>
              <w:rPr/>
            </w:pPr>
            <w:r>
              <w:rPr/>
              <w:t>​</w:t>
            </w:r>
          </w:p>
        </w:tc>
        <w:tc>
          <w:tcPr>
            <w:tcW w:w="2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684655" cy="29210"/>
                      <wp:effectExtent l="0" t="0" r="0" b="0"/>
                      <wp:wrapNone/>
                      <wp:docPr id="754" name="Frame754"/>
                      <a:graphic xmlns:a="http://schemas.openxmlformats.org/drawingml/2006/main">
                        <a:graphicData uri="http://schemas.microsoft.com/office/word/2010/wordprocessingShape">
                          <wps:wsp>
                            <wps:cNvSpPr txBox="1"/>
                            <wps:spPr>
                              <a:xfrm>
                                <a:off x="0" y="0"/>
                                <a:ext cx="1684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3918585" cy="175260"/>
                      <wp:effectExtent l="0" t="0" r="0" b="0"/>
                      <wp:wrapNone/>
                      <wp:docPr id="755" name="Frame755"/>
                      <a:graphic xmlns:a="http://schemas.openxmlformats.org/drawingml/2006/main">
                        <a:graphicData uri="http://schemas.microsoft.com/office/word/2010/wordprocessingShape">
                          <wps:wsp>
                            <wps:cNvSpPr txBox="1"/>
                            <wps:spPr>
                              <a:xfrm>
                                <a:off x="0" y="0"/>
                                <a:ext cx="391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3"/>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ICAHN AUTOMOTIVE GROUP LLC</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824" w:type="dxa"/>
            <w:gridSpan w:val="2"/>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IEP ENERGY HOLDING LLC, its sole member</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8824"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8824"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 </w:t>
            </w:r>
          </w:p>
        </w:tc>
        <w:tc>
          <w:tcPr>
            <w:tcW w:w="882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Ted Papapostolou</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265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w:t>
            </w:r>
          </w:p>
        </w:tc>
        <w:tc>
          <w:tcPr>
            <w:tcW w:w="61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Ted Papapostolou</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26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61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President</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2653" w:type="dxa"/>
            <w:tcBorders/>
            <w:vAlign w:val="center"/>
          </w:tcPr>
          <w:p>
            <w:pPr>
              <w:pStyle w:val="TableContents"/>
              <w:bidi w:val="0"/>
              <w:spacing w:before="0" w:after="0"/>
              <w:ind w:left="0" w:right="0" w:hanging="0"/>
              <w:jc w:val="left"/>
              <w:rPr/>
            </w:pPr>
            <w:r>
              <w:rPr/>
              <w:t>​</w:t>
            </w:r>
          </w:p>
        </w:tc>
        <w:tc>
          <w:tcPr>
            <w:tcW w:w="61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2653" w:type="dxa"/>
            <w:tcBorders/>
            <w:vAlign w:val="center"/>
          </w:tcPr>
          <w:p>
            <w:pPr>
              <w:pStyle w:val="TableContents"/>
              <w:bidi w:val="0"/>
              <w:spacing w:before="0" w:after="0"/>
              <w:ind w:left="0" w:right="0" w:hanging="0"/>
              <w:jc w:val="left"/>
              <w:rPr/>
            </w:pPr>
            <w:r>
              <w:rPr/>
              <w:t>​</w:t>
            </w:r>
          </w:p>
        </w:tc>
        <w:tc>
          <w:tcPr>
            <w:tcW w:w="61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81"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ICAHN ENTERPRISES L.P., solely for purposes of Sections 6.1(d), 6.3, 6.4, 6.5,</w:t>
            </w:r>
            <w:r>
              <w:rPr>
                <w:rFonts w:ascii="Times New Roman;Times;serif" w:hAnsi="Times New Roman;Times;serif"/>
                <w:sz w:val="24"/>
              </w:rPr>
              <w:t xml:space="preserve"> </w:t>
            </w:r>
            <w:r>
              <w:rPr>
                <w:rFonts w:ascii="Times New Roman;Times;serif" w:hAnsi="Times New Roman;Times;serif"/>
                <w:b/>
                <w:sz w:val="24"/>
              </w:rPr>
              <w:t>6.6, 6.7, 6.10, 6.18,</w:t>
            </w:r>
            <w:r>
              <w:rPr>
                <w:rFonts w:ascii="Times New Roman;Times;serif" w:hAnsi="Times New Roman;Times;serif"/>
                <w:sz w:val="24"/>
              </w:rPr>
              <w:t xml:space="preserve"> </w:t>
            </w:r>
            <w:r>
              <w:rPr>
                <w:rFonts w:ascii="Times New Roman;Times;serif" w:hAnsi="Times New Roman;Times;serif"/>
                <w:b/>
                <w:sz w:val="24"/>
              </w:rPr>
              <w:t>6.22</w:t>
            </w:r>
            <w:r>
              <w:rPr>
                <w:rFonts w:ascii="Times New Roman;Times;serif" w:hAnsi="Times New Roman;Times;serif"/>
                <w:sz w:val="24"/>
              </w:rPr>
              <w:t xml:space="preserve">, </w:t>
            </w:r>
            <w:r>
              <w:rPr>
                <w:rFonts w:ascii="Times New Roman;Times;serif" w:hAnsi="Times New Roman;Times;serif"/>
                <w:b/>
                <w:sz w:val="24"/>
              </w:rPr>
              <w:t>6.23, 6.25and 9.2</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8824" w:type="dxa"/>
            <w:gridSpan w:val="2"/>
            <w:tcBorders/>
            <w:vAlign w:val="center"/>
          </w:tcPr>
          <w:p>
            <w:pPr>
              <w:pStyle w:val="TableContents"/>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ICAHN ENTERPRISES G.P. INC., its General Partner</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8824" w:type="dxa"/>
            <w:gridSpan w:val="2"/>
            <w:tcBorders/>
            <w:vAlign w:val="center"/>
          </w:tcPr>
          <w:p>
            <w:pPr>
              <w:pStyle w:val="TableContents"/>
              <w:pBdr/>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8824" w:type="dxa"/>
            <w:gridSpan w:val="2"/>
            <w:tcBorders/>
            <w:vAlign w:val="center"/>
          </w:tcPr>
          <w:p>
            <w:pPr>
              <w:pStyle w:val="TableContents"/>
              <w:pBdr/>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 </w:t>
            </w:r>
          </w:p>
        </w:tc>
        <w:tc>
          <w:tcPr>
            <w:tcW w:w="882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Ted Papapostolou</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265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w:t>
            </w:r>
          </w:p>
        </w:tc>
        <w:tc>
          <w:tcPr>
            <w:tcW w:w="61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Ted Papapostolou</w:t>
            </w:r>
          </w:p>
        </w:tc>
      </w:tr>
      <w:tr>
        <w:trPr/>
        <w:tc>
          <w:tcPr>
            <w:tcW w:w="124" w:type="dxa"/>
            <w:tcBorders/>
            <w:vAlign w:val="center"/>
          </w:tcPr>
          <w:p>
            <w:pPr>
              <w:pStyle w:val="TableContents"/>
              <w:bidi w:val="0"/>
              <w:spacing w:before="0" w:after="0"/>
              <w:ind w:left="0" w:right="0" w:hanging="0"/>
              <w:jc w:val="left"/>
              <w:rPr/>
            </w:pPr>
            <w:r>
              <w:rPr/>
              <w:t>​</w:t>
            </w:r>
          </w:p>
        </w:tc>
        <w:tc>
          <w:tcPr>
            <w:tcW w:w="1257" w:type="dxa"/>
            <w:tcBorders/>
            <w:vAlign w:val="center"/>
          </w:tcPr>
          <w:p>
            <w:pPr>
              <w:pStyle w:val="TableContents"/>
              <w:bidi w:val="0"/>
              <w:spacing w:before="0" w:after="0"/>
              <w:ind w:left="0" w:right="0" w:hanging="0"/>
              <w:jc w:val="left"/>
              <w:rPr/>
            </w:pPr>
            <w:r>
              <w:rPr/>
              <w:t>​</w:t>
            </w:r>
          </w:p>
        </w:tc>
        <w:tc>
          <w:tcPr>
            <w:tcW w:w="265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61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CEO</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5087" w:name="Section1"/>
      <w:bookmarkStart w:id="5088" w:name="tmb-20260630xex31d1.htm"/>
      <w:bookmarkStart w:id="5089" w:name="kstmb20260630xex31d1"/>
      <w:bookmarkEnd w:id="5087"/>
      <w:bookmarkEnd w:id="5088"/>
      <w:bookmarkEnd w:id="5089"/>
      <w:r>
        <w:rPr>
          <w:rFonts w:ascii="Times New Roman;Times;serif" w:hAnsi="Times New Roman;Times;serif"/>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Ted Papapostolou,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of Icahn Enterprises L.P. for the period ended June 30, 2026;</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left"/>
        <w:rPr/>
      </w:pPr>
      <w:r>
        <w:rPr/>
        <w:t>​</w:t>
      </w:r>
    </w:p>
    <w:p>
      <w:pPr>
        <w:pStyle w:val="TextBody"/>
        <w:bidi w:val="0"/>
        <w:spacing w:before="0" w:after="0"/>
        <w:ind w:left="360" w:right="0" w:firstLine="360"/>
        <w:jc w:val="left"/>
        <w:rPr/>
      </w:pPr>
      <w:r>
        <w:rPr/>
        <w:t>​</w:t>
      </w:r>
    </w:p>
    <w:tbl>
      <w:tblPr>
        <w:tblW w:w="6286" w:type="dxa"/>
        <w:jc w:val="right"/>
        <w:tblInd w:w="0" w:type="dxa"/>
        <w:tblLayout w:type="fixed"/>
        <w:tblCellMar>
          <w:top w:w="0" w:type="dxa"/>
          <w:left w:w="0" w:type="dxa"/>
          <w:bottom w:w="0" w:type="dxa"/>
          <w:right w:w="0" w:type="dxa"/>
        </w:tblCellMar>
      </w:tblPr>
      <w:tblGrid>
        <w:gridCol w:w="6286"/>
      </w:tblGrid>
      <w:tr>
        <w:trPr/>
        <w:tc>
          <w:tcPr>
            <w:tcW w:w="6286" w:type="dxa"/>
            <w:tcBorders/>
            <w:vAlign w:val="center"/>
          </w:tcPr>
          <w:p>
            <w:pPr>
              <w:pStyle w:val="TableContents"/>
              <w:bidi w:val="0"/>
              <w:spacing w:before="0" w:after="0"/>
              <w:ind w:left="0" w:right="0" w:hanging="0"/>
              <w:jc w:val="left"/>
              <w:rPr/>
            </w:pPr>
            <w:r>
              <w:rPr/>
              <w:t>​</w:t>
            </w:r>
          </w:p>
        </w:tc>
      </w:tr>
      <w:tr>
        <w:trPr/>
        <w:tc>
          <w:tcPr>
            <w:tcW w:w="6286" w:type="dxa"/>
            <w:tcBorders>
              <w:bottom w:val="single" w:sz="2" w:space="0" w:color="000000"/>
            </w:tcBorders>
            <w:tcMar>
              <w:bottom w:w="28" w:type="dxa"/>
            </w:tcMar>
            <w:vAlign w:val="center"/>
          </w:tcPr>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c>
      </w:tr>
      <w:tr>
        <w:trPr/>
        <w:tc>
          <w:tcPr>
            <w:tcW w:w="6286" w:type="dxa"/>
            <w:tcBorders>
              <w:top w:val="single" w:sz="2" w:space="0" w:color="000000"/>
            </w:tcBorders>
            <w:tcMar>
              <w:top w:w="28" w:type="dxa"/>
            </w:tcMar>
            <w:vAlign w:val="center"/>
          </w:tcPr>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c>
      </w:tr>
      <w:tr>
        <w:trPr/>
        <w:tc>
          <w:tcPr>
            <w:tcW w:w="62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August 4, 2026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5090" w:name="Section11"/>
      <w:bookmarkStart w:id="5091" w:name="tmb-20260630xex31d2.htm"/>
      <w:bookmarkStart w:id="5092" w:name="kstmb20260630xex31d2"/>
      <w:bookmarkEnd w:id="5090"/>
      <w:bookmarkEnd w:id="5091"/>
      <w:bookmarkEnd w:id="5092"/>
      <w:r>
        <w:rPr>
          <w:rFonts w:ascii="Times New Roman;Times;serif" w:hAnsi="Times New Roman;Times;serif"/>
          <w:b/>
          <w:sz w:val="20"/>
        </w:rPr>
        <w:t>EXHIBIT 31.2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Robert Flint,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of Icahn Enterprises L.P. for the period ended June 30, 2026.</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t>  </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07315" cy="175260"/>
                      <wp:effectExtent l="0" t="0" r="0" b="0"/>
                      <wp:wrapNone/>
                      <wp:docPr id="756" name="Frame756"/>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107315" cy="1501140"/>
                      <wp:effectExtent l="0" t="0" r="0" b="0"/>
                      <wp:wrapNone/>
                      <wp:docPr id="757" name="Frame757"/>
                      <a:graphic xmlns:a="http://schemas.openxmlformats.org/drawingml/2006/main">
                        <a:graphicData uri="http://schemas.microsoft.com/office/word/2010/wordprocessingShape">
                          <wps:wsp>
                            <wps:cNvSpPr txBox="1"/>
                            <wps:spPr>
                              <a:xfrm>
                                <a:off x="0" y="0"/>
                                <a:ext cx="107315" cy="1501140"/>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Robert Flint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18.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 Robert Flint</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07315" cy="1184910"/>
                      <wp:effectExtent l="0" t="0" r="0" b="0"/>
                      <wp:wrapNone/>
                      <wp:docPr id="758" name="Frame758"/>
                      <a:graphic xmlns:a="http://schemas.openxmlformats.org/drawingml/2006/main">
                        <a:graphicData uri="http://schemas.microsoft.com/office/word/2010/wordprocessingShape">
                          <wps:wsp>
                            <wps:cNvSpPr txBox="1"/>
                            <wps:spPr>
                              <a:xfrm>
                                <a:off x="0" y="0"/>
                                <a:ext cx="107315" cy="1184910"/>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Robert Flint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9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Robert Flint</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07315" cy="1685925"/>
                      <wp:effectExtent l="0" t="0" r="0" b="0"/>
                      <wp:wrapNone/>
                      <wp:docPr id="759" name="Frame759"/>
                      <a:graphic xmlns:a="http://schemas.openxmlformats.org/drawingml/2006/main">
                        <a:graphicData uri="http://schemas.microsoft.com/office/word/2010/wordprocessingShape">
                          <wps:wsp>
                            <wps:cNvSpPr txBox="1"/>
                            <wps:spPr>
                              <a:xfrm>
                                <a:off x="0" y="0"/>
                                <a:ext cx="107315" cy="168592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Chief Accounting Officer, and Director (Principal Financial Officer and Principal Accounting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Chief Accounting Officer, and Director (Principal Financial Officer and Principal Accounting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right"/>
        <w:rPr>
          <w:rFonts w:ascii="Times New Roman;Times;serif" w:hAnsi="Times New Roman;Times;serif"/>
          <w:b/>
          <w:sz w:val="20"/>
        </w:rPr>
      </w:pPr>
      <w:bookmarkStart w:id="5093" w:name="Section12"/>
      <w:bookmarkStart w:id="5094" w:name="tmb-20260630xex32d1.htm"/>
      <w:bookmarkStart w:id="5095" w:name="kstmb20260630xex32d1"/>
      <w:bookmarkEnd w:id="5093"/>
      <w:bookmarkEnd w:id="5094"/>
      <w:bookmarkEnd w:id="5095"/>
      <w:r>
        <w:rPr>
          <w:rFonts w:ascii="Times New Roman;Times;serif" w:hAnsi="Times New Roman;Times;serif"/>
          <w:b/>
          <w:sz w:val="20"/>
        </w:rPr>
        <w:t>EXHIBIT 32.1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 Oxley Act of 2002 (18 U.S.C. 1350)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13a-14(b) of the Securities Exchange Act of 1934</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Icahn Enterprises L.P., for the period ended June 30, 2026, the undersigned certify that, to the best of his knowledge, based upon a review of the Icahn Enterprises L.P. quarterly report on Form 10-Q for the period ended June 30, 2026:</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346" w:type="dxa"/>
        <w:jc w:val="right"/>
        <w:tblInd w:w="0" w:type="dxa"/>
        <w:tblLayout w:type="fixed"/>
        <w:tblCellMar>
          <w:top w:w="0" w:type="dxa"/>
          <w:left w:w="0" w:type="dxa"/>
          <w:bottom w:w="0" w:type="dxa"/>
          <w:right w:w="0" w:type="dxa"/>
        </w:tblCellMar>
      </w:tblPr>
      <w:tblGrid>
        <w:gridCol w:w="6346"/>
      </w:tblGrid>
      <w:tr>
        <w:trPr/>
        <w:tc>
          <w:tcPr>
            <w:tcW w:w="6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4029710" cy="175260"/>
                      <wp:effectExtent l="0" t="0" r="0" b="0"/>
                      <wp:wrapNone/>
                      <wp:docPr id="760" name="Frame760"/>
                      <a:graphic xmlns:a="http://schemas.openxmlformats.org/drawingml/2006/main">
                        <a:graphicData uri="http://schemas.microsoft.com/office/word/2010/wordprocessingShape">
                          <wps:wsp>
                            <wps:cNvSpPr txBox="1"/>
                            <wps:spPr>
                              <a:xfrm>
                                <a:off x="0" y="0"/>
                                <a:ext cx="402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46"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4029710" cy="167005"/>
                      <wp:effectExtent l="0" t="0" r="0" b="0"/>
                      <wp:wrapNone/>
                      <wp:docPr id="761" name="Frame761"/>
                      <a:graphic xmlns:a="http://schemas.openxmlformats.org/drawingml/2006/main">
                        <a:graphicData uri="http://schemas.microsoft.com/office/word/2010/wordprocessingShape">
                          <wps:wsp>
                            <wps:cNvSpPr txBox="1"/>
                            <wps:spPr>
                              <a:xfrm>
                                <a:off x="0" y="0"/>
                                <a:ext cx="4029710"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Ted Papapostolou</w:t>
                            </w:r>
                          </w:p>
                        </w:txbxContent>
                      </v:textbox>
                      <w10:wrap type="none"/>
                    </v:rect>
                  </w:pict>
                </mc:Fallback>
              </mc:AlternateContent>
            </w:r>
          </w:p>
        </w:tc>
      </w:tr>
      <w:tr>
        <w:trPr/>
        <w:tc>
          <w:tcPr>
            <w:tcW w:w="6346"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4029710" cy="167005"/>
                      <wp:effectExtent l="0" t="0" r="0" b="0"/>
                      <wp:wrapNone/>
                      <wp:docPr id="762" name="Frame762"/>
                      <a:graphic xmlns:a="http://schemas.openxmlformats.org/drawingml/2006/main">
                        <a:graphicData uri="http://schemas.microsoft.com/office/word/2010/wordprocessingShape">
                          <wps:wsp>
                            <wps:cNvSpPr txBox="1"/>
                            <wps:spPr>
                              <a:xfrm>
                                <a:off x="0" y="0"/>
                                <a:ext cx="4029710"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634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p>
      <w:pPr>
        <w:pStyle w:val="TextBody"/>
        <w:bidi w:val="0"/>
        <w:spacing w:before="0" w:after="0"/>
        <w:ind w:left="0" w:right="0" w:hanging="0"/>
        <w:jc w:val="left"/>
        <w:rPr/>
      </w:pPr>
      <w:r>
        <w:rPr/>
        <w:t>​</w:t>
      </w:r>
    </w:p>
    <w:tbl>
      <w:tblPr>
        <w:tblW w:w="10205" w:type="dxa"/>
        <w:jc w:val="righ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6480175" cy="175260"/>
                      <wp:effectExtent l="0" t="0" r="0" b="0"/>
                      <wp:wrapNone/>
                      <wp:docPr id="763" name="Frame7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tcBorders>
              <w:bottom w:val="single" w:sz="1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6480175" cy="167005"/>
                      <wp:effectExtent l="0" t="0" r="0" b="0"/>
                      <wp:wrapNone/>
                      <wp:docPr id="764" name="Frame764"/>
                      <a:graphic xmlns:a="http://schemas.openxmlformats.org/drawingml/2006/main">
                        <a:graphicData uri="http://schemas.microsoft.com/office/word/2010/wordprocessingShape">
                          <wps:wsp>
                            <wps:cNvSpPr txBox="1"/>
                            <wps:spPr>
                              <a:xfrm>
                                <a:off x="0" y="0"/>
                                <a:ext cx="648017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Robert Flint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/s/ Robert Flint</w:t>
                            </w:r>
                          </w:p>
                        </w:txbxContent>
                      </v:textbox>
                      <w10:wrap type="none"/>
                    </v:rect>
                  </w:pict>
                </mc:Fallback>
              </mc:AlternateContent>
            </w:r>
          </w:p>
        </w:tc>
      </w:tr>
      <w:tr>
        <w:trPr/>
        <w:tc>
          <w:tcPr>
            <w:tcW w:w="10205" w:type="dxa"/>
            <w:tcBorders>
              <w:top w:val="single" w:sz="1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6480175" cy="167005"/>
                      <wp:effectExtent l="0" t="0" r="0" b="0"/>
                      <wp:wrapNone/>
                      <wp:docPr id="765" name="Frame765"/>
                      <a:graphic xmlns:a="http://schemas.openxmlformats.org/drawingml/2006/main">
                        <a:graphicData uri="http://schemas.microsoft.com/office/word/2010/wordprocessingShape">
                          <wps:wsp>
                            <wps:cNvSpPr txBox="1"/>
                            <wps:spPr>
                              <a:xfrm>
                                <a:off x="0" y="0"/>
                                <a:ext cx="6480175" cy="16700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Robert Flint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Robert Flint</w:t>
                            </w:r>
                          </w:p>
                        </w:txbxContent>
                      </v:textbox>
                      <w10:wrap type="none"/>
                    </v:rect>
                  </w:pict>
                </mc:Fallback>
              </mc:AlternateContent>
            </w:r>
          </w:p>
        </w:tc>
      </w:tr>
      <w:tr>
        <w:trPr/>
        <w:tc>
          <w:tcPr>
            <w:tcW w:w="10205"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Chief Accounting Officer, and Director (Principal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TimesNewRoman-Italic">
    <w:charset w:val="01"/>
    <w:family w:val="auto"/>
    <w:pitch w:val="default"/>
  </w:font>
  <w:font w:name="Times">
    <w:altName w:val="Times New Roman"/>
    <w:charset w:val="01"/>
    <w:family w:val="auto"/>
    <w:pitch w:val="default"/>
  </w:font>
  <w:font w:name="TimesNRMTPro">
    <w:charset w:val="01"/>
    <w:family w:val="auto"/>
    <w:pitch w:val="default"/>
  </w:font>
  <w:font w:name="Times New Roman Bold">
    <w:charset w:val="01"/>
    <w:family w:val="auto"/>
    <w:pitch w:val="default"/>
  </w:font>
  <w:font w:name="TimesNewRomanPSMT">
    <w:charset w:val="01"/>
    <w:family w:val="auto"/>
    <w:pitch w:val="default"/>
  </w:font>
  <w:font w:name="Segoe UI">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762/000155837025001612/tmb-20241231xex3d3.htm" TargetMode="External"/><Relationship Id="rId3" Type="http://schemas.openxmlformats.org/officeDocument/2006/relationships/hyperlink" Target="https://www.sec.gov/Archives/edgar/data/813762/000155837025001612/tmb-20241231xex3d4.htm" TargetMode="External"/><Relationship Id="rId4" Type="http://schemas.openxmlformats.org/officeDocument/2006/relationships/hyperlink" Target="https://www.sec.gov/Archives/edgar/data/813762/000110465926056376/tmb-20260331xex10d1.htm" TargetMode="External"/><Relationship Id="rId5" Type="http://schemas.openxmlformats.org/officeDocument/2006/relationships/hyperlink" Target="https://www.sec.gov/Archives/edgar/data/813762/000110465926056376/tmb-20260331xex10d2.htm" TargetMode="External"/><Relationship Id="rId6" Type="http://schemas.openxmlformats.org/officeDocument/2006/relationships/hyperlink" Target="https://www.sec.gov/Archives/edgar/data/813762/000110465926056376/tmb-20260331xex10d3.htm" TargetMode="External"/><Relationship Id="rId7" Type="http://schemas.openxmlformats.org/officeDocument/2006/relationships/hyperlink" Target="https://www.sec.gov/Archives/edgar/data/813762/000110465926056376/tmb-20260331xex10d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106333</Words>
  <Characters>573800</Characters>
  <CharactersWithSpaces>683932</CharactersWithSpaces>
  <Paragraphs>12870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