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411480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(Mark one)</w:t>
      </w:r>
    </w:p>
    <w:p>
      <w:pPr>
        <w:spacing w:after="0" w:line="12" w:lineRule="exact"/>
        <w:rPr>
          <w:sz w:val="24"/>
          <w:szCs w:val="24"/>
          <w:color w:val="auto"/>
        </w:rPr>
      </w:pPr>
    </w:p>
    <w:p>
      <w:pPr>
        <w:ind w:left="3520" w:right="2720" w:hanging="3510"/>
        <w:spacing w:after="0" w:line="427" w:lineRule="auto"/>
        <w:tabs>
          <w:tab w:leader="none" w:pos="18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September 30, 2024</w:t>
      </w:r>
    </w:p>
    <w:p>
      <w:pPr>
        <w:spacing w:after="0" w:line="211"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3300" w:type="dxa"/>
            <w:vAlign w:val="bottom"/>
          </w:tcPr>
          <w:p>
            <w:pPr>
              <w:spacing w:after="0"/>
              <w:rPr>
                <w:sz w:val="24"/>
                <w:szCs w:val="24"/>
                <w:color w:val="auto"/>
              </w:rPr>
            </w:pPr>
          </w:p>
        </w:tc>
        <w:tc>
          <w:tcPr>
            <w:tcW w:w="3520" w:type="dxa"/>
            <w:vAlign w:val="bottom"/>
            <w:gridSpan w:val="5"/>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vMerge w:val="continue"/>
          </w:tcPr>
          <w:p>
            <w:pPr>
              <w:spacing w:after="0"/>
              <w:rPr>
                <w:sz w:val="12"/>
                <w:szCs w:val="12"/>
                <w:color w:val="auto"/>
              </w:rPr>
            </w:pP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8"/>
        </w:trPr>
        <w:tc>
          <w:tcPr>
            <w:tcW w:w="33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(Commission File Number)</w:t>
            </w:r>
          </w:p>
        </w:tc>
        <w:tc>
          <w:tcPr>
            <w:tcW w:w="3520" w:type="dxa"/>
            <w:vAlign w:val="bottom"/>
            <w:gridSpan w:val="5"/>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rPr>
              <w:t>Organization)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1"/>
        </w:trPr>
        <w:tc>
          <w:tcPr>
            <w:tcW w:w="330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13-3398766</w:t>
            </w: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16690 Collins Avenue, PH-1</w:t>
            </w: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52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0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Depositary Units of Icahn Enterprises L.P.</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5"/>
              </w:rPr>
              <w:t>IEP</w:t>
            </w:r>
          </w:p>
        </w:tc>
        <w:tc>
          <w:tcPr>
            <w:tcW w:w="500" w:type="dxa"/>
            <w:vAlign w:val="bottom"/>
          </w:tcPr>
          <w:p>
            <w:pPr>
              <w:spacing w:after="0"/>
              <w:rPr>
                <w:sz w:val="19"/>
                <w:szCs w:val="19"/>
                <w:color w:val="auto"/>
              </w:rPr>
            </w:pPr>
          </w:p>
        </w:tc>
        <w:tc>
          <w:tcPr>
            <w:tcW w:w="340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Representing Limited Partner Interests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ind w:left="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65" w:lineRule="exact"/>
        <w:rPr>
          <w:sz w:val="24"/>
          <w:szCs w:val="24"/>
          <w:color w:val="auto"/>
        </w:rPr>
      </w:pPr>
    </w:p>
    <w:p>
      <w:pPr>
        <w:ind w:left="20"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5" w:lineRule="exact"/>
        <w:rPr>
          <w:sz w:val="24"/>
          <w:szCs w:val="24"/>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1"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78" w:lineRule="exact"/>
        <w:rPr>
          <w:sz w:val="24"/>
          <w:szCs w:val="24"/>
          <w:color w:val="auto"/>
        </w:rPr>
      </w:pPr>
    </w:p>
    <w:p>
      <w:pPr>
        <w:ind w:left="20" w:right="16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8, 2024, there were 504,003,429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5"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No</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continue"/>
          </w:tcPr>
          <w:p>
            <w:pPr>
              <w:spacing w:after="0"/>
              <w:rPr>
                <w:sz w:val="15"/>
                <w:szCs w:val="15"/>
                <w:color w:val="auto"/>
              </w:rPr>
            </w:pPr>
          </w:p>
        </w:tc>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560" w:type="dxa"/>
            <w:vAlign w:val="bottom"/>
            <w:tcBorders>
              <w:left w:val="single" w:sz="8" w:color="0000EE"/>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r>
              <w:rPr>
                <w:rFonts w:ascii="Times New Roman" w:cs="Times New Roman" w:eastAsia="Times New Roman" w:hAnsi="Times New Roman"/>
                <w:sz w:val="18"/>
                <w:szCs w:val="18"/>
                <w:color w:val="000000"/>
              </w:rPr>
              <w:t>.</w:t>
            </w: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488"/>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Legal Proceedings</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4"/>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or Proceeds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4"/>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5.</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market conditions, and IEP’s potential tender offer for CVI,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90"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and ongoing conflict in the Middle East, including economic volatility and the impacts of export controls and other economic sanctions; risks related to our investment activities, including the nature of the investments made by the private funds in which we invest, including the impact of the use of leverage through options, short sales, swaps, forwards and other derivative instruments;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volatile commodity pricing and higher industry utilization and oversupply risks relating to potential strategic transactions involving our Energy segment;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These risks and uncertainties also include the risks and uncertainties described in our Annual Report on Form 10-K for the year ended December 31, 2023.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w w:val="97"/>
              </w:rPr>
              <w:t>(in millions, except</w:t>
            </w:r>
          </w:p>
        </w:tc>
        <w:tc>
          <w:tcPr>
            <w:tcW w:w="1120" w:type="dxa"/>
            <w:vAlign w:val="bottom"/>
            <w:gridSpan w:val="2"/>
          </w:tcPr>
          <w:p>
            <w:pPr>
              <w:jc w:val="right"/>
              <w:ind w:right="170"/>
              <w:spacing w:after="0" w:line="129" w:lineRule="exact"/>
              <w:rPr>
                <w:sz w:val="20"/>
                <w:szCs w:val="20"/>
                <w:color w:val="auto"/>
              </w:rPr>
            </w:pPr>
            <w:r>
              <w:rPr>
                <w:rFonts w:ascii="Times New Roman" w:cs="Times New Roman" w:eastAsia="Times New Roman" w:hAnsi="Times New Roman"/>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receivable,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504,003,429 units issued and outstanding at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2024 and 429,033,241 units issued and outstanding at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gridSpan w:val="8"/>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11"/>
          </w:tcPr>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220" w:type="dxa"/>
            <w:vAlign w:val="bottom"/>
          </w:tcPr>
          <w:p>
            <w:pPr>
              <w:spacing w:after="0"/>
              <w:rPr>
                <w:sz w:val="24"/>
                <w:szCs w:val="24"/>
                <w:color w:val="auto"/>
              </w:rPr>
            </w:pPr>
          </w:p>
        </w:tc>
        <w:tc>
          <w:tcPr>
            <w:tcW w:w="190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16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16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76"/>
              </w:rPr>
              <w:t>(in</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millions, except</w:t>
            </w:r>
          </w:p>
        </w:tc>
        <w:tc>
          <w:tcPr>
            <w:tcW w:w="9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w w:val="95"/>
              </w:rPr>
              <w:t>per unit amounts)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gain (loss) from investment activities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disposition of assets, net</w:t>
            </w:r>
          </w:p>
        </w:tc>
        <w:tc>
          <w:tcPr>
            <w:tcW w:w="160" w:type="dxa"/>
            <w:vAlign w:val="bottom"/>
          </w:tcPr>
          <w:p>
            <w:pPr>
              <w:spacing w:after="0"/>
              <w:rPr>
                <w:sz w:val="18"/>
                <w:szCs w:val="18"/>
                <w:color w:val="auto"/>
              </w:rPr>
            </w:pPr>
          </w:p>
        </w:tc>
        <w:tc>
          <w:tcPr>
            <w:tcW w:w="82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net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on related party note receivable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deconsolidation of subsidiary</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Icahn Enterprises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Icahn Enterprises allocated to:</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income (loss) per LP unit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Distributions declared per LP unit</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40" w:type="dxa"/>
            <w:vAlign w:val="bottom"/>
            <w:tcBorders>
              <w:bottom w:val="single" w:sz="8" w:color="auto"/>
            </w:tcBorders>
          </w:tcPr>
          <w:p>
            <w:pPr>
              <w:spacing w:after="0"/>
              <w:rPr>
                <w:sz w:val="17"/>
                <w:szCs w:val="17"/>
                <w:color w:val="auto"/>
              </w:rPr>
            </w:pPr>
          </w:p>
        </w:tc>
        <w:tc>
          <w:tcPr>
            <w:tcW w:w="2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8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6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8"/>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6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tcPr>
          <w:p>
            <w:pPr>
              <w:jc w:val="right"/>
              <w:ind w:right="41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benefits and other</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198"/>
        </w:trPr>
        <w:tc>
          <w:tcPr>
            <w:tcW w:w="5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197"/>
        </w:trPr>
        <w:tc>
          <w:tcPr>
            <w:tcW w:w="5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5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to:</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80" w:type="dxa"/>
            <w:vAlign w:val="bottom"/>
            <w:gridSpan w:val="12"/>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gridSpan w:val="17"/>
          </w:tcPr>
          <w:p>
            <w:pPr>
              <w:ind w:left="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Partnership distributions payable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contributions from</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3,497</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2,727</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2,659</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5,386</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20" w:type="dxa"/>
            <w:vAlign w:val="bottom"/>
          </w:tcPr>
          <w:p>
            <w:pPr>
              <w:spacing w:after="0"/>
              <w:rPr>
                <w:sz w:val="20"/>
                <w:szCs w:val="20"/>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6"/>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Partner’s</w:t>
            </w: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Partnership distributions payable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4,209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2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6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3"/>
        </w:trPr>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15"/>
                <w:szCs w:val="15"/>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(432)</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from securities transactions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securities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(1,812)</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sales of securities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w:t>
            </w: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to cover securities sold, not yet purchased</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(1,022)</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w:t>
            </w: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securities sold, not yet purchased</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receivables and payables relating to securities transactions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derivative assets and liabilities</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(273)</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(gain) on disposition of assets, net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deconsolidation of subsidiary</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Credit loss expense</w:t>
            </w:r>
          </w:p>
        </w:tc>
        <w:tc>
          <w:tcPr>
            <w:tcW w:w="26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6"/>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w:t>
            </w:r>
          </w:p>
        </w:tc>
      </w:tr>
      <w:tr>
        <w:trPr>
          <w:trHeight w:val="19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(192)</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Turnaround expenditures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disposition of businesses and assets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of equity method investment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investments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192"/>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segment contributions from non-controlling interests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segment distributions to non-controlling interests</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(511)</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Partnership contributions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(320)</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additional interests in consolidated subsidiaries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and distributions to non-controlling interests in subsidiaries</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Holding Company senior unsecured notes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Holding Company senior unsecured notes</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(750)</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Holding Company senior unsecured notes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(168)</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subsidiary borrowings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subsidiary borrowings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(617)</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169"/>
        </w:trPr>
        <w:tc>
          <w:tcPr>
            <w:tcW w:w="616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 and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 and restricted cash and restricted</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(1,212)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restricted cash equivalents, beginning of</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w:t>
            </w:r>
          </w:p>
        </w:tc>
      </w:tr>
      <w:tr>
        <w:trPr>
          <w:trHeight w:val="19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restricted cash equivalents, end of period</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“we,” “our” or “us” herein include both Icahn Enterprises and Icahn Enterprises Holdings L.P. (“Icahn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Enterprises Holdings”) and their subsidiaries, unless the context otherwise requires.</w:t>
      </w:r>
    </w:p>
    <w:p>
      <w:pPr>
        <w:spacing w:after="0" w:line="20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September 30, 2024, representing an aggregate 1.99% general partner interest in Icahn Enterprises and Icahn Enterprises Holdings. Mr. Icahn and his affiliates owned approximately 86% of our outstanding depositary units as of September 30,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Continuing Operating Businesses</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14, “Segment Reporting,” for a reconciliation of each of our reporting segment’s results of operations to our consolidated results. Certain additional information with respect to our segments is discussed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$2.7 billion and $3.2 billion as of September 30, 2024 and December 31, 2023,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We conduct our Energy segment through our majority owned subsidiary, CVR Energy, Inc. (“CVR Energy”). CVR Energy is a diversified holding company primarily engaged in the petroleum refining and marketing businesses as well as in the nitrogen fertilizer manufacturing businesses through its holdings in CVR Partners, LP, a publicly traded limited partnership (“CVR Partners”). CVR Energy is an independent petroleum refiner in that it does not have crude oil exploration or production operations and is a marketer of high value transportation fuels primarily in the form of gasoline and diesel fuels, as well as renewable diesel. CVR Partners produces and markets nitrogen fertilizers in the form of urea ammonium nitrate and ammonia. CVR Energy holds 100% of the general partner interest and approximately 37% of the outstanding common units of CVR Partners as of September 30, 2024. As of September 30, 2024, we owned approximately 66% of the total outstanding common stock of CVR Energy.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conduct our Automotive segment through our wholly owned subsidiaries, Icahn Automotive Group LLC (“Icahn Automotive”) and AEP PLC LLC (“AEP PLC”).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In addition to its primary businesses, the Automotive segment leases available and excess real estate in certain locations under long-term operating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On January 31, 2023, a subsidiary of Icahn Automotive, IEH Auto Parts Holding LLC and its subsidiaries (collectively “Auto Plus”), an aftermarket parts distributor held within our Automotive segment, filed voluntary petitions in the United States Bankruptcy Court. As a result of Auto Plus’s filings for bankruptcy protections on January 31, 2023, we no longer controlled the operations of Auto Plus, therefore, we deconsolidated Auto Plus as of January 31, 2023. See Note 3, “Subsidiary Bankruptcy and Deconsolidation,” for a detailed discussion of the Auto Plus bankruptcy and deconsolidation.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359" w:firstLine="324"/>
        <w:spacing w:after="0" w:line="289" w:lineRule="auto"/>
        <w:rPr>
          <w:sz w:val="20"/>
          <w:szCs w:val="20"/>
          <w:color w:val="auto"/>
        </w:rPr>
      </w:pPr>
      <w:r>
        <w:rPr>
          <w:rFonts w:ascii="Times New Roman" w:cs="Times New Roman" w:eastAsia="Times New Roman" w:hAnsi="Times New Roman"/>
          <w:sz w:val="17"/>
          <w:szCs w:val="17"/>
          <w:color w:val="auto"/>
        </w:rPr>
        <w:t>We conduct our Food Packaging segment through our majority owned subsidiary, Viskase Companies, Inc. (“Viskase”). Viskase is a producer of cellulosic, fibrous and plastic casings used to prepare and package processed meat products. As of September 30, 2024, we owned approximately 91% of the total outstanding common stock of Viskase.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two country clubs.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Home Fashion segment through our wholly owned subsidiary, WestPoint Home LLC (“WPH”).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WPH’s business consists of manufacturing, sourcing, marketing, distributing and selling home fashion consumer products.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LLC, formerly Vivus, Inc. (“Vivus”). Vivus is a specialty pharmaceutical company with two approved therapies, two product candidates in active clinical development and two product candidates in early-stage development.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8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Events beyond our control, including significant appreciation or depreciation in the market value of certain of our publicly traded holdings or adverse developments with respect to our ownership of certain of our subsidiaries, could result in us inadvertently becoming an investment company that is required to register under the Investment Company Act. Following such events or certain transactions (such as the sale of an operating business),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should be read in conjunction with our consolidated financial statements and related notes contained in our Annual Report on Form 10-K for the year ended December 31, 2023.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w:t>
      </w:r>
    </w:p>
    <w:p>
      <w:pPr>
        <w:spacing w:after="0" w:line="194"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During 2023, we established a captive insurance program to supplement the insurance coverage of the officers, directors, employees and agents of the Company, its subsidiaries and our general partner, in addition to our established commercial insurance program. We hold assets in a protected cell, which we are the primary beneficiary of, and therefore consolidate the protected cell. At September 30, 2024, total assets related to the protected cell were $107 million, and included in restricted cash in the condensed consolidated balance sheet.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spacing w:after="0" w:line="14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2024 was approximately $6.4 billion and $6.3 billion, respectively. The carrying value and estimated fair value of our long-term debt as of December 31, 2023 was approximately $7.2 billion and $6.9 billion, respectively.</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02" w:lineRule="exact"/>
        <w:rPr>
          <w:sz w:val="20"/>
          <w:szCs w:val="20"/>
          <w:color w:val="auto"/>
        </w:rPr>
      </w:pPr>
    </w:p>
    <w:p>
      <w:pPr>
        <w:jc w:val="both"/>
        <w:ind w:left="60" w:right="819"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Held at Consolidated Affiliated Partnerships and Restricted Cash</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cash held at consolidated affiliated partnerships balance was $808 million and $1,068 million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December 31, 2023, respectively. Cash held at consolidated affiliated partnerships relates to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segment and consists of cash and cash equivalents held by the Investment Funds that, although not legally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are not used for the general operating needs of the Investment segment or Icahn Enterprises.</w:t>
      </w:r>
    </w:p>
    <w:p>
      <w:pPr>
        <w:spacing w:after="0" w:line="18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restricted cash balance was $1,632 million and $1,927 million as of September 30, 2024 and December 31, 2023, respectively. Restricted cash includes, but is not limited to, our Investment segment’s cash pledged and held for margin requirements on derivative transactions and cash held related to our captive insurance program.</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and Contract Balances</w:t>
      </w:r>
    </w:p>
    <w:p>
      <w:pPr>
        <w:spacing w:after="0" w:line="18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Due to the nature of our business, we derive revenue from various sources in various industries. With the exception of all of our Investment segment’s and our Holding Company’s revenues, and our Real Estate segment’s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segment’s and Automotive segment’s leasing revenue, as disclosed in Note 11,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14, “Segment Reporting,” for our complete disaggregation of revenue information. In addition, we disclose additional information with respect to revenue from contracts with customers and contract balances for our Energy and Automotive segments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Energy segment’s deferred revenue is a contract liability that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As of September 30, 2024, our Energy segment had $9 million of remaining performance obligations for contracts with an original expected duration of more than one year. Our Energy segment expects to recognize $1 million of these performance obligations as revenue by the end of 2024, $4 million during 2025, an additional $3 million in 2026, and the remaining balance in 2027.</w:t>
      </w:r>
    </w:p>
    <w:p>
      <w:pPr>
        <w:spacing w:after="0" w:line="188" w:lineRule="exact"/>
        <w:rPr>
          <w:sz w:val="20"/>
          <w:szCs w:val="20"/>
          <w:color w:val="auto"/>
        </w:rPr>
      </w:pPr>
    </w:p>
    <w:p>
      <w:pPr>
        <w:ind w:left="60" w:right="79" w:firstLine="369"/>
        <w:spacing w:after="0" w:line="256" w:lineRule="auto"/>
        <w:rPr>
          <w:sz w:val="20"/>
          <w:szCs w:val="20"/>
          <w:color w:val="auto"/>
        </w:rPr>
      </w:pPr>
      <w:r>
        <w:rPr>
          <w:rFonts w:ascii="Times New Roman" w:cs="Times New Roman" w:eastAsia="Times New Roman" w:hAnsi="Times New Roman"/>
          <w:sz w:val="18"/>
          <w:szCs w:val="18"/>
          <w:color w:val="auto"/>
        </w:rPr>
        <w:t>In addition, deferred revenue includes agreements entered into with third-party investors that has allowed our Energy segment to monetize certain tax credits available under Section 45Q of the Internal Revenue Code (the “45Q Transaction”). Our Energy segment had deferred revenue of $68 million and $49 million as of September 30, 2024 and December 31, 2023, respectively. For the nine months ended September 30, 2024 and 2023, our Energy segment recorded revenue of $14 million and $46 million, respectively, with respect to deferred revenue outstanding as of the beginning of each respective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Automotive segment had deferred revenue with respect to extended warranty plans of $39 million and $45 million as of September 30, 2024 and December 31, 2023, respectively, which are included in accrued expenses and other liabilities on the condensed consolidated balance sheets. For the nine months ended September 30, 2024 and 2023, our Automotive segment recorded deferred revenue of $17 million and $15 million, respectively, outstanding as of the beginning of each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27"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 xml:space="preserve">In June 2022, the FASB issued ASU 2022-03, </w:t>
      </w:r>
      <w:r>
        <w:rPr>
          <w:rFonts w:ascii="Times New Roman" w:cs="Times New Roman" w:eastAsia="Times New Roman" w:hAnsi="Times New Roman"/>
          <w:sz w:val="17"/>
          <w:szCs w:val="17"/>
          <w:i w:val="1"/>
          <w:iCs w:val="1"/>
          <w:color w:val="auto"/>
        </w:rPr>
        <w:t>Fair Value Measurement of Equity Securities Subject to Contractual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Sale Restrictions, </w:t>
      </w:r>
      <w:r>
        <w:rPr>
          <w:rFonts w:ascii="Times New Roman" w:cs="Times New Roman" w:eastAsia="Times New Roman" w:hAnsi="Times New Roman"/>
          <w:sz w:val="17"/>
          <w:szCs w:val="17"/>
          <w:color w:val="auto"/>
        </w:rPr>
        <w:t>which amends guidance in Topic 820,</w:t>
      </w:r>
      <w:r>
        <w:rPr>
          <w:rFonts w:ascii="Times New Roman" w:cs="Times New Roman" w:eastAsia="Times New Roman" w:hAnsi="Times New Roman"/>
          <w:sz w:val="17"/>
          <w:szCs w:val="17"/>
          <w:i w:val="1"/>
          <w:iCs w:val="1"/>
          <w:color w:val="auto"/>
        </w:rPr>
        <w:t xml:space="preserve"> Fair Value Measurement</w:t>
      </w:r>
      <w:r>
        <w:rPr>
          <w:rFonts w:ascii="Times New Roman" w:cs="Times New Roman" w:eastAsia="Times New Roman" w:hAnsi="Times New Roman"/>
          <w:sz w:val="17"/>
          <w:szCs w:val="17"/>
          <w:color w:val="auto"/>
        </w:rPr>
        <w:t>. The guidance clarifies that a contractual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 to contractual sale restrictions; the nature and remaining duration of the restriction(s); and the circumstances that could cause a lapse in the restriction(s). The amended guidance is effective January 1, 2024 on a prospective basis. We adopted this ASU effective January 1, 2024. The adoption of this standard did not have a significant impact on our condensed consolidated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which requires enhanced income tax disclosures that reflect how operations and related tax risks,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tax planning and operational opportunities, affect the tax rate and prospects for future cash flows. This standard is effective for the Company beginning January 1, 2025, with early adoption permitted. We are currently assessing the impact of adopting this standard on our consolidated financial statements.</w:t>
      </w:r>
    </w:p>
    <w:p>
      <w:pPr>
        <w:spacing w:after="0" w:line="183"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includes requirements for more robust disclosures of significant segment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of a segment’s profit and loss used in assessing performance. This standard is effective for the Company’s annual period beginning January 1, 2024 and interim periods beginning January 1, 2025, with early adoptions permitted. While we continue to evaluate the effects of adopting this new accounting guidance, we currently expect additional disclosure will be included for its annual and interim reporting periods beginning December 31, 2024.</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Subsidiary Bankruptcy and Deconsolidation</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On January 31, 2023,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On May 2, 2023, the Bankruptcy Court approved a global settlement in the Chapter 11 Cases between Auto Plus,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 On May 19, 2023, the Bankruptcy Court approved five sales of Auto Plus’ assets to five different bidders pursuant to Section 363 of the Bankruptcy Code, comprising a significant majority of Auto Plus’ total assets (the “363 Sales”). AEP PLC was the buyer for one of the 363 Sales, pursuant to a credit bid of $10 million for a portion of its senior secured debtor-in-possession loan to Auto Plus. The last of the 363 Sales closed on June 12, 2023. The proceeds of the 363 Sales have been and will continue to be used to satisfy obligations to Auto Plus’ creditors. On June 16, 2023, the Bankruptcy Court entered an order approving Auto Plus’ Third Amended Combined Disclosure Statement and Joint Plan of Liquidation (the “Bankruptcy Plan”). The effective date of the Bankruptcy Plan occurred on October 6, 2023. The Bankruptcy Plan provides for the orderly liquidation of Auto Plus and distribution of its assets.</w:t>
      </w:r>
    </w:p>
    <w:p>
      <w:pPr>
        <w:spacing w:after="0" w:line="19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filing of the Chapter 11 Cases, the Company determined that it no longer controls Auto Plus under the criteria set out in FASB ASC Topic 810, “Consolidation” and deconsolidated its investment effective January 31, 2023. In order to deconsolidate Auto Plus, we removed the carrying values of the assets and liabilities of Auto Plus as of January 31, 2023 and recorded our investment in Auto Plus at zero resulting in a non-cash charge of $246 million during the nine months ended September 30,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and December 31, 2023, the total fair market value of investments in the Investment Funds made by Mr. Icahn and his affiliates (excluding us and Brett Icahn) was approximately $1.5 billion and $2.1 billion, respectively, representing approximately 35% and 39% of the Investment Funds’ assets under management as of each respective date. In July 2024, the Investment Funds issued a pro-rata distribution of $650 million in cash, including $256 million to Mr. Icahn and his affiliates (excluding us and Brett Icahn) and $394 million to the Holding Company. In addition, Mr. Icahn and his affiliates (excluding us and Brett Icahn) redeemed $250 million from his personal interests in the Investment Funds during the nine months ended September 30, 2024, and redeemed $2.0 billion in the nine months ended September 30, 2023.</w:t>
      </w:r>
    </w:p>
    <w:p>
      <w:pPr>
        <w:spacing w:after="0" w:line="19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nine months ended September 30, 2024 and 2023, $14 million and $10 million, respectively, was allocated to the Investment Funds based on this expense-sharing arrangement.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 Plus and AEP PLC</w:t>
      </w:r>
    </w:p>
    <w:p>
      <w:pPr>
        <w:spacing w:after="0" w:line="16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3, “Subsidiary Bankruptcy and Deconsolidation,” Auto Plus was deconsolidated as of January 31, 2023. Subsequent to January 31, 2023, Auto Plus had certain transactions with entities within our Automotive and Real Estate segments. Agreements and transactions include (i) lease agreements between Auto Plus and entities in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Automotive segment in which Auto Plus is the lessee, (ii) lease agreements between Auto Plus and entities in the Automotive segment in which Auto Plus is the lessor, (iii) auto parts purchases by entities in the Automotive segment from Auto Plus, (iv) auto parts sales from entities within the Automotive segment to Auto Plus, and (v) lease agreements between entities in the Real Estate segment and Auto Plus in which Auto Plus is the lessee.</w:t>
      </w:r>
    </w:p>
    <w:p>
      <w:pPr>
        <w:spacing w:after="0" w:line="11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For the eight months from the date of deconsolidation of January 31, 2023 through September 30, 2023, the total lease revenues of entities within the Automotive segment from leases with Auto Plus was $3 million. Total inventory purchases of entities within the Automotive segment from Auto Plus were $4 million for the eight months from the date of deconsolidation through September 30, 2023.</w:t>
      </w:r>
    </w:p>
    <w:p>
      <w:pPr>
        <w:spacing w:after="0" w:line="11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For the eight months from the date of deconsolidation of January 31, 2023 through September 30, 2023, the total lease revenues of entities within the Real Estate segment from Auto Plus were $3 million.</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Note Receivable from Auto Plus</w:t>
      </w:r>
    </w:p>
    <w:p>
      <w:pPr>
        <w:spacing w:after="0" w:line="16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Auto Plus bankruptcy filing, we entered into a priming, senior secured, super priority debtor-in-possession credit facility with Auto Plus (the “DIP Credit Facility”) on January 31, 2023, under which (i) we agreed to provide new loans in an aggregate amount of up to $75 million and (ii) subject to final approval of the DIP Credit Facility by the Bankruptcy Court, all the loans under our pre-petition credit facility with Auto Plus would be rolled-up and converted into loans under the DIP Credit Facility. On May 2, 2023, we converted and rolled up our related party note receivable with our existing loans under the DIP Credit Facility. We estimated our cash to be collected for the repayment of the note receivable to be $7 million at September 30, 2024.</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AEP PLC</w:t>
      </w:r>
    </w:p>
    <w:p>
      <w:pPr>
        <w:spacing w:after="0" w:line="160"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connection with the Auto Plus auction, AEP PLC acquired $10 million of assets mostly comprised of Aftermarket Parts inventory during the year ended December 31, 2023. The transaction was considered an asset acquisition, as the group of assets acquired by AEP PLC does not meet the definition of a business defined in FASB ASC Topic 805. The results of AEP PLC are consolidated within our Automotive segment at September 30, 2024 and were not material.</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Agreements</w:t>
      </w:r>
    </w:p>
    <w:p>
      <w:pPr>
        <w:spacing w:after="0" w:line="16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$4 million during the nine months ended September 30, 2024, and had $9 million net redemptions in the nine months ended September 30, 2023. As of September 30, 2024 and December 31, 2023 Brett Icahn had investments in the Investment Funds with a total fair market value of $17 million and $28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6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1"/>
                <w:szCs w:val="11"/>
                <w:color w:val="auto"/>
              </w:rPr>
            </w:pPr>
          </w:p>
        </w:tc>
      </w:tr>
      <w:tr>
        <w:trPr>
          <w:trHeight w:val="216"/>
        </w:trPr>
        <w:tc>
          <w:tcPr>
            <w:tcW w:w="646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1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6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50"/>
        </w:trPr>
        <w:tc>
          <w:tcPr>
            <w:tcW w:w="64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196"/>
        </w:trPr>
        <w:tc>
          <w:tcPr>
            <w:tcW w:w="6460" w:type="dxa"/>
            <w:vAlign w:val="bottom"/>
            <w:shd w:val="clear" w:color="auto" w:fill="CCEEFF"/>
          </w:tcPr>
          <w:p>
            <w:pPr>
              <w:ind w:left="27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non-cyclical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6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1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Materials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50"/>
        </w:trPr>
        <w:tc>
          <w:tcPr>
            <w:tcW w:w="64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197"/>
        </w:trPr>
        <w:tc>
          <w:tcPr>
            <w:tcW w:w="6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bl>
    <w:p>
      <w:pPr>
        <w:spacing w:after="0" w:line="373" w:lineRule="exact"/>
        <w:rPr>
          <w:sz w:val="20"/>
          <w:szCs w:val="20"/>
          <w:color w:val="auto"/>
        </w:rPr>
      </w:pPr>
    </w:p>
    <w:p>
      <w:pPr>
        <w:ind w:left="60" w:right="159" w:firstLine="324"/>
        <w:spacing w:after="0" w:line="289" w:lineRule="auto"/>
        <w:rPr>
          <w:sz w:val="20"/>
          <w:szCs w:val="20"/>
          <w:color w:val="auto"/>
        </w:rPr>
      </w:pPr>
      <w:r>
        <w:rPr>
          <w:rFonts w:ascii="Times New Roman" w:cs="Times New Roman" w:eastAsia="Times New Roman" w:hAnsi="Times New Roman"/>
          <w:sz w:val="17"/>
          <w:szCs w:val="17"/>
          <w:color w:val="auto"/>
        </w:rPr>
        <w:t>The portion of unrealized (losses) and gains that relates to securities still held by our Investment segment, primarily equity securities, was $101 million and $(255) million for the three months ended September 30, 2024 and 2023, respectively, and $(229) million and $(286) million for the nine months ended September 30,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Segments and Holding Company</w:t>
      </w:r>
    </w:p>
    <w:p>
      <w:pPr>
        <w:spacing w:after="0" w:line="20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6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to maturity debt investments measured at amortized cost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fair value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There were no unrealized gains and (losses) that relates to equity securities still held by our other segments and Holding Company for each of the three and nine months ended September 30, 2024 and 2023.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0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47"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and reported at fair value are classified and disclosed in one of the following categories: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and liabilities as of the reporting date.</w:t>
      </w:r>
    </w:p>
    <w:p>
      <w:pPr>
        <w:spacing w:after="0" w:line="198" w:lineRule="exact"/>
        <w:rPr>
          <w:sz w:val="20"/>
          <w:szCs w:val="20"/>
          <w:color w:val="auto"/>
        </w:rPr>
      </w:pPr>
    </w:p>
    <w:p>
      <w:pPr>
        <w:ind w:left="380" w:right="559"/>
        <w:spacing w:after="0" w:line="258"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43" w:lineRule="exact"/>
        <w:rPr>
          <w:sz w:val="20"/>
          <w:szCs w:val="20"/>
          <w:color w:val="auto"/>
        </w:rPr>
      </w:pPr>
    </w:p>
    <w:p>
      <w:pPr>
        <w:ind w:left="380" w:right="59"/>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3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0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assets and liabilities by the above fair value hierarchy levels measured on a recurring basis: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2"/>
        </w:trPr>
        <w:tc>
          <w:tcPr>
            <w:tcW w:w="286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(Note 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$ 2,406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$ 2,479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$ 2,730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$ 2,901</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net (Note 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$ 2,406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$ 2,522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$ 2,730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$ 2,965</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Securities sold, not yet purchased</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$ 1,998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$ 2,679</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$ 3,288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$ 3,473</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net (Note 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RFS obligations (Note 18)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$ 1,998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1,740</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$ 3,738</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$ 3,288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1,493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$ 4,781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 for Which We Use Level 3 Inputs to Determine Fair Value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CVR Partners performed a non-recurring fair value measurement of the equity interest received as part of the 45Q Transaction. 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 million in the first quarter of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estimated fair value of the Company’s note receivable from Auto Plus was measured at January 31, 2023 using the income approach with Level 3 inputs by discounting the forecasted cash inflows associated with the note using an estimated market discount rate. The Company measured the fair value of the related party note using the practical expedient for a collateral-dependent loan in accordance with ASC Topic 326 to determine the allowance based on the fair value of collateral less costs to sell. The collateral for the note primarily consists of cash and accounts receivable. The Company estimated the fair value of the accounts receivable by using an average from a range of expected cash collection projections. We determined the estimated fair value to be $7 million at September 30,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8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routinely execute transactions with counterparties in the financial services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the overnight bank funding rate in effect for such period.</w:t>
      </w:r>
    </w:p>
    <w:p>
      <w:pPr>
        <w:spacing w:after="0" w:line="18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3"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September 30, 2024 and December 31, 2023.</w:t>
      </w:r>
    </w:p>
    <w:p>
      <w:pPr>
        <w:spacing w:after="0" w:line="18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volume of our Investment segment’s derivative activities based on their notional exposure, categorized by primary underlying risk:</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18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18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2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0" w:type="dxa"/>
            <w:vAlign w:val="bottom"/>
          </w:tcPr>
          <w:p>
            <w:pPr>
              <w:spacing w:after="0"/>
              <w:rPr>
                <w:sz w:val="1"/>
                <w:szCs w:val="1"/>
                <w:color w:val="auto"/>
              </w:rPr>
            </w:pPr>
          </w:p>
        </w:tc>
      </w:tr>
      <w:tr>
        <w:trPr>
          <w:trHeight w:val="213"/>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Primary underlying risk:</w:t>
            </w: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40" w:type="dxa"/>
            <w:vAlign w:val="bottom"/>
            <w:gridSpan w:val="2"/>
            <w:vMerge w:val="continue"/>
          </w:tcPr>
          <w:p>
            <w:pPr>
              <w:spacing w:after="0"/>
              <w:rPr>
                <w:sz w:val="17"/>
                <w:szCs w:val="17"/>
                <w:color w:val="auto"/>
              </w:rPr>
            </w:pPr>
          </w:p>
        </w:tc>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contracts</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1,912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Credit contracts</w:t>
            </w:r>
            <w:r>
              <w:rPr>
                <w:rFonts w:ascii="Times New Roman" w:cs="Times New Roman" w:eastAsia="Times New Roman" w:hAnsi="Times New Roman"/>
                <w:sz w:val="25"/>
                <w:szCs w:val="25"/>
                <w:color w:val="auto"/>
                <w:vertAlign w:val="superscript"/>
              </w:rPr>
              <w:t>(1)</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3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19" w:hanging="330"/>
        <w:spacing w:after="0" w:line="241"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 notional amount on our credit default swap positions was approximately $0.8 billion and $2.5 billion at September 30, 2024 and December 31, 2023, respectively. However, because credit spreads cannot compress below zero, our downside short notional exposure to loss is approximately $0.15 billion and $0.4 billion as of September 30, 2024 and December 31, 2023, respectively.</w:t>
      </w:r>
    </w:p>
    <w:p>
      <w:pPr>
        <w:spacing w:after="0" w:line="18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our Investment segment’s derivatives that are not designated as hedging instruments in accordance with U.S. GAAP:</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Pr>
          <w:p>
            <w:pPr>
              <w:spacing w:after="0"/>
              <w:rPr>
                <w:sz w:val="18"/>
                <w:szCs w:val="18"/>
                <w:color w:val="auto"/>
              </w:rPr>
            </w:pPr>
          </w:p>
        </w:tc>
      </w:tr>
      <w:tr>
        <w:trPr>
          <w:trHeight w:val="216"/>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09"/>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18"/>
                <w:szCs w:val="18"/>
                <w:color w:val="auto"/>
              </w:rPr>
            </w:pPr>
          </w:p>
        </w:tc>
      </w:tr>
      <w:tr>
        <w:trPr>
          <w:trHeight w:val="190"/>
        </w:trPr>
        <w:tc>
          <w:tcPr>
            <w:tcW w:w="232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Netting across contract</w:t>
            </w: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320" w:type="dxa"/>
            <w:vAlign w:val="bottom"/>
            <w:gridSpan w:val="2"/>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types</w:t>
            </w:r>
            <w:r>
              <w:rPr>
                <w:rFonts w:ascii="Times New Roman" w:cs="Times New Roman" w:eastAsia="Times New Roman" w:hAnsi="Times New Roman"/>
                <w:sz w:val="26"/>
                <w:szCs w:val="26"/>
                <w:color w:val="auto"/>
                <w:vertAlign w:val="superscript"/>
              </w:rPr>
              <w:t>(1)</w:t>
            </w:r>
          </w:p>
        </w:tc>
        <w:tc>
          <w:tcPr>
            <w:tcW w:w="5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8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r>
      <w:tr>
        <w:trPr>
          <w:trHeight w:val="210"/>
        </w:trPr>
        <w:tc>
          <w:tcPr>
            <w:tcW w:w="23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8" w:lineRule="exact"/>
        <w:rPr>
          <w:sz w:val="20"/>
          <w:szCs w:val="20"/>
          <w:color w:val="auto"/>
        </w:rPr>
      </w:pPr>
    </w:p>
    <w:p>
      <w:pPr>
        <w:jc w:val="both"/>
        <w:ind w:left="380" w:right="179" w:hanging="330"/>
        <w:spacing w:after="0" w:line="180" w:lineRule="auto"/>
        <w:tabs>
          <w:tab w:leader="none" w:pos="380" w:val="left"/>
        </w:tabs>
        <w:numPr>
          <w:ilvl w:val="0"/>
          <w:numId w:val="4"/>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3"/>
          <w:szCs w:val="13"/>
          <w:color w:val="auto"/>
        </w:rPr>
        <w:t>Excludes netting of cash collateral received and posted. The total collateral posted at September 30, 2024 and December 31, 2023 was $1.4 billion and $1.7 billion, respectively, across all counterparties, which are included in cash held at consolidated affiliated partnerships and restricted cash in the condensed consolidated balance sheets.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condensed consolidated statements of operations for our Investment segment’s derivatives not designated as hedging instruments: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Gain (loss) Recognized in Income </w:t>
            </w:r>
            <w:r>
              <w:rPr>
                <w:rFonts w:ascii="Times New Roman" w:cs="Times New Roman" w:eastAsia="Times New Roman" w:hAnsi="Times New Roman"/>
                <w:sz w:val="26"/>
                <w:szCs w:val="26"/>
                <w:b w:val="1"/>
                <w:bCs w:val="1"/>
                <w:color w:val="auto"/>
                <w:vertAlign w:val="superscript"/>
              </w:rPr>
              <w:t>(1)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0" w:type="dxa"/>
            <w:vAlign w:val="bottom"/>
            <w:gridSpan w:val="6"/>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20" w:type="dxa"/>
            <w:vAlign w:val="bottom"/>
          </w:tcPr>
          <w:p>
            <w:pPr>
              <w:spacing w:after="0"/>
              <w:rPr>
                <w:sz w:val="16"/>
                <w:szCs w:val="16"/>
                <w:color w:val="auto"/>
              </w:rPr>
            </w:pPr>
          </w:p>
        </w:tc>
        <w:tc>
          <w:tcPr>
            <w:tcW w:w="1920" w:type="dxa"/>
            <w:vAlign w:val="bottom"/>
            <w:gridSpan w:val="4"/>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 w:type="dxa"/>
            <w:vAlign w:val="bottom"/>
          </w:tcPr>
          <w:p>
            <w:pPr>
              <w:spacing w:after="0"/>
              <w:rPr>
                <w:sz w:val="16"/>
                <w:szCs w:val="16"/>
                <w:color w:val="auto"/>
              </w:rPr>
            </w:pPr>
          </w:p>
        </w:tc>
      </w:tr>
      <w:tr>
        <w:trPr>
          <w:trHeight w:val="238"/>
        </w:trPr>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0"/>
                <w:szCs w:val="20"/>
                <w:color w:val="auto"/>
              </w:rPr>
            </w:pPr>
          </w:p>
        </w:tc>
        <w:tc>
          <w:tcPr>
            <w:tcW w:w="19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8"/>
                <w:szCs w:val="18"/>
                <w:color w:val="auto"/>
              </w:rPr>
            </w:pPr>
          </w:p>
        </w:tc>
      </w:tr>
      <w:tr>
        <w:trPr>
          <w:trHeight w:val="21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140</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Borders>
              <w:bottom w:val="single" w:sz="8" w:color="auto"/>
            </w:tcBorders>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8" w:lineRule="exact"/>
        <w:rPr>
          <w:sz w:val="20"/>
          <w:szCs w:val="20"/>
          <w:color w:val="auto"/>
        </w:rPr>
      </w:pPr>
    </w:p>
    <w:p>
      <w:pPr>
        <w:ind w:left="380" w:right="41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(losses) recognized on derivatives are classified in net (loss) gain from investment activities in our condensed consolidated statements of operations for our Investment segment.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as such instruments are not designated as hedge instruments. CVR Energy may enter into forward purchase or sale contracts associated with its feedstocks, expected future gasoline and diesel production and/or renewable identification numbers (“RINs”).</w:t>
      </w:r>
    </w:p>
    <w:p>
      <w:pPr>
        <w:spacing w:after="0" w:line="18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CVR Energy had swap positions for crack spreads that offset to zero and 11 million barrels outstanding, respectively. As of September 30, 2024 and December 31, 2023, CVR Energy had less than 1 million barrels and zero futures contracts, respectively. As of September 30, 2024 and December 31, 2023, CVR Energy had forward contracts of less than 1 million barrels at each period. As of September 30, 2024, CVR Energy had open fixed-price commitments to purchase a net 27 million RINs.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fair value of our Energy segment’s derivatives and the effect of the collateral netting: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r>
      <w:tr>
        <w:trPr>
          <w:trHeight w:val="196"/>
        </w:trPr>
        <w:tc>
          <w:tcPr>
            <w:tcW w:w="2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190"/>
        </w:trPr>
        <w:tc>
          <w:tcPr>
            <w:tcW w:w="23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Netting across contract</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320" w:type="dxa"/>
            <w:vAlign w:val="bottom"/>
          </w:tcPr>
          <w:p>
            <w:pPr>
              <w:ind w:left="120"/>
              <w:spacing w:after="0" w:line="242" w:lineRule="exact"/>
              <w:rPr>
                <w:sz w:val="20"/>
                <w:szCs w:val="20"/>
                <w:color w:val="auto"/>
              </w:rPr>
            </w:pPr>
            <w:r>
              <w:rPr>
                <w:rFonts w:ascii="Times New Roman" w:cs="Times New Roman" w:eastAsia="Times New Roman" w:hAnsi="Times New Roman"/>
                <w:sz w:val="18"/>
                <w:szCs w:val="18"/>
                <w:color w:val="auto"/>
              </w:rPr>
              <w:t>types</w:t>
            </w:r>
            <w:r>
              <w:rPr>
                <w:rFonts w:ascii="Times New Roman" w:cs="Times New Roman" w:eastAsia="Times New Roman" w:hAnsi="Times New Roman"/>
                <w:sz w:val="26"/>
                <w:szCs w:val="26"/>
                <w:color w:val="auto"/>
                <w:vertAlign w:val="superscript"/>
              </w:rPr>
              <w:t>(1)</w:t>
            </w:r>
          </w:p>
        </w:tc>
        <w:tc>
          <w:tcPr>
            <w:tcW w:w="5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32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9" w:lineRule="exact"/>
        <w:rPr>
          <w:sz w:val="20"/>
          <w:szCs w:val="20"/>
          <w:color w:val="auto"/>
        </w:rPr>
      </w:pPr>
    </w:p>
    <w:p>
      <w:pPr>
        <w:ind w:left="720" w:right="379" w:hanging="319"/>
        <w:spacing w:after="0" w:line="261" w:lineRule="auto"/>
        <w:tabs>
          <w:tab w:leader="none" w:pos="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netting of derivatives primarily related to initial margin requirements of $12 million and $13 million at September 30, 2024 and December 31, 2023, respectively, which was not offset against derivatives liabilities, net in the condensed consolidated balance sheets.</w:t>
      </w:r>
    </w:p>
    <w:p>
      <w:pPr>
        <w:spacing w:after="0" w:line="16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As of September 30, 2024, the aggregate fair value of derivative liabilities in our Energy segment’s derivative instruments with credit-risk-related contingent features was $5 million, for which $3 million in collateral has been posted.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Gains and (losses) recognized on derivatives for our Energy segment were $2 million and $(106) million for the three months ended September 30, 2024 and 2023, respectively, and $7 million and $(65) million for the nine months ended September 30, 2024 and 2023, respectively. Gains and losses recognized on derivatives for our Energy segment are included in cost of goods sold on the condensed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Related Party Notes Receivable,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Related party notes receivable and its related allowance for expected credit losses consists of the following:</w:t>
      </w:r>
    </w:p>
    <w:p>
      <w:pPr>
        <w:spacing w:after="0" w:line="23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2024</w:t>
      </w:r>
    </w:p>
    <w:p>
      <w:pPr>
        <w:sectPr>
          <w:pgSz w:w="11900" w:h="16838" w:orient="portrait"/>
          <w:cols w:equalWidth="0" w:num="1">
            <w:col w:w="9019"/>
          </w:cols>
          <w:pgMar w:left="1440" w:top="513" w:right="1440" w:bottom="1440" w:gutter="0" w:footer="0" w:header="0"/>
        </w:sectPr>
      </w:pP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Related party notes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Less: 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Related party notes receivable, net</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Beginning 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56489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Credit loss provision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Ending Balance as of September 30, 2024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10"/>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1699"/>
          </w:cols>
          <w:pgMar w:left="1440" w:top="513" w:right="1440" w:bottom="1440" w:gutter="0" w:footer="0" w:header="0"/>
          <w:type w:val="continuous"/>
        </w:sectPr>
      </w:pPr>
    </w:p>
    <w:p>
      <w:pPr>
        <w:spacing w:after="0" w:line="214"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There were no write-offs associated with related party notes receivable for the nine months ended September 30, 2024, and write-offs of $127 million for the nine months ended September 30, 2023. See Note 6, “Fair Value Measurements,” for additional information related to the fair value of the related party notes receivable.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9. Inventories,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3"/>
        </w:trPr>
        <w:tc>
          <w:tcPr>
            <w:tcW w:w="644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9"/>
        </w:trPr>
        <w:tc>
          <w:tcPr>
            <w:tcW w:w="6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1"/>
                <w:szCs w:val="1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0"/>
        </w:trPr>
        <w:tc>
          <w:tcPr>
            <w:tcW w:w="644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5899" w:hanging="330"/>
        <w:spacing w:after="0" w:line="538" w:lineRule="auto"/>
        <w:tabs>
          <w:tab w:leader="none" w:pos="37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Net </w:t>
      </w:r>
      <w:r>
        <w:rPr>
          <w:rFonts w:ascii="Times New Roman" w:cs="Times New Roman" w:eastAsia="Times New Roman" w:hAnsi="Times New Roman"/>
          <w:sz w:val="17"/>
          <w:szCs w:val="17"/>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tcBorders>
              <w:bottom w:val="single" w:sz="8" w:color="auto"/>
            </w:tcBorders>
          </w:tcPr>
          <w:p>
            <w:pPr>
              <w:spacing w:after="0"/>
              <w:rPr>
                <w:sz w:val="20"/>
                <w:szCs w:val="20"/>
                <w:color w:val="auto"/>
              </w:rPr>
            </w:pPr>
          </w:p>
        </w:tc>
      </w:tr>
      <w:tr>
        <w:trPr>
          <w:trHeight w:val="187"/>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19"/>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Pharma</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0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20" w:type="dxa"/>
            <w:vAlign w:val="bottom"/>
            <w:tcBorders>
              <w:bottom w:val="single" w:sz="8" w:color="auto"/>
            </w:tcBorders>
          </w:tcPr>
          <w:p>
            <w:pPr>
              <w:spacing w:after="0"/>
              <w:rPr>
                <w:sz w:val="20"/>
                <w:szCs w:val="20"/>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00" w:type="dxa"/>
            <w:vAlign w:val="bottom"/>
          </w:tcPr>
          <w:p>
            <w:pPr>
              <w:spacing w:after="0"/>
              <w:rPr>
                <w:sz w:val="18"/>
                <w:szCs w:val="18"/>
                <w:color w:val="auto"/>
              </w:rPr>
            </w:pPr>
          </w:p>
        </w:tc>
        <w:tc>
          <w:tcPr>
            <w:tcW w:w="59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300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was $14 million and $15 million for the three months ended September 30, 2024 and 2023, respectively, and $43 million and $44 million for the nine months ended September 30, 2024 and 2023,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utilize the straight-line method of amortization, recognized over the estimated useful lives of the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and lease liabilities are as follows: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3"/>
        </w:trPr>
        <w:tc>
          <w:tcPr>
            <w:tcW w:w="63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9"/>
        </w:trPr>
        <w:tc>
          <w:tcPr>
            <w:tcW w:w="6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Pr>
          <w:p>
            <w:pPr>
              <w:spacing w:after="0"/>
              <w:rPr>
                <w:sz w:val="11"/>
                <w:szCs w:val="1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(other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8"/>
                <w:szCs w:val="18"/>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(accrued expenses and other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(property, plant and equipment,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Additional information with respect to our operating leases as of September 30, 2024 and December 31, 2023 is presented below. The lease terms and discount rates for our Energy, Automotive and Food Packaging segments represent weighted averages based on their respective lease liability balances.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3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September 30, 2024</w:t>
            </w:r>
          </w:p>
        </w:tc>
        <w:tc>
          <w:tcPr>
            <w:tcW w:w="180" w:type="dxa"/>
            <w:vAlign w:val="bottom"/>
          </w:tcPr>
          <w:p>
            <w:pPr>
              <w:spacing w:after="0"/>
              <w:rPr>
                <w:sz w:val="20"/>
                <w:szCs w:val="20"/>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right"/>
              <w:ind w:right="37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5.1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5.5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9.1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2023</w:t>
            </w:r>
          </w:p>
        </w:tc>
        <w:tc>
          <w:tcPr>
            <w:tcW w:w="1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21"/>
                <w:szCs w:val="21"/>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1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5.4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5.4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9.1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1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and 2023, lease cost was comprised of (i) operating lease cost of $46 million and $44 million, respectively, (ii) amortization of financing lease right-of-use assets of $2 million and $1 million, respectively, and (iii) interest expense on financing lease liabilities of $2 million and $2 million, respectively. For the nine months ended September 30, 2024 and 2023, lease cost was comprised of (i) operating lease cost of $132 million and $134 million, respectively, (ii) amortization of financing lease right-of-use assets of $6 million and $5 million, respectively, and (iii) interest expense on financing lease liabilities of $5 million and $4 million, respectively.</w:t>
      </w:r>
    </w:p>
    <w:p>
      <w:pPr>
        <w:spacing w:after="0" w:line="187"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 accounted for $106 million and $108 million of total lease cost for each of the nine months ended September 30, 2024 and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Automotive segment leases available and excess real estate in certain locations under long-term operating leases. Our Automotive segment’s revenues from operating leases were $15 million and $14 million for the three months ended September 30, 2024 and 2023, respectively, and $45 million and $43 million for the nine months ended September 30, 2024 and 2023, respectively. Revenues from operating leases are included in other revenue from operations in the condensed consolidated statements of operations. Our Automotive segment’s expenses from operating leases including variable lease costs were $25 million and $24 million for the three months ended September 30, 2024 and 2023, respectively, and $72 million and $74 million for the nine months ended September 30, 2024 and 2023, respectively. Expenses from operating leases are included in other expenses from operations in the condensed consolidated statements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Our Real Estate segment leases real estate, primarily commercial properties under long-term operating leases. As of September 30, 2024 and December 31, 2023, our Real Estate segment had assets leased to others included in property, plant and equipment of $260 million and $252 million, respectively, net of accumulated depreciation. Our Real Estate segment’s revenue from operating leases were $2 million and $3 million for the three months ended September 30, 2024 and 2023, respectively, and $7 million and $15 million for the nine months ended September 30, 2024 and 2023, respectively. Revenues from operating leases are included in other revenue from operations in the condensed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12. Debt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4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2"/>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Holding Company:</w:t>
            </w:r>
          </w:p>
        </w:tc>
        <w:tc>
          <w:tcPr>
            <w:tcW w:w="24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9.750% senior unsecured notes due 2029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9.000% senior unsecured notes due 2030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0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Segments: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6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2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Holding Company debt consists of various issues of fixed-rate senior unsecured notes issued by Icahn Enterprises and Icahn Enterprises Finance Corp. (together the “Issuers”) and guaranteed by Icahn Enterprise Holdings (the “Guarantor”). Interest on each tranche of the senior unsecured notes is payable semi-annually.</w:t>
      </w:r>
    </w:p>
    <w:p>
      <w:pPr>
        <w:spacing w:after="0" w:line="176"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April 2024, we sold $12 million in aggregate principal amount of our 6.250% senior unsecured notes due 2026 and $5 million in aggregate principal amount of our 5.250% senior unsecured notes due 2027, both previously repurchased and held in treasury, in the open market.</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May 2024, the Issuers issued $750 million in aggregate principal amount of 9.000% senior unsecured notes due 2030. The net proceeds from the issuance were used to redeem the remaining outstanding 6.375% senior unsecured notes due 2025 in full on June 13, 2024.</w:t>
      </w:r>
    </w:p>
    <w:p>
      <w:pPr>
        <w:spacing w:after="0" w:line="1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August and September of 2024, we repurchased in the open market approximately $52 million aggregate principal amount of our 6.250% senior unsecured notes due 2026, $73 million aggregate principal amount of our 5.250% senior unsecured notes due 2027 and $52 million aggregate principal amount of our 4.375% senior unsecured notes due 2029 for total cash paid of $168 million and a total aggregate principal amount of $177 million of our senior unsecured notes repurchased.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August 2024, we commenced an offer to exchange $700 million aggregate principal amount of our 9.750% senior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due 2029 that have been registered under the Securities Act of 1933, as amended (the “Securities Act”), for $700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in aggregate principal amount of our issued and outstanding, unregistered 9.750% senior notes due 2029 and $750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aggregate principal amount of our 9.000% senior notes due 2030 that have been registered under the Securities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Act for $750 million aggregate principal amount of our issued and outstanding, unregistered 9.000% senior notes due 2030.</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offer expired on October 17,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February 2024, CVR Energy redeemed all its $600 million in aggregate principal amount of 5.25% senior unsecured notes due 2025. As a result of this transaction, CVR Energy recognized a $1 million loss on extinguishment of debt for the nine months ended September 30, 2024.</w:t>
      </w:r>
    </w:p>
    <w:p>
      <w:pPr>
        <w:spacing w:after="0" w:line="176" w:lineRule="exact"/>
        <w:rPr>
          <w:sz w:val="20"/>
          <w:szCs w:val="20"/>
          <w:color w:val="auto"/>
        </w:rPr>
      </w:pPr>
    </w:p>
    <w:p>
      <w:pPr>
        <w:jc w:val="both"/>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total availability under CVR Energy’s Amended and Restated ABL Credit Agreement (“CVR Energy ABL”) and CVR Partners ABL Credit Agreement (“CVR Partners ABL”) facilities aggregated to $329 million. CVR Energy ABL had $24 million of letters of credit outstanding as of September 30, 2024. The CVR Energy ABL matures on June 30, 2027, and the CVR Partners ABL on September 26, 2028.</w:t>
      </w:r>
    </w:p>
    <w:p>
      <w:pPr>
        <w:spacing w:after="0" w:line="72" w:lineRule="exact"/>
        <w:rPr>
          <w:sz w:val="20"/>
          <w:szCs w:val="20"/>
          <w:color w:val="auto"/>
        </w:rPr>
      </w:pPr>
    </w:p>
    <w:p>
      <w:pPr>
        <w:ind w:left="60" w:right="699" w:firstLine="324"/>
        <w:spacing w:after="0" w:line="266" w:lineRule="auto"/>
        <w:rPr>
          <w:sz w:val="20"/>
          <w:szCs w:val="20"/>
          <w:color w:val="auto"/>
        </w:rPr>
      </w:pPr>
      <w:r>
        <w:rPr>
          <w:rFonts w:ascii="Times New Roman" w:cs="Times New Roman" w:eastAsia="Times New Roman" w:hAnsi="Times New Roman"/>
          <w:sz w:val="18"/>
          <w:szCs w:val="18"/>
          <w:color w:val="auto"/>
        </w:rPr>
        <w:t>As permitted under the CVR Energy ABL, certain subsidiaries of CVR Energy entered into an Incremental Commitment Agreement on September 25, 2024 for an amount of $70 million, which increased the total aggregate principal amount available under the CVR Energy ABL from $275 million to $345 million.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Non-Cash Charges to Interest Expense</w:t>
      </w:r>
    </w:p>
    <w:p>
      <w:pPr>
        <w:spacing w:after="0" w:line="229" w:lineRule="exact"/>
        <w:rPr>
          <w:sz w:val="20"/>
          <w:szCs w:val="20"/>
          <w:color w:val="auto"/>
        </w:rPr>
      </w:pPr>
    </w:p>
    <w:p>
      <w:pPr>
        <w:ind w:left="60" w:right="439" w:firstLine="324"/>
        <w:spacing w:after="0" w:line="261" w:lineRule="auto"/>
        <w:rPr>
          <w:sz w:val="20"/>
          <w:szCs w:val="20"/>
          <w:color w:val="auto"/>
        </w:rPr>
      </w:pPr>
      <w:r>
        <w:rPr>
          <w:rFonts w:ascii="Times New Roman" w:cs="Times New Roman" w:eastAsia="Times New Roman" w:hAnsi="Times New Roman"/>
          <w:sz w:val="18"/>
          <w:szCs w:val="18"/>
          <w:color w:val="auto"/>
        </w:rPr>
        <w:t>The amortization of deferred financing costs and debt discounts and premiums included in interest expense in the condensed consolidated statements of operations were less than $1 million and $2 million for each of the three months ended September 30, 2024 and 2023, respectively, and $2 million and $4 million for each of the nine months ended September 30, 2024 and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Net Income (Loss) Per LP Unit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the computation of basic and diluted income per LP unit of Icahn Enterprises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 except</w:t>
            </w:r>
          </w:p>
        </w:tc>
        <w:tc>
          <w:tcPr>
            <w:tcW w:w="160" w:type="dxa"/>
            <w:vAlign w:val="bottom"/>
          </w:tcPr>
          <w:p>
            <w:pPr>
              <w:spacing w:after="0"/>
              <w:rPr>
                <w:sz w:val="11"/>
                <w:szCs w:val="11"/>
                <w:color w:val="auto"/>
              </w:rPr>
            </w:pPr>
          </w:p>
        </w:tc>
        <w:tc>
          <w:tcPr>
            <w:tcW w:w="12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per unit amounts)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Icahn</w:t>
            </w:r>
          </w:p>
        </w:tc>
        <w:tc>
          <w:tcPr>
            <w:tcW w:w="3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5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Enterprises</w:t>
            </w:r>
          </w:p>
        </w:tc>
        <w:tc>
          <w:tcPr>
            <w:tcW w:w="38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bottom w:val="single" w:sz="8" w:color="CCEEFF"/>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income (loss) income attributable to</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Icahn Enterprises allocated to limited</w:t>
            </w:r>
          </w:p>
        </w:tc>
        <w:tc>
          <w:tcPr>
            <w:tcW w:w="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61"/>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partners (98.01% allocation)</w:t>
            </w:r>
          </w:p>
        </w:tc>
        <w:tc>
          <w:tcPr>
            <w:tcW w:w="38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income (loss) per LP</w:t>
            </w:r>
          </w:p>
        </w:tc>
        <w:tc>
          <w:tcPr>
            <w:tcW w:w="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61"/>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w:t>
            </w:r>
          </w:p>
        </w:tc>
        <w:tc>
          <w:tcPr>
            <w:tcW w:w="38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tcBorders>
              <w:top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6"/>
                <w:szCs w:val="16"/>
                <w:color w:val="auto"/>
              </w:rPr>
              <w:t>Basic and diluted weighted average LP</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tcBorders>
              <w:bottom w:val="single" w:sz="8" w:color="CCEEFF"/>
            </w:tcBorders>
            <w:gridSpan w:val="2"/>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 xml:space="preserve">units outstanding </w:t>
            </w:r>
            <w:r>
              <w:rPr>
                <w:rFonts w:ascii="Times New Roman" w:cs="Times New Roman" w:eastAsia="Times New Roman" w:hAnsi="Times New Roman"/>
                <w:sz w:val="26"/>
                <w:szCs w:val="26"/>
                <w:color w:val="auto"/>
                <w:vertAlign w:val="superscript"/>
              </w:rPr>
              <w:t>(1)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20" w:right="659" w:hanging="319"/>
        <w:spacing w:after="0" w:line="261" w:lineRule="auto"/>
        <w:tabs>
          <w:tab w:leader="none" w:pos="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 immaterial amount of unvested RSU awards during the three months ended September 30, 2023 and nine months ended September 30, 2024 and 2023, respectively.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LP Unit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 Distributions</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On February 26, 2024, we declared a quarterly distribution in the amount of $1.00 per depositary unit in which each depositary unitholder had the option to make an election to receive either cash or additional depositary units, payable April 18, 2024. In April 2024, we distributed 19,186,659 depositary units to unitholders who did not elect to receive cash, of which 18,016,077 depositary units were distributed to Mr. Icahn and his affiliates. In connection with these distributions, aggregate cash distributions to all depositary unitholders that made a timely election to receive cash was $97 million, of which $55 million was distributed to Mr. Icahn and his affiliates in April 2024.</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 May 6, 2024, we declared a quarterly dividend distribution in the amount of $1.00 per depositary unit in which each depositary unitholder had the option to make an election to receive either cash or additional depositary units, payable on June 25, 2024. In June 2024, we distributed 21,669,076 depositary units to unitholders who did not elect to receive cash, of which 20,418,007 depositary units were distributed to Mr. Icahn and his affiliates. In connection with these distributions, aggregate cash distributions to all depositary unitholders that made a timely election to receive cash was $106 million, of which $60 million was distributed to Mr. Icahn and his affiliates in June 2024.</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 August 5, 2024, we declared a quarterly distribution in the amount of $1.00 per depositary unit in which each depositary unitholder had the option to make an election to receive either cash or additional depositary units, payable September 25, 2024. In September 2024, we distributed 28,307,467 depositary units to unitholders who did not elect to receive cash, of which 26,892,947 depositary units were distributed to Mr. Icahn and his affiliates. In connection with these distributions, aggregate cash distributions to all depositary unitholders that made a timely election to receive cash was $111 million, of which $60 million was distributed to Mr. Icahn and his affiliates in September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we sold 233,000 depositary units pursuant to the Open Market Sale Agreement entered into November 21, 2022, resulting in gross proceeds of approximately $4 million. During the nine months ended September 30, 2024, we sold 5,806,986 depositary units pursuant to the Open Market Sale Agreement, resulting in gross proceeds of approximately $102 million. On August 26, 2024, we entered into a new Open Market Sales Agreement providing for sales of depositary units of up to $400 million. As of September 30, 2024, we continue to have effective Open Market Sale Agreements and Icahn Enterprises may sell its depositary units for up to an additional $47 million in aggregate gross sale proceeds pursuant to its Open Market Sales Agreement entered into November 21, 2022 and up to $400 million in aggregate gross sale proceeds pursuant to its Open Market Sales Agreement entered into August 26, 2024.</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September 30, 2024, the Company has not repurchased any of the Company’s depositary units and the Company has repurchased $269 million worth of senior notes in aggregate under the Repurchase Program. On November 6, 2024, the Board re-approved the Repurchase Program, and, pursuant to the reapproved Program, we are authorized to repurchase up to an additional $500 million worth of our outstanding fixed-rate senior unsecured notes, in addition to the approximately $269 million we have already repurchased under the Repurchase Program, and we remain authorized to repurchase up to $500 million of our depositary units.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1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1"/>
              </w:rPr>
              <w:t>(in</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5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80"/>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gain from investment activities</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disposition of assets, net</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income (loss), net</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1,846</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2,791</w:t>
            </w:r>
          </w:p>
        </w:tc>
        <w:tc>
          <w:tcPr>
            <w:tcW w:w="0" w:type="dxa"/>
            <w:vAlign w:val="bottom"/>
          </w:tcPr>
          <w:p>
            <w:pPr>
              <w:spacing w:after="0"/>
              <w:rPr>
                <w:sz w:val="1"/>
                <w:szCs w:val="1"/>
                <w:color w:val="auto"/>
              </w:rPr>
            </w:pPr>
          </w:p>
        </w:tc>
      </w:tr>
      <w:tr>
        <w:trPr>
          <w:trHeight w:val="129"/>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1,914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2,223</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expense</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Credit loss on related party note receivable</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deconsolidation of subsidiary</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1,988</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2,724</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Income (loss) before income tax benefit (expense)</w:t>
            </w:r>
          </w:p>
        </w:tc>
        <w:tc>
          <w:tcPr>
            <w:tcW w:w="2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benefit (expense)</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(134)</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17"/>
        </w:trPr>
        <w:tc>
          <w:tcPr>
            <w:tcW w:w="29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income (loss) attributable to non-controlling</w:t>
            </w: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w:t>
            </w: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 income (loss) attributable to Icahn Enterprises</w:t>
            </w:r>
          </w:p>
        </w:tc>
        <w:tc>
          <w:tcPr>
            <w:tcW w:w="2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192</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16"/>
        </w:trPr>
        <w:tc>
          <w:tcPr>
            <w:tcW w:w="29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Supplemental information:</w:t>
            </w: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1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Three Months Ended September 30, 2023</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1"/>
              </w:rPr>
              <w:t>(in</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5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80"/>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2,522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2,991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(332)</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gain on disposition of assets,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income (loss), net</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2,535</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3,010</w:t>
            </w:r>
          </w:p>
        </w:tc>
        <w:tc>
          <w:tcPr>
            <w:tcW w:w="0" w:type="dxa"/>
            <w:vAlign w:val="bottom"/>
          </w:tcPr>
          <w:p>
            <w:pPr>
              <w:spacing w:after="0"/>
              <w:rPr>
                <w:sz w:val="1"/>
                <w:szCs w:val="1"/>
                <w:color w:val="auto"/>
              </w:rPr>
            </w:pPr>
          </w:p>
        </w:tc>
      </w:tr>
      <w:tr>
        <w:trPr>
          <w:trHeight w:val="129"/>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2,377</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expense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Credit loss on related party note receivable</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deconsolidation of subsidiary</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29"/>
        </w:trPr>
        <w:tc>
          <w:tcPr>
            <w:tcW w:w="2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2,113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2,944</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(expense) benefit</w:t>
            </w:r>
          </w:p>
        </w:tc>
        <w:tc>
          <w:tcPr>
            <w:tcW w:w="1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29"/>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(297)</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342</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17"/>
        </w:trPr>
        <w:tc>
          <w:tcPr>
            <w:tcW w:w="29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(166)</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15"/>
        </w:trPr>
        <w:tc>
          <w:tcPr>
            <w:tcW w:w="29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Supplemental information:</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1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1"/>
              </w:rPr>
              <w:t>(in</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5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80"/>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5,663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307</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6,827</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(318)</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(318)</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disposition of assets,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income (loss), net</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5,702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1,139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7,462</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5,549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6,414</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462</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expense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394</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5,759</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130</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7,896</w:t>
            </w:r>
          </w:p>
        </w:tc>
        <w:tc>
          <w:tcPr>
            <w:tcW w:w="0" w:type="dxa"/>
            <w:vAlign w:val="bottom"/>
          </w:tcPr>
          <w:p>
            <w:pPr>
              <w:spacing w:after="0"/>
              <w:rPr>
                <w:sz w:val="1"/>
                <w:szCs w:val="1"/>
                <w:color w:val="auto"/>
              </w:rPr>
            </w:pPr>
          </w:p>
        </w:tc>
      </w:tr>
      <w:tr>
        <w:trPr>
          <w:trHeight w:val="129"/>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(expense) benefit</w:t>
            </w:r>
          </w:p>
        </w:tc>
        <w:tc>
          <w:tcPr>
            <w:tcW w:w="1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(434)</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benefit (expense)</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(207)</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117"/>
        </w:trPr>
        <w:tc>
          <w:tcPr>
            <w:tcW w:w="29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(207)</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16"/>
        </w:trPr>
        <w:tc>
          <w:tcPr>
            <w:tcW w:w="29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Supplemental information:</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12"/>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Nine Months Ended September 30, 2023</w:t>
            </w: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60" w:type="dxa"/>
            <w:vAlign w:val="bottom"/>
          </w:tcPr>
          <w:p>
            <w:pPr>
              <w:spacing w:after="0"/>
              <w:rPr>
                <w:sz w:val="9"/>
                <w:szCs w:val="9"/>
                <w:color w:val="auto"/>
              </w:rPr>
            </w:pPr>
          </w:p>
        </w:tc>
        <w:tc>
          <w:tcPr>
            <w:tcW w:w="5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60" w:type="dxa"/>
            <w:vAlign w:val="bottom"/>
          </w:tcPr>
          <w:p>
            <w:pPr>
              <w:spacing w:after="0"/>
              <w:rPr>
                <w:sz w:val="9"/>
                <w:szCs w:val="9"/>
                <w:color w:val="auto"/>
              </w:rPr>
            </w:pPr>
          </w:p>
        </w:tc>
        <w:tc>
          <w:tcPr>
            <w:tcW w:w="56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60" w:type="dxa"/>
            <w:vAlign w:val="bottom"/>
          </w:tcPr>
          <w:p>
            <w:pPr>
              <w:spacing w:after="0"/>
              <w:rPr>
                <w:sz w:val="13"/>
                <w:szCs w:val="13"/>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Fashion</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w w:val="86"/>
              </w:rPr>
              <w:t>(in millions)</w:t>
            </w:r>
          </w:p>
        </w:tc>
        <w:tc>
          <w:tcPr>
            <w:tcW w:w="460" w:type="dxa"/>
            <w:vAlign w:val="bottom"/>
            <w:gridSpan w:val="2"/>
          </w:tcPr>
          <w:p>
            <w:pPr>
              <w:spacing w:after="0"/>
              <w:rPr>
                <w:sz w:val="10"/>
                <w:szCs w:val="10"/>
                <w:color w:val="auto"/>
              </w:rPr>
            </w:pPr>
          </w:p>
        </w:tc>
        <w:tc>
          <w:tcPr>
            <w:tcW w:w="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7,045</w:t>
            </w:r>
          </w:p>
        </w:tc>
        <w:tc>
          <w:tcPr>
            <w:tcW w:w="14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799</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340</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40" w:type="dxa"/>
            <w:vAlign w:val="bottom"/>
          </w:tcPr>
          <w:p>
            <w:pPr>
              <w:spacing w:after="0"/>
              <w:rPr>
                <w:sz w:val="11"/>
                <w:szCs w:val="11"/>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8,433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588</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(1,275)</w:t>
            </w:r>
          </w:p>
        </w:tc>
        <w:tc>
          <w:tcPr>
            <w:tcW w:w="10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gain on disposition of assets, net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income (loss), net</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29"/>
        </w:trPr>
        <w:tc>
          <w:tcPr>
            <w:tcW w:w="29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7,077</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1,333</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332</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108</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133</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w:t>
            </w:r>
          </w:p>
        </w:tc>
        <w:tc>
          <w:tcPr>
            <w:tcW w:w="6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8,238</w:t>
            </w:r>
          </w:p>
        </w:tc>
        <w:tc>
          <w:tcPr>
            <w:tcW w:w="0" w:type="dxa"/>
            <w:vAlign w:val="bottom"/>
          </w:tcPr>
          <w:p>
            <w:pPr>
              <w:spacing w:after="0"/>
              <w:rPr>
                <w:sz w:val="1"/>
                <w:szCs w:val="1"/>
                <w:color w:val="auto"/>
              </w:rPr>
            </w:pPr>
          </w:p>
        </w:tc>
      </w:tr>
      <w:tr>
        <w:trPr>
          <w:trHeight w:val="128"/>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5,964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6,947</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expense</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653</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Credit loss on related party note receivable</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deconsolidation of subsidiary</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426</w:t>
            </w:r>
          </w:p>
        </w:tc>
        <w:tc>
          <w:tcPr>
            <w:tcW w:w="0" w:type="dxa"/>
            <w:vAlign w:val="bottom"/>
          </w:tcPr>
          <w:p>
            <w:pPr>
              <w:spacing w:after="0"/>
              <w:rPr>
                <w:sz w:val="1"/>
                <w:szCs w:val="1"/>
                <w:color w:val="auto"/>
              </w:rPr>
            </w:pPr>
          </w:p>
        </w:tc>
      </w:tr>
      <w:tr>
        <w:trPr>
          <w:trHeight w:val="128"/>
        </w:trPr>
        <w:tc>
          <w:tcPr>
            <w:tcW w:w="29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219</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6,159</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1,340</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316</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135</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623</w:t>
            </w:r>
          </w:p>
        </w:tc>
        <w:tc>
          <w:tcPr>
            <w:tcW w:w="6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8,963</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(expense) benefit</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(1,107)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(1,107)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745</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(462)</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(807)</w:t>
            </w: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64"/>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109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condensed statements of operations by reporting segment above, we provide additional disaggregated revenue information for our Energy and Automotive segments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4"/>
                <w:szCs w:val="24"/>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3"/>
          </w:tcPr>
          <w:p>
            <w:pPr>
              <w:ind w:left="70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Petroleum products</w:t>
            </w:r>
          </w:p>
        </w:tc>
        <w:tc>
          <w:tcPr>
            <w:tcW w:w="3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560" w:type="dxa"/>
            <w:vAlign w:val="bottom"/>
            <w:gridSpan w:val="5"/>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Nitrogen fertilizer products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4"/>
                <w:szCs w:val="24"/>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Services</w:t>
            </w:r>
          </w:p>
        </w:tc>
        <w:tc>
          <w:tcPr>
            <w:tcW w:w="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560" w:type="dxa"/>
            <w:vAlign w:val="bottom"/>
            <w:gridSpan w:val="5"/>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5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Aftermarket Parts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customers</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 w:type="dxa"/>
            <w:vAlign w:val="bottom"/>
            <w:tcBorders>
              <w:bottom w:val="single" w:sz="8" w:color="auto"/>
            </w:tcBorders>
            <w:gridSpan w:val="2"/>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980" w:type="dxa"/>
            <w:vAlign w:val="bottom"/>
          </w:tcPr>
          <w:p>
            <w:pPr>
              <w:spacing w:after="0" w:line="151" w:lineRule="exact"/>
              <w:rPr>
                <w:sz w:val="20"/>
                <w:szCs w:val="20"/>
                <w:color w:val="auto"/>
              </w:rPr>
            </w:pPr>
            <w:r>
              <w:rPr>
                <w:rFonts w:ascii="Times New Roman" w:cs="Times New Roman" w:eastAsia="Times New Roman" w:hAnsi="Times New Roman"/>
                <w:sz w:val="17"/>
                <w:szCs w:val="17"/>
                <w:color w:val="auto"/>
              </w:rPr>
              <w:t>Lease revenue outside the scope of ASC</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9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Automotive net sales and other</w:t>
            </w:r>
          </w:p>
        </w:tc>
        <w:tc>
          <w:tcPr>
            <w:tcW w:w="3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560" w:type="dxa"/>
            <w:vAlign w:val="bottom"/>
            <w:gridSpan w:val="5"/>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5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500" w:type="dxa"/>
            <w:vAlign w:val="bottom"/>
            <w:gridSpan w:val="2"/>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operations</w:t>
            </w:r>
          </w:p>
        </w:tc>
        <w:tc>
          <w:tcPr>
            <w:tcW w:w="38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560" w:type="dxa"/>
            <w:vAlign w:val="bottom"/>
            <w:gridSpan w:val="5"/>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Food</w:t>
            </w:r>
          </w:p>
        </w:tc>
        <w:tc>
          <w:tcPr>
            <w:tcW w:w="100" w:type="dxa"/>
            <w:vAlign w:val="bottom"/>
          </w:tcPr>
          <w:p>
            <w:pPr>
              <w:spacing w:after="0"/>
              <w:rPr>
                <w:sz w:val="17"/>
                <w:szCs w:val="17"/>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6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Home</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Holding</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10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6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Fashion</w:t>
            </w:r>
          </w:p>
        </w:tc>
        <w:tc>
          <w:tcPr>
            <w:tcW w:w="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w w:val="86"/>
              </w:rPr>
              <w:t>(in millions)</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1,566</w:t>
            </w:r>
          </w:p>
        </w:tc>
        <w:tc>
          <w:tcPr>
            <w:tcW w:w="120" w:type="dxa"/>
            <w:vAlign w:val="bottom"/>
          </w:tcPr>
          <w:p>
            <w:pPr>
              <w:spacing w:after="0"/>
              <w:rPr>
                <w:sz w:val="11"/>
                <w:szCs w:val="11"/>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2,294</w:t>
            </w: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Cash held at consolidated affiliated partnerships</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restricted cash</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2,585</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883</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Related party notes receivable,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3,865</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712</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3,013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307</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484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4,181</w:t>
            </w:r>
          </w:p>
        </w:tc>
        <w:tc>
          <w:tcPr>
            <w:tcW w:w="0" w:type="dxa"/>
            <w:vAlign w:val="bottom"/>
          </w:tcPr>
          <w:p>
            <w:pPr>
              <w:spacing w:after="0"/>
              <w:rPr>
                <w:sz w:val="1"/>
                <w:szCs w:val="1"/>
                <w:color w:val="auto"/>
              </w:rPr>
            </w:pPr>
          </w:p>
        </w:tc>
      </w:tr>
      <w:tr>
        <w:trPr>
          <w:trHeight w:val="128"/>
        </w:trPr>
        <w:tc>
          <w:tcPr>
            <w:tcW w:w="258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7,748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4,382</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221</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1,941</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17,443</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3,490</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2,679</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4,683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6,447</w:t>
            </w:r>
          </w:p>
        </w:tc>
        <w:tc>
          <w:tcPr>
            <w:tcW w:w="0" w:type="dxa"/>
            <w:vAlign w:val="bottom"/>
          </w:tcPr>
          <w:p>
            <w:pPr>
              <w:spacing w:after="0"/>
              <w:rPr>
                <w:sz w:val="1"/>
                <w:szCs w:val="1"/>
                <w:color w:val="auto"/>
              </w:rPr>
            </w:pPr>
          </w:p>
        </w:tc>
      </w:tr>
      <w:tr>
        <w:trPr>
          <w:trHeight w:val="129"/>
        </w:trPr>
        <w:tc>
          <w:tcPr>
            <w:tcW w:w="258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3,481</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3,079</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835</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4,799</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12,616</w:t>
            </w:r>
          </w:p>
        </w:tc>
        <w:tc>
          <w:tcPr>
            <w:tcW w:w="0" w:type="dxa"/>
            <w:vAlign w:val="bottom"/>
          </w:tcPr>
          <w:p>
            <w:pPr>
              <w:spacing w:after="0"/>
              <w:rPr>
                <w:sz w:val="1"/>
                <w:szCs w:val="1"/>
                <w:color w:val="auto"/>
              </w:rPr>
            </w:pPr>
          </w:p>
        </w:tc>
      </w:tr>
      <w:tr>
        <w:trPr>
          <w:trHeight w:val="128"/>
        </w:trPr>
        <w:tc>
          <w:tcPr>
            <w:tcW w:w="2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(2,858)</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2,645</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2,182</w:t>
            </w:r>
          </w:p>
        </w:tc>
        <w:tc>
          <w:tcPr>
            <w:tcW w:w="0" w:type="dxa"/>
            <w:vAlign w:val="bottom"/>
          </w:tcPr>
          <w:p>
            <w:pPr>
              <w:spacing w:after="0"/>
              <w:rPr>
                <w:sz w:val="1"/>
                <w:szCs w:val="1"/>
                <w:color w:val="auto"/>
              </w:rPr>
            </w:pPr>
          </w:p>
        </w:tc>
      </w:tr>
      <w:tr>
        <w:trPr>
          <w:trHeight w:val="128"/>
        </w:trPr>
        <w:tc>
          <w:tcPr>
            <w:tcW w:w="258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4,267</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1,303</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1,095</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188</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447</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221</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(2,858)</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4,827</w:t>
            </w:r>
          </w:p>
        </w:tc>
        <w:tc>
          <w:tcPr>
            <w:tcW w:w="0" w:type="dxa"/>
            <w:vAlign w:val="bottom"/>
          </w:tcPr>
          <w:p>
            <w:pPr>
              <w:spacing w:after="0"/>
              <w:rPr>
                <w:sz w:val="1"/>
                <w:szCs w:val="1"/>
                <w:color w:val="auto"/>
              </w:rPr>
            </w:pPr>
          </w:p>
        </w:tc>
      </w:tr>
      <w:tr>
        <w:trPr>
          <w:trHeight w:val="128"/>
        </w:trPr>
        <w:tc>
          <w:tcPr>
            <w:tcW w:w="258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7,748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4,382</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221</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1,941</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17,443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37"/>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3"/>
                <w:szCs w:val="13"/>
                <w:color w:val="auto"/>
                <w:w w:val="83"/>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w:t>
            </w:r>
          </w:p>
        </w:tc>
        <w:tc>
          <w:tcPr>
            <w:tcW w:w="300" w:type="dxa"/>
            <w:vAlign w:val="bottom"/>
            <w:gridSpan w:val="2"/>
          </w:tcPr>
          <w:p>
            <w:pPr>
              <w:jc w:val="right"/>
              <w:ind w:right="6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4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1,584</w:t>
            </w:r>
          </w:p>
        </w:tc>
        <w:tc>
          <w:tcPr>
            <w:tcW w:w="320" w:type="dxa"/>
            <w:vAlign w:val="bottom"/>
            <w:gridSpan w:val="2"/>
          </w:tcPr>
          <w:p>
            <w:pPr>
              <w:jc w:val="right"/>
              <w:ind w:right="104"/>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7"/>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restricted cash</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Related party note receivable,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4,425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480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5,634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5,259</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2,019</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488</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282</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1,996</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3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3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2,185</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4,847</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7,207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4,785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3,738</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923</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4,909</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14,785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(2,913)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5,360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1,521</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444</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227</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(2,913)</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6,073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5,259</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2,019</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488</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282</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1,996</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recorded an income tax benefit of $13 million on pre-tax income of $67 million compared to an income tax expense of $96 million on pre-tax income of $66 million for the three months ended September 30, 2023. Our effective income tax rate was (19.4)% and 144% for the three months ended September 30, 2024 and 2023, respectively.</w:t>
      </w:r>
    </w:p>
    <w:p>
      <w:pPr>
        <w:spacing w:after="0" w:line="180"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the effective tax rate was lower than the statutory federal rate of 21%, for corporations, primarily due to partnership gains for which there was no tax expense as such income is allocated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to the partners and from the impact of permanent tax benefits related to earnings attributable to noncontrolling interest and federal tax credits and incentives. For the three months ended September 30, 2023, the effective tax rate was higher than the statutory federal rate of 21%, for corporations, primarily due to partnership loss for which there was no tax benefit as such losses are allocated to the partners and from changes in the valuation allowance.</w:t>
      </w:r>
    </w:p>
    <w:p>
      <w:pPr>
        <w:spacing w:after="0" w:line="18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recorded an income tax benefit of $2 million on a pre-tax loss of $434 million compared to an income tax expense of $82 million on a pre-tax loss of $725 million for the nine months ended September 30, 2023. Our effective income tax rate was 0.5% and (11.2%) for the nine months ended September 30, 2024 and 2023, respectively.</w:t>
      </w:r>
    </w:p>
    <w:p>
      <w:pPr>
        <w:spacing w:after="0" w:line="18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the effective tax rate was lower than the statutory federal tax rate of 21%, for corporations, primarily due to changes in the valuation allowance and from partnership losses for which there was no tax benefit as such losses are allocated to the partner. For the nine months ended September 30, 2023, the effective tax rate was lower than the statutory federal tax rate of 21%, for corporations, primarily due to partnership loss for which there was no tax benefit as such losses are allocated to the partner and from changes in the valuation allowance.</w:t>
      </w:r>
    </w:p>
    <w:p>
      <w:pPr>
        <w:spacing w:after="0" w:line="179"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Accumulated Other Comprehensive Loss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Benefits, Net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2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2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9"/>
        </w:trPr>
        <w:tc>
          <w:tcPr>
            <w:tcW w:w="4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Benefits, Net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0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9"/>
        </w:trPr>
        <w:tc>
          <w:tcPr>
            <w:tcW w:w="4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Net</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income,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9"/>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9"/>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98"/>
        </w:trPr>
        <w:tc>
          <w:tcPr>
            <w:tcW w:w="2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earnings from non-consolidated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affiliates</w:t>
            </w:r>
          </w:p>
        </w:tc>
        <w:tc>
          <w:tcPr>
            <w:tcW w:w="1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$4 million and $19 million as of September 30, 2024 and December 31, 2023,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RFS Disputes </w:t>
      </w:r>
      <w:r>
        <w:rPr>
          <w:rFonts w:ascii="Times New Roman" w:cs="Times New Roman" w:eastAsia="Times New Roman" w:hAnsi="Times New Roman"/>
          <w:sz w:val="18"/>
          <w:szCs w:val="18"/>
          <w:color w:val="auto"/>
        </w:rPr>
        <w:t>- CVR Energy’s obligated-party subsidiaries are subject to the Renewable Fuel Standard (“RFS”)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by the EPA which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or obtain waiver credits for cellulosic biofuels in order to comply with the RFS. CVR Energy’s obligated-party subsidiaries also purchase RINs generated from its renewable diesel operations to partially satisfy their RFS obligations.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One of CVR Energy’s obligated-party subsidiaries, Wynnewood Refining Company, LLC (“WRC”), qualifies as a “small refinery” defined under the RFS as a refinery with an average aggregate daily crude oil throughput for a calendar year no greater than 75,000 barrels, which enables WRC to seek small refinery exemptions (“SREs”) under the RFS should it be able to establish it suffered disproportionate economic hardship. WRC has submitted SRE petitions for the 2017 through 2024 compliance periods, which petitions are in various stages of review by the EPA and/or various courts.</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Regarding WRC’s SRE petitions for the 2017 to 2021 compliance periods which, together with the SRE petitions from certain other small refineries, had been denied by the EPA in 2022 (the “2022 Denials”), the EPA has yet to act on those petitions after the EPA’s denials were vacated by the United States Court of Appeals for the Fifth Circuit (the “Fifth Circuit”) in November 2023 and remanded back to the EPA on the grounds that the EPA’s denials were impermissibly retroactive and that the EPA’s interpretation was contrary to law and arbitrary and capricious as applied to petitioners’ exemptions. In May 2024, the EPA and certain biofuels groups sought certiorari before the Supreme Court of the United States (“SCOTUS”) seeking review of whether venue for these challenges to the 2022 Denials lies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exclusively in the United States Court of Appeals for the District of Colombia Circuit (the “DC Circuit”), which certiorari was granted in October 2024. Oral argument is expected sometime in 2025.</w:t>
      </w:r>
    </w:p>
    <w:p>
      <w:pPr>
        <w:spacing w:after="0" w:line="16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July 2024, the DC Circuit ruled in favor of certain small refineries also challenging the 2022 Denials, holding that the 2022 Denials as applicable to those small refineries were arbitrary and capricious, vacating such denials and remanding such petitions back to the EPA. The DC Circuit also dismissed a challenge brought by biofuel producers to the EPA’s alternative compliance action, concluding that the petitioners had not established any harm from EPA’s decision and therefore lacked standing to sue. WRC’s SRE petition for the 2022 compliance period, which was denied by the EPA in July 2023 largely on the same grounds as the 2022 Denials, remains stayed until issuance of the mandate in the DC Circuit case.</w:t>
      </w:r>
    </w:p>
    <w:p>
      <w:pPr>
        <w:spacing w:after="0" w:line="18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WRC’s lawsuit, filed in July 2024 in the United States District Court for the Southern District of Texas seeking, among other relief, a declaration that the Administrator of the EPA violated the CAA by failing to timely rule on WRC’s SRE petition for the 2023 compliance period within 90 days following receipt and compelling the Administrator to rule on WRC’s 2023 SRE petition by an expeditious date certain, remains pending. Similarly, EPA has not yet ruled on WRC’s petition for the 2024 compliance period, which ruling is due before the end of 2024.</w:t>
      </w:r>
    </w:p>
    <w:p>
      <w:pPr>
        <w:spacing w:after="0" w:line="18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As these matters are in various stages, CVR Energy cannot yet determine at this time the outcomes of these matters. While CVR Energy intends to prosecute these actions vigorously, if these matters are ultimately concluded in a manner adverse to CVR Energy, except as noted above, they could have a material effect on CVR Energy’s financial position, results of operations, or cash flows.</w:t>
      </w:r>
    </w:p>
    <w:p>
      <w:pPr>
        <w:spacing w:after="0" w:line="180"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Energy segment recognized an expense of approximately $86 million and a benefit of $135 million for the three months ended September 30, 2024 and 2023, respectively, and an expense of $65 million and a benefit of $99 million for the nine months ended September 30, 2024 and 2023, respectively for CVR Energy’s obligated-party subsidiaries’ compliance with the RFS (based on the 2020 through 2024 annual RVO for the respective periods, excluding the impacts of any exemptions or waivers to which the obligated-party subsidiaries may be entitled). These recognized amounts are included in cost of goods sold in the consolidated statements of operations and represent costs to comply with the RFS obligation through purchasing of RINs not otherwise reduced by blending of ethanol, biodiesel, or renewable diesel. At each reporting period, to the extent RINs purchased or generated through blending are less than the RFS obligation (excluding the impact of exemptions or waivers to which CVR Energy’s obligated-party subsidiaries may be entitled), the remaining position is valued using RIN market prices at period end using each specific or closest vintage year. As of September 30, 2024 and December 31, 2023, CVR Energy’s obligated-party subsidiaries’ RFS position was $374 million and $329 million, respectively, and is included in accrued expenses and other liabilities in the condensed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45Q Transaction</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is subject to fees of up to $15 million per year, with an overall cap at $45 million, should it fail to perform.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 See the matters described under the caption “Other”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58" w:lineRule="exact"/>
        <w:rPr>
          <w:sz w:val="20"/>
          <w:szCs w:val="20"/>
          <w:color w:val="auto"/>
        </w:rPr>
      </w:pPr>
    </w:p>
    <w:p>
      <w:pPr>
        <w:ind w:left="60" w:right="119" w:firstLine="324"/>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Call Option Coverage Case </w:t>
      </w:r>
      <w:r>
        <w:rPr>
          <w:rFonts w:ascii="Times New Roman" w:cs="Times New Roman" w:eastAsia="Times New Roman" w:hAnsi="Times New Roman"/>
          <w:sz w:val="18"/>
          <w:szCs w:val="18"/>
          <w:color w:val="auto"/>
        </w:rPr>
        <w:t>– The lawsuits involving CVR Energy and certain of its affiliates (the “Call Defendants”)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CVR Energy’s primary and excess insurers (the “Insurers”) relating to insurance coverage for settlement by the Call Defendants of the consolidated lawsuits filed by purported former unitholders of CVR Refining, LP (“CVR Refining”) on behalf of themselves and an alleged class of similarly situated unitholders relating to CVR Energy’s exercise of the call option under the CVR Refining Amended and Restated Agreement of Limited Partnership remain pending, with mediation scheduled for November 2024. While these cases remain pending, CVR Energy does not expect the outcome of these lawsuits to have a material adverse impact on CVR Energy’s financial position, results of operations, or cash flows.</w:t>
      </w:r>
    </w:p>
    <w:p>
      <w:pPr>
        <w:spacing w:after="0" w:line="107" w:lineRule="exact"/>
        <w:rPr>
          <w:sz w:val="20"/>
          <w:szCs w:val="20"/>
          <w:color w:val="auto"/>
        </w:rPr>
      </w:pPr>
    </w:p>
    <w:p>
      <w:pPr>
        <w:ind w:left="60" w:right="79" w:firstLine="324"/>
        <w:spacing w:after="0" w:line="235" w:lineRule="auto"/>
        <w:rPr>
          <w:sz w:val="20"/>
          <w:szCs w:val="20"/>
          <w:color w:val="auto"/>
        </w:rPr>
      </w:pPr>
      <w:r>
        <w:rPr>
          <w:rFonts w:ascii="Times New Roman" w:cs="Times New Roman" w:eastAsia="Times New Roman" w:hAnsi="Times New Roman"/>
          <w:sz w:val="18"/>
          <w:szCs w:val="18"/>
          <w:i w:val="1"/>
          <w:iCs w:val="1"/>
          <w:color w:val="auto"/>
        </w:rPr>
        <w:t>Guaranty Dispute</w:t>
      </w:r>
      <w:r>
        <w:rPr>
          <w:rFonts w:ascii="Times New Roman" w:cs="Times New Roman" w:eastAsia="Times New Roman" w:hAnsi="Times New Roman"/>
          <w:sz w:val="18"/>
          <w:szCs w:val="18"/>
          <w:color w:val="auto"/>
        </w:rPr>
        <w:t>– In connection with mediation conducted in September 2024, Exxon Mobil Corporation (“XOM”)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formally demanded that a subsidiary of CVR Energy defend and indemnify it for claims asserted by various property owners in Louisiana relating to alleged contamination of oil and gas lease properties pursuant to a guaranty XOM claims obligates such subsidiary to defend and indemnify XOM. CVR Energy disputes the validity of the alleged guaranty and has filed suit in the Superior Court of the State of Delaware for declaratory judgment relating thereto, which suit remains pending. As this matter remains in its early stages, CVR Energy cannot yet determine whether its outcome will have a material adverse impact on CVR Energy’s financial position, results of operations, or cash flows.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Pension Obligations</w:t>
      </w:r>
    </w:p>
    <w:p>
      <w:pPr>
        <w:spacing w:after="0" w:line="133" w:lineRule="exact"/>
        <w:rPr>
          <w:sz w:val="20"/>
          <w:szCs w:val="20"/>
          <w:color w:val="auto"/>
        </w:rPr>
      </w:pPr>
    </w:p>
    <w:p>
      <w:pPr>
        <w:ind w:left="60" w:right="59" w:firstLine="324"/>
        <w:spacing w:after="0" w:line="235"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86% of Icahn Enterprises’ outstanding depositary units as of September 30, 2024.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07" w:lineRule="exact"/>
        <w:rPr>
          <w:sz w:val="20"/>
          <w:szCs w:val="20"/>
          <w:color w:val="auto"/>
        </w:rPr>
      </w:pPr>
    </w:p>
    <w:p>
      <w:pPr>
        <w:ind w:left="60" w:right="99" w:firstLine="324"/>
        <w:spacing w:after="0" w:line="232"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September 30, 2024. If the plans were voluntarily terminated, they would be underfunded by an aggregate of approximately $28 million as of September 30, 2024.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12" w:lineRule="exact"/>
        <w:rPr>
          <w:sz w:val="20"/>
          <w:szCs w:val="20"/>
          <w:color w:val="auto"/>
        </w:rPr>
      </w:pPr>
    </w:p>
    <w:p>
      <w:pPr>
        <w:ind w:left="60" w:right="119" w:firstLine="324"/>
        <w:spacing w:after="0"/>
        <w:rPr>
          <w:sz w:val="20"/>
          <w:szCs w:val="20"/>
          <w:color w:val="auto"/>
        </w:rPr>
      </w:pPr>
      <w:r>
        <w:rPr>
          <w:rFonts w:ascii="Times New Roman" w:cs="Times New Roman" w:eastAsia="Times New Roman" w:hAnsi="Times New Roman"/>
          <w:sz w:val="18"/>
          <w:szCs w:val="18"/>
          <w:color w:val="auto"/>
        </w:rPr>
        <w:t>The current aggregate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17" w:lineRule="exact"/>
        <w:rPr>
          <w:sz w:val="20"/>
          <w:szCs w:val="20"/>
          <w:color w:val="auto"/>
        </w:rPr>
      </w:pPr>
    </w:p>
    <w:p>
      <w:pPr>
        <w:ind w:left="60" w:right="79" w:firstLine="324"/>
        <w:spacing w:after="0" w:line="235"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and his affiliates (excluding us and Brett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Icahn Enterprises L.P. was contacted on May 3, 2023 by the U.S. Attorney’s office for the Southern District of New York and on June 21, 2023 by the staff of the Division of Enforcement of the U.S. Securities and Exchange Commission (the “SEC”), seeking production of information relating to the Company and certain of its affiliates’ corporate governance, capitalization, securities offerings, disclosure, dividends, valuation, marketing materials, due diligence and other materials. On August 19, 2024, the Company and Mr. Icahn, entered into settlement agreements with the SEC in connection with this inquiry. In connection with that settlement, the SEC entered an order in an administrative proceeding that contains non-scienter based findings that the Company failed to disclose in its Form 10-Ks for the years 2018, 2019 and 2020 that Mr. Icahn pledged IEP securities as collateral to secure personal margin loans as required by Item 403(b) of Regulation S-K. The order relating to Mr. Icahn contains non-scienter based findings that, while Mr. Icahn’s prior Schedule 13D filings generally disclosed that he had pledged IEP depositary units as collateral for personal margin loans, subsequent Schedule 13D filings were not amended to describe loan agreements and amendments to loan agreements or to attach guarantees as required by Items 6 and 7 of Schedule 13D. Without admitting or denying the SEC’s allegations (other than with respect to the SEC’s jurisdiction), under the terms of the settlements, (i) IEP consented to the entry of an order requiring it to pay a civil penalty of $1.5 million and to cease and desist from violations and any future violations of Section 13(a) of the Securities Exchange Act of 1934, as amended (the “Exchange Act”), and Rule 13a-1 thereunder, and (ii) Mr. Icahn consented to the entry of an order requiring him to pay a civil penalty of $500,000 and to cease and desist from committing or causing any violations of Section 13(d)(2) of the Exchange Act and Rule 13d-2(a) thereunder. With respect to the request from the U.S. Attorney’s office for the SDNY, the Company produced documents in response to that inquiry and has had no substantive communication with the U.S. Attorney’s office since the initial inquiry on May 3, 2023.</w:t>
      </w:r>
    </w:p>
    <w:p>
      <w:pPr>
        <w:spacing w:after="0" w:line="191"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two putative securities class action lawsuits were filed against the Company in the U.S. District Court for the Southern District of Florida alleging violations of the federal securities laws, </w:t>
      </w:r>
      <w:r>
        <w:rPr>
          <w:rFonts w:ascii="Times New Roman" w:cs="Times New Roman" w:eastAsia="Times New Roman" w:hAnsi="Times New Roman"/>
          <w:sz w:val="18"/>
          <w:szCs w:val="18"/>
          <w:i w:val="1"/>
          <w:iCs w:val="1"/>
          <w:color w:val="auto"/>
        </w:rPr>
        <w:t>Okaro v. Icahn Enterprises L.P. et al.</w:t>
      </w:r>
      <w:r>
        <w:rPr>
          <w:rFonts w:ascii="Times New Roman" w:cs="Times New Roman" w:eastAsia="Times New Roman" w:hAnsi="Times New Roman"/>
          <w:sz w:val="18"/>
          <w:szCs w:val="18"/>
          <w:color w:val="auto"/>
        </w:rPr>
        <w:t xml:space="preserve">, Case No. 23-21773 (S.D. Fl.), and </w:t>
      </w:r>
      <w:r>
        <w:rPr>
          <w:rFonts w:ascii="Times New Roman" w:cs="Times New Roman" w:eastAsia="Times New Roman" w:hAnsi="Times New Roman"/>
          <w:sz w:val="18"/>
          <w:szCs w:val="18"/>
          <w:i w:val="1"/>
          <w:iCs w:val="1"/>
          <w:color w:val="auto"/>
        </w:rPr>
        <w:t>Levine v. Icahn Enterprises L.P. et al.</w:t>
      </w:r>
      <w:r>
        <w:rPr>
          <w:rFonts w:ascii="Times New Roman" w:cs="Times New Roman" w:eastAsia="Times New Roman" w:hAnsi="Times New Roman"/>
          <w:sz w:val="18"/>
          <w:szCs w:val="18"/>
          <w:color w:val="auto"/>
        </w:rPr>
        <w:t xml:space="preserve">, Case No. 23-22009 (S.D. Fl.). These lawsuits were consolidated and the court appointed a lead plaintiff on November 20, 2023. Plaintiffs filed their consolidated class action complaint on January 12, 2024, and we filed our motion to dismiss the consolidated class action complaint on March 12, 2024. On September 13, 2024, the proposed class action lawsuit was dismissed without prejudice. Pursuant to the court’s order dismissing the complaint, the plaintiffs had until October 14, 2024 to amend their complaint, and plaintiffs did not file an amendment prior to the expiration of this deadline. A derivative complaint has also been filed in the U.S. District Court for the Southern District of Florida, naming the Company’s general partner, its directors, and certain current and former officers as defendants, and the Company as a nominal defendant, alleging breaches of fiduciary duties with respect to the Company’s disclosure, </w:t>
      </w:r>
      <w:r>
        <w:rPr>
          <w:rFonts w:ascii="Times New Roman" w:cs="Times New Roman" w:eastAsia="Times New Roman" w:hAnsi="Times New Roman"/>
          <w:sz w:val="18"/>
          <w:szCs w:val="18"/>
          <w:i w:val="1"/>
          <w:iCs w:val="1"/>
          <w:color w:val="auto"/>
        </w:rPr>
        <w:t>Patrick Pickney v. Icahn Enterprises G.P. Inc. Case No. 1:23-cv-22932-KMW</w:t>
      </w:r>
      <w:r>
        <w:rPr>
          <w:rFonts w:ascii="Times New Roman" w:cs="Times New Roman" w:eastAsia="Times New Roman" w:hAnsi="Times New Roman"/>
          <w:sz w:val="18"/>
          <w:szCs w:val="18"/>
          <w:color w:val="auto"/>
        </w:rPr>
        <w:t xml:space="preserve"> (S.D. Fl.). In addition, an action to compel inspection of our books and records was filed on November 22, 2023 in the Court of Chancery of the State of Delaware, </w:t>
      </w:r>
      <w:r>
        <w:rPr>
          <w:rFonts w:ascii="Times New Roman" w:cs="Times New Roman" w:eastAsia="Times New Roman" w:hAnsi="Times New Roman"/>
          <w:sz w:val="18"/>
          <w:szCs w:val="18"/>
          <w:i w:val="1"/>
          <w:iCs w:val="1"/>
          <w:color w:val="auto"/>
        </w:rPr>
        <w:t>Bruno v. Icahn Enterprises, L.P. et al.</w:t>
      </w:r>
      <w:r>
        <w:rPr>
          <w:rFonts w:ascii="Times New Roman" w:cs="Times New Roman" w:eastAsia="Times New Roman" w:hAnsi="Times New Roman"/>
          <w:sz w:val="18"/>
          <w:szCs w:val="18"/>
          <w:color w:val="auto"/>
        </w:rPr>
        <w:t>, Case No. 2023-1170-SEM.</w:t>
      </w:r>
    </w:p>
    <w:p>
      <w:pPr>
        <w:spacing w:after="0" w:line="187"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maintain a strong compliance program and, while no assurances can be made, and we continue to evaluate these matters, we do not currently believe that the remaining inquiries and litigations will have a material impact on our business, financial condition, results of operations or cash flows.</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Supplemental Cash Flow Information</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consists of the following:</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5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5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9"/>
        </w:trPr>
        <w:tc>
          <w:tcPr>
            <w:tcW w:w="5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3"/>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Pr>
          <w:p>
            <w:pPr>
              <w:spacing w:after="0"/>
              <w:rPr>
                <w:sz w:val="11"/>
                <w:szCs w:val="1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1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 income taxes, net of payments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contributions receivable</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Investment segment distributions to non-controlling interests</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On November 6, 2024, the Board of Directors of the general partner of Icahn Enterprises declared a quarterly distribution in the amount of $0.50 per depositary unit, which will be paid on or about December 26, 2024 to depositary unitholders of record at the close of business on November 18, 2024. Depositary unitholders will have until December 13, 2024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20, 2024. Icahn Enterprises will make a cash payment in lieu of issuing fractional depositary units to any unitholders electing to receive (or who are deemed to have elected to receive) depositary units.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Settlement of Exchange Offer</w:t>
      </w:r>
    </w:p>
    <w:p>
      <w:pPr>
        <w:spacing w:after="0" w:line="227" w:lineRule="exact"/>
        <w:rPr>
          <w:sz w:val="20"/>
          <w:szCs w:val="20"/>
          <w:color w:val="auto"/>
        </w:rPr>
      </w:pPr>
    </w:p>
    <w:p>
      <w:pPr>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In August 2024, we commenced an offer to exchange $700 million aggregate principal amount of our 9.750% senior notes due 2029 that have been registered under the Securities Act for $700 million aggregate principal amount of our issued and outstanding, unregistered 9.750% senior notes due 2029 and $750 million in aggregate principal amount of our 9.000% senior notes due 2030 that have been registered under the Securities Act for $750 million in aggregate principal amount of our issued and outstanding, unregistered 9.000% senior notes due 2030. The offer expired on October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September 30, 2024 (this “Report”), as well as our Annual Report on Form 10-K for the year ended December 31, 2023 filed with the Securities and Exchange Commission on February 29,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spacing w:after="0" w:line="18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September 30, 2024 representing an aggregate 1.99% general partner interest in Icahn Enterprises and Icahn Enterprises Holdings. Mr. Icahn and his affiliates owned approximately 86% of Icahn Enterprises’ outstanding depositary units as of September 30,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Wynnewood Refinery Incident</w:t>
      </w:r>
    </w:p>
    <w:p>
      <w:pPr>
        <w:spacing w:after="0" w:line="22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Within our Energy segment, a fire commenced at the Wynnewood refinery during severe weather in the early morning hours of April 28, 2024. The fire was extinguished shortly after it started, with no employees or contractors injured. After further assessment of this incident, it was determined the damages were limited to pipe racks and pumps in the naphtha processing units. Operations at the Coffeyville Refinery were not impacted by the fire. CVR Energy, Inc. (“CVI”), our majority owned subsidiary in our Energy segment, incurred additional expenses related to this incident in the third quarter of 2024 of approximately $6 million, excluding insurance recoveries. All necessary repairs have been completed and the plant was fully operational in July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Potential Strategic Transactions</w:t>
      </w:r>
    </w:p>
    <w:p>
      <w:pPr>
        <w:spacing w:after="0" w:line="22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As previously disclosed, we are considering, with CVI, potential strategic transactions available to CVI and its subsidiaries, which may include the acquisition of additional entities, assets or businesses, including the acquisition of material amounts of refining assets through negotiated mergers and/or stock or asset purchase agreements by CVI or its subsidiaries, and/or strategic options involving CVR Partners, LP, a controlled subsidiary of CVI. There is no assurance that any of the aforementioned or previously disclosed or other transactions will develop or materialize, or if they do, as to their timing. On November 8, 2024, we delivered a proposal to CVI’s board regarding a potential tender offer by one or more of our subsidiaries to acquire up to 15 million additional shares of CVI’s common stock.</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 Distribution and Redemption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“Investment Funds Redemptions and Distributions” below under “Liquidity and Capital Resources.”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14, “Segment Reporting,” to the condensed consolidated financial statements for a reconciliation of each of our reporting segment’s results of continuing operations to our consolidated results.</w:t>
      </w:r>
    </w:p>
    <w:p>
      <w:pPr>
        <w:spacing w:after="0" w:line="189" w:lineRule="exact"/>
        <w:rPr>
          <w:sz w:val="20"/>
          <w:szCs w:val="20"/>
          <w:color w:val="auto"/>
        </w:rPr>
      </w:pPr>
    </w:p>
    <w:p>
      <w:pPr>
        <w:ind w:left="60" w:right="399" w:firstLine="324"/>
        <w:spacing w:after="0" w:line="256" w:lineRule="auto"/>
        <w:rPr>
          <w:sz w:val="20"/>
          <w:szCs w:val="20"/>
          <w:color w:val="auto"/>
        </w:rPr>
      </w:pPr>
      <w:r>
        <w:rPr>
          <w:rFonts w:ascii="Times New Roman" w:cs="Times New Roman" w:eastAsia="Times New Roman" w:hAnsi="Times New Roman"/>
          <w:sz w:val="18"/>
          <w:szCs w:val="18"/>
          <w:color w:val="auto"/>
        </w:rPr>
        <w:t>The conflict in the Middle East and the ongoing Russian/Ukraine conflict can significantly impact the global oil, fertilizer, and agriculture markets. Such conflicts pose significant geopolitical risks to global markets, raise concerns of major implications, such as enforcement of sanctions, can contribute to further oil price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comparability of our summarized consolidated financial results presented below is affected primarily by (i) the performance of the Investment Funds (as defined below), (ii) the results of operations of our Energy segment, impacted by the demand and pricing for its products and (iii) the deconsolidation of Auto Plus within our Automotive segment. Refer to our respective segment discussions and “Other Consolidated Results of Operations,” below for further discussion.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0" w:type="dxa"/>
            <w:vAlign w:val="bottom"/>
          </w:tcPr>
          <w:p>
            <w:pPr>
              <w:spacing w:after="0"/>
              <w:rPr>
                <w:sz w:val="13"/>
                <w:szCs w:val="13"/>
                <w:color w:val="auto"/>
              </w:rPr>
            </w:pPr>
          </w:p>
        </w:tc>
        <w:tc>
          <w:tcPr>
            <w:tcW w:w="22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2"/>
                <w:szCs w:val="12"/>
                <w:color w:val="auto"/>
              </w:rPr>
            </w:pPr>
          </w:p>
        </w:tc>
        <w:tc>
          <w:tcPr>
            <w:tcW w:w="230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2"/>
                <w:szCs w:val="12"/>
                <w:color w:val="auto"/>
              </w:rPr>
            </w:pPr>
          </w:p>
        </w:tc>
        <w:tc>
          <w:tcPr>
            <w:tcW w:w="23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Other Operating</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Segments: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Energy</w:t>
            </w:r>
          </w:p>
        </w:tc>
        <w:tc>
          <w:tcPr>
            <w:tcW w:w="11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(134)</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Food Packaging</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Real Estate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Home Fashion</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Pharma</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operating segments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2,423</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3,210</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w:t>
            </w: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2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2,791</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3,010</w:t>
            </w: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Pr>
          <w:p>
            <w:pPr>
              <w:spacing w:after="0"/>
              <w:rPr>
                <w:sz w:val="13"/>
                <w:szCs w:val="13"/>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22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tcBorders>
              <w:top w:val="single" w:sz="8" w:color="auto"/>
              <w:bottom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2"/>
                <w:szCs w:val="12"/>
                <w:color w:val="auto"/>
              </w:rPr>
            </w:pPr>
          </w:p>
        </w:tc>
        <w:tc>
          <w:tcPr>
            <w:tcW w:w="22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2"/>
                <w:szCs w:val="12"/>
                <w:color w:val="auto"/>
              </w:rPr>
            </w:pPr>
          </w:p>
        </w:tc>
        <w:tc>
          <w:tcPr>
            <w:tcW w:w="22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3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(1,107)</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Operating Segments: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Energy</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5,702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7,077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Food Packaging</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Real Estate</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Home Fashion</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Pharma</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operating segments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7,427</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9,055</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762</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7,462</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8,238</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(432)</w:t>
            </w:r>
          </w:p>
        </w:tc>
        <w:tc>
          <w:tcPr>
            <w:tcW w:w="24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(807)</w:t>
            </w: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(347)</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left="60" w:right="99" w:firstLine="324"/>
        <w:spacing w:after="0" w:line="239" w:lineRule="auto"/>
        <w:rPr>
          <w:sz w:val="20"/>
          <w:szCs w:val="20"/>
          <w:color w:val="auto"/>
        </w:rPr>
      </w:pPr>
      <w:r>
        <w:rPr>
          <w:rFonts w:ascii="Times New Roman" w:cs="Times New Roman" w:eastAsia="Times New Roman" w:hAnsi="Times New Roman"/>
          <w:sz w:val="18"/>
          <w:szCs w:val="18"/>
          <w:color w:val="auto"/>
        </w:rPr>
        <w:t>We invest our proprietary capital through various private investment funds (“Investment Funds”). As of September 30, 2024 and December 31, 2023, we had investments with a fair market value of approximately $2.7 billion and $3.2 billion, respectively in the Investment Funds. As of September 30, 2024 and December 31, 2023, the total fair market value of investments in the Investment Funds made by Mr. Icahn and his affiliates (excluding us and Brett Icahn) was approximately $1.5 billion and $2.1 billion, respectively.</w:t>
      </w:r>
    </w:p>
    <w:p>
      <w:pPr>
        <w:spacing w:after="0" w:line="144" w:lineRule="exact"/>
        <w:rPr>
          <w:sz w:val="20"/>
          <w:szCs w:val="20"/>
          <w:color w:val="auto"/>
        </w:rPr>
      </w:pPr>
    </w:p>
    <w:p>
      <w:pPr>
        <w:ind w:left="60" w:right="79" w:firstLine="324"/>
        <w:spacing w:after="0" w:line="233" w:lineRule="auto"/>
        <w:rPr>
          <w:sz w:val="20"/>
          <w:szCs w:val="20"/>
          <w:color w:val="auto"/>
        </w:rPr>
      </w:pPr>
      <w:r>
        <w:rPr>
          <w:rFonts w:ascii="Times New Roman" w:cs="Times New Roman" w:eastAsia="Times New Roman" w:hAnsi="Times New Roman"/>
          <w:sz w:val="18"/>
          <w:szCs w:val="18"/>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section of our “Liquidity and Capital Resources” discussion for additional information regarding our Investment segment’s exposure as of September 30, 2024.</w:t>
      </w:r>
    </w:p>
    <w:p>
      <w:pPr>
        <w:spacing w:after="0" w:line="122" w:lineRule="exact"/>
        <w:rPr>
          <w:sz w:val="20"/>
          <w:szCs w:val="20"/>
          <w:color w:val="auto"/>
        </w:rPr>
      </w:pPr>
    </w:p>
    <w:p>
      <w:pPr>
        <w:ind w:left="60" w:right="399" w:firstLine="324"/>
        <w:spacing w:after="0" w:line="252" w:lineRule="auto"/>
        <w:rPr>
          <w:sz w:val="20"/>
          <w:szCs w:val="20"/>
          <w:color w:val="auto"/>
        </w:rPr>
      </w:pPr>
      <w:r>
        <w:rPr>
          <w:rFonts w:ascii="Times New Roman" w:cs="Times New Roman" w:eastAsia="Times New Roman" w:hAnsi="Times New Roman"/>
          <w:sz w:val="17"/>
          <w:szCs w:val="17"/>
          <w:color w:val="auto"/>
        </w:rPr>
        <w:t>For the three months ended September 30, 2024 and 2023, our Investment Funds’ returns were 7.6% and (4.4)%, respectively. For the nine months ended September 30, 2024 and 2023, our Investment Funds’ returns were (1.9)% and</w:t>
      </w:r>
    </w:p>
    <w:p>
      <w:pPr>
        <w:spacing w:after="0" w:line="1" w:lineRule="exact"/>
        <w:rPr>
          <w:sz w:val="20"/>
          <w:szCs w:val="20"/>
          <w:color w:val="auto"/>
        </w:rPr>
      </w:pPr>
    </w:p>
    <w:p>
      <w:pPr>
        <w:ind w:left="60" w:right="79"/>
        <w:spacing w:after="0" w:line="243" w:lineRule="auto"/>
        <w:rPr>
          <w:sz w:val="20"/>
          <w:szCs w:val="20"/>
          <w:color w:val="auto"/>
        </w:rPr>
      </w:pPr>
      <w:r>
        <w:rPr>
          <w:rFonts w:ascii="Times New Roman" w:cs="Times New Roman" w:eastAsia="Times New Roman" w:hAnsi="Times New Roman"/>
          <w:sz w:val="18"/>
          <w:szCs w:val="18"/>
          <w:color w:val="auto"/>
        </w:rPr>
        <w:t>(13.3)%, respectively. Our Investment Funds’ returns represent a weighted-average composite of the average returns, net of expenses.</w:t>
      </w:r>
    </w:p>
    <w:p>
      <w:pPr>
        <w:spacing w:after="0" w:line="155"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set forth the performance attribution and net income (loss) for the Investment Funds’ returns for the three and nine months ended September 30, 2024 and 2023, respectively, and includes performance of all investment and derivative position types including the impact of the use of leverage through options, short sales, swaps, forwards and other derivative instruments.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3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0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25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6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1.0 %</w:t>
            </w:r>
          </w:p>
        </w:tc>
        <w:tc>
          <w:tcPr>
            <w:tcW w:w="1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3.8 %</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r>
      <w:tr>
        <w:trPr>
          <w:trHeight w:val="210"/>
        </w:trPr>
        <w:tc>
          <w:tcPr>
            <w:tcW w:w="25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3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9"/>
        </w:trPr>
        <w:tc>
          <w:tcPr>
            <w:tcW w:w="30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9"/>
        </w:trPr>
        <w:tc>
          <w:tcPr>
            <w:tcW w:w="3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jc w:val="right"/>
              <w:ind w:right="34"/>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8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09"/>
        </w:trPr>
        <w:tc>
          <w:tcPr>
            <w:tcW w:w="308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0"/>
        </w:trPr>
        <w:tc>
          <w:tcPr>
            <w:tcW w:w="3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the Investment Funds’ positive performance was primarily driven by net gains in long positions, which includes the impact of derivatives, offset in part by net losses in short positions. The positive performance of our Investment segment’s long positions was driven primarily by net gains from the healthcare and utilities sectors of $332 million. The negative performance of our Investment segment’s short positions was primarily driven by losses from the materials and utilities sectors of $158 million and losses from the broad market hedges of $129 million, partially offset by gains in the energy sector of $157 million.</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2023, the Investment Funds’ negative performance was primarily driven by net losses in short positions. The negative performance of our Investment segment’s short positions was driven primarily by losses from several energy sector investments totaling $401 million and the negative performance of certain credit default swap positions of $102 million, offset in part by gains from a broad market hedge of $179 million and the aggregate performance of short equity and credit positions with net gains across various sectors of $158 million. The negative performance of our Investment segment’s long positions was driven primarily by losses from one healthcare sector investment of $115 million and two utility sector investments of $95 million, offset in part by gains on one energy sector investment of $98 million.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the Investment Funds’ negative performance was primarily driven by net losses in short positions, offset in part by net gains in long positions. The negative performance of our Investment segment’s short positions was driven primarily by net losses in broad market hedges of $292 million and net losses in the utilities and materials sectors of $205 million, offset in part by gains from the energy sector of $211 million.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positive performance of our Investment segment’s long positions was driven primarily by net gains in the utilities sector of $266 million, offset in part by net losses in the energy sector of $227 million.</w:t>
      </w:r>
    </w:p>
    <w:p>
      <w:pPr>
        <w:spacing w:after="0" w:line="16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2023, the Investment Funds’ negative performance was primarily driven by net losses in short and long positions. The negative performance of our Investment segment’s short positions was driven primarily by losses from a broad market hedge of $439 million, and several energy segment investments of $226 million as well as the aggregate performance of short equity positions with net losses across various sectors of $239 million. The negative performance of our Investment segment’s long positions was driven primarily by the negative performance of one healthcare sector investment of $163 million and one material sector investment of $145 million as well as the aggregate performance of investments with net losses across various sectors.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Our Energy segment is primarily engaged in the petroleum refining and nitrogen fertilizer manufacturing businesses. The petroleum business accounted for approximately 93% and 92% of our Energy segment’s net sales for the nine months ended September 30, 2024 and 2023, respectively.</w:t>
      </w:r>
    </w:p>
    <w:p>
      <w:pPr>
        <w:spacing w:after="0" w:line="17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partially influenced by the rate at which the processing of Refined Products adjusts to reflect these changes.</w:t>
      </w:r>
    </w:p>
    <w:p>
      <w:pPr>
        <w:spacing w:after="0" w:line="19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to geopolitical conditions, such as the ongoing conflict in the Middle East and the impact of the Russia/Ukraine conflict, there are long-term factors that may impact the demand for and inventory of Refined Products. These factors include mandated renewable fuels standards, proposed and enacted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renewable identification numbers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the price at which RINs can be purchased, transportation fuel and renewable diesel production levels and pricing,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18, “Commitments and Contingencies,” to the consolidated financial statements for further discussion of RINs.</w:t>
      </w:r>
    </w:p>
    <w:p>
      <w:pPr>
        <w:spacing w:after="0" w:line="19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recent years, our Energy segment has focused on several decarbonization initiatives including completion of construction of the renewable diesel and renewable feedstock pre-treatment units at the Wynnewood Refinery, creation of an Environmental, Social and Governance (“ESG”) committee and the publication of ESG reports and restructuring to better align with management and financial reporting. Our Energy segment expects to continue to explore options to decarbonize its business in areas with attractive economics, without sole reliance on government subsidies.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4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r>
      <w:tr>
        <w:trPr>
          <w:trHeight w:val="216"/>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w:t>
            </w:r>
          </w:p>
        </w:tc>
      </w:tr>
      <w:tr>
        <w:trPr>
          <w:trHeight w:val="20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Net sales for our Energy segment decreased by $688 million (27%) for the three months ended September 30, 2024 as compared to the comparable prior year period due to a decrease in our petroleum business’ net sales of $683 million, as well as a decrease in our nitrogen fertilizer business’ net sales by $5 million over the comparable period. The decrease in the petroleum business’ net sales was due to lower refined product prices resulting from elevated inventory levels and reduced demand along with a decline in sales as a result of the Wynnewood Refinery fire and an unplanned outage at the Coffeyville Refinery. The decrease in our nitrogen fertilizer business’ net sales was primarily due to a decrease in urea ammonium nitrate (“UAN”) sales volumes, offset in part by favorable UAN and ammonia pricing conditions in the current period.</w:t>
      </w:r>
    </w:p>
    <w:p>
      <w:pPr>
        <w:spacing w:after="0" w:line="19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Cost of goods sold for our Energy segment decreased by $134 million (7%) for the three months ended September 30, 2024 as compared to the comparable prior year period. The decrease was primarily due to declines in our petroleum business as a result of a decrease in net sales and increased RFS expenses of $187 million which includes unfavorable RINs liability revaluation of $232 million, offset in part by a favorable derivatives impact of $97 million in the current period compared to losses in the three months ended September 30, 2023. Gross margin for our Energy segment decreased by $554 million for the three months ended September 30, 2024 as compared to the comparable prior year period. Gross margin as a percentage of net sales was (4%) and 19% for the three months ended September 30, 2024 and 2023, respectively. The decrease in gross margin as a percentage of net sales was primarily attributable to the petroleum business, as a result of lower refining margins driven by increased inventory levels and lower demand in the current year.</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Net sales for our Energy segment decreased by $1.4 billion (20%) for the nine months ended September 30, 2024 as compared to the comparable prior year period due to a decrease in our petroleum business’ net sales, which decreased $1.2 billion, as well as a decrease in our nitrogen fertilizer business’ net sales, which decreased $154 million over the comparable periods. The decrease in the petroleum business’ net sales was due to lower refined product prices resulting from elevated inventory levels and reduced demand along with a decline in sales as a result of the Wynnewood Refinery fire and an unplanned outage at the Coffeyville Refinery. The decrease in our nitrogen fertilizer business’ net sales was primarily due to unfavorable UAN and ammonia pricing conditions and sales volumes.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Cost of goods sold for our Energy segment decreased by $415 million (7%) for the nine months ended September 30, 2024 as compared to the comparable prior year period. The decrease was primarily due to declines in our petroleum business as a result of a decrease in net sales and increased RFS expenses of $52 million, which includes unfavorable RINs liability revaluation of $196 million, offset in part by a favorable derivatives impact of $61 million. Gross margin for our Energy segment decreased by $967 million for the nine months ended September 30, 2024 as compared to the comparable prior year period. Gross margin as a percentage of net sales was 2% and 15% for the nine months ended September 30, 2024 and 2023, respectively. The decrease in the gross margin as a percentage of net sales was primarily attributable to the petroleum business, as a result of lower refining margins driven by increased inventory levels and lower demand in the current year.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Automotive segment’s results of operations are generally driven by the demand for automotive service and maintenance, which is impacted by general economic factors, vehicle miles traveled, and the average age of vehicles on the road, among other factors.</w:t>
      </w:r>
    </w:p>
    <w:p>
      <w:pPr>
        <w:spacing w:after="0" w:line="17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Automotive segment has been in the process of a multi-year transformation plan. As part of this plan, our Automotive segment completed the separation of certain of its Automotive Services and Aftermarket Parts businesses into two separate operating companies. Auto Plus, which operated the majority of our Aftermarket Parts business, began operating in locations owned and leased by the Aftermarket Services business.</w:t>
      </w:r>
    </w:p>
    <w:p>
      <w:pPr>
        <w:spacing w:after="0" w:line="180"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In January 2023, Auto Plus filed a voluntary bankruptcy petition seeking relief under Chapter 11 of the Bankruptcy Code, resulting in the cessation of operations and deconsolidation, which reduced our Automotive segment’s assets. Our results of operations for the nine months ended September 30, 2023 include the results of Auto Plus prior to its deconsolidation as of January 31, 2023. Following the bankruptcy, Auto Plus exited the Automotive Services locations within which it operated.</w:t>
      </w:r>
    </w:p>
    <w:p>
      <w:pPr>
        <w:spacing w:after="0" w:line="183"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Our Automotive segment’s results also include AEP PLC LLC (“AEP PLC”), which acquired $10 million in assets, mainly comprised of Aftermarket Parts inventory from the Auto Plus auction. We are in the process of selling the remaining inventory which we expect will be complete by the end of 2024 and which would remove us from the Aftermarket Parts business.</w:t>
      </w:r>
    </w:p>
    <w:p>
      <w:pPr>
        <w:spacing w:after="0" w:line="18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its transformation plan, the Automotive segment leases available and excess real estate in certain locations under long-term operating leases, in which the Aftermarket Parts business formally operated.</w:t>
      </w:r>
    </w:p>
    <w:p>
      <w:pPr>
        <w:spacing w:after="0" w:line="16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we experienced declining sales in our Automotive Services business, due to, among other factors, reduced consumer spending on automotive repairs and maintenance and certain operational challenges, resulting in a reduction in expected future cash flows. This led to a goodwill triggering event during the quarter ended September 30, 2024. Our goodwill impairment testing concluded that no impairment is required at this time, and we have undertaken operational changes, including changes in management and strategy, that we believe will lead to improvements in the performance of the business and cash flows. However, if our growth and profitability initiatives do not realize their expected benefits, our assets in this business may be subject to impairment.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Automotive segment’s priorities include:</w:t>
      </w:r>
    </w:p>
    <w:p>
      <w:pPr>
        <w:spacing w:after="0" w:line="225" w:lineRule="exact"/>
        <w:rPr>
          <w:sz w:val="20"/>
          <w:szCs w:val="20"/>
          <w:color w:val="auto"/>
        </w:rPr>
      </w:pPr>
    </w:p>
    <w:p>
      <w:pPr>
        <w:ind w:left="880" w:right="459" w:hanging="317"/>
        <w:spacing w:after="0" w:line="268"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the Automotive Services broad offerings to take advantage of opportunities in the do-it-for-me market and vehicle fleets;</w:t>
      </w:r>
    </w:p>
    <w:p>
      <w:pPr>
        <w:spacing w:after="0" w:line="1"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 in brownfield and greenfield supplementing existing store footprints;</w:t>
      </w:r>
    </w:p>
    <w:p>
      <w:pPr>
        <w:spacing w:after="0" w:line="22" w:lineRule="exact"/>
        <w:rPr>
          <w:rFonts w:ascii="Times New Roman" w:cs="Times New Roman" w:eastAsia="Times New Roman" w:hAnsi="Times New Roman"/>
          <w:sz w:val="18"/>
          <w:szCs w:val="18"/>
          <w:color w:val="auto"/>
        </w:rPr>
      </w:pPr>
    </w:p>
    <w:p>
      <w:pPr>
        <w:ind w:left="880" w:right="239" w:hanging="317"/>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and strategic review of, capital projects within Icahn Automotive’s owned and leased locations to increase leasing revenue, restructure lease liabilities, and reduce occupancy costs;</w:t>
      </w:r>
    </w:p>
    <w:p>
      <w:pPr>
        <w:ind w:left="880" w:hanging="31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of Store and Distribution Center network while improving inventory and cost position;</w:t>
      </w:r>
    </w:p>
    <w:p>
      <w:pPr>
        <w:spacing w:after="0" w:line="22"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to improve the overall customer experience through process, facilities and automation;</w:t>
      </w:r>
    </w:p>
    <w:p>
      <w:pPr>
        <w:spacing w:after="0" w:line="22"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employees with focus on training and career development; and</w:t>
      </w:r>
    </w:p>
    <w:p>
      <w:pPr>
        <w:spacing w:after="0" w:line="22" w:lineRule="exact"/>
        <w:rPr>
          <w:rFonts w:ascii="Times New Roman" w:cs="Times New Roman" w:eastAsia="Times New Roman" w:hAnsi="Times New Roman"/>
          <w:sz w:val="18"/>
          <w:szCs w:val="18"/>
          <w:color w:val="auto"/>
        </w:rPr>
      </w:pPr>
    </w:p>
    <w:p>
      <w:pPr>
        <w:ind w:left="880" w:right="199" w:hanging="317"/>
        <w:spacing w:after="0" w:line="27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improvements and sharing best practices through investments in people, technology, and our overall supply chain.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12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4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4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and other revenues from operations</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other expenses from operations</w:t>
            </w: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0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4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Net sales and other revenues from operations for our Automotive segment for the three months ended September 30, 2024 decreased by $71 million (17%) as compared to the comparable prior year period. The decrease was primarily attributable to a decrease in Automotive Services of $51 million (13%), mainly due to reduced consumer spending on automotive repairs and maintenance and operational challenges such as insuffcient tire inventory in certain locations, which had an adverse impact on our tire sales in the current period. The decrease was also partially due to a decrease in Aftermarket Parts revenue of $20 million (83%), mainly due to the winding down of the Aftermarket Parts business.</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Cost of goods sold and other expenses from operations for the three months ended September 30, 2024 decreased by $19 million (6%) as compared to the comparable prior year period. The decrease was primarily driven by lower net sales mainly due to reduced consumer spending on automotive repairs and maintenance and a decline in tire sales in the current period. Gross margin on net sales and other revenue from operations for the three months ended September 30, 2024 decreased by $52 million (39%) from the comparable prior year period. Gross margin as a percentage of net sales and other revenue from operations was 22% and 31% for the three months ended September 30, 2024 and 2023,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Net sales and other revenues from operations for our Automotive segment for the nine months ended September 30, 2024 decreased by $187 million (15%) as compared to the comparable prior year period. The decrease was primarily driven by a decrease in Aftermarket Parts sales of $94 million (81%), mainly due to the deconsolidation of Auto Plus as of January 31, 2023. The decrease was also partially due to a decrease in Automotive Services of $93 million (8%), mainly due to reduced consumer spending on automotive repairs and maintenance.</w:t>
      </w:r>
    </w:p>
    <w:p>
      <w:pPr>
        <w:spacing w:after="0" w:line="18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Cost of goods sold and other expenses from operations for the nine months ended September 30, 2024 decreased by $100 million (11%) as compared to the comparable prior year period. The decrease was primarily driven by decreased aftermarket parts sales related to the deconsolidation of Auto Plus, in addition to cost reduction efforts and lower net sales mainly related to reduced consumer spending on automotive repairs and maintenance at our Automotive Services business. Gross margin on net sales and other revenue from operations for the nine months ended September 30, 2024 decreased by $87 million (23%) from the comparable prior year period. Gross margin as a percentage of net sales and other revenue from operations was 27% and 30% for the nine months ended September 30, 2024 and 2023,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229"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Net sales for the three months ended September 30, 2024 decreased $4 million (4%) as compared to the comparable prior year period. The decrease was primarily due to a decrease of $8 million in price and product mix, offset in part by higher volumes of $4 million. Cost of goods sold for the three months ended September 30, 2024 increased $3 million (4%) compared to the comparable prior year period primarily due to effects of higher volume and lower absorption of manufacturing fixed costs. Gross margin as a percentage of net sales was 15% and 21% for the three months ended September 30, 2024 and 2023,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Net sales for the nine months ended September 30, 2024 decreased $33 million (10%) as compared to the comparable prior year period. The decrease was primarily due to a decrease of $19 million in price and product mix and lower volumes of $14 million. Cost of goods sold for the nine months ended September 30, 2024 decreased $12 million (5%) compared to the comparable prior year period primarily due to effects of lower volume and corresponding lower absorption of manufacturing fixed costs. Gross margin as a percentage of net sales was 18% and 22% for the nine months ended September 30, 2024 and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Real Estate segment consists of investment properties which includes land, retail, office and industrial properties leased to corporate tenants, the development and sale of single-family homes, and the operations of a resort and two country clubs. Sales of single-family homes and investment properties are included in net sales in our consolidated statements of operations. Results from operations at investment properties and our country clubs are included in other revenues from operations in our consolidated statements of operations. Revenue from our real estate operations for the three months ended September 30, 2024 and 2023 was primarily derived from country club and resort operations. Revenue from our real estate operations for the nine months ended September 30, 2024 and 2023 was primarily derived from the sale of single-family homes and country club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Net sales for the three months ended September 30, 2024 decreased by $23 million (79%) as compared to the comparable prior year period primarily due to the one time sale of a $17 million investment property in the prior year period and a decrease in single-family home sales as inventory is almost sold out in one country club, while the second country club is ramping up its development with sales expected to commence in 2025. Cost of goods sold for the three months ended September 30, 2024 decreased $15 million (75%) compared to the prior year period primarily due to the aforementioned sale of an investment property in the prior year period. Gross margin as a percentage of net sales was 17% and 31% for the three months ended September 30, 2024 and 2023, respectively.</w:t>
      </w:r>
    </w:p>
    <w:p>
      <w:pPr>
        <w:spacing w:after="0" w:line="18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Other revenues from operations for the three months ended September 30, 2024 increased by $1 million (5%) as compared to the comparable prior year period. Other expenses from operations for the three months ended September 30, 2024 increased by $1 million (6%) as compared to the comparable prior year period.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Net sales for the nine months ended September 30, 2024 decreased by $32 million (65%) as compared to the comparable prior year period primarily due to the absence of a $17 million sale of an investment property in the prior year period and a decrease in single-family home sales as inventory is almost sold out in one country club, while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second country club is ramping up its development with sales expected to commence in 2025. Cost of goods sold for the nine months ended September 30, 2024 decreased $21 million (62%) compared to the prior year period primarily due the aforementioned sale of an investment property in the prior year period. Gross margin as a percentage of net sales was 24% and 31% for the nine months ended September 30, 2024 and 2023, respectively.</w:t>
      </w:r>
    </w:p>
    <w:p>
      <w:pPr>
        <w:spacing w:after="0" w:line="180"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Other revenues from operations for the nine months ended September 30, 2024 increased by $1 million (2%) as compared to the comparable prior year period. Other expenses from operations for the nine months ended September 30, 2024 increased by $2 million (4%) compared to the prior year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Our Home Fashion segment is significantly influenced by the overall economic environment, including consumer spending, at the retail level, for home textile products.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color w:val="auto"/>
        </w:rPr>
        <w:t>Net sales for the three months ended September 30, 2024 increased by $1 million (2%) as compared to the comparable prior year period. Cost of goods sold for the three months ended September 30, 2024 increased by $1 million (3%) compared to the comparable prior year period. Gross margin as a percentage of net sales was 19% and 20% for the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September 30, 2024 and 2023, respectively.</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nine months ended September 30, 2024 decreased $5 million (4%) as compared to the comparable prior year period mostly due to lower demand from our retail and international businesses. Cost of goods sold for the nine months ended September 30, 2024 decreased by $6 million (6%) as compared to the comparable prior year period mostly due to lower material costs and improved manufacturing efficiency. Gross margin as a percentage of net sales was 23% and 21% for the nine months ended September 30,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Pharma</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Pharma segment derives revenues primarily from the sale of its products directly to customers, wholesalers and pharmacies. Pursuant to previously announced settlement agreements, at the end of 2024 a competitor, and in the second half of 2025 a second competitor, will be permitted to launch competing generic products to the patent protected weight loss treatment sold within our Pharma segment in the United States, which we anticipate will cause a moderate reduction of prescription volume in the retail pharmacy market in the United States.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September 30, 2024 increased by $2 million (8%) as compared to the comparable prior year period primarily due to continued higher prescription growth resulting in increased sales. Cost of goods sold for the three months ended September 30, 2024 decreased $2 million (13%) as compared to the comparable prior year period primarily due to improved inventory management. Gross margin as a percentage of net sales was 52% and 40% for the three months ended September 30, 2024 and 2023,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jc w:val="both"/>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Net sales for the nine months ended September 30, 2024 increased by $8 million (12%) compared to the comparable prior year period primarily due to continued higher prescription growth resulting in increased sales. Cost of goods sold for the nine months ended September 30, 2024 was flat as compared to the prior year period. Gross margin as a percentage of net sales was 46% and 40% for the nine months ended September 30, 2024 and 2023,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Our Holding Company’s results of operations primarily reflect the loss on deconsolidation of one of its subsidiaries, credit loss on its related party note receivable, and interest expense on its senior unsecured notes for each of the three and nine months ended September 30, 2024 and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on deconsolidation of subsidiary</w:t>
      </w:r>
    </w:p>
    <w:p>
      <w:pPr>
        <w:spacing w:after="0" w:line="229" w:lineRule="exact"/>
        <w:rPr>
          <w:sz w:val="20"/>
          <w:szCs w:val="20"/>
          <w:color w:val="auto"/>
        </w:rPr>
      </w:pPr>
    </w:p>
    <w:p>
      <w:pPr>
        <w:jc w:val="both"/>
        <w:ind w:left="60" w:right="299" w:firstLine="360"/>
        <w:spacing w:after="0" w:line="266" w:lineRule="auto"/>
        <w:rPr>
          <w:sz w:val="20"/>
          <w:szCs w:val="20"/>
          <w:color w:val="auto"/>
        </w:rPr>
      </w:pPr>
      <w:r>
        <w:rPr>
          <w:rFonts w:ascii="Times New Roman" w:cs="Times New Roman" w:eastAsia="Times New Roman" w:hAnsi="Times New Roman"/>
          <w:sz w:val="18"/>
          <w:szCs w:val="18"/>
          <w:color w:val="auto"/>
        </w:rPr>
        <w:t>As discussed in Note 3, “Subsidiary Bankruptcy and Deconsolidation”, to the consolidated financial statements, we deconsolidated Auto Plus effective as of January 31, 2023, resulting in a pretax loss on deconsolidation of subsidiary of $246 million during the nine months ended September 30,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loss on related party note receivable</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Our credit loss on related party note receivable of $139 million for the nine months ended September 30, 2023 relates to the note receivable expected to be uncollectible.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Our consolidated selling, general and administrative costs during the three months ended September 30, 2024 decreased by $7 million (3%) as compared to the comparable prior year period primarily due to lower expenses of our Automotive segment of $14 million mainly related to the deconsolidation of Auto Plus.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consolidated selling, general and administrative costs during the nine months ended September 30, 2024 decreased by $75 million (11%) as compared to the comparable prior year period primarily due to lower expenses of our Automotive segment of $59 million mainly related to the deconsolidation of Auto Plus.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and 2023</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Our consolidated interest expense during the three months ended September 30, 2024 decreased by $18 million (12%) as compared to the comparable prior year period. The decrease was primarily due to lower interest expense for our Investment segment of $30 million attributable to changes in short exposure composition. The decrease was offset in part by higher interest expense in our Holding Company segment of $9 million mainly due to the refinancing of bonds at higher rates than the comparable prior year period.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and 2023</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consolidated interest expense during the nine months ended September 30, 2024 decreased by $32 million (8%) as compared to the comparable prior year period. The decrease was primarily due to lower interest expense for our Investment segment of $69 million attributable to changes in short exposure. The decrease was offset in part by higher interest expense in our Holding Company segment and Energy segment of $20 million and $19 million, respectively, mainly due to the refinancing of bonds at higher interest rates than the comparative period.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15, “Income Taxes,” to the condensed consolidated financial statements for a discussion of income taxes.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For the third quarter of 2024, CVR Energy, our subsidiary in our Energy segment, elected to suspend payment of its cash dividend which will reduce our cash flow for the relevant period.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9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2024, our Holding Company had cash and cash equivalents of approximately $1.6 billion and total debt of approximately $4.7 billion. As of September 30, 2024, our Holding Company had investments in the Investment Funds with a total fair market value of approximately $2.7 billion. We may redeem our direct investment in the Investment Funds upon notice. See “Investment Segment Liquidity,” including under “Investment Funds Redemptions and Distributions,” below for additional information with respect to our Investment segment liquidity. See “Consolidated Cash Flows” below for additional information with respect to our Holding Company liquidity.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 Borrowings and Availability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Holding Company outstanding senior unsecured notes consist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9"/>
        </w:trPr>
        <w:tc>
          <w:tcPr>
            <w:tcW w:w="22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ind w:left="60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1"/>
                <w:szCs w:val="1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9.750% senior unsecured notes due 2029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9.000% senior unsecured notes due 2030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2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discounts, premiums, and debt issuance costs</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5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Notes held in treasury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0"/>
        </w:trPr>
        <w:tc>
          <w:tcPr>
            <w:tcW w:w="2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58" w:lineRule="exact"/>
        <w:rPr>
          <w:sz w:val="20"/>
          <w:szCs w:val="20"/>
          <w:color w:val="auto"/>
        </w:rPr>
      </w:pPr>
    </w:p>
    <w:p>
      <w:pPr>
        <w:ind w:left="380" w:right="79" w:hanging="330"/>
        <w:spacing w:after="0" w:line="233"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2024, total debt is net of notes held in treasury of $92 million aggregate principal amount of our 4.375% senior unsecured notes due 2029, $73 million aggregate principal amount of our 5.25% senior unsecured notes due 2027, and $52 million aggregate principal amount of our 6.25% senior unsecured notes due 2026. At December 31, 2023, total debt is net of shares held in treasury of $12 million aggregate principal amount of our 6.25% senior unsecured notes due 2026, $5 million aggregate principal amount of our 5.25% senior unsecured notes due 2027, and $ 40 million aggregate principal amount of our 4.375% senior unsecured notes due 2029.</w:t>
      </w:r>
    </w:p>
    <w:p>
      <w:pPr>
        <w:spacing w:after="0" w:line="181"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4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May 2024, the Issuers issued $750 million in aggregate principal amount of 9.000% senior unsecured notes due 2030. The net proceeds from the issuance were used to redeem the remaining outstanding 6.375% senior unsecured notes due 2025 in full on June 13, 2024.</w:t>
      </w:r>
    </w:p>
    <w:p>
      <w:pPr>
        <w:spacing w:after="0" w:line="135"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4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During the second quarter of 2024, the 6.375% senior notes due 2026 became callable without a premium. Additionally, each of the 5.250% seniors notes due 2027, the 4.375% senior notes due 2029 and the 9.000% senior notes due 2030 are subject to optional redemption premiums in the event we redeem any of these notes prior to six months before maturity. The 9.750% senior notes due 2029 are subject to optional redemption premiums in the event we redeem these notes prior to three months before maturity.</w:t>
      </w:r>
    </w:p>
    <w:p>
      <w:pPr>
        <w:spacing w:after="0" w:line="165" w:lineRule="exact"/>
        <w:rPr>
          <w:sz w:val="20"/>
          <w:szCs w:val="20"/>
          <w:color w:val="auto"/>
        </w:rPr>
      </w:pPr>
    </w:p>
    <w:p>
      <w:pPr>
        <w:jc w:val="both"/>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we were in compliance with all covenants, including maintaining certain minimum financial ratios, as defined in the indentures. Additionally, as of September 30, 2024, based on covenants in the indentures governing our senior unsecured notes, we are not permitted to incur additional indebtedness; however, we are permitted to issue new notes in connection with debt refinancings of existing notes.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Repurchase and Sales</w:t>
      </w:r>
    </w:p>
    <w:p>
      <w:pPr>
        <w:spacing w:after="0" w:line="22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November and December of 2023, we repurchased in the open market approximately $35 million aggregate principal amount of our 4.750% senior unsecured notes due 2024, $12 million aggregate principal amount of our 6.25% senior unsecured notes due 2026, $5 million aggregate principal amount of our 5.25% senior unsecured notes due 2027, and $40 million aggregate principal amount of our 4.375% senior unsecured notes due 2029 for total cash paid of $84 million for a total aggregate principal amount $92 million. The Company cancelled and reduced the outstanding principal of the repurchased 4.750% senior unsecured notes due 2024, and the remaining repurchased notes of $57 million aggregate principal were extinguished but were not retired and are held in treasury. In April 2024, we sold the $12 million in aggregate principal amount of our 6.250% senior unsecured notes due 2026 and the $5 million in aggregate principal amount of our 5.250% senior unsecured notes due 2027, both previously repurchased and held in treasury, in the open market. In August and September of 2024, we repurchased in the open market approximately $52 million aggregate principal amount of our 6.25% senior unsecured notes due 2026, $73 million aggregate principal amount of our 5.25% senior unsecured notes due 2027, and $52 million aggregate principal amount of our 4.375% senior unsecured notes due 2029. The repurchased notes of $217 million aggregate principal were extinguished but were not retired and are held in treasury.</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three months ended September 30, 2024, we sold 233,000 depositary units pursuant to the Open Market Sale Agreement entered into November 21, 2022, resulting in gross proceeds of approximately $4 million. During the nine months ended September 30, 2024, we sold 5,806,986 depositary units pursuant to the Open Market Sale Agreement, resulting in gross proceeds of approximately $102 million. On August 26, 2024, we entered into a new Open Market Sales Agreement providing for sales of depositary units of up to $400 million. We continue to have effective Open Market Sale Agreements and Icahn Enterprises may sell its depositary units for up to an additional $47 million in aggregate gross sale proceeds pursuant to its Open Market Sales Agreement entered into November 21, 2022 and up to $400 million in aggregate gross sales proceeds pursuant to its Open Market Sales Agreement entered into August 26, 2024. No assurance can be made that any or all amounts will be sold during the term of the agreements, and we have no obligation to sell additional depositary units under the Open Market Sale Agreements. Depending on market conditions, we may continue to sell depositary units under our effective Open Market Sale Agreements, and, if appropriate, enter into a new Open Market Sale Agreement to continue our At-The-Market sales program. Our ability to access remaining capital under our At-The-Market program may be limited by market conditions at the time of any future potential sale. While we were able to sell depositary units during the nine months ended September 30, 2024, there can be no assurance that any future capital will be available on acceptable terms or at all under this program.</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Distributions</w:t>
      </w:r>
    </w:p>
    <w:p>
      <w:pPr>
        <w:spacing w:after="0" w:line="227" w:lineRule="exact"/>
        <w:rPr>
          <w:sz w:val="20"/>
          <w:szCs w:val="20"/>
          <w:color w:val="auto"/>
        </w:rPr>
      </w:pPr>
    </w:p>
    <w:p>
      <w:pPr>
        <w:ind w:left="60" w:right="479"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Icahn Enterprises declared three quarterly distributions, each distribution in the amount of $1.00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was $314 million, of which $175 million was distributed to Mr. Icahn and his affiliates.</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On November 6, 2024, the Board of Directors of the general partner of Icahn Enterprises declared a quarterly distribution in the amount of $0.50 per depositary unit, which will be paid on or about December 26, 2024 to depositary unitholders of record at the close of business on November 18, 2024. Depositary unitholders will have until December 13, 2024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20, 2024. Icahn Enterprises will make a cash payment in lieu of issuing fractional depositary units to any unitholders electing to receive (or who are deemed to have elected to receive) depositary units.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On May 9, 2023, the Board of Directors of Icahn Enterprises GP, the Company’s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September 30, 2024, the Company has not repurchased any of the Company’s depositary units and the Company has repurchased $269 million worth of senior unsecured notes in aggregate under the Repurchase Program. See “Debt Repurchases and Sales” above. On November 6, 2024, the Board re-approved the Repurchase Program, and, pursuant to the reapproved Program, we are authorized to repurchase up to an additional $500 million worth of our outstanding fixed-rate senior unsecured notes, in addition to the approximately $269 million we have already repurchased under the Repurchase Program, and we remain authorized to repurchase up to $500 million of our depositary units.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Liquidity</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cash held at consolidated affiliated partnerships balance was $808 million and $1,068 million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December 31, 2023, respectively. Cash held at consolidated affiliated partnerships relates to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segment and consists of cash and cash equivalents held by the Investment Funds that, although not legally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are not used for the general operating needs of the Investment segment or Icahn Enterprises.</w:t>
      </w:r>
    </w:p>
    <w:p>
      <w:pPr>
        <w:spacing w:after="0" w:line="207" w:lineRule="exact"/>
        <w:rPr>
          <w:sz w:val="20"/>
          <w:szCs w:val="20"/>
          <w:color w:val="auto"/>
        </w:rPr>
      </w:pPr>
    </w:p>
    <w:p>
      <w:pPr>
        <w:ind w:left="60" w:right="259" w:firstLine="324"/>
        <w:spacing w:after="0" w:line="277" w:lineRule="auto"/>
        <w:rPr>
          <w:sz w:val="20"/>
          <w:szCs w:val="20"/>
          <w:color w:val="auto"/>
        </w:rPr>
      </w:pPr>
      <w:r>
        <w:rPr>
          <w:rFonts w:ascii="Times New Roman" w:cs="Times New Roman" w:eastAsia="Times New Roman" w:hAnsi="Times New Roman"/>
          <w:sz w:val="17"/>
          <w:szCs w:val="17"/>
          <w:color w:val="auto"/>
        </w:rPr>
        <w:t>Additionally, our Investment segment liquidity is driven by the investment activities and performance of the Investment Funds. As of September 30, 2024, the Investment Funds had a net short notional exposure of 2%. The Investment Funds’ long exposure was 113% (100% long equity and 13% long credit) and its short exposure was 115% (92% short equity, 20% short credit and 3% short commodity). The notional exposure represents the ratio of the notional exposure of the Investment Funds’ invested capital to the net asset value of the Investment Funds at September 30, 2024.</w:t>
      </w:r>
    </w:p>
    <w:p>
      <w:pPr>
        <w:spacing w:after="0" w:line="16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Of the Investment Funds’ 113% long exposure, 58% was comprised of the fair value of its long positions and 55% was comprised mostly of single name equity forward and swap contracts. Of the Investment Funds’ 115% short exposure, 63% was comprised of the fair value of its short positions and 52% was comprised mostly of short broad market index swap derivative contracts, short credit default swap contracts and short commodity contracts.</w:t>
      </w:r>
    </w:p>
    <w:p>
      <w:pPr>
        <w:spacing w:after="0" w:line="18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(58% long exposure) and our short positions that are not notionalized (63%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With respect to the notional value of our other long positions (55% long exposure) and short positions (52%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Funds Redemptions and Distributions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Mr. Icahn and his affiliates (excluding us and Brett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redeemed $250 million and $2.0 billion, respectively, from his personal interest in the Investment Funds included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Investment segment in the nine months ended September 30, 2024 and 2023. As of September 30, 2024 and December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 2023, the total fair market value of investments in the Investment Funds owned by the Company was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$2.7 billion and $3.2 billion, respectively, representing approximately 64% and 60% of the Investment Funds’ assets under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as of each respective date.</w:t>
      </w:r>
    </w:p>
    <w:p>
      <w:pPr>
        <w:spacing w:after="0" w:line="20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Investment Funds issued a pro-rata distribution of $650 million in cash, including $256 million to Mr. Icahn and his affiliates (excluding us and Brett Icahn) and $394 million to the Holding Company.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Cash and Cash Equivalents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Segment Borrowings and Availability</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debt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64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-10795</wp:posOffset>
            </wp:positionV>
            <wp:extent cx="15519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-126365</wp:posOffset>
            </wp:positionV>
            <wp:extent cx="15519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February 2024, CVR Energy redeemed all of its $600 million in aggregate principal amount of 5.25% senior unsecured notes due 2025. As a result of this transaction, CVR Energy recognized a $1 million loss on extinguishment of debt for the nine months ended September 30, 2024.</w:t>
      </w:r>
    </w:p>
    <w:p>
      <w:pPr>
        <w:spacing w:after="0" w:line="17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2023 for information concerning terms, restrictions and covenants pertaining to our subsidiaries’ debt. As of September 30, 2024, all of our subsidiaries were in compliance with all debt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Our segments have additional borrowing availability under certain revolving credit facilities as summarized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Food Packaging</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Home Fashion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46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ind w:left="228"/>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635</wp:posOffset>
            </wp:positionV>
            <wp:extent cx="56489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48" w:hanging="848"/>
        <w:spacing w:after="0"/>
        <w:tabs>
          <w:tab w:leader="none" w:pos="8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w:t>
      </w:r>
    </w:p>
    <w:p>
      <w:pPr>
        <w:spacing w:after="0" w:line="7" w:lineRule="exact"/>
        <w:rPr>
          <w:rFonts w:ascii="Times New Roman" w:cs="Times New Roman" w:eastAsia="Times New Roman" w:hAnsi="Times New Roman"/>
          <w:sz w:val="18"/>
          <w:szCs w:val="18"/>
          <w:color w:val="auto"/>
        </w:rPr>
      </w:pPr>
    </w:p>
    <w:p>
      <w:pPr>
        <w:ind w:left="9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9" w:lineRule="exact"/>
        <w:rPr>
          <w:rFonts w:ascii="Times New Roman" w:cs="Times New Roman" w:eastAsia="Times New Roman" w:hAnsi="Times New Roman"/>
          <w:sz w:val="18"/>
          <w:szCs w:val="18"/>
          <w:color w:val="auto"/>
        </w:rPr>
      </w:pPr>
    </w:p>
    <w:p>
      <w:pPr>
        <w:ind w:left="10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-130810</wp:posOffset>
            </wp:positionV>
            <wp:extent cx="564896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848" w:hanging="848"/>
        <w:spacing w:after="0"/>
        <w:tabs>
          <w:tab w:leader="none" w:pos="8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46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46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52" w:space="720"/>
            <w:col w:w="1247"/>
          </w:cols>
          <w:pgMar w:left="1440" w:top="513" w:right="1440" w:bottom="1440" w:gutter="0" w:footer="0" w:header="0"/>
          <w:type w:val="continuous"/>
        </w:sectPr>
      </w:pPr>
    </w:p>
    <w:p>
      <w:pPr>
        <w:spacing w:after="0" w:line="61"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above outstanding debt and borrowing availability with respect to each of our continuing operating segments reflects third-party obligations.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8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Icahn Enterprises’ reporting segments and our Holding Company:</w:t>
      </w:r>
    </w:p>
    <w:p>
      <w:pPr>
        <w:sectPr>
          <w:pgSz w:w="11900" w:h="16838" w:orient="portrait"/>
          <w:cols w:equalWidth="0" w:num="1">
            <w:col w:w="9019"/>
          </w:cols>
          <w:pgMar w:left="1440" w:top="513" w:right="1440" w:bottom="1440" w:gutter="0" w:footer="0" w:header="0"/>
          <w:type w:val="continuous"/>
        </w:sectPr>
      </w:pPr>
    </w:p>
    <w:p>
      <w:pPr>
        <w:spacing w:after="0" w:line="169"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7620</wp:posOffset>
            </wp:positionV>
            <wp:extent cx="17399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Net Cash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-3175</wp:posOffset>
            </wp:positionV>
            <wp:extent cx="17399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ind w:left="3340"/>
        <w:spacing w:after="0" w:line="222" w:lineRule="auto"/>
        <w:tabs>
          <w:tab w:leader="none" w:pos="4300" w:val="left"/>
          <w:tab w:leader="none" w:pos="5260" w:val="left"/>
        </w:tabs>
        <w:rPr>
          <w:sz w:val="20"/>
          <w:szCs w:val="20"/>
          <w:color w:val="auto"/>
        </w:rPr>
      </w:pPr>
      <w:r>
        <w:rPr>
          <w:rFonts w:ascii="Times New Roman" w:cs="Times New Roman" w:eastAsia="Times New Roman" w:hAnsi="Times New Roman"/>
          <w:sz w:val="14"/>
          <w:szCs w:val="14"/>
          <w:b w:val="1"/>
          <w:bCs w:val="1"/>
          <w:color w:val="auto"/>
        </w:rPr>
        <w:t>Operating</w:t>
      </w:r>
      <w:r>
        <w:rPr>
          <w:sz w:val="20"/>
          <w:szCs w:val="20"/>
          <w:color w:val="auto"/>
        </w:rPr>
        <w:tab/>
      </w:r>
      <w:r>
        <w:rPr>
          <w:rFonts w:ascii="Times New Roman" w:cs="Times New Roman" w:eastAsia="Times New Roman" w:hAnsi="Times New Roman"/>
          <w:sz w:val="14"/>
          <w:szCs w:val="14"/>
          <w:b w:val="1"/>
          <w:bCs w:val="1"/>
          <w:color w:val="auto"/>
        </w:rPr>
        <w:t>Investing</w:t>
      </w:r>
      <w:r>
        <w:rPr>
          <w:sz w:val="20"/>
          <w:szCs w:val="20"/>
          <w:color w:val="auto"/>
        </w:rPr>
        <w:tab/>
      </w:r>
      <w:r>
        <w:rPr>
          <w:rFonts w:ascii="Times New Roman" w:cs="Times New Roman" w:eastAsia="Times New Roman" w:hAnsi="Times New Roman"/>
          <w:sz w:val="14"/>
          <w:szCs w:val="14"/>
          <w:b w:val="1"/>
          <w:bCs w:val="1"/>
          <w:color w:val="auto"/>
        </w:rPr>
        <w:t>Financing</w:t>
      </w:r>
    </w:p>
    <w:p>
      <w:pPr>
        <w:spacing w:after="0" w:line="1" w:lineRule="exact"/>
        <w:rPr>
          <w:sz w:val="20"/>
          <w:szCs w:val="20"/>
          <w:color w:val="auto"/>
        </w:rPr>
      </w:pPr>
    </w:p>
    <w:p>
      <w:pPr>
        <w:ind w:left="3360"/>
        <w:spacing w:after="0"/>
        <w:tabs>
          <w:tab w:leader="none" w:pos="4300" w:val="left"/>
          <w:tab w:leader="none" w:pos="5280" w:val="left"/>
        </w:tabs>
        <w:rPr>
          <w:sz w:val="20"/>
          <w:szCs w:val="20"/>
          <w:color w:val="auto"/>
        </w:rPr>
      </w:pP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-3175</wp:posOffset>
            </wp:positionV>
            <wp:extent cx="17399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7620</wp:posOffset>
            </wp:positionV>
            <wp:extent cx="17748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-3175</wp:posOffset>
            </wp:positionV>
            <wp:extent cx="17748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222" w:lineRule="auto"/>
        <w:tabs>
          <w:tab w:leader="none" w:pos="1000" w:val="left"/>
          <w:tab w:leader="none" w:pos="1960" w:val="left"/>
        </w:tabs>
        <w:rPr>
          <w:sz w:val="20"/>
          <w:szCs w:val="20"/>
          <w:color w:val="auto"/>
        </w:rPr>
      </w:pPr>
      <w:r>
        <w:rPr>
          <w:rFonts w:ascii="Times New Roman" w:cs="Times New Roman" w:eastAsia="Times New Roman" w:hAnsi="Times New Roman"/>
          <w:sz w:val="14"/>
          <w:szCs w:val="14"/>
          <w:b w:val="1"/>
          <w:bCs w:val="1"/>
          <w:color w:val="auto"/>
        </w:rPr>
        <w:t>Operating</w:t>
      </w:r>
      <w:r>
        <w:rPr>
          <w:sz w:val="20"/>
          <w:szCs w:val="20"/>
          <w:color w:val="auto"/>
        </w:rPr>
        <w:tab/>
      </w:r>
      <w:r>
        <w:rPr>
          <w:rFonts w:ascii="Times New Roman" w:cs="Times New Roman" w:eastAsia="Times New Roman" w:hAnsi="Times New Roman"/>
          <w:sz w:val="14"/>
          <w:szCs w:val="14"/>
          <w:b w:val="1"/>
          <w:bCs w:val="1"/>
          <w:color w:val="auto"/>
        </w:rPr>
        <w:t>Investing</w:t>
      </w:r>
      <w:r>
        <w:rPr>
          <w:sz w:val="20"/>
          <w:szCs w:val="20"/>
          <w:color w:val="auto"/>
        </w:rPr>
        <w:tab/>
      </w:r>
      <w:r>
        <w:rPr>
          <w:rFonts w:ascii="Times New Roman" w:cs="Times New Roman" w:eastAsia="Times New Roman" w:hAnsi="Times New Roman"/>
          <w:sz w:val="14"/>
          <w:szCs w:val="14"/>
          <w:b w:val="1"/>
          <w:bCs w:val="1"/>
          <w:color w:val="auto"/>
        </w:rPr>
        <w:t>Financing</w:t>
      </w:r>
    </w:p>
    <w:p>
      <w:pPr>
        <w:spacing w:after="0" w:line="1" w:lineRule="exact"/>
        <w:rPr>
          <w:sz w:val="20"/>
          <w:szCs w:val="20"/>
          <w:color w:val="auto"/>
        </w:rPr>
      </w:pPr>
    </w:p>
    <w:p>
      <w:pPr>
        <w:ind w:left="20"/>
        <w:spacing w:after="0"/>
        <w:tabs>
          <w:tab w:leader="none" w:pos="980" w:val="left"/>
          <w:tab w:leader="none" w:pos="1980" w:val="left"/>
        </w:tabs>
        <w:rPr>
          <w:sz w:val="20"/>
          <w:szCs w:val="20"/>
          <w:color w:val="auto"/>
        </w:rPr>
      </w:pP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-3175</wp:posOffset>
            </wp:positionV>
            <wp:extent cx="1774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5900" w:space="340"/>
            <w:col w:w="277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Segments:</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Energy</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Packaging</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Home Fashion</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Pharma</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segments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before eliminations</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Eliminations</w:t>
      </w:r>
    </w:p>
    <w:p>
      <w:pPr>
        <w:spacing w:after="0" w:line="22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Eliminations in the table above relate to certain of our Holding Company’s transactions with our Investment and other operating segments. Our Holding Company’s net (investments in) distributions from the Investments Funds, when</w:t>
      </w:r>
    </w:p>
    <w:p>
      <w:pPr>
        <w:sectPr>
          <w:pgSz w:w="11900" w:h="16838" w:orient="portrait"/>
          <w:cols w:equalWidth="0" w:num="1">
            <w:col w:w="9019"/>
          </w:cols>
          <w:pgMar w:left="1440" w:top="513" w:right="1440"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197"/>
        </w:trPr>
        <w:tc>
          <w:tcPr>
            <w:tcW w:w="6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412"/>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interest on senior unsecured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for income taxes, net of payments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transactions with subsidiaries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other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9"/>
        </w:trPr>
        <w:tc>
          <w:tcPr>
            <w:tcW w:w="6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partial sale of interests in consolidated subsidiaries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from the Investment Funds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from operating segments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to operating segments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note receivable disbursements and repayments, net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Holding Company senior unsecured notes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repurchases of Holding Company senior unsecured notes</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to acquire additional interests in subsidiaries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Increase in cash and cash equivalents and restricted cash and restricted cash</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220" w:type="dxa"/>
            <w:vAlign w:val="bottom"/>
            <w:vMerge w:val="continue"/>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0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Operating transactions with subsidiaries includes the reimbursement of operating expenses to our Investment segment based on an expense-sharing agreement.</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Proceeds from partial sale of interests in consolidated subsidiaries include proceeds from the sale of equity investments.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Distributions paid from the Investment Funds include a pro-rata distribution paid, which includes payment to the Holding Company, and are eliminated in consolidation.</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Cash from operating segments is made up of dividends, distributions, and repayments of intercompany loans that are eliminated in consolidation. During the nine months ended September 30, 2024, this includes cash dividends received from our Energy segment of $100 million, cash distributions received from our Real Estate segment of $24 million, cash distributions from our Automotive segment of $7 million and repayments of intercompany loans from our Pharma segment of $15 million. During the nine months ended September 30, 2023, this includes cash dividends received from our Energy segment of $178 million, cash distributions from our Real Estate segment of $39 million and cash distributions from our Pharma segment of $10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to operating segments is made up of intercompany loans and contributions to operating segments that are eliminated in consolidation. During the nine months ended September 30, 2024, changes in cash to operating segments was mainly attributable to cash paid to our Automotive segment of $38 million, Real Estate segment of $22 million and Home Fashion segment of $16 million. During the nine months ended September 30, 2023, this includes cash paid to our Automotive segment of $11 million, Real Estate segment of $9 million and our Home Fashion segment of $2 million.</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Partnership contributions represent sales in connection with our At-The-Market offerings pursuant to our Open Market Sale Agreements, as discussed above.</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Partnership distributions represent cash paid to depositary unitholders in connection with our regularly quarterly distributions.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Dividends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nine months ended September 30, 2024, we received $100 million in dividends from our Energy segment.</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Investment Segment</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Investment segment’s cash flows from operating activities for the comparable periods were attributable to its net investment transactions.</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Investment segment’s cash flows used in financing activities for the nine months ended September 30, 2024 was mainly attributable to a pro-rata distribution of $650 million and redemptions paid to Mr. Icahn and his affiliates (excluding us and Brett Icahn) of $250 million from the Investment Funds. Our Investment segment’s cash flows used in financing activities for the nine months ended September 30, 2023 was mainly attributable to redemptions paid to Mr. Icahn and his affiliates (excluding us and Brett Icahn) of $2.0 billion.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Operating Segments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240" w:type="dxa"/>
            <w:vAlign w:val="bottom"/>
          </w:tcPr>
          <w:p>
            <w:pPr>
              <w:spacing w:after="0"/>
              <w:rPr>
                <w:sz w:val="19"/>
                <w:szCs w:val="19"/>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62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41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cash flow from operating activities before changes in operating assets and</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76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76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(192)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Turnaround expenditures</w:t>
            </w:r>
          </w:p>
        </w:tc>
        <w:tc>
          <w:tcPr>
            <w:tcW w:w="7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of equity method investment</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(230)</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76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7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(617)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non-controlling interests</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from Holding Company</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to Holding Company</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(146)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2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and restricted cash equivalents</w:t>
            </w: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2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Decrease (increase) in cash and cash equivalents and restricted cash and restricted</w:t>
            </w:r>
          </w:p>
        </w:tc>
        <w:tc>
          <w:tcPr>
            <w:tcW w:w="760" w:type="dxa"/>
            <w:vAlign w:val="bottom"/>
            <w:vMerge w:val="restart"/>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(633)</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76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other operating segments’ cash flows from operating activities before changes in operating assets and liabilities were primarily attributable to the results of our Energy segment during both periods. The change in cash flows from operating activities for the nine months ended September 30, 2024 as compared to the comparable prior year was primarily due to a decrease in the operating results of our Energy segment primarily associated with a decrease in our petroleum business’ net sales.</w:t>
      </w:r>
    </w:p>
    <w:p>
      <w:pPr>
        <w:spacing w:after="0" w:line="183"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and turnaround expenditures are primarily from our Energy and Automotive segments and are primarily for maintenance and growth and includes the planned maintenance of one of its refineries in both periods.</w:t>
      </w:r>
    </w:p>
    <w:p>
      <w:pPr>
        <w:spacing w:after="0" w:line="162" w:lineRule="exact"/>
        <w:rPr>
          <w:sz w:val="20"/>
          <w:szCs w:val="20"/>
          <w:color w:val="auto"/>
        </w:rPr>
      </w:pPr>
    </w:p>
    <w:p>
      <w:pPr>
        <w:ind w:left="60" w:right="139" w:firstLine="369"/>
        <w:spacing w:after="0" w:line="282" w:lineRule="auto"/>
        <w:rPr>
          <w:sz w:val="20"/>
          <w:szCs w:val="20"/>
          <w:color w:val="auto"/>
        </w:rPr>
      </w:pPr>
      <w:r>
        <w:rPr>
          <w:rFonts w:ascii="Times New Roman" w:cs="Times New Roman" w:eastAsia="Times New Roman" w:hAnsi="Times New Roman"/>
          <w:sz w:val="18"/>
          <w:szCs w:val="18"/>
          <w:color w:val="auto"/>
        </w:rPr>
        <w:t>Repayments of other borrowings are related to our Energy segment’s redemption of $600 million principal amount of its 5.25% senior unsecured notes due February 2025.</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Distributions to non-controlling interests were from our Energy segment related to its regular quarterly dividends and distributions, excluding payments made to us.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Cash from Holding Company is made up of intercompany loans and contributions between our Holding Company and subsidiaries that are eliminated in consolidation. During the nine months ended September 30, 2024, the changes in cash from Holding Company were mainly attributable to cash paid to our Automotive segment of $38 million, Real Estate segment of $22 million and our Home Fashion segment of $16 million. During the nine months ended September 30, 2023, this included cash paid to our Automotive segment of $11 million, Real Estate segment of $9 million and our Home Fashion segment of $2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Cash to Holding Company is made up of dividends, distributions and intercompany loans that are eliminated in consolidation. During the nine months ended September 30, 2024, this includes cash dividends paid from our Energy segment of $100 million, cash distributions from our Real Estate segment of $24 million, cash distributions from our Automotive segment of $7 million, and repayments of intercompany loans from our Pharma segment of $15 million. During the nine months ended September 30, 2023, this includes cash dividends from our Energy segment of $178 million and cash distributions from our Real Estate segment of $39 million and cash distributions from our Pharma segment of $10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Capital Expenditures</w:t>
      </w:r>
    </w:p>
    <w:p>
      <w:pPr>
        <w:spacing w:after="0" w:line="229" w:lineRule="exact"/>
        <w:rPr>
          <w:sz w:val="20"/>
          <w:szCs w:val="20"/>
          <w:color w:val="auto"/>
        </w:rPr>
      </w:pPr>
    </w:p>
    <w:p>
      <w:pPr>
        <w:ind w:left="60" w:right="7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to our planned capital expenditures as compared to the estimated capital expenditures for 2024 reported in our Annual Report on Form 10-K for the year ended December 31, 2023.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12" w:lineRule="auto"/>
        <w:rPr>
          <w:sz w:val="20"/>
          <w:szCs w:val="20"/>
          <w:color w:val="auto"/>
        </w:rPr>
      </w:pPr>
      <w:r>
        <w:rPr>
          <w:rFonts w:ascii="Times New Roman" w:cs="Times New Roman" w:eastAsia="Times New Roman" w:hAnsi="Times New Roman"/>
          <w:sz w:val="17"/>
          <w:szCs w:val="17"/>
          <w:color w:val="auto"/>
        </w:rPr>
        <w:t>Refer to Note 2, “Basis of Presentation and Summary of Significant Accounting Policies,” to the condensed consolidated financial statements for a discussion of recent accounting pronouncements applicable to us.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Except as discussed below, information about our quantitative and qualitative disclosures about market risk did not differ materially from those disclosed in our Annual Report on Form 10-K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7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2024, we estimate that in the event of a 10% adverse change in the fair value of these investments, the fair values of securities owned, securities sold, not yet purchased and derivatives would be negatively impacted by approximately $248 million, $268 million and $498 million, respectively. However, as of September 30, 2024, we estimate that the impact to our share of the net gain (loss) from investment activities reported in our condensed consolidated statement of operations would be less than the change in fair value since we have an interest of approximately 64% in the Investment Funds.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2024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business. Refer to Note 18, “Commitments and Contingencies” to the condensed consolidated financial statements, which is incorporated by reference into this Part II, Item 1 of this Report, for information regarding our lawsuits and proceedings. Except for the lawsuits and proceedings disclosed in Note 18, there were no material changes to our lawsuits and proceedings as compared to those reported in our Annual Report on Form 10-K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Other than as set forth below, there were no material changes to our risk factors during the nine months ended September 30, 2024 as compared to those reported in our Annual Report on Form 10-K for the year ended December 31, 2023.</w:t>
      </w:r>
    </w:p>
    <w:p>
      <w:pPr>
        <w:spacing w:after="0" w:line="172"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p>
    <w:p>
      <w:pPr>
        <w:spacing w:after="0" w:line="17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Mr. Icahn, through affiliates, owns 100% of Icahn Enterprises GP, the general partner of Icahn Enterprises, and approximately 86% of Icahn Enterprises’ outstanding depositary units as of September 30, 2024, and, as a result, has the ability to influence many aspects of our operations and affairs.</w:t>
      </w:r>
    </w:p>
    <w:p>
      <w:pPr>
        <w:spacing w:after="0" w:line="176" w:lineRule="exact"/>
        <w:rPr>
          <w:sz w:val="20"/>
          <w:szCs w:val="20"/>
          <w:color w:val="auto"/>
        </w:rPr>
      </w:pPr>
    </w:p>
    <w:p>
      <w:pPr>
        <w:ind w:left="60" w:right="99" w:firstLine="324"/>
        <w:spacing w:after="0" w:line="271" w:lineRule="auto"/>
        <w:rPr>
          <w:sz w:val="20"/>
          <w:szCs w:val="20"/>
          <w:color w:val="auto"/>
        </w:rPr>
      </w:pPr>
      <w:r>
        <w:rPr>
          <w:rFonts w:ascii="Times New Roman" w:cs="Times New Roman" w:eastAsia="Times New Roman" w:hAnsi="Times New Roman"/>
          <w:sz w:val="17"/>
          <w:szCs w:val="17"/>
          <w:color w:val="auto"/>
        </w:rPr>
        <w:t>Mr. Icahn’s estate plan has been designed to assure the stability and continuation of Icahn Enterprises and to minimize the need to monetize his interests for estate tax or other purposes. In the event of Mr. Icahn’s death, a substantial majority of Mr. Icahn’s interests in Icahn Enterprises and its general partner are expected to pass to trusts or charitable organizations that will be under the control of a group that will include Icahn family members and current or former senior Icahn Enterprises executives. However, there can be no assurance that such planning will be effective. Furthermore, if upon Mr. Icahn’s death control of Icahn Enterprises GP is not given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spacing w:after="0" w:line="17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in past years through the present, Mr. Icahn from time to time has had and currently has borrowings from lenders and has pledged assets he owns personally, directly or through his affiliates, to secure these loans, which pledged assets include Icahn Enterprises depositary units and interests in the Investment Funds. The number of depositary units and the amount of interests in the Investment Funds owned personally by Mr. Icahn, directly or through his affiliates, pledged to secure these loans has been substantial and has fluctuated over time as a result of the amount of outstanding principal amount of the loans, the market price of the depositary units, the value of the Investment Fund interests, and other factors. As of September 30, 2024, Mr. Icahn and his affiliates have pledged 433,206,933 depositary units and approximately $1.1 billion of interests in the Investment Funds. Neither Icahn Enterprises nor any of its subsidiaries are party to these loans. Mr. Icahn amended and restated his loan agreements in July of 2023 (as amended and restated, the “Loan Agreement”), extending the maturity of certain of the previous loans, amending certain covenants, and providing for a principal payment of $500 million that was made prior to September 1, 2023, quarterly principal payments of $87.5 million beginning in September 2024, and a final principal payment of $2.6 billion at the end of the term. On July 2, 2024, Mr. Icahn and his affiliates entered into Amendment No. 1 to the Loan Agreement (“Amendment No. 1”). Among other changes, Amendment No. 1 extended the maturity of the Loan Agreement to July 2027 and correspondingly extended the payment due dates under the Loan Agreement, amended certain covenants, provided for a principal payment of approximately $453 million in connection with the execution of Amendment No. 1, and provided for additional quarterly principal payments of $87.5 million during the additional term of the Loan Agreement. In addition, Amendment No. 1 provides for the pledging by Mr. Icahn of (i) depositary units of IEP owned by Mr. Icahn, (ii) interests owned by Mr. Icahn in the Investment Funds, and (iii) certain other collateral unrelated to IEP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or the Investment Funds. The terms of the Loan Agreement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w:t>
      </w:r>
    </w:p>
    <w:p>
      <w:pPr>
        <w:spacing w:after="0" w:line="18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Unlike the previous loan agreements, for purposes of the loan-to-value ratio set forth in the Loan Agreement, the value of the pledged depositary units will be calculated based upon the Company’s indicative net asset value rather than the market price of the depositary units. Only a significant decline in the Company’s indicative net asset value, or the value of the interests in the Investment Funds, could result in margin calls. Declines in the trading price of the Company’s depositary units will no longer require Mr. Icahn to deposit additional funds or securities with the lenders or suffer foreclosure on or a forced sale of Mr. Icahn’s depositary units or other assets. While we are confident in our investment strategy and ability to continue to grow our investment portfolio through a refocused activist strategy, and in the effectiveness of our hedges, which are designed to avoid fluctuations in the value of our portfolio, successful execution of our activist investment activities and other aspects of our business involves many risks (including those set forth herein), some of which are out of our control.</w:t>
      </w:r>
    </w:p>
    <w:p>
      <w:pPr>
        <w:spacing w:after="0" w:line="194"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Mr. Icahn may sell depositary units or make withdrawals from the Investment Funds in order to satisfy payment obligations under the Loan Agreements. Mr. Icahn has made withdrawals from the Investment Funds in recent months, including in connection with the principal payment made in connection with Amendment No. 1 to the Loan Agreements, and may make additional withdrawals in the future, in order to repay a portion of his loans and for other purposes. In the event Mr. Icahn makes withdrawal requests from the Investment Funds, the Investment Funds may satisfy such withdrawal requests with cash or cash equivalents on hand, proceeds from sales of assets held by the Investment Funds or capital contributions from the Company, which could adversely affect the value of the assets held by the Investment Funds as well as the liquidity available to the Company.</w:t>
      </w:r>
    </w:p>
    <w:p>
      <w:pPr>
        <w:spacing w:after="0" w:line="192"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86% of 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spacing w:after="0" w:line="189"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spacing w:after="0" w:line="1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75"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 and in our Annual Report on Form 10-K and other filings with the SEC.</w:t>
      </w:r>
    </w:p>
    <w:p>
      <w:pPr>
        <w:spacing w:after="0" w:line="17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187" w:lineRule="exact"/>
        <w:rPr>
          <w:sz w:val="20"/>
          <w:szCs w:val="20"/>
          <w:color w:val="auto"/>
        </w:rPr>
      </w:pPr>
    </w:p>
    <w:p>
      <w:pPr>
        <w:ind w:left="60" w:right="499" w:firstLine="324"/>
        <w:spacing w:after="0" w:line="312" w:lineRule="auto"/>
        <w:rPr>
          <w:sz w:val="20"/>
          <w:szCs w:val="20"/>
          <w:color w:val="auto"/>
        </w:rPr>
      </w:pPr>
      <w:r>
        <w:rPr>
          <w:rFonts w:ascii="Times New Roman" w:cs="Times New Roman" w:eastAsia="Times New Roman" w:hAnsi="Times New Roman"/>
          <w:sz w:val="17"/>
          <w:szCs w:val="17"/>
          <w:color w:val="auto"/>
        </w:rPr>
        <w:t>At any given time, the Investment Funds’ assets may become highly concentrated within a particular company, industry, asset category, trading style or financial or economic market, and the level of concentration can be increased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58" w:lineRule="auto"/>
        <w:rPr>
          <w:sz w:val="20"/>
          <w:szCs w:val="20"/>
          <w:color w:val="auto"/>
        </w:rPr>
      </w:pPr>
      <w:r>
        <w:rPr>
          <w:rFonts w:ascii="Times New Roman" w:cs="Times New Roman" w:eastAsia="Times New Roman" w:hAnsi="Times New Roman"/>
          <w:sz w:val="18"/>
          <w:szCs w:val="18"/>
          <w:color w:val="auto"/>
        </w:rPr>
        <w:t>through the use of swaps or other derivative instruments.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Typically, our top holdings in the Investment Funds represent a significant percentage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spacing w:after="0" w:line="183"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18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183"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or otherwise lower levels at a future time of valuation or at the time of sale.</w:t>
      </w:r>
    </w:p>
    <w:p>
      <w:pPr>
        <w:spacing w:after="0" w:line="18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Pursuant to the terms of our swap and other derivative agreements, certain events, including a voluntary or involuntary bankruptcy filing involving the company issuing the securities referenced by such agreements or a delisting of such referenced securities, could give our derivative counterparties termination rights that would result in the closing of our swap positions and the realization of any and all losses, even if the referenced securities are not extinguished and thereafter appreciate in value. The Investment Funds are subject to the risk of failure of any of the exchanges on which their positions trade or of their clearinghouses.</w:t>
      </w:r>
    </w:p>
    <w:p>
      <w:pPr>
        <w:spacing w:after="0" w:line="190"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and the value of derivatives or other instruments used to provide leverage may not always be correlated to the value of the reference equity security, which could lead to increased losses in circumstances when the value of the reference security remains higher than that of the derivative. The cumulative effect of the use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1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Investment Funds may enter into repurchase and reverse repurchase agreements. When the Investment Fund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19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or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239" w:firstLine="324"/>
        <w:spacing w:after="0" w:line="289" w:lineRule="auto"/>
        <w:rPr>
          <w:sz w:val="20"/>
          <w:szCs w:val="20"/>
          <w:color w:val="auto"/>
        </w:rPr>
      </w:pPr>
      <w:r>
        <w:rPr>
          <w:rFonts w:ascii="Times New Roman" w:cs="Times New Roman" w:eastAsia="Times New Roman" w:hAnsi="Times New Roman"/>
          <w:sz w:val="17"/>
          <w:szCs w:val="17"/>
          <w:color w:val="auto"/>
        </w:rPr>
        <w:t>We did not repurchase any depositary units pursuant to our approved repurchase program discussed above. The table below summarizes other repurchases of our depositary units during the quarter ended September 30, 2024, all of which represent the settlement of vested units and units withheld to pay taxes on the vesting of restricted depositary units.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8"/>
                <w:szCs w:val="18"/>
                <w:color w:val="auto"/>
              </w:rPr>
            </w:pPr>
          </w:p>
        </w:tc>
        <w:tc>
          <w:tcPr>
            <w:tcW w:w="15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Number</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(or Approximate Dollar</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Value) of Units that</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Purchased as Part</w:t>
            </w: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May</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Publicly</w:t>
            </w: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Yet be Purchased Under</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12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 Per</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Announced</w:t>
            </w:r>
          </w:p>
        </w:tc>
        <w:tc>
          <w:tcPr>
            <w:tcW w:w="120" w:type="dxa"/>
            <w:vAlign w:val="bottom"/>
          </w:tcPr>
          <w:p>
            <w:pPr>
              <w:spacing w:after="0"/>
              <w:rPr>
                <w:sz w:val="17"/>
                <w:szCs w:val="17"/>
                <w:color w:val="auto"/>
              </w:rPr>
            </w:pPr>
          </w:p>
        </w:tc>
        <w:tc>
          <w:tcPr>
            <w:tcW w:w="15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120" w:type="dxa"/>
            <w:vAlign w:val="bottom"/>
          </w:tcPr>
          <w:p>
            <w:pPr>
              <w:spacing w:after="0"/>
              <w:rPr>
                <w:sz w:val="18"/>
                <w:szCs w:val="18"/>
                <w:color w:val="auto"/>
              </w:rPr>
            </w:pPr>
          </w:p>
        </w:tc>
        <w:tc>
          <w:tcPr>
            <w:tcW w:w="15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199"/>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2024 through July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500,000,000</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2024 through August 31, 2024</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500,000,000</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2024 through September 30,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16a-f(1), adopted or terminated a “Rule 10b5-1 trading arrangement” or a “non-Rule 10b5-1 trading arrangement,” each as defined in Regulation S-K Item 408.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720" w:type="dxa"/>
            <w:vAlign w:val="bottom"/>
            <w:gridSpan w:val="9"/>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vMerge w:val="continue"/>
          </w:tcPr>
          <w:p>
            <w:pPr>
              <w:spacing w:after="0"/>
              <w:rPr>
                <w:sz w:val="14"/>
                <w:szCs w:val="14"/>
                <w:color w:val="auto"/>
              </w:rPr>
            </w:pPr>
          </w:p>
        </w:tc>
        <w:tc>
          <w:tcPr>
            <w:tcW w:w="7640" w:type="dxa"/>
            <w:vAlign w:val="bottom"/>
            <w:gridSpan w:val="11"/>
          </w:tcPr>
          <w:p>
            <w:pPr>
              <w:spacing w:after="0" w:line="169"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Employment Letter Agreement, dated September 26, 2024, by and among the Company and 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11"/>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Papapostolou (incorporated by reference to Exhibit 10.1 to the Company’s Current Report on Form 8-K</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filed September 27, 2024).</w:t>
              </w:r>
            </w:hyperlink>
          </w:p>
        </w:tc>
        <w:tc>
          <w:tcPr>
            <w:tcW w:w="5540" w:type="dxa"/>
            <w:vAlign w:val="bottom"/>
            <w:tcBorders>
              <w:top w:val="single" w:sz="8" w:color="0000EE"/>
            </w:tcBorders>
            <w:gridSpan w:val="7"/>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9"/>
                <w:szCs w:val="19"/>
                <w:color w:val="auto"/>
              </w:rPr>
            </w:pPr>
          </w:p>
        </w:tc>
        <w:tc>
          <w:tcPr>
            <w:tcW w:w="7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302(a) of the Sarbanes-Oxley Act of 2002</w:t>
            </w:r>
          </w:p>
        </w:tc>
        <w:tc>
          <w:tcPr>
            <w:tcW w:w="2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and Rule 13a 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76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302(a) of the Sarbanes-Oxley Act of 2002 and</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of the Securities Exchange Act of 1934.</w:t>
            </w:r>
          </w:p>
        </w:tc>
        <w:tc>
          <w:tcPr>
            <w:tcW w:w="36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9"/>
                <w:szCs w:val="19"/>
                <w:color w:val="auto"/>
              </w:rPr>
            </w:pPr>
          </w:p>
        </w:tc>
        <w:tc>
          <w:tcPr>
            <w:tcW w:w="76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Section 906 of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(18 U.S.C. 1350) and Rule 13a-14(b) of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1934.</w:t>
            </w:r>
          </w:p>
        </w:tc>
        <w:tc>
          <w:tcPr>
            <w:tcW w:w="152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101.SCH</w:t>
            </w:r>
          </w:p>
        </w:tc>
        <w:tc>
          <w:tcPr>
            <w:tcW w:w="7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101.CAL</w:t>
            </w:r>
          </w:p>
        </w:tc>
        <w:tc>
          <w:tcPr>
            <w:tcW w:w="7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101.LAB</w:t>
            </w:r>
          </w:p>
        </w:tc>
        <w:tc>
          <w:tcPr>
            <w:tcW w:w="7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101.PRE</w:t>
            </w:r>
          </w:p>
        </w:tc>
        <w:tc>
          <w:tcPr>
            <w:tcW w:w="7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101.DEF</w:t>
            </w:r>
          </w:p>
        </w:tc>
        <w:tc>
          <w:tcPr>
            <w:tcW w:w="7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300" w:hanging="90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Icahn Enterprises G.P. Inc., its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Andrew Teno</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23" w:lineRule="exact"/>
        <w:rPr>
          <w:sz w:val="20"/>
          <w:szCs w:val="20"/>
          <w:color w:val="auto"/>
        </w:rPr>
      </w:pPr>
    </w:p>
    <w:p>
      <w:pPr>
        <w:ind w:left="5280"/>
        <w:spacing w:after="0"/>
        <w:tabs>
          <w:tab w:leader="none" w:pos="8120" w:val="left"/>
        </w:tabs>
        <w:rPr>
          <w:sz w:val="20"/>
          <w:szCs w:val="20"/>
          <w:color w:val="auto"/>
        </w:rPr>
      </w:pPr>
      <w:r>
        <w:rPr>
          <w:rFonts w:ascii="Times New Roman" w:cs="Times New Roman" w:eastAsia="Times New Roman" w:hAnsi="Times New Roman"/>
          <w:sz w:val="18"/>
          <w:szCs w:val="18"/>
          <w:color w:val="auto"/>
        </w:rPr>
        <w:t>Chief Financial Officer and Director</w:t>
      </w:r>
      <w:r>
        <w:rPr>
          <w:sz w:val="20"/>
          <w:szCs w:val="20"/>
          <w:color w:val="auto"/>
        </w:rPr>
        <w:tab/>
      </w:r>
      <w:r>
        <w:rPr>
          <w:rFonts w:ascii="Times New Roman" w:cs="Times New Roman" w:eastAsia="Times New Roman" w:hAnsi="Times New Roman"/>
          <w:sz w:val="17"/>
          <w:szCs w:val="17"/>
          <w:color w:val="auto"/>
        </w:rPr>
        <w:t>(Principal</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Robert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Robert Flint</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Teno, certify that:</w:t>
      </w:r>
    </w:p>
    <w:p>
      <w:pPr>
        <w:spacing w:after="0" w:line="225" w:lineRule="exact"/>
        <w:rPr>
          <w:sz w:val="20"/>
          <w:szCs w:val="20"/>
          <w:color w:val="auto"/>
        </w:rPr>
      </w:pPr>
    </w:p>
    <w:p>
      <w:pPr>
        <w:ind w:left="500" w:hanging="179"/>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September 30, 2024;</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20" w:firstLine="321"/>
        <w:spacing w:after="0" w:line="266" w:lineRule="auto"/>
        <w:tabs>
          <w:tab w:leader="none" w:pos="5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17145</wp:posOffset>
            </wp:positionV>
            <wp:extent cx="331787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17875" cy="25400"/>
                    </a:xfrm>
                    <a:prstGeom prst="rect">
                      <a:avLst/>
                    </a:prstGeom>
                    <a:noFill/>
                  </pic:spPr>
                </pic:pic>
              </a:graphicData>
            </a:graphic>
          </wp:anchor>
        </w:drawing>
      </w:r>
    </w:p>
    <w:p>
      <w:pPr>
        <w:spacing w:after="0" w:line="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Andrew Teno</w:t>
      </w:r>
    </w:p>
    <w:p>
      <w:pPr>
        <w:spacing w:after="0" w:line="63" w:lineRule="exact"/>
        <w:rPr>
          <w:sz w:val="20"/>
          <w:szCs w:val="20"/>
          <w:color w:val="auto"/>
        </w:rPr>
      </w:pPr>
    </w:p>
    <w:p>
      <w:pPr>
        <w:ind w:left="4240" w:right="24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September 30, 2024;</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0" w:firstLine="321"/>
        <w:spacing w:after="0" w:line="266"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50"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70" w:name="page71"/>
    <w:bookmarkEnd w:id="70"/>
    <w:p>
      <w:pPr>
        <w:ind w:left="8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Icahn Enterprises L.P., for the period ended September 30, 2024, the undersigned certify that, to the best of his knowledge, based upon a review of the Icahn Enterprises L.P. quarterly report on Form 10-Q for the period ended September 30, 2024:</w:t>
      </w:r>
    </w:p>
    <w:p>
      <w:pPr>
        <w:spacing w:after="0" w:line="176" w:lineRule="exact"/>
        <w:rPr>
          <w:sz w:val="20"/>
          <w:szCs w:val="20"/>
          <w:color w:val="auto"/>
        </w:rPr>
      </w:pPr>
    </w:p>
    <w:p>
      <w:pPr>
        <w:ind w:right="460" w:firstLine="321"/>
        <w:spacing w:after="0" w:line="282"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321"/>
        <w:spacing w:after="0" w:line="282"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17145</wp:posOffset>
            </wp:positionV>
            <wp:extent cx="341185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411855" cy="25400"/>
                    </a:xfrm>
                    <a:prstGeom prst="rect">
                      <a:avLst/>
                    </a:prstGeom>
                    <a:noFill/>
                  </pic:spPr>
                </pic:pic>
              </a:graphicData>
            </a:graphic>
          </wp:anchor>
        </w:drawing>
      </w:r>
    </w:p>
    <w:p>
      <w:pPr>
        <w:spacing w:after="0" w:line="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Andrew Teno</w:t>
      </w:r>
    </w:p>
    <w:p>
      <w:pPr>
        <w:spacing w:after="0" w:line="63" w:lineRule="exact"/>
        <w:rPr>
          <w:sz w:val="20"/>
          <w:szCs w:val="20"/>
          <w:color w:val="auto"/>
        </w:rPr>
      </w:pPr>
    </w:p>
    <w:p>
      <w:pPr>
        <w:ind w:left="4080" w:right="12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86455" cy="25400"/>
                    </a:xfrm>
                    <a:prstGeom prst="rect">
                      <a:avLst/>
                    </a:prstGeom>
                    <a:noFill/>
                  </pic:spPr>
                </pic:pic>
              </a:graphicData>
            </a:graphic>
          </wp:anchor>
        </w:drawing>
      </w:r>
    </w:p>
    <w:p>
      <w:pPr>
        <w:spacing w:after="0" w:line="7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63"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0"/>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6"/>
    </w:lvl>
  </w:abstractNum>
  <w:abstractNum w:abstractNumId="9">
    <w:nsid w:val="DED7263"/>
    <w:multiLevelType w:val="hybridMultilevel"/>
    <w:lvl w:ilvl="0">
      <w:lvlJc w:val="left"/>
      <w:lvlText w:val="%1."/>
      <w:numFmt w:val="decimal"/>
      <w:start w:val="17"/>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95" Type="http://schemas.openxmlformats.org/officeDocument/2006/relationships/hyperlink" Target="https://www.sec.gov/Archives/edgar/data/813762/000110465924103732/tm242507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2024-11-08T16:30:01Z</dcterms:created>
  <dcterms:modified xsi:type="dcterms:W3CDTF">2024-11-08T16:30:01Z</dcterms:modified>
</cp:coreProperties>
</file>