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40630x10q.htm"/>
        <w:bookmarkStart w:id="1" w:name="kstmb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6"/>
        </w:rPr>
      </w:pPr>
      <w:bookmarkStart w:id="2" w:name="_37a14a4f_4f72_42d2_a0a9_62a8c56e5e9c"/>
      <w:bookmarkEnd w:id="2"/>
      <w:r>
        <w:rPr>
          <w:rFonts w:ascii="Times New Roman;Times;serif" w:hAnsi="Times New Roman;Times;serif"/>
          <w:b/>
          <w:sz w:val="16"/>
        </w:rPr>
        <w:t>UNITED STATES 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20"/>
        <w:ind w:left="0" w:right="0" w:hanging="360"/>
        <w:jc w:val="left"/>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Normal"/>
        <w:bidi w:val="0"/>
        <w:spacing w:before="0" w:after="0"/>
        <w:jc w:val="left"/>
        <w:rPr>
          <w:sz w:val="4"/>
          <w:szCs w:val="4"/>
        </w:rPr>
      </w:pPr>
      <w:r>
        <w:rPr>
          <w:sz w:val="4"/>
          <w:szCs w:val="4"/>
        </w:rPr>
      </w:r>
      <w:bookmarkStart w:id="3" w:name="Tc_sPILpuZEIk6PgnAx_w8B3Q_1_3"/>
      <w:bookmarkStart w:id="4" w:name="Tc_FoEIMDIVwEiUjwvS-eaPUA_1_2"/>
      <w:bookmarkStart w:id="5" w:name="Tc_eKlCWj2JoUWLcexwHxFu1g_1_1"/>
      <w:bookmarkStart w:id="6" w:name="Tc_kYGK-dPXfEquORKVscGCGA_1_0"/>
      <w:bookmarkStart w:id="7" w:name="_922c7f1d_6706_4aae_983f_8e184db9bf6f"/>
      <w:bookmarkStart w:id="8" w:name="Tc_sPILpuZEIk6PgnAx_w8B3Q_1_3"/>
      <w:bookmarkStart w:id="9" w:name="Tc_FoEIMDIVwEiUjwvS-eaPUA_1_2"/>
      <w:bookmarkStart w:id="10" w:name="Tc_eKlCWj2JoUWLcexwHxFu1g_1_1"/>
      <w:bookmarkStart w:id="11" w:name="Tc_kYGK-dPXfEquORKVscGCGA_1_0"/>
      <w:bookmarkStart w:id="12" w:name="_922c7f1d_6706_4aae_983f_8e184db9bf6f"/>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center"/>
              <w:rPr/>
            </w:pPr>
            <w:r>
              <w:rPr/>
              <w:t>​</w:t>
            </w:r>
          </w:p>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6248400"/>
                      <wp:effectExtent l="0" t="0" r="0" b="0"/>
                      <wp:wrapNone/>
                      <wp:docPr id="2" name="Frame2"/>
                      <a:graphic xmlns:a="http://schemas.openxmlformats.org/drawingml/2006/main">
                        <a:graphicData uri="http://schemas.microsoft.com/office/word/2010/wordprocessingShape">
                          <wps:wsp>
                            <wps:cNvSpPr txBox="1"/>
                            <wps:spPr>
                              <a:xfrm>
                                <a:off x="0" y="0"/>
                                <a:ext cx="69215" cy="62484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701040"/>
                      <wp:effectExtent l="0" t="0" r="0" b="0"/>
                      <wp:wrapNone/>
                      <wp:docPr id="5" name="Frame5"/>
                      <a:graphic xmlns:a="http://schemas.openxmlformats.org/drawingml/2006/main">
                        <a:graphicData uri="http://schemas.microsoft.com/office/word/2010/wordprocessingShape">
                          <wps:wsp>
                            <wps:cNvSpPr txBox="1"/>
                            <wps:spPr>
                              <a:xfrm>
                                <a:off x="0" y="0"/>
                                <a:ext cx="78740"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453640"/>
                      <wp:effectExtent l="0" t="0" r="0" b="0"/>
                      <wp:wrapNone/>
                      <wp:docPr id="6" name="Frame6"/>
                      <a:graphic xmlns:a="http://schemas.openxmlformats.org/drawingml/2006/main">
                        <a:graphicData uri="http://schemas.microsoft.com/office/word/2010/wordprocessingShape">
                          <wps:wsp>
                            <wps:cNvSpPr txBox="1"/>
                            <wps:spPr>
                              <a:xfrm>
                                <a:off x="0" y="0"/>
                                <a:ext cx="69215" cy="24536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93.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934720"/>
                      <wp:effectExtent l="0" t="0" r="0" b="0"/>
                      <wp:wrapNone/>
                      <wp:docPr id="7" name="Frame7"/>
                      <a:graphic xmlns:a="http://schemas.openxmlformats.org/drawingml/2006/main">
                        <a:graphicData uri="http://schemas.microsoft.com/office/word/2010/wordprocessingShape">
                          <wps:wsp>
                            <wps:cNvSpPr txBox="1"/>
                            <wps:spPr>
                              <a:xfrm>
                                <a:off x="0" y="0"/>
                                <a:ext cx="69215" cy="9347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051560"/>
                      <wp:effectExtent l="0" t="0" r="0" b="0"/>
                      <wp:wrapNone/>
                      <wp:docPr id="8" name="Frame8"/>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v:textbox>
                      <w10:wrap type="none"/>
                    </v:rect>
                  </w:pict>
                </mc:Fallback>
              </mc:AlternateContent>
            </w:r>
          </w:p>
        </w:tc>
      </w:tr>
    </w:tbl>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16690 Collins Avenue, 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Sunny Isles Beach,</w:t>
      </w:r>
      <w:r>
        <w:rPr>
          <w:rFonts w:ascii="Times New Roman;Times;serif" w:hAnsi="Times New Roman;Times;serif"/>
          <w:sz w:val="20"/>
        </w:rPr>
        <w:t xml:space="preserve"> </w:t>
      </w:r>
      <w:r>
        <w:rPr>
          <w:rFonts w:ascii="Times New Roman;Times;serif" w:hAnsi="Times New Roman;Times;serif"/>
          <w:b/>
          <w:sz w:val="16"/>
        </w:rPr>
        <w:t>FL</w:t>
      </w:r>
      <w:r>
        <w:rPr>
          <w:rFonts w:ascii="Times New Roman;Times;serif" w:hAnsi="Times New Roman;Times;serif"/>
          <w:sz w:val="20"/>
        </w:rPr>
        <w:t xml:space="preserve"> </w:t>
      </w:r>
      <w:r>
        <w:rPr>
          <w:rFonts w:ascii="Times New Roman;Times;serif" w:hAnsi="Times New Roman;Times;serif"/>
          <w:b/>
          <w:sz w:val="16"/>
        </w:rPr>
        <w:t>33160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(305) 422-4100</w:t>
      </w:r>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L8Uxt-NHkU-74giYQCZ92g_3_4"/>
      <w:bookmarkStart w:id="14" w:name="Tc_yBIck2GtJE-uwSKmbZxCdA_2_4"/>
      <w:bookmarkStart w:id="15" w:name="Tc_FpMInCbVl0ewuIVQwc9mag_2_2"/>
      <w:bookmarkStart w:id="16" w:name="Tc_CCx3ra6Ki0WEvrcSnxdG9g_2_0"/>
      <w:bookmarkStart w:id="17" w:name="_eedfc14a_7c61_4850_90a5_17ccc4306e98"/>
      <w:bookmarkStart w:id="18" w:name="Tc_L8Uxt-NHkU-74giYQCZ92g_3_4"/>
      <w:bookmarkStart w:id="19" w:name="Tc_yBIck2GtJE-uwSKmbZxCdA_2_4"/>
      <w:bookmarkStart w:id="20" w:name="Tc_FpMInCbVl0ewuIVQwc9mag_2_2"/>
      <w:bookmarkStart w:id="21" w:name="Tc_CCx3ra6Ki0WEvrcSnxdG9g_2_0"/>
      <w:bookmarkStart w:id="22" w:name="_eedfc14a_7c61_4850_90a5_17ccc4306e98"/>
      <w:bookmarkEnd w:id="18"/>
      <w:bookmarkEnd w:id="19"/>
      <w:bookmarkEnd w:id="20"/>
      <w:bookmarkEnd w:id="21"/>
      <w:bookmarkEnd w:id="22"/>
    </w:p>
    <w:tbl>
      <w:tblPr>
        <w:tblW w:w="7044" w:type="dxa"/>
        <w:jc w:val="left"/>
        <w:tblInd w:w="0" w:type="dxa"/>
        <w:tblLayout w:type="fixed"/>
        <w:tblCellMar>
          <w:top w:w="0" w:type="dxa"/>
          <w:left w:w="0" w:type="dxa"/>
          <w:bottom w:w="0" w:type="dxa"/>
          <w:right w:w="0" w:type="dxa"/>
        </w:tblCellMar>
      </w:tblPr>
      <w:tblGrid>
        <w:gridCol w:w="1471"/>
        <w:gridCol w:w="326"/>
        <w:gridCol w:w="1456"/>
        <w:gridCol w:w="326"/>
        <w:gridCol w:w="1434"/>
        <w:gridCol w:w="20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34085" cy="175260"/>
                      <wp:effectExtent l="0" t="0" r="0" b="0"/>
                      <wp:wrapNone/>
                      <wp:docPr id="13" name="Frame1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40"/>
              <w:ind w:left="0" w:right="0" w:hanging="0"/>
              <w:jc w:val="center"/>
              <w:rPr/>
            </w:pPr>
            <w:r>
              <w:rPr/>
              <w:t>    </w:t>
            </w:r>
          </w:p>
        </w:tc>
        <w:tc>
          <w:tcPr>
            <w:tcW w:w="3465" w:type="dxa"/>
            <w:gridSpan w:val="2"/>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47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4085" cy="467360"/>
                      <wp:effectExtent l="0" t="0" r="0" b="0"/>
                      <wp:wrapNone/>
                      <wp:docPr id="16" name="Frame16"/>
                      <a:graphic xmlns:a="http://schemas.openxmlformats.org/drawingml/2006/main">
                        <a:graphicData uri="http://schemas.microsoft.com/office/word/2010/wordprocessingShape">
                          <wps:wsp>
                            <wps:cNvSpPr txBox="1"/>
                            <wps:spPr>
                              <a:xfrm>
                                <a:off x="0" y="0"/>
                                <a:ext cx="93408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IEP</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3465" w:type="dxa"/>
            <w:gridSpan w:val="2"/>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8"/>
        <w:gridCol w:w="5657"/>
      </w:tblGrid>
      <w:tr>
        <w:trPr/>
        <w:tc>
          <w:tcPr>
            <w:tcW w:w="4548" w:type="dxa"/>
            <w:tcBorders/>
            <w:vAlign w:val="center"/>
          </w:tcPr>
          <w:p>
            <w:pPr>
              <w:pStyle w:val="TableContents"/>
              <w:bidi w:val="0"/>
              <w:spacing w:before="0" w:after="0"/>
              <w:ind w:left="0" w:right="0" w:hanging="0"/>
              <w:jc w:val="left"/>
              <w:rPr/>
            </w:pPr>
            <w:r>
              <w:rPr/>
              <w:t>​</w:t>
            </w:r>
          </w:p>
        </w:tc>
        <w:tc>
          <w:tcPr>
            <w:tcW w:w="5657"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vAlign w:val="center"/>
          </w:tcPr>
          <w:p>
            <w:pPr>
              <w:pStyle w:val="TableContents"/>
              <w:bidi w:val="0"/>
              <w:spacing w:before="0" w:after="240"/>
              <w:ind w:left="0" w:right="0" w:hanging="0"/>
              <w:jc w:val="left"/>
              <w:rPr/>
            </w:pPr>
            <w:r>
              <w:rPr/>
              <w:t>​</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Normal"/>
        <w:bidi w:val="0"/>
        <w:spacing w:before="0" w:after="0"/>
        <w:jc w:val="left"/>
        <w:rPr>
          <w:sz w:val="4"/>
          <w:szCs w:val="4"/>
        </w:rPr>
      </w:pPr>
      <w:r>
        <w:rPr>
          <w:sz w:val="4"/>
          <w:szCs w:val="4"/>
        </w:rPr>
      </w:r>
      <w:bookmarkStart w:id="23" w:name="Tc_IsafL3duQE-c22uAfMOEKA_2_3"/>
      <w:bookmarkStart w:id="24" w:name="Tc_TfQIDcgjhkujl-T0tVnPPA_2_1"/>
      <w:bookmarkStart w:id="25" w:name="Tc_qwtBSPxCJUK2JnXrtlfxNg_2_0"/>
      <w:bookmarkStart w:id="26" w:name="Tc_gDRHrkgmc0G0_1PNZP4PUg_1_6"/>
      <w:bookmarkStart w:id="27" w:name="Tc_WKkRRW9oNECHygNAtusphw_1_4"/>
      <w:bookmarkStart w:id="28" w:name="Tc_W5CPryd8tUeu8zuXRO7vTA_1_3"/>
      <w:bookmarkStart w:id="29" w:name="Tc_y2dERbBQAEmGsuf8OU9Jzw_1_1"/>
      <w:bookmarkStart w:id="30" w:name="_97d883bf_e378_41a2_a9f4_b544bd24efa6"/>
      <w:bookmarkStart w:id="31" w:name="Tc_IsafL3duQE-c22uAfMOEKA_2_3"/>
      <w:bookmarkStart w:id="32" w:name="Tc_TfQIDcgjhkujl-T0tVnPPA_2_1"/>
      <w:bookmarkStart w:id="33" w:name="Tc_qwtBSPxCJUK2JnXrtlfxNg_2_0"/>
      <w:bookmarkStart w:id="34" w:name="Tc_gDRHrkgmc0G0_1PNZP4PUg_1_6"/>
      <w:bookmarkStart w:id="35" w:name="Tc_WKkRRW9oNECHygNAtusphw_1_4"/>
      <w:bookmarkStart w:id="36" w:name="Tc_W5CPryd8tUeu8zuXRO7vTA_1_3"/>
      <w:bookmarkStart w:id="37" w:name="Tc_y2dERbBQAEmGsuf8OU9Jzw_1_1"/>
      <w:bookmarkStart w:id="38" w:name="_97d883bf_e378_41a2_a9f4_b544bd24efa6"/>
      <w:bookmarkEnd w:id="31"/>
      <w:bookmarkEnd w:id="32"/>
      <w:bookmarkEnd w:id="33"/>
      <w:bookmarkEnd w:id="34"/>
      <w:bookmarkEnd w:id="35"/>
      <w:bookmarkEnd w:id="36"/>
      <w:bookmarkEnd w:id="37"/>
      <w:bookmarkEnd w:id="38"/>
    </w:p>
    <w:tbl>
      <w:tblPr>
        <w:tblW w:w="8039" w:type="dxa"/>
        <w:jc w:val="left"/>
        <w:tblInd w:w="0" w:type="dxa"/>
        <w:tblLayout w:type="fixed"/>
        <w:tblCellMar>
          <w:top w:w="0" w:type="dxa"/>
          <w:left w:w="0" w:type="dxa"/>
          <w:bottom w:w="0" w:type="dxa"/>
          <w:right w:w="0" w:type="dxa"/>
        </w:tblCellMar>
      </w:tblPr>
      <w:tblGrid>
        <w:gridCol w:w="2011"/>
        <w:gridCol w:w="316"/>
        <w:gridCol w:w="109"/>
        <w:gridCol w:w="2431"/>
        <w:gridCol w:w="316"/>
        <w:gridCol w:w="109"/>
        <w:gridCol w:w="2386"/>
        <w:gridCol w:w="361"/>
      </w:tblGrid>
      <w:tr>
        <w:trPr/>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120"/>
              <w:ind w:left="0" w:right="0" w:hanging="0"/>
              <w:jc w:val="left"/>
              <w:rPr/>
            </w:pPr>
            <w:r>
              <w:rPr/>
              <w:t>☐</w:t>
            </w:r>
          </w:p>
        </w:tc>
      </w:tr>
      <w:tr>
        <w:trPr/>
        <w:tc>
          <w:tcPr>
            <w:tcW w:w="201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 shell company (as defined in Rule 12b-2 of the Exchange Act). Yes ☐ No ⌧ </w:t>
      </w:r>
    </w:p>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August 7, 2024, there were 475,462,962 of Icahn Enterprises’ depositary units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center"/>
        <w:rPr>
          <w:rFonts w:ascii="Times New Roman;Times;serif" w:hAnsi="Times New Roman;Times;serif"/>
          <w:b/>
          <w:sz w:val="20"/>
        </w:rPr>
      </w:pPr>
      <w:bookmarkStart w:id="39" w:name="_c7d27cbc_c9a3_4837_a913_e5de9969d896"/>
      <w:bookmarkEnd w:id="39"/>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 No</w:t>
            </w:r>
            <w:r>
              <w:rPr>
                <w:rFonts w:ascii="Times New Roman;Times;serif" w:hAnsi="Times New Roman;Times;serif"/>
                <w:sz w:val="16"/>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orwardLookingStatements">
              <w:r>
                <w:rPr>
                  <w:rStyle w:val="InternetLink"/>
                  <w:rFonts w:ascii="Times New Roman;Times;serif" w:hAnsi="Times New Roman;Times;serif"/>
                  <w:b w:val="false"/>
                  <w:i w:val="false"/>
                  <w:caps w:val="false"/>
                  <w:smallCaps w:val="false"/>
                  <w:sz w:val="20"/>
                </w:rPr>
                <w:t>Forward-Looking Statements</w:t>
              </w:r>
            </w:hyperlink>
          </w:p>
        </w:tc>
        <w:tc>
          <w:tcPr>
            <w:tcW w:w="8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Financial Statements (Unaudited)</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7366"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before="0" w:after="0"/>
              <w:ind w:left="0" w:right="0" w:hanging="0"/>
              <w:jc w:val="left"/>
              <w:rPr/>
            </w:pPr>
            <w:hyperlink w:anchor="Item6Exhibits_796652">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796652">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ForwardLookingStatements"/>
      <w:bookmarkStart w:id="42" w:name="_436cfe83_52c8_4a6e_9493_9429c7a03313"/>
      <w:bookmarkEnd w:id="41"/>
      <w:bookmarkEnd w:id="42"/>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ongoing conflict in the Middle East, including economic volatility and the impacts of export controls and other economic sanctions; risks related to our investment activities, including the nature of the investments made by the private funds in which we invest, including the impact of the use of leverage through options, short sales, swaps, forwards and other derivative instruments;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risks relating to potential strategic transactions involving our Energy segment;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These risks and uncertainties also include the risks and uncertainties described in our Annual Report on Form 10-K for the year ended December 31, 2023. Additionally, there may be other factors not presently known to us or which we currently consider to be immaterial that may cause our actual results to differ materially from the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8a8854db_8bde_40b5_a0da_c93aa545b436"/>
      <w:bookmarkEnd w:id="43"/>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4" w:name="Item1FinancialStatements_797771"/>
      <w:bookmarkEnd w:id="44"/>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Normal"/>
        <w:bidi w:val="0"/>
        <w:spacing w:before="0" w:after="0"/>
        <w:jc w:val="left"/>
        <w:rPr>
          <w:sz w:val="4"/>
          <w:szCs w:val="4"/>
        </w:rPr>
      </w:pPr>
      <w:r>
        <w:rPr>
          <w:sz w:val="4"/>
          <w:szCs w:val="4"/>
        </w:rPr>
      </w:r>
      <w:bookmarkStart w:id="45" w:name="Tc_bIkB19m0mkm_EK1Av9yvoQ_37_5"/>
      <w:bookmarkStart w:id="46" w:name="Tc_NzLC6SkUlU2FEhYLgfNAFA_37_2"/>
      <w:bookmarkStart w:id="47" w:name="Tc_vDbx9dS3X0aDwwPA9VoVZw_37_0"/>
      <w:bookmarkStart w:id="48" w:name="Tc_oUwDF1qtXUqY52iDIFcLkQ_36_0"/>
      <w:bookmarkStart w:id="49" w:name="Tc_LiqJCFgbjkuLSvtBK41KEQ_35_0"/>
      <w:bookmarkStart w:id="50" w:name="Tc_fz6biY0Di0WW52FHxVTo0g_34_0"/>
      <w:bookmarkStart w:id="51" w:name="Tc_dLKTvD73P06e7sIigXLdhA_33_0"/>
      <w:bookmarkStart w:id="52" w:name="Tc_vWOK3-daN029hGQSutMLGw_32_0"/>
      <w:bookmarkStart w:id="53" w:name="Tc_3lAoN63kQUSrzK0A4_4cRA_31_0"/>
      <w:bookmarkStart w:id="54" w:name="Tc_szvZ2gVDbU-PsQfBAW2eIg_29_0"/>
      <w:bookmarkStart w:id="55" w:name="Tc_4HeqI3hMYkK9LYUERMqSVg_27_0"/>
      <w:bookmarkStart w:id="56" w:name="Tc_oIdBJcEIokyhoXzDu7vmKA_26_0"/>
      <w:bookmarkStart w:id="57" w:name="Tc_Q67IW3VdYUunz-HkK3LBuQ_25_0"/>
      <w:bookmarkStart w:id="58" w:name="Tc_0_sSEDaZvUyaehRXRHgtWQ_24_0"/>
      <w:bookmarkStart w:id="59" w:name="Tc_UQ_gpNlU3Eq4xhwx1KuNIQ_23_0"/>
      <w:bookmarkStart w:id="60" w:name="Tc_I3S6-3O47Ee8XKiT2IVbxA_22_0"/>
      <w:bookmarkStart w:id="61" w:name="Tc_RWfs57QUIkaz0gGlAQKk1A_21_0"/>
      <w:bookmarkStart w:id="62" w:name="Tc_K6OHwZTD10mM8ZS6qz0zFA_20_5"/>
      <w:bookmarkStart w:id="63" w:name="Tc_V01iWP5MLkCEAqWbCBG2aQ_20_2"/>
      <w:bookmarkStart w:id="64" w:name="Tc_aGQa1A3Yd0Owqzc0osGtIA_20_0"/>
      <w:bookmarkStart w:id="65" w:name="Tc_GSqaueXO6UuizA0D8mO82g_19_0"/>
      <w:bookmarkStart w:id="66" w:name="Tc_Ez1Pls9In0isgdAUGt743w_18_5"/>
      <w:bookmarkStart w:id="67" w:name="Tc_wX-s5FLdKUmsC8tdqEeuCw_18_2"/>
      <w:bookmarkStart w:id="68" w:name="Tc_3IberkNYfUa4ndstwx9yIQ_18_0"/>
      <w:bookmarkStart w:id="69" w:name="Tc_QDqmMScBRkSrp82bU_xmHQ_17_0"/>
      <w:bookmarkStart w:id="70" w:name="Tc_4IIn3LLm60aUDTWM5XysSg_16_0"/>
      <w:bookmarkStart w:id="71" w:name="Tc_bDDiw8N5qUqJqzxKJSuXVw_15_0"/>
      <w:bookmarkStart w:id="72" w:name="Tc_9oBsrAfTL0iqzVfvsjCgQg_14_0"/>
      <w:bookmarkStart w:id="73" w:name="Tc_z9snsGy3zkK0m34G7AxEsA_13_0"/>
      <w:bookmarkStart w:id="74" w:name="Tc_vMEwyXReHk29_kODvN6vGA_12_0"/>
      <w:bookmarkStart w:id="75" w:name="Tc_XQyUXScO0kuHrcfJYkO2xA_11_0"/>
      <w:bookmarkStart w:id="76" w:name="Tc_gFFd3lByUEOazT5mOj6dKA_10_0"/>
      <w:bookmarkStart w:id="77" w:name="Tc_MVN5PIHD5ES-HeRMOECy4g_9_0"/>
      <w:bookmarkStart w:id="78" w:name="Tc_KUwyiJo_7UOXWRR8G6jqKQ_8_0"/>
      <w:bookmarkStart w:id="79" w:name="Tc_78VI759XJUmdi6AFTyKANg_7_0"/>
      <w:bookmarkStart w:id="80" w:name="Tc__WBv0QmMB0mPUEEvri-P1A_6_0"/>
      <w:bookmarkStart w:id="81" w:name="Tc_1sx9QP-GlUmWOXDR0NYAuA_5_5"/>
      <w:bookmarkStart w:id="82" w:name="Tc_2f0e3s3S4kK0pp4HzzZ1mw_5_2"/>
      <w:bookmarkStart w:id="83" w:name="Tc_MJq0G2h0GkSxhzxtz1sLDQ_5_0"/>
      <w:bookmarkStart w:id="84" w:name="Tc_Q8Pk8YU5_kCAb7CX5ltMiA_4_0"/>
      <w:bookmarkStart w:id="85" w:name="Tc_s21cSNaLzkmPVqkefmeF1Q_3_2"/>
      <w:bookmarkStart w:id="86" w:name="Tc_UdSRLTqp2UaxkhJDy669TA_2_5"/>
      <w:bookmarkStart w:id="87" w:name="Tc_zGpMCDnXD0uBjJu0mUASRw_2_2"/>
      <w:bookmarkStart w:id="88" w:name="Tc_RDQ7Kxj8dEOOb7Z8u74Trw_1_5"/>
      <w:bookmarkStart w:id="89" w:name="Tc_76NQRt4HDU-qj5Y5ZO3AiQ_1_2"/>
      <w:bookmarkStart w:id="90" w:name="_5304f00a_f237_4e51_8202_dbd8aad3f3d1"/>
      <w:bookmarkStart w:id="91" w:name="Tc_bIkB19m0mkm_EK1Av9yvoQ_37_5"/>
      <w:bookmarkStart w:id="92" w:name="Tc_NzLC6SkUlU2FEhYLgfNAFA_37_2"/>
      <w:bookmarkStart w:id="93" w:name="Tc_vDbx9dS3X0aDwwPA9VoVZw_37_0"/>
      <w:bookmarkStart w:id="94" w:name="Tc_oUwDF1qtXUqY52iDIFcLkQ_36_0"/>
      <w:bookmarkStart w:id="95" w:name="Tc_LiqJCFgbjkuLSvtBK41KEQ_35_0"/>
      <w:bookmarkStart w:id="96" w:name="Tc_fz6biY0Di0WW52FHxVTo0g_34_0"/>
      <w:bookmarkStart w:id="97" w:name="Tc_dLKTvD73P06e7sIigXLdhA_33_0"/>
      <w:bookmarkStart w:id="98" w:name="Tc_vWOK3-daN029hGQSutMLGw_32_0"/>
      <w:bookmarkStart w:id="99" w:name="Tc_3lAoN63kQUSrzK0A4_4cRA_31_0"/>
      <w:bookmarkStart w:id="100" w:name="Tc_szvZ2gVDbU-PsQfBAW2eIg_29_0"/>
      <w:bookmarkStart w:id="101" w:name="Tc_4HeqI3hMYkK9LYUERMqSVg_27_0"/>
      <w:bookmarkStart w:id="102" w:name="Tc_oIdBJcEIokyhoXzDu7vmKA_26_0"/>
      <w:bookmarkStart w:id="103" w:name="Tc_Q67IW3VdYUunz-HkK3LBuQ_25_0"/>
      <w:bookmarkStart w:id="104" w:name="Tc_0_sSEDaZvUyaehRXRHgtWQ_24_0"/>
      <w:bookmarkStart w:id="105" w:name="Tc_UQ_gpNlU3Eq4xhwx1KuNIQ_23_0"/>
      <w:bookmarkStart w:id="106" w:name="Tc_I3S6-3O47Ee8XKiT2IVbxA_22_0"/>
      <w:bookmarkStart w:id="107" w:name="Tc_RWfs57QUIkaz0gGlAQKk1A_21_0"/>
      <w:bookmarkStart w:id="108" w:name="Tc_K6OHwZTD10mM8ZS6qz0zFA_20_5"/>
      <w:bookmarkStart w:id="109" w:name="Tc_V01iWP5MLkCEAqWbCBG2aQ_20_2"/>
      <w:bookmarkStart w:id="110" w:name="Tc_aGQa1A3Yd0Owqzc0osGtIA_20_0"/>
      <w:bookmarkStart w:id="111" w:name="Tc_GSqaueXO6UuizA0D8mO82g_19_0"/>
      <w:bookmarkStart w:id="112" w:name="Tc_Ez1Pls9In0isgdAUGt743w_18_5"/>
      <w:bookmarkStart w:id="113" w:name="Tc_wX-s5FLdKUmsC8tdqEeuCw_18_2"/>
      <w:bookmarkStart w:id="114" w:name="Tc_3IberkNYfUa4ndstwx9yIQ_18_0"/>
      <w:bookmarkStart w:id="115" w:name="Tc_QDqmMScBRkSrp82bU_xmHQ_17_0"/>
      <w:bookmarkStart w:id="116" w:name="Tc_4IIn3LLm60aUDTWM5XysSg_16_0"/>
      <w:bookmarkStart w:id="117" w:name="Tc_bDDiw8N5qUqJqzxKJSuXVw_15_0"/>
      <w:bookmarkStart w:id="118" w:name="Tc_9oBsrAfTL0iqzVfvsjCgQg_14_0"/>
      <w:bookmarkStart w:id="119" w:name="Tc_z9snsGy3zkK0m34G7AxEsA_13_0"/>
      <w:bookmarkStart w:id="120" w:name="Tc_vMEwyXReHk29_kODvN6vGA_12_0"/>
      <w:bookmarkStart w:id="121" w:name="Tc_XQyUXScO0kuHrcfJYkO2xA_11_0"/>
      <w:bookmarkStart w:id="122" w:name="Tc_gFFd3lByUEOazT5mOj6dKA_10_0"/>
      <w:bookmarkStart w:id="123" w:name="Tc_MVN5PIHD5ES-HeRMOECy4g_9_0"/>
      <w:bookmarkStart w:id="124" w:name="Tc_KUwyiJo_7UOXWRR8G6jqKQ_8_0"/>
      <w:bookmarkStart w:id="125" w:name="Tc_78VI759XJUmdi6AFTyKANg_7_0"/>
      <w:bookmarkStart w:id="126" w:name="Tc__WBv0QmMB0mPUEEvri-P1A_6_0"/>
      <w:bookmarkStart w:id="127" w:name="Tc_1sx9QP-GlUmWOXDR0NYAuA_5_5"/>
      <w:bookmarkStart w:id="128" w:name="Tc_2f0e3s3S4kK0pp4HzzZ1mw_5_2"/>
      <w:bookmarkStart w:id="129" w:name="Tc_MJq0G2h0GkSxhzxtz1sLDQ_5_0"/>
      <w:bookmarkStart w:id="130" w:name="Tc_Q8Pk8YU5_kCAb7CX5ltMiA_4_0"/>
      <w:bookmarkStart w:id="131" w:name="Tc_s21cSNaLzkmPVqkefmeF1Q_3_2"/>
      <w:bookmarkStart w:id="132" w:name="Tc_UdSRLTqp2UaxkhJDy669TA_2_5"/>
      <w:bookmarkStart w:id="133" w:name="Tc_zGpMCDnXD0uBjJu0mUASRw_2_2"/>
      <w:bookmarkStart w:id="134" w:name="Tc_RDQ7Kxj8dEOOb7Z8u74Trw_1_5"/>
      <w:bookmarkStart w:id="135" w:name="Tc_76NQRt4HDU-qj5Y5ZO3AiQ_1_2"/>
      <w:bookmarkStart w:id="136" w:name="_5304f00a_f237_4e51_8202_dbd8aad3f3d1"/>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361"/>
        <w:gridCol w:w="326"/>
        <w:gridCol w:w="211"/>
        <w:gridCol w:w="676"/>
        <w:gridCol w:w="326"/>
        <w:gridCol w:w="277"/>
        <w:gridCol w:w="1028"/>
      </w:tblGrid>
      <w:tr>
        <w:trPr/>
        <w:tc>
          <w:tcPr>
            <w:tcW w:w="7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674235" cy="175260"/>
                      <wp:effectExtent l="0" t="0" r="0" b="0"/>
                      <wp:wrapNone/>
                      <wp:docPr id="19" name="Frame19"/>
                      <a:graphic xmlns:a="http://schemas.openxmlformats.org/drawingml/2006/main">
                        <a:graphicData uri="http://schemas.microsoft.com/office/word/2010/wordprocessingShape">
                          <wps:wsp>
                            <wps:cNvSpPr txBox="1"/>
                            <wps:spPr>
                              <a:xfrm>
                                <a:off x="0" y="0"/>
                                <a:ext cx="467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5895" cy="175260"/>
                      <wp:effectExtent l="0" t="0" r="0" b="0"/>
                      <wp:wrapNone/>
                      <wp:docPr id="24" name="Frame2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2780" cy="175260"/>
                      <wp:effectExtent l="0" t="0" r="0" b="0"/>
                      <wp:wrapNone/>
                      <wp:docPr id="25" name="Frame2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3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center"/>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3,909</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20,858</w:t>
            </w:r>
          </w:p>
        </w:tc>
      </w:tr>
      <w:tr>
        <w:trPr/>
        <w:tc>
          <w:tcPr>
            <w:tcW w:w="73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7,207</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12,602</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14,785</w:t>
            </w:r>
          </w:p>
        </w:tc>
      </w:tr>
      <w:tr>
        <w:trPr/>
        <w:tc>
          <w:tcPr>
            <w:tcW w:w="7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Limited partners: Depositary units: 475,462,962 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2024 and 429,033,241 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3,208</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r>
      <w:tr>
        <w:trPr/>
        <w:tc>
          <w:tcPr>
            <w:tcW w:w="7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7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17,988</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20,858</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37" w:name="_f1b852e4_bd6c_4823_9a35_859077fd3e8e"/>
      <w:bookmarkEnd w:id="137"/>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Normal"/>
        <w:bidi w:val="0"/>
        <w:spacing w:before="0" w:after="0"/>
        <w:jc w:val="left"/>
        <w:rPr>
          <w:sz w:val="4"/>
          <w:szCs w:val="4"/>
        </w:rPr>
      </w:pPr>
      <w:r>
        <w:rPr>
          <w:sz w:val="4"/>
          <w:szCs w:val="4"/>
        </w:rPr>
      </w:r>
      <w:bookmarkStart w:id="138" w:name="Tc_5JoEvIujtkOZMnAvTjC3ug_35_10"/>
      <w:bookmarkStart w:id="139" w:name="Tc_5eyMimvYB0iQw7XE862TKw_35_7"/>
      <w:bookmarkStart w:id="140" w:name="Tc_yKPCDo478UiU4GUPbmD6ew_35_4"/>
      <w:bookmarkStart w:id="141" w:name="Tc_WSC81whPWk6d-iyyXqpNew_35_1"/>
      <w:bookmarkStart w:id="142" w:name="Tc_HtNAeyjVdU-Bb8-8jAAgYg_35_0"/>
      <w:bookmarkStart w:id="143" w:name="Tc_Q9JHEDe32Ui7Q0vbH1Vg8A_34_0"/>
      <w:bookmarkStart w:id="144" w:name="Tc_bAkzGo9Yhk-sjPVV_IvkvQ_33_0"/>
      <w:bookmarkStart w:id="145" w:name="Tc_LbzNlvRLVEqGQNhusFbnaw_31_10"/>
      <w:bookmarkStart w:id="146" w:name="Tc_WqMc2BzvhEiu7lrVs_5emA_31_7"/>
      <w:bookmarkStart w:id="147" w:name="Tc_BIVhCyiO6keB4iabn7cmPw_31_4"/>
      <w:bookmarkStart w:id="148" w:name="Tc_93KPs0NGekaL3fWrr4OMcA_31_1"/>
      <w:bookmarkStart w:id="149" w:name="Tc_4tv9aAWTpES3H5yeszLfNA_30_0"/>
      <w:bookmarkStart w:id="150" w:name="Tc_dqgi8riVkEiFMUmEGb5JkA_29_10"/>
      <w:bookmarkStart w:id="151" w:name="Tc_KRFM-J4T3Ual6Pp6mN4rjQ_29_7"/>
      <w:bookmarkStart w:id="152" w:name="Tc_NzOxlniNdESFPN8W953F2A_29_4"/>
      <w:bookmarkStart w:id="153" w:name="Tc_zIY_gQGG9UKsUK7u1o6ABg_29_1"/>
      <w:bookmarkStart w:id="154" w:name="Tc_5-aRt38_MEijfTggFmvTCg_29_0"/>
      <w:bookmarkStart w:id="155" w:name="Tc_IGL_doySCUWnrbjBLFbuVA_28_0"/>
      <w:bookmarkStart w:id="156" w:name="Tc_TwnmQZgfiUO5F0KBg0Ofyw_26_10"/>
      <w:bookmarkStart w:id="157" w:name="Tc_ZlsMx0U9iEajzK2eWDFe8g_26_7"/>
      <w:bookmarkStart w:id="158" w:name="Tc_ZKPyESQb1E-b-wF2Hz7dJQ_26_4"/>
      <w:bookmarkStart w:id="159" w:name="Tc_EddaX_-1Uk6XJAmb08sAEA_26_1"/>
      <w:bookmarkStart w:id="160" w:name="Tc_SfXx46juBk6EB1Efx452ew_26_0"/>
      <w:bookmarkStart w:id="161" w:name="Tc_zclVGXC_4kWJKptjOXsuig_25_0"/>
      <w:bookmarkStart w:id="162" w:name="Tc_go8BSlDaFUKFWUCxMvb_xw_24_0"/>
      <w:bookmarkStart w:id="163" w:name="Tc_Ac3FZIeYqUmC3-DAINJnhw_23_0"/>
      <w:bookmarkStart w:id="164" w:name="Tc_RPNbYk7htk-tbPG25_8iAA_22_0"/>
      <w:bookmarkStart w:id="165" w:name="Tc_c4_JAIER3kuFKJejOot0LQ_20_0"/>
      <w:bookmarkStart w:id="166" w:name="Tc_1v5GKpg0cEeEWQUIYyWF7Q_19_8"/>
      <w:bookmarkStart w:id="167" w:name="Tc_2qSZDzkIB0W-_Omxa_RNlA_19_2"/>
      <w:bookmarkStart w:id="168" w:name="Tc_utLmtM7BQE-8XnkL8GCOSw_19_0"/>
      <w:bookmarkStart w:id="169" w:name="Tc_2d9u-PPCOEOBSGXdIWQUkQ_18_8"/>
      <w:bookmarkStart w:id="170" w:name="Tc_BkL-AMddPkio7TBXYH9rVw_18_2"/>
      <w:bookmarkStart w:id="171" w:name="Tc_eMH0qRjCZUqq1TpNVKTv2Q_18_0"/>
      <w:bookmarkStart w:id="172" w:name="Tc_InIzI14XNkGFPl8TqPtAmg_17_11"/>
      <w:bookmarkStart w:id="173" w:name="Tc_ANWQjORrw0qo6Dq-rfV1DA_17_5"/>
      <w:bookmarkStart w:id="174" w:name="Tc_fQSYAvsWu0-JQyXul1Ev9g_17_0"/>
      <w:bookmarkStart w:id="175" w:name="Tc_XBFb5Y8PlEa_m8YGggZFJg_16_0"/>
      <w:bookmarkStart w:id="176" w:name="Tc__Z50VbS3y0eY9h39t9a-dQ_15_0"/>
      <w:bookmarkStart w:id="177" w:name="Tc_Ek9tzAsbMEmhhwRWMaNHyg_14_0"/>
      <w:bookmarkStart w:id="178" w:name="Tc_unMU5NW6202o5jWdh2kyQA_13_0"/>
      <w:bookmarkStart w:id="179" w:name="Tc_g6DHY4TvXUadMuSk65rrgQ_12_0"/>
      <w:bookmarkStart w:id="180" w:name="Tc_bEohorn60USURJ3TCMXtiA_10_0"/>
      <w:bookmarkStart w:id="181" w:name="Tc_1s3XrKQ250mjkYZXY_efKw_9_0"/>
      <w:bookmarkStart w:id="182" w:name="Tc_b0f6sC8BX0OVa6U3iHrFVQ_8_0"/>
      <w:bookmarkStart w:id="183" w:name="Tc__R1QZOE01UiQmpqwJn3aLg_7_0"/>
      <w:bookmarkStart w:id="184" w:name="Tc_e-h8XBcHI0C1oxjlo8mVaw_6_0"/>
      <w:bookmarkStart w:id="185" w:name="Tc_VEY6DE25v0SIU5kC7GIeDA_5_10"/>
      <w:bookmarkStart w:id="186" w:name="Tc_4chavkB7MEaDM4SSNVnfTg_5_7"/>
      <w:bookmarkStart w:id="187" w:name="Tc_3GExPnX-3EWuwmvXk2MY0Q_5_4"/>
      <w:bookmarkStart w:id="188" w:name="Tc_kNGH5wzd0ESsrWIffKjZLA_5_1"/>
      <w:bookmarkStart w:id="189" w:name="Tc_rFuNzcBGhEqzH5SDzBFP3w_5_0"/>
      <w:bookmarkStart w:id="190" w:name="Tc_VF2QMjEckUqKwxh9qZcmDQ_4_0"/>
      <w:bookmarkStart w:id="191" w:name="Tc_hM6mS-fy8U2d5nNrl8wneg_3_1"/>
      <w:bookmarkStart w:id="192" w:name="Tc_aRBCQkW8aUmhtCnhSCkXUg_2_10"/>
      <w:bookmarkStart w:id="193" w:name="Tc_8Ba9_xt4TUmkDvw2o1DAAA_2_7"/>
      <w:bookmarkStart w:id="194" w:name="Tc_WCqcWzzcpEybz5nB9aRuuw_2_4"/>
      <w:bookmarkStart w:id="195" w:name="Tc_Uf0sjXU88UWOEp70qRG0gw_2_1"/>
      <w:bookmarkStart w:id="196" w:name="Tc_aBMI_2flNkuAzQxkjabWwg_1_7"/>
      <w:bookmarkStart w:id="197" w:name="Tc_WIyU5-E9o0-qpmbrHpf1vw_1_1"/>
      <w:bookmarkStart w:id="198" w:name="_8cb9a04f_bb4a_4c58_baa0_5ebbcdfe7792"/>
      <w:bookmarkStart w:id="199" w:name="_0a94f6b2_fdb8_40c1_84c9_30649cc2b4f6"/>
      <w:bookmarkStart w:id="200" w:name="Tc_5JoEvIujtkOZMnAvTjC3ug_35_10"/>
      <w:bookmarkStart w:id="201" w:name="Tc_5eyMimvYB0iQw7XE862TKw_35_7"/>
      <w:bookmarkStart w:id="202" w:name="Tc_yKPCDo478UiU4GUPbmD6ew_35_4"/>
      <w:bookmarkStart w:id="203" w:name="Tc_WSC81whPWk6d-iyyXqpNew_35_1"/>
      <w:bookmarkStart w:id="204" w:name="Tc_HtNAeyjVdU-Bb8-8jAAgYg_35_0"/>
      <w:bookmarkStart w:id="205" w:name="Tc_Q9JHEDe32Ui7Q0vbH1Vg8A_34_0"/>
      <w:bookmarkStart w:id="206" w:name="Tc_bAkzGo9Yhk-sjPVV_IvkvQ_33_0"/>
      <w:bookmarkStart w:id="207" w:name="Tc_LbzNlvRLVEqGQNhusFbnaw_31_10"/>
      <w:bookmarkStart w:id="208" w:name="Tc_WqMc2BzvhEiu7lrVs_5emA_31_7"/>
      <w:bookmarkStart w:id="209" w:name="Tc_BIVhCyiO6keB4iabn7cmPw_31_4"/>
      <w:bookmarkStart w:id="210" w:name="Tc_93KPs0NGekaL3fWrr4OMcA_31_1"/>
      <w:bookmarkStart w:id="211" w:name="Tc_4tv9aAWTpES3H5yeszLfNA_30_0"/>
      <w:bookmarkStart w:id="212" w:name="Tc_dqgi8riVkEiFMUmEGb5JkA_29_10"/>
      <w:bookmarkStart w:id="213" w:name="Tc_KRFM-J4T3Ual6Pp6mN4rjQ_29_7"/>
      <w:bookmarkStart w:id="214" w:name="Tc_NzOxlniNdESFPN8W953F2A_29_4"/>
      <w:bookmarkStart w:id="215" w:name="Tc_zIY_gQGG9UKsUK7u1o6ABg_29_1"/>
      <w:bookmarkStart w:id="216" w:name="Tc_5-aRt38_MEijfTggFmvTCg_29_0"/>
      <w:bookmarkStart w:id="217" w:name="Tc_IGL_doySCUWnrbjBLFbuVA_28_0"/>
      <w:bookmarkStart w:id="218" w:name="Tc_TwnmQZgfiUO5F0KBg0Ofyw_26_10"/>
      <w:bookmarkStart w:id="219" w:name="Tc_ZlsMx0U9iEajzK2eWDFe8g_26_7"/>
      <w:bookmarkStart w:id="220" w:name="Tc_ZKPyESQb1E-b-wF2Hz7dJQ_26_4"/>
      <w:bookmarkStart w:id="221" w:name="Tc_EddaX_-1Uk6XJAmb08sAEA_26_1"/>
      <w:bookmarkStart w:id="222" w:name="Tc_SfXx46juBk6EB1Efx452ew_26_0"/>
      <w:bookmarkStart w:id="223" w:name="Tc_zclVGXC_4kWJKptjOXsuig_25_0"/>
      <w:bookmarkStart w:id="224" w:name="Tc_go8BSlDaFUKFWUCxMvb_xw_24_0"/>
      <w:bookmarkStart w:id="225" w:name="Tc_Ac3FZIeYqUmC3-DAINJnhw_23_0"/>
      <w:bookmarkStart w:id="226" w:name="Tc_RPNbYk7htk-tbPG25_8iAA_22_0"/>
      <w:bookmarkStart w:id="227" w:name="Tc_c4_JAIER3kuFKJejOot0LQ_20_0"/>
      <w:bookmarkStart w:id="228" w:name="Tc_1v5GKpg0cEeEWQUIYyWF7Q_19_8"/>
      <w:bookmarkStart w:id="229" w:name="Tc_2qSZDzkIB0W-_Omxa_RNlA_19_2"/>
      <w:bookmarkStart w:id="230" w:name="Tc_utLmtM7BQE-8XnkL8GCOSw_19_0"/>
      <w:bookmarkStart w:id="231" w:name="Tc_2d9u-PPCOEOBSGXdIWQUkQ_18_8"/>
      <w:bookmarkStart w:id="232" w:name="Tc_BkL-AMddPkio7TBXYH9rVw_18_2"/>
      <w:bookmarkStart w:id="233" w:name="Tc_eMH0qRjCZUqq1TpNVKTv2Q_18_0"/>
      <w:bookmarkStart w:id="234" w:name="Tc_InIzI14XNkGFPl8TqPtAmg_17_11"/>
      <w:bookmarkStart w:id="235" w:name="Tc_ANWQjORrw0qo6Dq-rfV1DA_17_5"/>
      <w:bookmarkStart w:id="236" w:name="Tc_fQSYAvsWu0-JQyXul1Ev9g_17_0"/>
      <w:bookmarkStart w:id="237" w:name="Tc_XBFb5Y8PlEa_m8YGggZFJg_16_0"/>
      <w:bookmarkStart w:id="238" w:name="Tc__Z50VbS3y0eY9h39t9a-dQ_15_0"/>
      <w:bookmarkStart w:id="239" w:name="Tc_Ek9tzAsbMEmhhwRWMaNHyg_14_0"/>
      <w:bookmarkStart w:id="240" w:name="Tc_unMU5NW6202o5jWdh2kyQA_13_0"/>
      <w:bookmarkStart w:id="241" w:name="Tc_g6DHY4TvXUadMuSk65rrgQ_12_0"/>
      <w:bookmarkStart w:id="242" w:name="Tc_bEohorn60USURJ3TCMXtiA_10_0"/>
      <w:bookmarkStart w:id="243" w:name="Tc_1s3XrKQ250mjkYZXY_efKw_9_0"/>
      <w:bookmarkStart w:id="244" w:name="Tc_b0f6sC8BX0OVa6U3iHrFVQ_8_0"/>
      <w:bookmarkStart w:id="245" w:name="Tc__R1QZOE01UiQmpqwJn3aLg_7_0"/>
      <w:bookmarkStart w:id="246" w:name="Tc_e-h8XBcHI0C1oxjlo8mVaw_6_0"/>
      <w:bookmarkStart w:id="247" w:name="Tc_VEY6DE25v0SIU5kC7GIeDA_5_10"/>
      <w:bookmarkStart w:id="248" w:name="Tc_4chavkB7MEaDM4SSNVnfTg_5_7"/>
      <w:bookmarkStart w:id="249" w:name="Tc_3GExPnX-3EWuwmvXk2MY0Q_5_4"/>
      <w:bookmarkStart w:id="250" w:name="Tc_kNGH5wzd0ESsrWIffKjZLA_5_1"/>
      <w:bookmarkStart w:id="251" w:name="Tc_rFuNzcBGhEqzH5SDzBFP3w_5_0"/>
      <w:bookmarkStart w:id="252" w:name="Tc_VF2QMjEckUqKwxh9qZcmDQ_4_0"/>
      <w:bookmarkStart w:id="253" w:name="Tc_hM6mS-fy8U2d5nNrl8wneg_3_1"/>
      <w:bookmarkStart w:id="254" w:name="Tc_aRBCQkW8aUmhtCnhSCkXUg_2_10"/>
      <w:bookmarkStart w:id="255" w:name="Tc_8Ba9_xt4TUmkDvw2o1DAAA_2_7"/>
      <w:bookmarkStart w:id="256" w:name="Tc_WCqcWzzcpEybz5nB9aRuuw_2_4"/>
      <w:bookmarkStart w:id="257" w:name="Tc_Uf0sjXU88UWOEp70qRG0gw_2_1"/>
      <w:bookmarkStart w:id="258" w:name="Tc_aBMI_2flNkuAzQxkjabWwg_1_7"/>
      <w:bookmarkStart w:id="259" w:name="Tc_WIyU5-E9o0-qpmbrHpf1vw_1_1"/>
      <w:bookmarkStart w:id="260" w:name="_8cb9a04f_bb4a_4c58_baa0_5ebbcdfe7792"/>
      <w:bookmarkStart w:id="261" w:name="_0a94f6b2_fdb8_40c1_84c9_30649cc2b4f6"/>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10205" w:type="dxa"/>
        <w:jc w:val="left"/>
        <w:tblInd w:w="0" w:type="dxa"/>
        <w:tblLayout w:type="fixed"/>
        <w:tblCellMar>
          <w:top w:w="0" w:type="dxa"/>
          <w:left w:w="0" w:type="dxa"/>
          <w:bottom w:w="0" w:type="dxa"/>
          <w:right w:w="0" w:type="dxa"/>
        </w:tblCellMar>
      </w:tblPr>
      <w:tblGrid>
        <w:gridCol w:w="4750"/>
        <w:gridCol w:w="292"/>
        <w:gridCol w:w="812"/>
        <w:gridCol w:w="451"/>
        <w:gridCol w:w="292"/>
        <w:gridCol w:w="812"/>
        <w:gridCol w:w="326"/>
        <w:gridCol w:w="264"/>
        <w:gridCol w:w="736"/>
        <w:gridCol w:w="409"/>
        <w:gridCol w:w="264"/>
        <w:gridCol w:w="797"/>
      </w:tblGrid>
      <w:tr>
        <w:trPr/>
        <w:tc>
          <w:tcPr>
            <w:tcW w:w="4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16250" cy="175260"/>
                      <wp:effectExtent l="0" t="0" r="0" b="0"/>
                      <wp:wrapNone/>
                      <wp:docPr id="26" name="Frame26"/>
                      <a:graphic xmlns:a="http://schemas.openxmlformats.org/drawingml/2006/main">
                        <a:graphicData uri="http://schemas.microsoft.com/office/word/2010/wordprocessingShape">
                          <wps:wsp>
                            <wps:cNvSpPr txBox="1"/>
                            <wps:spPr>
                              <a:xfrm>
                                <a:off x="0" y="0"/>
                                <a:ext cx="301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5420" cy="175260"/>
                      <wp:effectExtent l="0" t="0" r="0" b="0"/>
                      <wp:wrapNone/>
                      <wp:docPr id="27" name="Frame2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5620" cy="175260"/>
                      <wp:effectExtent l="0" t="0" r="0" b="0"/>
                      <wp:wrapNone/>
                      <wp:docPr id="28" name="Frame28"/>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6385" cy="175260"/>
                      <wp:effectExtent l="0" t="0" r="0" b="0"/>
                      <wp:wrapNone/>
                      <wp:docPr id="29" name="Frame2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5420" cy="175260"/>
                      <wp:effectExtent l="0" t="0" r="0" b="0"/>
                      <wp:wrapNone/>
                      <wp:docPr id="30" name="Frame3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15620" cy="175260"/>
                      <wp:effectExtent l="0" t="0" r="0" b="0"/>
                      <wp:wrapNone/>
                      <wp:docPr id="31" name="Frame3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7640" cy="175260"/>
                      <wp:effectExtent l="0" t="0" r="0" b="0"/>
                      <wp:wrapNone/>
                      <wp:docPr id="33" name="Frame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67360" cy="175260"/>
                      <wp:effectExtent l="0" t="0" r="0" b="0"/>
                      <wp:wrapNone/>
                      <wp:docPr id="34" name="Frame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59715" cy="175260"/>
                      <wp:effectExtent l="0" t="0" r="0" b="0"/>
                      <wp:wrapNone/>
                      <wp:docPr id="35" name="Frame35"/>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7640" cy="175260"/>
                      <wp:effectExtent l="0" t="0" r="0" b="0"/>
                      <wp:wrapNone/>
                      <wp:docPr id="36" name="Frame3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6095" cy="175260"/>
                      <wp:effectExtent l="0" t="0" r="0" b="0"/>
                      <wp:wrapNone/>
                      <wp:docPr id="37" name="Frame37"/>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0"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4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750" w:type="dxa"/>
            <w:tcBorders/>
            <w:vAlign w:val="center"/>
          </w:tcPr>
          <w:p>
            <w:pPr>
              <w:pStyle w:val="TableContents"/>
              <w:bidi w:val="0"/>
              <w:spacing w:before="0" w:after="0"/>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51"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09" w:type="dxa"/>
            <w:tcBorders/>
            <w:vAlign w:val="center"/>
          </w:tcPr>
          <w:p>
            <w:pPr>
              <w:pStyle w:val="TableContents"/>
              <w:bidi w:val="0"/>
              <w:spacing w:before="0" w:after="0"/>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50" w:type="dxa"/>
            <w:tcBorders/>
            <w:vAlign w:val="center"/>
          </w:tcPr>
          <w:p>
            <w:pPr>
              <w:pStyle w:val="TableContents"/>
              <w:bidi w:val="0"/>
              <w:spacing w:before="0" w:after="0"/>
              <w:ind w:left="0" w:right="0" w:hanging="0"/>
              <w:jc w:val="center"/>
              <w:rPr/>
            </w:pPr>
            <w:r>
              <w:rPr/>
              <w:t>​</w:t>
            </w:r>
          </w:p>
        </w:tc>
        <w:tc>
          <w:tcPr>
            <w:tcW w:w="545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92" w:type="dxa"/>
            <w:tcBorders/>
            <w:shd w:fill="CCEEFF" w:val="clear"/>
            <w:vAlign w:val="center"/>
          </w:tcPr>
          <w:p>
            <w:pPr>
              <w:pStyle w:val="TableContents"/>
              <w:bidi w:val="0"/>
              <w:spacing w:before="0" w:after="0"/>
              <w:ind w:left="0" w:right="0" w:hanging="0"/>
              <w:jc w:val="center"/>
              <w:rPr/>
            </w:pPr>
            <w:r>
              <w:rPr/>
              <w:t>​</w:t>
            </w:r>
          </w:p>
        </w:tc>
        <w:tc>
          <w:tcPr>
            <w:tcW w:w="812"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292" w:type="dxa"/>
            <w:tcBorders/>
            <w:shd w:fill="CCEEFF" w:val="clear"/>
            <w:vAlign w:val="center"/>
          </w:tcPr>
          <w:p>
            <w:pPr>
              <w:pStyle w:val="TableContents"/>
              <w:bidi w:val="0"/>
              <w:spacing w:before="0" w:after="0"/>
              <w:ind w:left="0" w:right="0" w:hanging="0"/>
              <w:jc w:val="center"/>
              <w:rPr/>
            </w:pPr>
            <w:r>
              <w:rPr/>
              <w:t>​</w:t>
            </w:r>
          </w:p>
        </w:tc>
        <w:tc>
          <w:tcPr>
            <w:tcW w:w="81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409"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pPr>
            <w:r>
              <w:rPr/>
              <w:t>​</w:t>
            </w:r>
          </w:p>
        </w:tc>
        <w:tc>
          <w:tcPr>
            <w:tcW w:w="797" w:type="dxa"/>
            <w:tcBorders/>
            <w:shd w:fill="CCEEFF" w:val="clear"/>
            <w:vAlign w:val="center"/>
          </w:tcPr>
          <w:p>
            <w:pPr>
              <w:pStyle w:val="TableContents"/>
              <w:bidi w:val="0"/>
              <w:spacing w:before="0" w:after="0"/>
              <w:ind w:left="0" w:right="0" w:hanging="0"/>
              <w:jc w:val="center"/>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5,442</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investment activities</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net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4,570</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on related party note receivable</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deconsolidation of subsidiary</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6,019</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allocated to:</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4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4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50"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47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47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4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4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4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4.00</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2" w:name="_a97cc897_6a7b_41ff_8cc9_f109fad8c310"/>
      <w:bookmarkEnd w:id="262"/>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LOSS (UNAUDITED)</w:t>
      </w:r>
    </w:p>
    <w:p>
      <w:pPr>
        <w:pStyle w:val="Normal"/>
        <w:bidi w:val="0"/>
        <w:spacing w:before="0" w:after="0"/>
        <w:jc w:val="left"/>
        <w:rPr>
          <w:sz w:val="4"/>
          <w:szCs w:val="4"/>
        </w:rPr>
      </w:pPr>
      <w:r>
        <w:rPr>
          <w:sz w:val="4"/>
          <w:szCs w:val="4"/>
        </w:rPr>
      </w:r>
      <w:bookmarkStart w:id="263" w:name="Tc_HxJwMMbKaUmcHh5_0tSfdg_16_11"/>
      <w:bookmarkStart w:id="264" w:name="Tc_9iz9HKaeCUKdB96o5k4FeA_16_8"/>
      <w:bookmarkStart w:id="265" w:name="Tc_oUX5Z8lvBEyLOX9RSw7m-g_16_5"/>
      <w:bookmarkStart w:id="266" w:name="Tc_i23NfEEvB0ifGU3mHsxzpA_16_2"/>
      <w:bookmarkStart w:id="267" w:name="Tc_y-4edXHyDUud7kCVVkpRwQ_15_0"/>
      <w:bookmarkStart w:id="268" w:name="Tc_CuF7nK3mEkinEE5aauKRfQ_14_11"/>
      <w:bookmarkStart w:id="269" w:name="Tc_KkYHEbxU-Uqn7RHmQa4D2Q_14_8"/>
      <w:bookmarkStart w:id="270" w:name="Tc_lQtQfJbbdEOlElMz_OaF9w_14_5"/>
      <w:bookmarkStart w:id="271" w:name="Tc_BxkWaXc-j0OHj_o7kjqnmA_14_2"/>
      <w:bookmarkStart w:id="272" w:name="Tc_oR3icFQ43EKxidzjgu5tMg_14_0"/>
      <w:bookmarkStart w:id="273" w:name="Tc_8waJjX5gPkSDj-Lo43PYQQ_13_0"/>
      <w:bookmarkStart w:id="274" w:name="Tc_Ii17BEtPRE2OrAd3UdWqLA_11_11"/>
      <w:bookmarkStart w:id="275" w:name="Tc_dGFwr5S3gk6sDFx3fIt6lw_11_8"/>
      <w:bookmarkStart w:id="276" w:name="Tc_jb7BHfVSOk2j5-EYOwhZTw_11_5"/>
      <w:bookmarkStart w:id="277" w:name="Tc_y9TmkyBdhUiDINyvSuV4hA_11_2"/>
      <w:bookmarkStart w:id="278" w:name="Tc_PuLWl9qkl0awbKkEuN_pUw_11_0"/>
      <w:bookmarkStart w:id="279" w:name="Tc_ZlfloK0nfkmHFnkOybVd5w_10_0"/>
      <w:bookmarkStart w:id="280" w:name="Tc_McRvqvO9_kWe6Zckapj_4g_9_0"/>
      <w:bookmarkStart w:id="281" w:name="Tc_uOdJVs40cUaHNGSKcfdjFQ_8_0"/>
      <w:bookmarkStart w:id="282" w:name="Tc_1zGB-mXNwEWf48Z_TuvoOg_7_9"/>
      <w:bookmarkStart w:id="283" w:name="Tc_T2sEuigDKUu-vz5-gx6M9Q_7_3"/>
      <w:bookmarkStart w:id="284" w:name="Tc_mwm5ZCzqcki4oUFEdhpfkg_7_0"/>
      <w:bookmarkStart w:id="285" w:name="Tc_G_8bXKFgKkWZvrJ9fkzzTw_6_0"/>
      <w:bookmarkStart w:id="286" w:name="Tc_W1RY3t53W0KwX1XNZdbsjw_5_0"/>
      <w:bookmarkStart w:id="287" w:name="Tc_W89Hp2VnWEK848n6li_cEw_4_11"/>
      <w:bookmarkStart w:id="288" w:name="Tc_YHd1EUqT9ku6vgQ4Esqzcg_4_8"/>
      <w:bookmarkStart w:id="289" w:name="Tc_iUHIrBzljEqB7Y1VLSoJpA_4_5"/>
      <w:bookmarkStart w:id="290" w:name="Tc_O-OtS5PyUU6nMLGf1W5agg_4_2"/>
      <w:bookmarkStart w:id="291" w:name="Tc_cCJziHjcskKB4rNkqsV0oQ_4_0"/>
      <w:bookmarkStart w:id="292" w:name="Tc_A949xtcoHEGc10GaS2MXiw_3_2"/>
      <w:bookmarkStart w:id="293" w:name="Tc_INKxXsXZfUqiWo43ZUB3wQ_2_11"/>
      <w:bookmarkStart w:id="294" w:name="Tc_PeAWPs-yy0ySH--fG1yRPQ_2_8"/>
      <w:bookmarkStart w:id="295" w:name="Tc_hX9RKVwoXEi7-SLVXgvZWQ_2_5"/>
      <w:bookmarkStart w:id="296" w:name="Tc_Dt_e3KXk1k2Cm_VHObyG1g_2_2"/>
      <w:bookmarkStart w:id="297" w:name="Tc_tPLIBI6svUuAW1hjcvLmfA_1_8"/>
      <w:bookmarkStart w:id="298" w:name="Tc_u6FAn8Fj_UaTE4Haum3Yow_1_2"/>
      <w:bookmarkStart w:id="299" w:name="_290f304c_84d7_4043_96e6_161dd4d1b226"/>
      <w:bookmarkStart w:id="300" w:name="Tc_HxJwMMbKaUmcHh5_0tSfdg_16_11"/>
      <w:bookmarkStart w:id="301" w:name="Tc_9iz9HKaeCUKdB96o5k4FeA_16_8"/>
      <w:bookmarkStart w:id="302" w:name="Tc_oUX5Z8lvBEyLOX9RSw7m-g_16_5"/>
      <w:bookmarkStart w:id="303" w:name="Tc_i23NfEEvB0ifGU3mHsxzpA_16_2"/>
      <w:bookmarkStart w:id="304" w:name="Tc_y-4edXHyDUud7kCVVkpRwQ_15_0"/>
      <w:bookmarkStart w:id="305" w:name="Tc_CuF7nK3mEkinEE5aauKRfQ_14_11"/>
      <w:bookmarkStart w:id="306" w:name="Tc_KkYHEbxU-Uqn7RHmQa4D2Q_14_8"/>
      <w:bookmarkStart w:id="307" w:name="Tc_lQtQfJbbdEOlElMz_OaF9w_14_5"/>
      <w:bookmarkStart w:id="308" w:name="Tc_BxkWaXc-j0OHj_o7kjqnmA_14_2"/>
      <w:bookmarkStart w:id="309" w:name="Tc_oR3icFQ43EKxidzjgu5tMg_14_0"/>
      <w:bookmarkStart w:id="310" w:name="Tc_8waJjX5gPkSDj-Lo43PYQQ_13_0"/>
      <w:bookmarkStart w:id="311" w:name="Tc_Ii17BEtPRE2OrAd3UdWqLA_11_11"/>
      <w:bookmarkStart w:id="312" w:name="Tc_dGFwr5S3gk6sDFx3fIt6lw_11_8"/>
      <w:bookmarkStart w:id="313" w:name="Tc_jb7BHfVSOk2j5-EYOwhZTw_11_5"/>
      <w:bookmarkStart w:id="314" w:name="Tc_y9TmkyBdhUiDINyvSuV4hA_11_2"/>
      <w:bookmarkStart w:id="315" w:name="Tc_PuLWl9qkl0awbKkEuN_pUw_11_0"/>
      <w:bookmarkStart w:id="316" w:name="Tc_ZlfloK0nfkmHFnkOybVd5w_10_0"/>
      <w:bookmarkStart w:id="317" w:name="Tc_McRvqvO9_kWe6Zckapj_4g_9_0"/>
      <w:bookmarkStart w:id="318" w:name="Tc_uOdJVs40cUaHNGSKcfdjFQ_8_0"/>
      <w:bookmarkStart w:id="319" w:name="Tc_1zGB-mXNwEWf48Z_TuvoOg_7_9"/>
      <w:bookmarkStart w:id="320" w:name="Tc_T2sEuigDKUu-vz5-gx6M9Q_7_3"/>
      <w:bookmarkStart w:id="321" w:name="Tc_mwm5ZCzqcki4oUFEdhpfkg_7_0"/>
      <w:bookmarkStart w:id="322" w:name="Tc_G_8bXKFgKkWZvrJ9fkzzTw_6_0"/>
      <w:bookmarkStart w:id="323" w:name="Tc_W1RY3t53W0KwX1XNZdbsjw_5_0"/>
      <w:bookmarkStart w:id="324" w:name="Tc_W89Hp2VnWEK848n6li_cEw_4_11"/>
      <w:bookmarkStart w:id="325" w:name="Tc_YHd1EUqT9ku6vgQ4Esqzcg_4_8"/>
      <w:bookmarkStart w:id="326" w:name="Tc_iUHIrBzljEqB7Y1VLSoJpA_4_5"/>
      <w:bookmarkStart w:id="327" w:name="Tc_O-OtS5PyUU6nMLGf1W5agg_4_2"/>
      <w:bookmarkStart w:id="328" w:name="Tc_cCJziHjcskKB4rNkqsV0oQ_4_0"/>
      <w:bookmarkStart w:id="329" w:name="Tc_A949xtcoHEGc10GaS2MXiw_3_2"/>
      <w:bookmarkStart w:id="330" w:name="Tc_INKxXsXZfUqiWo43ZUB3wQ_2_11"/>
      <w:bookmarkStart w:id="331" w:name="Tc_PeAWPs-yy0ySH--fG1yRPQ_2_8"/>
      <w:bookmarkStart w:id="332" w:name="Tc_hX9RKVwoXEi7-SLVXgvZWQ_2_5"/>
      <w:bookmarkStart w:id="333" w:name="Tc_Dt_e3KXk1k2Cm_VHObyG1g_2_2"/>
      <w:bookmarkStart w:id="334" w:name="Tc_tPLIBI6svUuAW1hjcvLmfA_1_8"/>
      <w:bookmarkStart w:id="335" w:name="Tc_u6FAn8Fj_UaTE4Haum3Yow_1_2"/>
      <w:bookmarkStart w:id="336" w:name="_290f304c_84d7_4043_96e6_161dd4d1b226"/>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10205" w:type="dxa"/>
        <w:jc w:val="left"/>
        <w:tblInd w:w="0" w:type="dxa"/>
        <w:tblLayout w:type="fixed"/>
        <w:tblCellMar>
          <w:top w:w="0" w:type="dxa"/>
          <w:left w:w="0" w:type="dxa"/>
          <w:bottom w:w="0" w:type="dxa"/>
          <w:right w:w="0" w:type="dxa"/>
        </w:tblCellMar>
      </w:tblPr>
      <w:tblGrid>
        <w:gridCol w:w="4723"/>
        <w:gridCol w:w="326"/>
        <w:gridCol w:w="289"/>
        <w:gridCol w:w="731"/>
        <w:gridCol w:w="447"/>
        <w:gridCol w:w="289"/>
        <w:gridCol w:w="731"/>
        <w:gridCol w:w="326"/>
        <w:gridCol w:w="265"/>
        <w:gridCol w:w="670"/>
        <w:gridCol w:w="410"/>
        <w:gridCol w:w="265"/>
        <w:gridCol w:w="733"/>
      </w:tblGrid>
      <w:tr>
        <w:trPr/>
        <w:tc>
          <w:tcPr>
            <w:tcW w:w="4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99105" cy="175260"/>
                      <wp:effectExtent l="0" t="0" r="0" b="0"/>
                      <wp:wrapNone/>
                      <wp:docPr id="38" name="Frame38"/>
                      <a:graphic xmlns:a="http://schemas.openxmlformats.org/drawingml/2006/main">
                        <a:graphicData uri="http://schemas.microsoft.com/office/word/2010/wordprocessingShape">
                          <wps:wsp>
                            <wps:cNvSpPr txBox="1"/>
                            <wps:spPr>
                              <a:xfrm>
                                <a:off x="0" y="0"/>
                                <a:ext cx="299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3515" cy="175260"/>
                      <wp:effectExtent l="0" t="0" r="0" b="0"/>
                      <wp:wrapNone/>
                      <wp:docPr id="40" name="Frame4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4185" cy="175260"/>
                      <wp:effectExtent l="0" t="0" r="0" b="0"/>
                      <wp:wrapNone/>
                      <wp:docPr id="41" name="Frame41"/>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3845" cy="175260"/>
                      <wp:effectExtent l="0" t="0" r="0" b="0"/>
                      <wp:wrapNone/>
                      <wp:docPr id="42" name="Frame42"/>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3515" cy="175260"/>
                      <wp:effectExtent l="0" t="0" r="0" b="0"/>
                      <wp:wrapNone/>
                      <wp:docPr id="43" name="Frame4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4185" cy="175260"/>
                      <wp:effectExtent l="0" t="0" r="0" b="0"/>
                      <wp:wrapNone/>
                      <wp:docPr id="44" name="Frame44"/>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8275" cy="175260"/>
                      <wp:effectExtent l="0" t="0" r="0" b="0"/>
                      <wp:wrapNone/>
                      <wp:docPr id="46" name="Frame4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25450" cy="175260"/>
                      <wp:effectExtent l="0" t="0" r="0" b="0"/>
                      <wp:wrapNone/>
                      <wp:docPr id="47" name="Frame47"/>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0350" cy="175260"/>
                      <wp:effectExtent l="0" t="0" r="0" b="0"/>
                      <wp:wrapNone/>
                      <wp:docPr id="48" name="Frame48"/>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8275" cy="175260"/>
                      <wp:effectExtent l="0" t="0" r="0" b="0"/>
                      <wp:wrapNone/>
                      <wp:docPr id="49" name="Frame4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5455" cy="175260"/>
                      <wp:effectExtent l="0" t="0" r="0" b="0"/>
                      <wp:wrapNone/>
                      <wp:docPr id="50" name="Frame5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47"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10" w:type="dxa"/>
            <w:tcBorders/>
            <w:vAlign w:val="center"/>
          </w:tcPr>
          <w:p>
            <w:pPr>
              <w:pStyle w:val="TableContents"/>
              <w:bidi w:val="0"/>
              <w:spacing w:before="0" w:after="0"/>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5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47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 allocated to:</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  </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47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47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410"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7" w:name="_d38241df_8ad7_4feb_ac4e_067ddf91bf9d"/>
      <w:bookmarkEnd w:id="337"/>
      <w:r>
        <w:rPr>
          <w:rFonts w:ascii="Times New Roman;Times;serif" w:hAnsi="Times New Roman;Times;serif"/>
          <w:b/>
          <w:sz w:val="20"/>
        </w:rPr>
        <w:t>ICAHN ENTERPRISES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8" w:name="Tc_xhAs21a3W0aOmw-3F7ik0w_23_0"/>
      <w:bookmarkStart w:id="339" w:name="Tc_0pvAA3I4ska0E-40AzM5GQ_22_12"/>
      <w:bookmarkStart w:id="340" w:name="Tc_ZjbDnZL7RUi2BPY6vOx1JA_22_6"/>
      <w:bookmarkStart w:id="341" w:name="Tc_GueYBm0F3k6JeIxtDLY_dg_22_0"/>
      <w:bookmarkStart w:id="342" w:name="Tc_vW0FquKI6E-A5Rdt8IRYdw_21_9"/>
      <w:bookmarkStart w:id="343" w:name="Tc_7oT4SNs-UUW2P8XNl_HIGg_21_6"/>
      <w:bookmarkStart w:id="344" w:name="Tc_x-HrrWMsnkGvgHDzhYgjnw_21_3"/>
      <w:bookmarkStart w:id="345" w:name="Tc_mDL3GyJjZkiQy6NcO_K4Iw_21_0"/>
      <w:bookmarkStart w:id="346" w:name="Tc_mlJCJHTLN0SGmVCZXIu2Kg_20_9"/>
      <w:bookmarkStart w:id="347" w:name="Tc_UBoBHkblKk6OpUcdneAQMg_20_6"/>
      <w:bookmarkStart w:id="348" w:name="Tc_WxX6dMVJaUWTFZVVSeRe_A_20_3"/>
      <w:bookmarkStart w:id="349" w:name="Tc_ozqrWNp3DEa0KsXGUwvMrQ_20_0"/>
      <w:bookmarkStart w:id="350" w:name="Tc_jVjcePlVB0Of_h2EXACnUA_19_12"/>
      <w:bookmarkStart w:id="351" w:name="Tc_tqiP110O2UOIUOY-nz0MGQ_19_0"/>
      <w:bookmarkStart w:id="352" w:name="Tc_jHdp9R8UKEWMxxKKs972nw_18_12"/>
      <w:bookmarkStart w:id="353" w:name="Tc_KXDOP-44xU6o5vEeeMedJA_18_0"/>
      <w:bookmarkStart w:id="354" w:name="Tc_dmRxM2qIoE2cgFcPwpGArw_17_12"/>
      <w:bookmarkStart w:id="355" w:name="Tc_aAa2ESD7Hk6T219zzCWosw_17_0"/>
      <w:bookmarkStart w:id="356" w:name="Tc_U9HDeRvW6kSgWwa8nCLnow_16_3"/>
      <w:bookmarkStart w:id="357" w:name="Tc_D2UUSUvQMkW_jmay6d-bTw_16_0"/>
      <w:bookmarkStart w:id="358" w:name="Tc_yqYT1ZN9b0qzVX5Ullv3DA_15_0"/>
      <w:bookmarkStart w:id="359" w:name="Tc_sgVPCtaldkqt5vE6noVHeA_14_14"/>
      <w:bookmarkStart w:id="360" w:name="Tc_JB5hEx0FA0yCIuvx8gSZpQ_14_11"/>
      <w:bookmarkStart w:id="361" w:name="Tc_YebZUHUmT0ShN0TJZStIzA_14_8"/>
      <w:bookmarkStart w:id="362" w:name="Tc_eEOgzHRtXUWsGv_-dLSfmQ_14_5"/>
      <w:bookmarkStart w:id="363" w:name="Tc_YjIE45BUxEm-NRtx-Wyceg_14_2"/>
      <w:bookmarkStart w:id="364" w:name="Tc_rxJQWd9O4kWDKe2WOCWNtA_14_0"/>
      <w:bookmarkStart w:id="365" w:name="Tc_Qx6wuulx1E2PG5I4dDn8dQ_13_12"/>
      <w:bookmarkStart w:id="366" w:name="Tc_gj1nWMlAoUWqHViltSIXnA_13_6"/>
      <w:bookmarkStart w:id="367" w:name="Tc_KNwQLAj5bUW-1sqWYORkjA_13_0"/>
      <w:bookmarkStart w:id="368" w:name="Tc_PuN1SmWyz0aPYmqK-_tIgA_12_9"/>
      <w:bookmarkStart w:id="369" w:name="Tc_t_Y6wIrClU6iBiHnirKTaQ_12_6"/>
      <w:bookmarkStart w:id="370" w:name="Tc_-MGW5prIiUqxojtQohbEQw_12_3"/>
      <w:bookmarkStart w:id="371" w:name="Tc_PALgWBL8YkGA8bLRRG2LCw_12_0"/>
      <w:bookmarkStart w:id="372" w:name="Tc_lzQlcou70kih4QXpINSYMQ_11_9"/>
      <w:bookmarkStart w:id="373" w:name="Tc_PpdM9R4PDkeybLYhKrVubA_11_6"/>
      <w:bookmarkStart w:id="374" w:name="Tc_CZhIU3matUOazHWcwbQqcQ_11_3"/>
      <w:bookmarkStart w:id="375" w:name="Tc_fpV1xznA1EOVTQddBTNWUw_11_0"/>
      <w:bookmarkStart w:id="376" w:name="Tc_cfN1S8VApUm5-0rs4CX_Aw_10_12"/>
      <w:bookmarkStart w:id="377" w:name="Tc_gQvQP-8mN0au43nG8UeRtg_10_0"/>
      <w:bookmarkStart w:id="378" w:name="Tc_tDN7WDZR_kiD5YGd-wnh-A_9_12"/>
      <w:bookmarkStart w:id="379" w:name="Tc___vFhpcECUKy9GYMC-Fs6g_9_0"/>
      <w:bookmarkStart w:id="380" w:name="Tc_cmEsuUPmPkiyVV0pxwM1_A_8_12"/>
      <w:bookmarkStart w:id="381" w:name="Tc_mroRzUwb3ESsrl0GJp3MMA_8_3"/>
      <w:bookmarkStart w:id="382" w:name="Tc_72zs475UTE2_7XFouc9NWA_8_0"/>
      <w:bookmarkStart w:id="383" w:name="Tc_czgo-8df1E6fERT0GQRtHg_7_0"/>
      <w:bookmarkStart w:id="384" w:name="Tc_oCn1V3p0ok6yUAjxtYNGkQ_6_14"/>
      <w:bookmarkStart w:id="385" w:name="Tc_fXweiPu3-UObgRgkLaUY9Q_6_11"/>
      <w:bookmarkStart w:id="386" w:name="Tc_2tmTsG2IEk6hWRRXhyP5CA_6_8"/>
      <w:bookmarkStart w:id="387" w:name="Tc_rY9xYQsJF0WZ1_0IldgAig_6_5"/>
      <w:bookmarkStart w:id="388" w:name="Tc_6XQj01a5eEKbp1PcgeB7dw_6_2"/>
      <w:bookmarkStart w:id="389" w:name="Tc_vMOHQzyR90OA0VsKhZlABg_6_0"/>
      <w:bookmarkStart w:id="390" w:name="Tc_gfNWiMH8zkii6OeQEVNs7g_5_2"/>
      <w:bookmarkStart w:id="391" w:name="Tc_b_VRook4K0eoen5tLiIw9A_4_14"/>
      <w:bookmarkStart w:id="392" w:name="Tc_ZJJ8itSmIUCbe31Bc3jMRQ_4_11"/>
      <w:bookmarkStart w:id="393" w:name="Tc_LzUx9-ke50OK8SOyJnIzrQ_4_8"/>
      <w:bookmarkStart w:id="394" w:name="Tc_zMniiWcUj0OdqDIwKJF1TA_4_5"/>
      <w:bookmarkStart w:id="395" w:name="Tc__XAI7xuJy0-PJk4TKbgXBg_4_2"/>
      <w:bookmarkStart w:id="396" w:name="Tc_bemfqSSDoEOeNwVv05RlbQ_3_11"/>
      <w:bookmarkStart w:id="397" w:name="Tc_5I8yAHaYVke3DIZy8rlnuw_3_8"/>
      <w:bookmarkStart w:id="398" w:name="Tc_G3xAexxuQ0KBdbaMMxi_Hw_3_5"/>
      <w:bookmarkStart w:id="399" w:name="Tc_2CsbxhbM50yNe3kR6x1ndA_3_2"/>
      <w:bookmarkStart w:id="400" w:name="Tc_nlZ8m3DEKkmhUfFOkv2ZoQ_2_11"/>
      <w:bookmarkStart w:id="401" w:name="Tc_9DnOWxa2WUutvzn6Qt8B-Q_2_5"/>
      <w:bookmarkStart w:id="402" w:name="Tc_giufCTvEf0a7qAhxCpDdGQ_2_2"/>
      <w:bookmarkStart w:id="403" w:name="Tc_C65OGiHMgkeHJRwHnkHOlg_1_2"/>
      <w:bookmarkStart w:id="404" w:name="_fa48f66f_a274_42f7_893c_4e09133d0b78"/>
      <w:bookmarkStart w:id="405" w:name="Tc_xhAs21a3W0aOmw-3F7ik0w_23_0"/>
      <w:bookmarkStart w:id="406" w:name="Tc_0pvAA3I4ska0E-40AzM5GQ_22_12"/>
      <w:bookmarkStart w:id="407" w:name="Tc_ZjbDnZL7RUi2BPY6vOx1JA_22_6"/>
      <w:bookmarkStart w:id="408" w:name="Tc_GueYBm0F3k6JeIxtDLY_dg_22_0"/>
      <w:bookmarkStart w:id="409" w:name="Tc_vW0FquKI6E-A5Rdt8IRYdw_21_9"/>
      <w:bookmarkStart w:id="410" w:name="Tc_7oT4SNs-UUW2P8XNl_HIGg_21_6"/>
      <w:bookmarkStart w:id="411" w:name="Tc_x-HrrWMsnkGvgHDzhYgjnw_21_3"/>
      <w:bookmarkStart w:id="412" w:name="Tc_mDL3GyJjZkiQy6NcO_K4Iw_21_0"/>
      <w:bookmarkStart w:id="413" w:name="Tc_mlJCJHTLN0SGmVCZXIu2Kg_20_9"/>
      <w:bookmarkStart w:id="414" w:name="Tc_UBoBHkblKk6OpUcdneAQMg_20_6"/>
      <w:bookmarkStart w:id="415" w:name="Tc_WxX6dMVJaUWTFZVVSeRe_A_20_3"/>
      <w:bookmarkStart w:id="416" w:name="Tc_ozqrWNp3DEa0KsXGUwvMrQ_20_0"/>
      <w:bookmarkStart w:id="417" w:name="Tc_jVjcePlVB0Of_h2EXACnUA_19_12"/>
      <w:bookmarkStart w:id="418" w:name="Tc_tqiP110O2UOIUOY-nz0MGQ_19_0"/>
      <w:bookmarkStart w:id="419" w:name="Tc_jHdp9R8UKEWMxxKKs972nw_18_12"/>
      <w:bookmarkStart w:id="420" w:name="Tc_KXDOP-44xU6o5vEeeMedJA_18_0"/>
      <w:bookmarkStart w:id="421" w:name="Tc_dmRxM2qIoE2cgFcPwpGArw_17_12"/>
      <w:bookmarkStart w:id="422" w:name="Tc_aAa2ESD7Hk6T219zzCWosw_17_0"/>
      <w:bookmarkStart w:id="423" w:name="Tc_U9HDeRvW6kSgWwa8nCLnow_16_3"/>
      <w:bookmarkStart w:id="424" w:name="Tc_D2UUSUvQMkW_jmay6d-bTw_16_0"/>
      <w:bookmarkStart w:id="425" w:name="Tc_yqYT1ZN9b0qzVX5Ullv3DA_15_0"/>
      <w:bookmarkStart w:id="426" w:name="Tc_sgVPCtaldkqt5vE6noVHeA_14_14"/>
      <w:bookmarkStart w:id="427" w:name="Tc_JB5hEx0FA0yCIuvx8gSZpQ_14_11"/>
      <w:bookmarkStart w:id="428" w:name="Tc_YebZUHUmT0ShN0TJZStIzA_14_8"/>
      <w:bookmarkStart w:id="429" w:name="Tc_eEOgzHRtXUWsGv_-dLSfmQ_14_5"/>
      <w:bookmarkStart w:id="430" w:name="Tc_YjIE45BUxEm-NRtx-Wyceg_14_2"/>
      <w:bookmarkStart w:id="431" w:name="Tc_rxJQWd9O4kWDKe2WOCWNtA_14_0"/>
      <w:bookmarkStart w:id="432" w:name="Tc_Qx6wuulx1E2PG5I4dDn8dQ_13_12"/>
      <w:bookmarkStart w:id="433" w:name="Tc_gj1nWMlAoUWqHViltSIXnA_13_6"/>
      <w:bookmarkStart w:id="434" w:name="Tc_KNwQLAj5bUW-1sqWYORkjA_13_0"/>
      <w:bookmarkStart w:id="435" w:name="Tc_PuN1SmWyz0aPYmqK-_tIgA_12_9"/>
      <w:bookmarkStart w:id="436" w:name="Tc_t_Y6wIrClU6iBiHnirKTaQ_12_6"/>
      <w:bookmarkStart w:id="437" w:name="Tc_-MGW5prIiUqxojtQohbEQw_12_3"/>
      <w:bookmarkStart w:id="438" w:name="Tc_PALgWBL8YkGA8bLRRG2LCw_12_0"/>
      <w:bookmarkStart w:id="439" w:name="Tc_lzQlcou70kih4QXpINSYMQ_11_9"/>
      <w:bookmarkStart w:id="440" w:name="Tc_PpdM9R4PDkeybLYhKrVubA_11_6"/>
      <w:bookmarkStart w:id="441" w:name="Tc_CZhIU3matUOazHWcwbQqcQ_11_3"/>
      <w:bookmarkStart w:id="442" w:name="Tc_fpV1xznA1EOVTQddBTNWUw_11_0"/>
      <w:bookmarkStart w:id="443" w:name="Tc_cfN1S8VApUm5-0rs4CX_Aw_10_12"/>
      <w:bookmarkStart w:id="444" w:name="Tc_gQvQP-8mN0au43nG8UeRtg_10_0"/>
      <w:bookmarkStart w:id="445" w:name="Tc_tDN7WDZR_kiD5YGd-wnh-A_9_12"/>
      <w:bookmarkStart w:id="446" w:name="Tc___vFhpcECUKy9GYMC-Fs6g_9_0"/>
      <w:bookmarkStart w:id="447" w:name="Tc_cmEsuUPmPkiyVV0pxwM1_A_8_12"/>
      <w:bookmarkStart w:id="448" w:name="Tc_mroRzUwb3ESsrl0GJp3MMA_8_3"/>
      <w:bookmarkStart w:id="449" w:name="Tc_72zs475UTE2_7XFouc9NWA_8_0"/>
      <w:bookmarkStart w:id="450" w:name="Tc_czgo-8df1E6fERT0GQRtHg_7_0"/>
      <w:bookmarkStart w:id="451" w:name="Tc_oCn1V3p0ok6yUAjxtYNGkQ_6_14"/>
      <w:bookmarkStart w:id="452" w:name="Tc_fXweiPu3-UObgRgkLaUY9Q_6_11"/>
      <w:bookmarkStart w:id="453" w:name="Tc_2tmTsG2IEk6hWRRXhyP5CA_6_8"/>
      <w:bookmarkStart w:id="454" w:name="Tc_rY9xYQsJF0WZ1_0IldgAig_6_5"/>
      <w:bookmarkStart w:id="455" w:name="Tc_6XQj01a5eEKbp1PcgeB7dw_6_2"/>
      <w:bookmarkStart w:id="456" w:name="Tc_vMOHQzyR90OA0VsKhZlABg_6_0"/>
      <w:bookmarkStart w:id="457" w:name="Tc_gfNWiMH8zkii6OeQEVNs7g_5_2"/>
      <w:bookmarkStart w:id="458" w:name="Tc_b_VRook4K0eoen5tLiIw9A_4_14"/>
      <w:bookmarkStart w:id="459" w:name="Tc_ZJJ8itSmIUCbe31Bc3jMRQ_4_11"/>
      <w:bookmarkStart w:id="460" w:name="Tc_LzUx9-ke50OK8SOyJnIzrQ_4_8"/>
      <w:bookmarkStart w:id="461" w:name="Tc_zMniiWcUj0OdqDIwKJF1TA_4_5"/>
      <w:bookmarkStart w:id="462" w:name="Tc__XAI7xuJy0-PJk4TKbgXBg_4_2"/>
      <w:bookmarkStart w:id="463" w:name="Tc_bemfqSSDoEOeNwVv05RlbQ_3_11"/>
      <w:bookmarkStart w:id="464" w:name="Tc_5I8yAHaYVke3DIZy8rlnuw_3_8"/>
      <w:bookmarkStart w:id="465" w:name="Tc_G3xAexxuQ0KBdbaMMxi_Hw_3_5"/>
      <w:bookmarkStart w:id="466" w:name="Tc_2CsbxhbM50yNe3kR6x1ndA_3_2"/>
      <w:bookmarkStart w:id="467" w:name="Tc_nlZ8m3DEKkmhUfFOkv2ZoQ_2_11"/>
      <w:bookmarkStart w:id="468" w:name="Tc_9DnOWxa2WUutvzn6Qt8B-Q_2_5"/>
      <w:bookmarkStart w:id="469" w:name="Tc_giufCTvEf0a7qAhxCpDdGQ_2_2"/>
      <w:bookmarkStart w:id="470" w:name="Tc_C65OGiHMgkeHJRwHnkHOlg_1_2"/>
      <w:bookmarkStart w:id="471" w:name="_fa48f66f_a274_42f7_893c_4e09133d0b78"/>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95"/>
        <w:gridCol w:w="801"/>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30705" cy="175260"/>
                      <wp:effectExtent l="0" t="0" r="0" b="0"/>
                      <wp:wrapNone/>
                      <wp:docPr id="51" name="Frame51"/>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3990" cy="175260"/>
                      <wp:effectExtent l="0" t="0" r="0" b="0"/>
                      <wp:wrapNone/>
                      <wp:docPr id="53" name="Frame5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98145" cy="175260"/>
                      <wp:effectExtent l="0" t="0" r="0" b="0"/>
                      <wp:wrapNone/>
                      <wp:docPr id="54" name="Frame5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9555" cy="175260"/>
                      <wp:effectExtent l="0" t="0" r="0" b="0"/>
                      <wp:wrapNone/>
                      <wp:docPr id="55" name="Frame5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1290" cy="175260"/>
                      <wp:effectExtent l="0" t="0" r="0" b="0"/>
                      <wp:wrapNone/>
                      <wp:docPr id="56" name="Frame5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7515" cy="175260"/>
                      <wp:effectExtent l="0" t="0" r="0" b="0"/>
                      <wp:wrapNone/>
                      <wp:docPr id="57" name="Frame5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49555" cy="175260"/>
                      <wp:effectExtent l="0" t="0" r="0" b="0"/>
                      <wp:wrapNone/>
                      <wp:docPr id="58" name="Frame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4950" cy="175260"/>
                      <wp:effectExtent l="0" t="0" r="0" b="0"/>
                      <wp:wrapNone/>
                      <wp:docPr id="59" name="Frame5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4525" cy="175260"/>
                      <wp:effectExtent l="0" t="0" r="0" b="0"/>
                      <wp:wrapNone/>
                      <wp:docPr id="60" name="Frame60"/>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7325" cy="175260"/>
                      <wp:effectExtent l="0" t="0" r="0" b="0"/>
                      <wp:wrapNone/>
                      <wp:docPr id="62" name="Frame6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8635" cy="175260"/>
                      <wp:effectExtent l="0" t="0" r="0" b="0"/>
                      <wp:wrapNone/>
                      <wp:docPr id="63" name="Frame6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5420" cy="175260"/>
                      <wp:effectExtent l="0" t="0" r="0" b="0"/>
                      <wp:wrapNone/>
                      <wp:docPr id="65" name="Frame6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7535" cy="175260"/>
                      <wp:effectExtent l="0" t="0" r="0" b="0"/>
                      <wp:wrapNone/>
                      <wp:docPr id="66" name="Frame6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contributions from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3,497</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w:t>
            </w:r>
          </w:p>
        </w:tc>
        <w:tc>
          <w:tcPr>
            <w:tcW w:w="32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2,659</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5,386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2" w:name="Tc_Iz1zQFoI8EyEhzUWtNE7NA_22_0"/>
      <w:bookmarkStart w:id="473" w:name="Tc_9y5uZ8Hj9Euu3SAPWP56zw_21_12"/>
      <w:bookmarkStart w:id="474" w:name="Tc_cXkpNXbBIEKuuv5sFctRUg_21_3"/>
      <w:bookmarkStart w:id="475" w:name="Tc_OAH5hIz9gkeUcOZ8R-lNmg_21_0"/>
      <w:bookmarkStart w:id="476" w:name="Tc_5N6wVCASM0en9ARl5hsTgw_20_9"/>
      <w:bookmarkStart w:id="477" w:name="Tc_N4mMo-fW3U2uoJ4H1GQKMw_20_6"/>
      <w:bookmarkStart w:id="478" w:name="Tc_4B8C__EVMU2IHY57XRYWrw_20_3"/>
      <w:bookmarkStart w:id="479" w:name="Tc_84tQfX7AcUKGZjOg2x_EUg_20_0"/>
      <w:bookmarkStart w:id="480" w:name="Tc_7fuoHtrffUyL6aPfVE060A_19_9"/>
      <w:bookmarkStart w:id="481" w:name="Tc_Yr2d0jPn-kG1o8ZO953Xvg_19_6"/>
      <w:bookmarkStart w:id="482" w:name="Tc_2JI-jTaotEe22d3JUaqYpg_19_3"/>
      <w:bookmarkStart w:id="483" w:name="Tc_xbxwgHLUBUOES_SgQdLNYQ_19_0"/>
      <w:bookmarkStart w:id="484" w:name="Tc_gkFQ2d2blEucDC3GpHRX5g_18_12"/>
      <w:bookmarkStart w:id="485" w:name="Tc_HQvGpbLtU0muTDAeuATqaQ_18_0"/>
      <w:bookmarkStart w:id="486" w:name="Tc_AxbH2fXQsU6txLJNiXU1Mw_17_12"/>
      <w:bookmarkStart w:id="487" w:name="Tc_87Zzy4_nMEakrkzzdTRznQ_17_0"/>
      <w:bookmarkStart w:id="488" w:name="Tc_Kc9U4YSzv0CVJy3YiMPAvQ_16_12"/>
      <w:bookmarkStart w:id="489" w:name="Tc_kWk5PR810EiJQwb3MieDWw_16_3"/>
      <w:bookmarkStart w:id="490" w:name="Tc_adKeT1ysNk-3S4YYJEmDuw_16_0"/>
      <w:bookmarkStart w:id="491" w:name="Tc_333pGzHKu06mH6aZmecwuA_15_0"/>
      <w:bookmarkStart w:id="492" w:name="Tc_v2lzDUS-_kWNsdZWHuHzVQ_14_14"/>
      <w:bookmarkStart w:id="493" w:name="Tc_rpRNicY9MUW4Y6qk6i_Cmg_14_11"/>
      <w:bookmarkStart w:id="494" w:name="Tc_Hgv3guejokqbsPYUG_IquA_14_8"/>
      <w:bookmarkStart w:id="495" w:name="Tc_0RJ5KrQJhkKqemVlysd8tA_14_5"/>
      <w:bookmarkStart w:id="496" w:name="Tc_FavZye8wqkG27c7sqXsZTw_14_2"/>
      <w:bookmarkStart w:id="497" w:name="Tc_4rpRxtMts0eF6gqwZ58Tmg_14_0"/>
      <w:bookmarkStart w:id="498" w:name="Tc_gKYT9FEL2kuk4-R-314cYA_13_12"/>
      <w:bookmarkStart w:id="499" w:name="Tc_E63CN-O630KiBm6ZPA0X2w_13_3"/>
      <w:bookmarkStart w:id="500" w:name="Tc_OpdFSxtnC0WtnKPOzJQg1A_13_0"/>
      <w:bookmarkStart w:id="501" w:name="Tc_ltleGCid60Wm52f6eugsJw_12_9"/>
      <w:bookmarkStart w:id="502" w:name="Tc_0IK4UNBumEiaX4jRMMILhg_12_6"/>
      <w:bookmarkStart w:id="503" w:name="Tc_uSRyZDW2aEuFiNUyr0gJog_12_3"/>
      <w:bookmarkStart w:id="504" w:name="Tc_38Wmm0Mee0CjyKxTq9SbGA_12_0"/>
      <w:bookmarkStart w:id="505" w:name="Tc_LS8Rr5CH7U-laO9zikWM4w_11_9"/>
      <w:bookmarkStart w:id="506" w:name="Tc_W75ZWum9IEy-kB9pBixUcg_11_6"/>
      <w:bookmarkStart w:id="507" w:name="Tc_FyI4k2ZmnEGylNY0pVHBiw_11_3"/>
      <w:bookmarkStart w:id="508" w:name="Tc_m-YOAG43CEaBBHbrLf3FAA_11_0"/>
      <w:bookmarkStart w:id="509" w:name="Tc_toFlF7P9c0KK73ACZt0jnA_10_12"/>
      <w:bookmarkStart w:id="510" w:name="Tc_wCU7ZtIWqEi6BiulO5guDA_10_0"/>
      <w:bookmarkStart w:id="511" w:name="Tc_M4VGXWM1uESsuEjX414c1w_9_12"/>
      <w:bookmarkStart w:id="512" w:name="Tc_lSdKTn8Bv0imt7dNOE5VAw_9_0"/>
      <w:bookmarkStart w:id="513" w:name="Tc_NAEMTm6zt0WQcx0hgP-yrQ_8_12"/>
      <w:bookmarkStart w:id="514" w:name="Tc_FnmU6FOVp0WhXSP6S4PdEA_8_3"/>
      <w:bookmarkStart w:id="515" w:name="Tc_AeND1RHihkmEXaFHWjbIXg_8_0"/>
      <w:bookmarkStart w:id="516" w:name="Tc_sGarLa2MaEmF8ZR3YiBvNg_7_0"/>
      <w:bookmarkStart w:id="517" w:name="Tc_P82vpuWBIEm0VkPVqjvAuQ_6_14"/>
      <w:bookmarkStart w:id="518" w:name="Tc_M3bvUNPkVkSb5DEv2Y1zvQ_6_11"/>
      <w:bookmarkStart w:id="519" w:name="Tc_DYm3fRISmk2HmSHE39DssA_6_8"/>
      <w:bookmarkStart w:id="520" w:name="Tc_SfDIL8YlKkuu0rEGvuE86w_6_5"/>
      <w:bookmarkStart w:id="521" w:name="Tc_ptlj2SZwmECvZ3R7wvXCvA_6_2"/>
      <w:bookmarkStart w:id="522" w:name="Tc_IcNXKe2VK0aoCdpq7snmAQ_6_0"/>
      <w:bookmarkStart w:id="523" w:name="Tc_dQa7R0JL8EO2RvJmvjOsUA_5_2"/>
      <w:bookmarkStart w:id="524" w:name="Tc_BHQlQJBi2kGAY9qLpyUmdw_4_14"/>
      <w:bookmarkStart w:id="525" w:name="Tc_bo9VkYq9p0CcHOexBSSWVg_4_11"/>
      <w:bookmarkStart w:id="526" w:name="Tc_fWE5S7p32keA5Lu-BWQnyA_4_8"/>
      <w:bookmarkStart w:id="527" w:name="Tc_DGysr9C4fE2y_iN4BSDWgg_4_5"/>
      <w:bookmarkStart w:id="528" w:name="Tc_Hmr_VT6QdUyeHBS4A_DIsA_4_2"/>
      <w:bookmarkStart w:id="529" w:name="Tc_-K-xZjaBFkKEqiU42JPApQ_3_11"/>
      <w:bookmarkStart w:id="530" w:name="Tc_5jlaUfftBUuCtPxBGtxppw_3_8"/>
      <w:bookmarkStart w:id="531" w:name="Tc_O5TrR-SDJEyCkHTBpXSchQ_3_5"/>
      <w:bookmarkStart w:id="532" w:name="Tc_EnNOwyds10mXvzYpGIuSlA_3_2"/>
      <w:bookmarkStart w:id="533" w:name="Tc_3Ll2bQs5fU6JitucZVaWrw_2_11"/>
      <w:bookmarkStart w:id="534" w:name="Tc_RRlYCPWIUEWC7bzJgjy20Q_2_5"/>
      <w:bookmarkStart w:id="535" w:name="Tc_EiMuAF_QSkyMoFuTFmBeXA_2_2"/>
      <w:bookmarkStart w:id="536" w:name="Tc_T91tjCo-gEK81aCbASHIWA_1_2"/>
      <w:bookmarkStart w:id="537" w:name="_18907d99_d2bc_44f1_82a6_95f9293ff80f"/>
      <w:bookmarkStart w:id="538" w:name="Tc_Iz1zQFoI8EyEhzUWtNE7NA_22_0"/>
      <w:bookmarkStart w:id="539" w:name="Tc_9y5uZ8Hj9Euu3SAPWP56zw_21_12"/>
      <w:bookmarkStart w:id="540" w:name="Tc_cXkpNXbBIEKuuv5sFctRUg_21_3"/>
      <w:bookmarkStart w:id="541" w:name="Tc_OAH5hIz9gkeUcOZ8R-lNmg_21_0"/>
      <w:bookmarkStart w:id="542" w:name="Tc_5N6wVCASM0en9ARl5hsTgw_20_9"/>
      <w:bookmarkStart w:id="543" w:name="Tc_N4mMo-fW3U2uoJ4H1GQKMw_20_6"/>
      <w:bookmarkStart w:id="544" w:name="Tc_4B8C__EVMU2IHY57XRYWrw_20_3"/>
      <w:bookmarkStart w:id="545" w:name="Tc_84tQfX7AcUKGZjOg2x_EUg_20_0"/>
      <w:bookmarkStart w:id="546" w:name="Tc_7fuoHtrffUyL6aPfVE060A_19_9"/>
      <w:bookmarkStart w:id="547" w:name="Tc_Yr2d0jPn-kG1o8ZO953Xvg_19_6"/>
      <w:bookmarkStart w:id="548" w:name="Tc_2JI-jTaotEe22d3JUaqYpg_19_3"/>
      <w:bookmarkStart w:id="549" w:name="Tc_xbxwgHLUBUOES_SgQdLNYQ_19_0"/>
      <w:bookmarkStart w:id="550" w:name="Tc_gkFQ2d2blEucDC3GpHRX5g_18_12"/>
      <w:bookmarkStart w:id="551" w:name="Tc_HQvGpbLtU0muTDAeuATqaQ_18_0"/>
      <w:bookmarkStart w:id="552" w:name="Tc_AxbH2fXQsU6txLJNiXU1Mw_17_12"/>
      <w:bookmarkStart w:id="553" w:name="Tc_87Zzy4_nMEakrkzzdTRznQ_17_0"/>
      <w:bookmarkStart w:id="554" w:name="Tc_Kc9U4YSzv0CVJy3YiMPAvQ_16_12"/>
      <w:bookmarkStart w:id="555" w:name="Tc_kWk5PR810EiJQwb3MieDWw_16_3"/>
      <w:bookmarkStart w:id="556" w:name="Tc_adKeT1ysNk-3S4YYJEmDuw_16_0"/>
      <w:bookmarkStart w:id="557" w:name="Tc_333pGzHKu06mH6aZmecwuA_15_0"/>
      <w:bookmarkStart w:id="558" w:name="Tc_v2lzDUS-_kWNsdZWHuHzVQ_14_14"/>
      <w:bookmarkStart w:id="559" w:name="Tc_rpRNicY9MUW4Y6qk6i_Cmg_14_11"/>
      <w:bookmarkStart w:id="560" w:name="Tc_Hgv3guejokqbsPYUG_IquA_14_8"/>
      <w:bookmarkStart w:id="561" w:name="Tc_0RJ5KrQJhkKqemVlysd8tA_14_5"/>
      <w:bookmarkStart w:id="562" w:name="Tc_FavZye8wqkG27c7sqXsZTw_14_2"/>
      <w:bookmarkStart w:id="563" w:name="Tc_4rpRxtMts0eF6gqwZ58Tmg_14_0"/>
      <w:bookmarkStart w:id="564" w:name="Tc_gKYT9FEL2kuk4-R-314cYA_13_12"/>
      <w:bookmarkStart w:id="565" w:name="Tc_E63CN-O630KiBm6ZPA0X2w_13_3"/>
      <w:bookmarkStart w:id="566" w:name="Tc_OpdFSxtnC0WtnKPOzJQg1A_13_0"/>
      <w:bookmarkStart w:id="567" w:name="Tc_ltleGCid60Wm52f6eugsJw_12_9"/>
      <w:bookmarkStart w:id="568" w:name="Tc_0IK4UNBumEiaX4jRMMILhg_12_6"/>
      <w:bookmarkStart w:id="569" w:name="Tc_uSRyZDW2aEuFiNUyr0gJog_12_3"/>
      <w:bookmarkStart w:id="570" w:name="Tc_38Wmm0Mee0CjyKxTq9SbGA_12_0"/>
      <w:bookmarkStart w:id="571" w:name="Tc_LS8Rr5CH7U-laO9zikWM4w_11_9"/>
      <w:bookmarkStart w:id="572" w:name="Tc_W75ZWum9IEy-kB9pBixUcg_11_6"/>
      <w:bookmarkStart w:id="573" w:name="Tc_FyI4k2ZmnEGylNY0pVHBiw_11_3"/>
      <w:bookmarkStart w:id="574" w:name="Tc_m-YOAG43CEaBBHbrLf3FAA_11_0"/>
      <w:bookmarkStart w:id="575" w:name="Tc_toFlF7P9c0KK73ACZt0jnA_10_12"/>
      <w:bookmarkStart w:id="576" w:name="Tc_wCU7ZtIWqEi6BiulO5guDA_10_0"/>
      <w:bookmarkStart w:id="577" w:name="Tc_M4VGXWM1uESsuEjX414c1w_9_12"/>
      <w:bookmarkStart w:id="578" w:name="Tc_lSdKTn8Bv0imt7dNOE5VAw_9_0"/>
      <w:bookmarkStart w:id="579" w:name="Tc_NAEMTm6zt0WQcx0hgP-yrQ_8_12"/>
      <w:bookmarkStart w:id="580" w:name="Tc_FnmU6FOVp0WhXSP6S4PdEA_8_3"/>
      <w:bookmarkStart w:id="581" w:name="Tc_AeND1RHihkmEXaFHWjbIXg_8_0"/>
      <w:bookmarkStart w:id="582" w:name="Tc_sGarLa2MaEmF8ZR3YiBvNg_7_0"/>
      <w:bookmarkStart w:id="583" w:name="Tc_P82vpuWBIEm0VkPVqjvAuQ_6_14"/>
      <w:bookmarkStart w:id="584" w:name="Tc_M3bvUNPkVkSb5DEv2Y1zvQ_6_11"/>
      <w:bookmarkStart w:id="585" w:name="Tc_DYm3fRISmk2HmSHE39DssA_6_8"/>
      <w:bookmarkStart w:id="586" w:name="Tc_SfDIL8YlKkuu0rEGvuE86w_6_5"/>
      <w:bookmarkStart w:id="587" w:name="Tc_ptlj2SZwmECvZ3R7wvXCvA_6_2"/>
      <w:bookmarkStart w:id="588" w:name="Tc_IcNXKe2VK0aoCdpq7snmAQ_6_0"/>
      <w:bookmarkStart w:id="589" w:name="Tc_dQa7R0JL8EO2RvJmvjOsUA_5_2"/>
      <w:bookmarkStart w:id="590" w:name="Tc_BHQlQJBi2kGAY9qLpyUmdw_4_14"/>
      <w:bookmarkStart w:id="591" w:name="Tc_bo9VkYq9p0CcHOexBSSWVg_4_11"/>
      <w:bookmarkStart w:id="592" w:name="Tc_fWE5S7p32keA5Lu-BWQnyA_4_8"/>
      <w:bookmarkStart w:id="593" w:name="Tc_DGysr9C4fE2y_iN4BSDWgg_4_5"/>
      <w:bookmarkStart w:id="594" w:name="Tc_Hmr_VT6QdUyeHBS4A_DIsA_4_2"/>
      <w:bookmarkStart w:id="595" w:name="Tc_-K-xZjaBFkKEqiU42JPApQ_3_11"/>
      <w:bookmarkStart w:id="596" w:name="Tc_5jlaUfftBUuCtPxBGtxppw_3_8"/>
      <w:bookmarkStart w:id="597" w:name="Tc_O5TrR-SDJEyCkHTBpXSchQ_3_5"/>
      <w:bookmarkStart w:id="598" w:name="Tc_EnNOwyds10mXvzYpGIuSlA_3_2"/>
      <w:bookmarkStart w:id="599" w:name="Tc_3Ll2bQs5fU6JitucZVaWrw_2_11"/>
      <w:bookmarkStart w:id="600" w:name="Tc_RRlYCPWIUEWC7bzJgjy20Q_2_5"/>
      <w:bookmarkStart w:id="601" w:name="Tc_EiMuAF_QSkyMoFuTFmBeXA_2_2"/>
      <w:bookmarkStart w:id="602" w:name="Tc_T91tjCo-gEK81aCbASHIWA_1_2"/>
      <w:bookmarkStart w:id="603" w:name="_18907d99_d2bc_44f1_82a6_95f9293ff80f"/>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tbl>
      <w:tblPr>
        <w:tblW w:w="10205" w:type="dxa"/>
        <w:jc w:val="left"/>
        <w:tblInd w:w="0" w:type="dxa"/>
        <w:tblLayout w:type="fixed"/>
        <w:tblCellMar>
          <w:top w:w="0" w:type="dxa"/>
          <w:left w:w="0" w:type="dxa"/>
          <w:bottom w:w="0" w:type="dxa"/>
          <w:right w:w="0" w:type="dxa"/>
        </w:tblCellMar>
      </w:tblPr>
      <w:tblGrid>
        <w:gridCol w:w="2883"/>
        <w:gridCol w:w="326"/>
        <w:gridCol w:w="274"/>
        <w:gridCol w:w="627"/>
        <w:gridCol w:w="393"/>
        <w:gridCol w:w="254"/>
        <w:gridCol w:w="689"/>
        <w:gridCol w:w="393"/>
        <w:gridCol w:w="370"/>
        <w:gridCol w:w="1015"/>
        <w:gridCol w:w="326"/>
        <w:gridCol w:w="274"/>
        <w:gridCol w:w="822"/>
        <w:gridCol w:w="326"/>
        <w:gridCol w:w="292"/>
        <w:gridCol w:w="941"/>
      </w:tblGrid>
      <w:tr>
        <w:trPr/>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30705" cy="175260"/>
                      <wp:effectExtent l="0" t="0" r="0" b="0"/>
                      <wp:wrapNone/>
                      <wp:docPr id="67" name="Frame67"/>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73990" cy="175260"/>
                      <wp:effectExtent l="0" t="0" r="0" b="0"/>
                      <wp:wrapNone/>
                      <wp:docPr id="69" name="Frame6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98145" cy="175260"/>
                      <wp:effectExtent l="0" t="0" r="0" b="0"/>
                      <wp:wrapNone/>
                      <wp:docPr id="70" name="Frame7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9555" cy="175260"/>
                      <wp:effectExtent l="0" t="0" r="0" b="0"/>
                      <wp:wrapNone/>
                      <wp:docPr id="71" name="Frame7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290" cy="175260"/>
                      <wp:effectExtent l="0" t="0" r="0" b="0"/>
                      <wp:wrapNone/>
                      <wp:docPr id="72" name="Frame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7515" cy="175260"/>
                      <wp:effectExtent l="0" t="0" r="0" b="0"/>
                      <wp:wrapNone/>
                      <wp:docPr id="73" name="Frame7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9555" cy="175260"/>
                      <wp:effectExtent l="0" t="0" r="0" b="0"/>
                      <wp:wrapNone/>
                      <wp:docPr id="74" name="Frame7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34950" cy="175260"/>
                      <wp:effectExtent l="0" t="0" r="0" b="0"/>
                      <wp:wrapNone/>
                      <wp:docPr id="75" name="Frame7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4525" cy="175260"/>
                      <wp:effectExtent l="0" t="0" r="0" b="0"/>
                      <wp:wrapNone/>
                      <wp:docPr id="76" name="Frame76"/>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3990" cy="175260"/>
                      <wp:effectExtent l="0" t="0" r="0" b="0"/>
                      <wp:wrapNone/>
                      <wp:docPr id="78" name="Frame7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21970" cy="175260"/>
                      <wp:effectExtent l="0" t="0" r="0" b="0"/>
                      <wp:wrapNone/>
                      <wp:docPr id="79" name="Frame7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5420" cy="175260"/>
                      <wp:effectExtent l="0" t="0" r="0" b="0"/>
                      <wp:wrapNone/>
                      <wp:docPr id="81" name="Frame8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7535" cy="175260"/>
                      <wp:effectExtent l="0" t="0" r="0" b="0"/>
                      <wp:wrapNone/>
                      <wp:docPr id="82" name="Frame8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393" w:type="dxa"/>
            <w:tcBorders/>
            <w:vAlign w:val="center"/>
          </w:tcPr>
          <w:p>
            <w:pPr>
              <w:pStyle w:val="TableContents"/>
              <w:bidi w:val="0"/>
              <w:spacing w:before="0" w:after="0"/>
              <w:ind w:left="0" w:right="0" w:hanging="0"/>
              <w:jc w:val="left"/>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393" w:type="dxa"/>
            <w:tcBorders/>
            <w:vAlign w:val="center"/>
          </w:tcPr>
          <w:p>
            <w:pPr>
              <w:pStyle w:val="TableContents"/>
              <w:bidi w:val="0"/>
              <w:spacing w:before="0" w:after="0"/>
              <w:ind w:left="0" w:right="0" w:hanging="0"/>
              <w:jc w:val="left"/>
              <w:rPr/>
            </w:pPr>
            <w:r>
              <w:rPr/>
              <w:t>​</w:t>
            </w:r>
          </w:p>
        </w:tc>
        <w:tc>
          <w:tcPr>
            <w:tcW w:w="13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393" w:type="dxa"/>
            <w:tcBorders/>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93" w:type="dxa"/>
            <w:tcBorders/>
            <w:vAlign w:val="center"/>
          </w:tcPr>
          <w:p>
            <w:pPr>
              <w:pStyle w:val="TableContents"/>
              <w:bidi w:val="0"/>
              <w:spacing w:before="0" w:after="0"/>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26" w:type="dxa"/>
            <w:tcBorders/>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8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96"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93"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393"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93"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center"/>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5,405</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8,496</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68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2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3"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(757)</w:t>
            </w:r>
          </w:p>
        </w:tc>
        <w:tc>
          <w:tcPr>
            <w:tcW w:w="393" w:type="dxa"/>
            <w:tcBorders/>
            <w:shd w:fill="CCEEFF" w:val="clear"/>
            <w:vAlign w:val="center"/>
          </w:tcPr>
          <w:p>
            <w:pPr>
              <w:pStyle w:val="TableContents"/>
              <w:bidi w:val="0"/>
              <w:spacing w:before="0" w:after="0"/>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4,153</w:t>
            </w:r>
          </w:p>
        </w:tc>
        <w:tc>
          <w:tcPr>
            <w:tcW w:w="393" w:type="dxa"/>
            <w:tcBorders/>
            <w:shd w:fill="CCEEFF" w:val="clear"/>
            <w:vAlign w:val="center"/>
          </w:tcPr>
          <w:p>
            <w:pPr>
              <w:pStyle w:val="TableContents"/>
              <w:bidi w:val="0"/>
              <w:spacing w:before="0" w:after="0"/>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3,396</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3,791</w:t>
            </w:r>
          </w:p>
        </w:tc>
        <w:tc>
          <w:tcPr>
            <w:tcW w:w="326" w:type="dxa"/>
            <w:tcBorders/>
            <w:shd w:fill="CCEEFF" w:val="clear"/>
            <w:vAlign w:val="center"/>
          </w:tcPr>
          <w:p>
            <w:pPr>
              <w:pStyle w:val="TableContents"/>
              <w:bidi w:val="0"/>
              <w:spacing w:before="0" w:after="0"/>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7,187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604" w:name="_b4aa6816_c1ff_4a2f_9694_5e0139fcdc58"/>
      <w:bookmarkEnd w:id="604"/>
      <w:r>
        <w:rPr>
          <w:rFonts w:ascii="Times New Roman;Times;serif" w:hAnsi="Times New Roman;Times;serif"/>
          <w:b/>
          <w:sz w:val="20"/>
        </w:rPr>
        <w:t>ICAHN ENTERPRISES L.P.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Normal"/>
        <w:bidi w:val="0"/>
        <w:spacing w:before="0" w:after="0"/>
        <w:jc w:val="left"/>
        <w:rPr>
          <w:sz w:val="4"/>
          <w:szCs w:val="4"/>
        </w:rPr>
      </w:pPr>
      <w:r>
        <w:rPr>
          <w:sz w:val="4"/>
          <w:szCs w:val="4"/>
        </w:rPr>
      </w:r>
      <w:bookmarkStart w:id="605" w:name="Tc_R6nzwUdBHECVroC1k8dnmQ_45_5"/>
      <w:bookmarkStart w:id="606" w:name="Tc_jfN7R89ZP0Ch3uXP5Y3lhQ_45_2"/>
      <w:bookmarkStart w:id="607" w:name="Tc_k9wgzgXuGUiOrqWCnuZ6jQ_45_0"/>
      <w:bookmarkStart w:id="608" w:name="Tc_fKInmRpzNkeqaFckD9sRNA_44_0"/>
      <w:bookmarkStart w:id="609" w:name="Tc_q9zGo_C2VU-PbGAumk20hA_43_0"/>
      <w:bookmarkStart w:id="610" w:name="Tc_lxDH8TQ-eEWw3UmqE-WTzw_42_6"/>
      <w:bookmarkStart w:id="611" w:name="Tc_UNXaGPsxbEGdZjITgxZouQ_42_0"/>
      <w:bookmarkStart w:id="612" w:name="Tc_ZCGRL5Q5fUqKou7ZTc-c_g_41_0"/>
      <w:bookmarkStart w:id="613" w:name="Tc_Q5Vfd1WPpU6uyNjERx4QcQ_40_0"/>
      <w:bookmarkStart w:id="614" w:name="Tc_SpU-vSTlqUitsDUJQXzqpg_39_0"/>
      <w:bookmarkStart w:id="615" w:name="Tc_IO-g3xWb0UCcboL06IxpLA_38_0"/>
      <w:bookmarkStart w:id="616" w:name="Tc_me-xBp78cUuhgDmmMNi0kA_37_6"/>
      <w:bookmarkStart w:id="617" w:name="Tc_kkJOAM0Hzk2LZjxcdP0p3Q_37_0"/>
      <w:bookmarkStart w:id="618" w:name="Tc_t5qDsAoQ1k-SdFJ0z_sjNg_36_6"/>
      <w:bookmarkStart w:id="619" w:name="Tc_k38hiSbgqUmJf2Bq7NannQ_36_0"/>
      <w:bookmarkStart w:id="620" w:name="Tc_mOPxXTqlR0Ose3MJF-96Dw_35_0"/>
      <w:bookmarkStart w:id="621" w:name="Tc_FacHdArKWk-vQl2ssFL65A_34_6"/>
      <w:bookmarkStart w:id="622" w:name="Tc_susavwtoY0SLuE8vC7PMtw_34_0"/>
      <w:bookmarkStart w:id="623" w:name="Tc_NNzOwp5dMEmaH3Y7z9pAZw_33_0"/>
      <w:bookmarkStart w:id="624" w:name="Tc_dXM7B5bUtkCIsYUCWWwC8w_32_0"/>
      <w:bookmarkStart w:id="625" w:name="Tc_TTNlqv8raE-cljx3NVV-mA_31_0"/>
      <w:bookmarkStart w:id="626" w:name="Tc_WUpa6uR6JEqmTVPXSappjQ_30_6"/>
      <w:bookmarkStart w:id="627" w:name="Tc_lYjHohMq8UyG2FuyUFizAg_30_0"/>
      <w:bookmarkStart w:id="628" w:name="Tc_9FtclNv-fEmkugG4bLu-zw_29_0"/>
      <w:bookmarkStart w:id="629" w:name="Tc_tKhpnh5VpkSnFNeAcR41YQ_28_0"/>
      <w:bookmarkStart w:id="630" w:name="Tc_PTl_0LU-NUOvfbddpelr-Q_27_0"/>
      <w:bookmarkStart w:id="631" w:name="Tc_ZbUAvzh8C0GgpG2Ks7oWBA_26_0"/>
      <w:bookmarkStart w:id="632" w:name="Tc_wlHsT3-WUEq_nhwVPS82BQ_25_6"/>
      <w:bookmarkStart w:id="633" w:name="Tc_jTFhr4ZvIE2KQS44o8FHdg_25_0"/>
      <w:bookmarkStart w:id="634" w:name="Tc_Ta0GborQiUaGKN4aRmhrjw_24_6"/>
      <w:bookmarkStart w:id="635" w:name="Tc_3GN0SJld20uAveOIZeifpg_24_0"/>
      <w:bookmarkStart w:id="636" w:name="Tc_Ox4uHLkGxECok7dgGKYiCg_23_0"/>
      <w:bookmarkStart w:id="637" w:name="Tc_o6aZylM-20ODRQgd_bG7jQ_22_0"/>
      <w:bookmarkStart w:id="638" w:name="Tc_3IP3dItInE6QDZj5Gc_zuQ_21_0"/>
      <w:bookmarkStart w:id="639" w:name="Tc_40-Zoxrg5UaUY_LC54BVbQ_20_0"/>
      <w:bookmarkStart w:id="640" w:name="Tc_B34Q6RUAFUGny-5xae45eA_19_0"/>
      <w:bookmarkStart w:id="641" w:name="Tc_AbU8oHbPvU2PF02Ghr3Mfg_18_0"/>
      <w:bookmarkStart w:id="642" w:name="Tc_eZK3rk75MUCcXfnoAX6OwQ_17_0"/>
      <w:bookmarkStart w:id="643" w:name="Tc_ZCxzE7dwSkyF5bbMPFlgmg_16_3"/>
      <w:bookmarkStart w:id="644" w:name="Tc_Dh1fV7c7AECBLUsJhVkk-w_16_0"/>
      <w:bookmarkStart w:id="645" w:name="Tc_bDIQB_3c1EujcFcg-BF68w_15_0"/>
      <w:bookmarkStart w:id="646" w:name="Tc_CrlOdLOit0yzFk08EKwWPA_14_0"/>
      <w:bookmarkStart w:id="647" w:name="Tc_6skPY6fyLkCeKJ3DCDAWHQ_13_0"/>
      <w:bookmarkStart w:id="648" w:name="Tc_S_FuwG58JEicz5sgEVsB_w_12_0"/>
      <w:bookmarkStart w:id="649" w:name="Tc_4PMIAzLqWkeyIgDXVkSt8g_11_0"/>
      <w:bookmarkStart w:id="650" w:name="Tc_lgrzoy9yCESytAAYh-Cgug_10_0"/>
      <w:bookmarkStart w:id="651" w:name="Tc_bWFsCotpBE2r4_p4QZZNvQ_9_0"/>
      <w:bookmarkStart w:id="652" w:name="Tc_4Dg5nIhs5Uy7QX37KoFxoQ_8_0"/>
      <w:bookmarkStart w:id="653" w:name="Tc_XW8Tm69FoUuuigb8nMXWcQ_7_0"/>
      <w:bookmarkStart w:id="654" w:name="Tc_q48DiC2KwUeS_R4nsdBIEw_6_0"/>
      <w:bookmarkStart w:id="655" w:name="Tc_dTZB1Paa4UGcwNUBe33eaA_5_5"/>
      <w:bookmarkStart w:id="656" w:name="Tc_eewZKHElDkejsKBx23DqzA_5_2"/>
      <w:bookmarkStart w:id="657" w:name="Tc_RCPWku78kEWBxIGAxRNkrg_5_0"/>
      <w:bookmarkStart w:id="658" w:name="Tc_al1sS1PwkECRBguiDk5rgA_4_0"/>
      <w:bookmarkStart w:id="659" w:name="Tc_dLsGyJB1EEWQaLLRjQZ0wQ_3_2"/>
      <w:bookmarkStart w:id="660" w:name="Tc_hC2VK8syU0usxUgV2dJEWA_2_5"/>
      <w:bookmarkStart w:id="661" w:name="Tc_C15LvkGkQUebDL7rAtkYGA_2_2"/>
      <w:bookmarkStart w:id="662" w:name="Tc_rTPZHuaS2EG7KSaxVruwCA_1_2"/>
      <w:bookmarkStart w:id="663" w:name="_9265a6c3_978c_4ae6_ab20_bb34282ec892"/>
      <w:bookmarkStart w:id="664" w:name="Tc_R6nzwUdBHECVroC1k8dnmQ_45_5"/>
      <w:bookmarkStart w:id="665" w:name="Tc_jfN7R89ZP0Ch3uXP5Y3lhQ_45_2"/>
      <w:bookmarkStart w:id="666" w:name="Tc_k9wgzgXuGUiOrqWCnuZ6jQ_45_0"/>
      <w:bookmarkStart w:id="667" w:name="Tc_fKInmRpzNkeqaFckD9sRNA_44_0"/>
      <w:bookmarkStart w:id="668" w:name="Tc_q9zGo_C2VU-PbGAumk20hA_43_0"/>
      <w:bookmarkStart w:id="669" w:name="Tc_lxDH8TQ-eEWw3UmqE-WTzw_42_6"/>
      <w:bookmarkStart w:id="670" w:name="Tc_UNXaGPsxbEGdZjITgxZouQ_42_0"/>
      <w:bookmarkStart w:id="671" w:name="Tc_ZCGRL5Q5fUqKou7ZTc-c_g_41_0"/>
      <w:bookmarkStart w:id="672" w:name="Tc_Q5Vfd1WPpU6uyNjERx4QcQ_40_0"/>
      <w:bookmarkStart w:id="673" w:name="Tc_SpU-vSTlqUitsDUJQXzqpg_39_0"/>
      <w:bookmarkStart w:id="674" w:name="Tc_IO-g3xWb0UCcboL06IxpLA_38_0"/>
      <w:bookmarkStart w:id="675" w:name="Tc_me-xBp78cUuhgDmmMNi0kA_37_6"/>
      <w:bookmarkStart w:id="676" w:name="Tc_kkJOAM0Hzk2LZjxcdP0p3Q_37_0"/>
      <w:bookmarkStart w:id="677" w:name="Tc_t5qDsAoQ1k-SdFJ0z_sjNg_36_6"/>
      <w:bookmarkStart w:id="678" w:name="Tc_k38hiSbgqUmJf2Bq7NannQ_36_0"/>
      <w:bookmarkStart w:id="679" w:name="Tc_mOPxXTqlR0Ose3MJF-96Dw_35_0"/>
      <w:bookmarkStart w:id="680" w:name="Tc_FacHdArKWk-vQl2ssFL65A_34_6"/>
      <w:bookmarkStart w:id="681" w:name="Tc_susavwtoY0SLuE8vC7PMtw_34_0"/>
      <w:bookmarkStart w:id="682" w:name="Tc_NNzOwp5dMEmaH3Y7z9pAZw_33_0"/>
      <w:bookmarkStart w:id="683" w:name="Tc_dXM7B5bUtkCIsYUCWWwC8w_32_0"/>
      <w:bookmarkStart w:id="684" w:name="Tc_TTNlqv8raE-cljx3NVV-mA_31_0"/>
      <w:bookmarkStart w:id="685" w:name="Tc_WUpa6uR6JEqmTVPXSappjQ_30_6"/>
      <w:bookmarkStart w:id="686" w:name="Tc_lYjHohMq8UyG2FuyUFizAg_30_0"/>
      <w:bookmarkStart w:id="687" w:name="Tc_9FtclNv-fEmkugG4bLu-zw_29_0"/>
      <w:bookmarkStart w:id="688" w:name="Tc_tKhpnh5VpkSnFNeAcR41YQ_28_0"/>
      <w:bookmarkStart w:id="689" w:name="Tc_PTl_0LU-NUOvfbddpelr-Q_27_0"/>
      <w:bookmarkStart w:id="690" w:name="Tc_ZbUAvzh8C0GgpG2Ks7oWBA_26_0"/>
      <w:bookmarkStart w:id="691" w:name="Tc_wlHsT3-WUEq_nhwVPS82BQ_25_6"/>
      <w:bookmarkStart w:id="692" w:name="Tc_jTFhr4ZvIE2KQS44o8FHdg_25_0"/>
      <w:bookmarkStart w:id="693" w:name="Tc_Ta0GborQiUaGKN4aRmhrjw_24_6"/>
      <w:bookmarkStart w:id="694" w:name="Tc_3GN0SJld20uAveOIZeifpg_24_0"/>
      <w:bookmarkStart w:id="695" w:name="Tc_Ox4uHLkGxECok7dgGKYiCg_23_0"/>
      <w:bookmarkStart w:id="696" w:name="Tc_o6aZylM-20ODRQgd_bG7jQ_22_0"/>
      <w:bookmarkStart w:id="697" w:name="Tc_3IP3dItInE6QDZj5Gc_zuQ_21_0"/>
      <w:bookmarkStart w:id="698" w:name="Tc_40-Zoxrg5UaUY_LC54BVbQ_20_0"/>
      <w:bookmarkStart w:id="699" w:name="Tc_B34Q6RUAFUGny-5xae45eA_19_0"/>
      <w:bookmarkStart w:id="700" w:name="Tc_AbU8oHbPvU2PF02Ghr3Mfg_18_0"/>
      <w:bookmarkStart w:id="701" w:name="Tc_eZK3rk75MUCcXfnoAX6OwQ_17_0"/>
      <w:bookmarkStart w:id="702" w:name="Tc_ZCxzE7dwSkyF5bbMPFlgmg_16_3"/>
      <w:bookmarkStart w:id="703" w:name="Tc_Dh1fV7c7AECBLUsJhVkk-w_16_0"/>
      <w:bookmarkStart w:id="704" w:name="Tc_bDIQB_3c1EujcFcg-BF68w_15_0"/>
      <w:bookmarkStart w:id="705" w:name="Tc_CrlOdLOit0yzFk08EKwWPA_14_0"/>
      <w:bookmarkStart w:id="706" w:name="Tc_6skPY6fyLkCeKJ3DCDAWHQ_13_0"/>
      <w:bookmarkStart w:id="707" w:name="Tc_S_FuwG58JEicz5sgEVsB_w_12_0"/>
      <w:bookmarkStart w:id="708" w:name="Tc_4PMIAzLqWkeyIgDXVkSt8g_11_0"/>
      <w:bookmarkStart w:id="709" w:name="Tc_lgrzoy9yCESytAAYh-Cgug_10_0"/>
      <w:bookmarkStart w:id="710" w:name="Tc_bWFsCotpBE2r4_p4QZZNvQ_9_0"/>
      <w:bookmarkStart w:id="711" w:name="Tc_4Dg5nIhs5Uy7QX37KoFxoQ_8_0"/>
      <w:bookmarkStart w:id="712" w:name="Tc_XW8Tm69FoUuuigb8nMXWcQ_7_0"/>
      <w:bookmarkStart w:id="713" w:name="Tc_q48DiC2KwUeS_R4nsdBIEw_6_0"/>
      <w:bookmarkStart w:id="714" w:name="Tc_dTZB1Paa4UGcwNUBe33eaA_5_5"/>
      <w:bookmarkStart w:id="715" w:name="Tc_eewZKHElDkejsKBx23DqzA_5_2"/>
      <w:bookmarkStart w:id="716" w:name="Tc_RCPWku78kEWBxIGAxRNkrg_5_0"/>
      <w:bookmarkStart w:id="717" w:name="Tc_al1sS1PwkECRBguiDk5rgA_4_0"/>
      <w:bookmarkStart w:id="718" w:name="Tc_dLsGyJB1EEWQaLLRjQZ0wQ_3_2"/>
      <w:bookmarkStart w:id="719" w:name="Tc_hC2VK8syU0usxUgV2dJEWA_2_5"/>
      <w:bookmarkStart w:id="720" w:name="Tc_C15LvkGkQUebDL7rAtkYGA_2_2"/>
      <w:bookmarkStart w:id="721" w:name="Tc_rTPZHuaS2EG7KSaxVruwCA_1_2"/>
      <w:bookmarkStart w:id="722" w:name="_9265a6c3_978c_4ae6_ab20_bb34282ec892"/>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tbl>
      <w:tblPr>
        <w:tblW w:w="10205" w:type="dxa"/>
        <w:jc w:val="left"/>
        <w:tblInd w:w="0" w:type="dxa"/>
        <w:tblLayout w:type="fixed"/>
        <w:tblCellMar>
          <w:top w:w="0" w:type="dxa"/>
          <w:left w:w="0" w:type="dxa"/>
          <w:bottom w:w="0" w:type="dxa"/>
          <w:right w:w="0" w:type="dxa"/>
        </w:tblCellMar>
      </w:tblPr>
      <w:tblGrid>
        <w:gridCol w:w="7495"/>
        <w:gridCol w:w="326"/>
        <w:gridCol w:w="233"/>
        <w:gridCol w:w="752"/>
        <w:gridCol w:w="361"/>
        <w:gridCol w:w="233"/>
        <w:gridCol w:w="805"/>
      </w:tblGrid>
      <w:tr>
        <w:trPr/>
        <w:tc>
          <w:tcPr>
            <w:tcW w:w="7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59325" cy="175260"/>
                      <wp:effectExtent l="0" t="0" r="0" b="0"/>
                      <wp:wrapNone/>
                      <wp:docPr id="83" name="Frame83"/>
                      <a:graphic xmlns:a="http://schemas.openxmlformats.org/drawingml/2006/main">
                        <a:graphicData uri="http://schemas.microsoft.com/office/word/2010/wordprocessingShape">
                          <wps:wsp>
                            <wps:cNvSpPr txBox="1"/>
                            <wps:spPr>
                              <a:xfrm>
                                <a:off x="0" y="0"/>
                                <a:ext cx="4759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7955" cy="175260"/>
                      <wp:effectExtent l="0" t="0" r="0" b="0"/>
                      <wp:wrapNone/>
                      <wp:docPr id="85" name="Frame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77520" cy="175260"/>
                      <wp:effectExtent l="0" t="0" r="0" b="0"/>
                      <wp:wrapNone/>
                      <wp:docPr id="86" name="Frame8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29235" cy="175260"/>
                      <wp:effectExtent l="0" t="0" r="0" b="0"/>
                      <wp:wrapNone/>
                      <wp:docPr id="87" name="Frame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7955" cy="175260"/>
                      <wp:effectExtent l="0" t="0" r="0" b="0"/>
                      <wp:wrapNone/>
                      <wp:docPr id="88" name="Frame8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1175" cy="175260"/>
                      <wp:effectExtent l="0" t="0" r="0" b="0"/>
                      <wp:wrapNone/>
                      <wp:docPr id="89" name="Frame89"/>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74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9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84"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752"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c>
          <w:tcPr>
            <w:tcW w:w="361"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securities transactions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sales of securities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2,084</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cover securities sold, not yet 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securities sold, not yet purchased</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receivables and payables relating to securities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derivative assets and 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deconsolidation of subsidiary</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other operating assets and liabilities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disposition of businesses and assets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of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  </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segment contributions from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Holding Company senior unsecured notes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subsidiary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subsidiary borrowings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5" w:type="dxa"/>
            <w:tcBorders/>
            <w:shd w:fill="CCEEFF" w:val="clear"/>
            <w:vAlign w:val="center"/>
          </w:tcPr>
          <w:p>
            <w:pPr>
              <w:pStyle w:val="TableContents"/>
              <w:bidi w:val="0"/>
              <w:spacing w:before="0" w:after="1"/>
              <w:ind w:left="0" w:right="0" w:hanging="0"/>
              <w:jc w:val="right"/>
              <w:rPr/>
            </w:pPr>
            <w:r>
              <w:rPr/>
              <w:t>—</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7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5,946</w:t>
            </w:r>
          </w:p>
        </w:tc>
        <w:tc>
          <w:tcPr>
            <w:tcW w:w="361"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w:t>
            </w:r>
          </w:p>
        </w:tc>
      </w:tr>
      <w:tr>
        <w:trPr/>
        <w:tc>
          <w:tcPr>
            <w:tcW w:w="7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end of period</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5,660</w:t>
            </w:r>
          </w:p>
        </w:tc>
        <w:tc>
          <w:tcPr>
            <w:tcW w:w="361"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5,086</w:t>
            </w:r>
          </w:p>
        </w:tc>
      </w:tr>
    </w:tbl>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3" w:name="a1DescriptionofBusiness_834296"/>
      <w:bookmarkEnd w:id="723"/>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or “us” herein include both Icahn Enterprises and Icahn Enterprises Holdings L.P. (“Icahn Enterprises Holdings”) and their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2024, representing an aggregate 1.99% general partner interest in Icahn Enterprises and Icahn Enterprises Holdings. Mr. Icahn and his affiliates owned approximately 85% of our outstanding depositary units as of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Continuing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14, “Segment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$2.9 billion and $3.2 billion as of June 30, 2024 and December 31, 2023,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in that it does not have crude oil exploration or production operations and is a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June 30, 2024. As of June 30, 2024, we owned approximately 66% of the total outstanding common stock of CVR Energy.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conduct our Automotive segment through our wholly owned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retailed merchandise (“Aftermarket Parts”). In addition to its primary businesses, the Automotive segment leases available and excess real estate in certain locations under long-term operating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IEH Auto Parts Holding LLC and its subsidiaries (collectively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Food Packaging segment through our majority owned subsidiary, Viskase Companies, Inc. (“Viskase”). Viskase is a producer of cellulosic, fibrous and plastic casings used to prepare and package processed meat products. As of June 30, 2024, we owned approximately 91% of the total outstanding common stock of Viskase.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Pharma segment through our wholly owned subsidiary, Vivus LLC, formerly Vivus, Inc. (“Vivus”). Vivus is a specialty pharmaceutical company with two approved therapies, two product candidates in active clinical development and two product candidates in early-stage development. </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and related notes should be read in conjunction with our consolidated financial statements and related notes contained in our Annual Report on Form 10-K for the year ended December 31, 2023.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2023, we established a captive insurance program to supplement the insurance coverage of the officers, directors, employees and agents of the Company, its subsidiaries and our general partner, in addition to our newly established commercial insurance program. We hold assets in a protected cell, which we are the primary beneficiary of, and therefore consolidate the protected cell. At June 30, 2024, total assets related to the protected cell were $106 million, and included in restricted cash in the condensed consolidated balance sheet.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reclassifications from the prior year presentation have been made to conform to the current year presentation, which did not have an impact on previously reported net income and equity and are not deemed material.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long-term debt as of June 30, 2024 was approximately $6.6 billion and $6.4 billion, respectively. The carrying value and estimated fair value of our long-term debt as of December 31, 2023 was approximately $7.2 billion and $6.9 billion,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on our condensed consolidated statements of cash flows is comprised of (i) cash and cash equivalents and (ii) cash held at consolidated affiliated partnerships and restricted cash.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$1,631 million and $1,068 million as of June 30, 2024 and December 31, 2023, respectively. Cash held at consolidated affiliated partnerships relates to our Investment segment and consists of cash and cash equivalents held by the Investment Funds that, although not legally restricted, are not used for the general operating needs of the Investment segment or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restricted cash balance was $1,811 million and $1,927 million as of June 30, 2024 and December 31, 2023, respectively. Restricted cash includes, but is not limited to, our Investment segment’s cash pledged and held for margin requirements on derivative transactions and cash held related to our captive insurance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segment’s and Automotive segment’s leasing revenue, as disclosed in Note 11,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14, “Segment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Reporting,” for our complete disaggregation of revenue information. In addition, we disclose additional information with respect to revenue from contracts with customers and contract balances for our Energy and Automotive segments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June 30, 2024, our Energy segment had $32 million of remaining performance obligations for contracts with an original expected duration of more than one year. Our Energy segment expects to recognize $8 million of these performance obligations as revenue by the end of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$11 million during </w:t>
      </w:r>
      <w:r>
        <w:rPr>
          <w:rFonts w:ascii="Times New Roman;Times;serif" w:hAnsi="Times New Roman;Times;serif"/>
          <w:b w:val="false"/>
          <w:i w:val="false"/>
          <w:caps w:val="false"/>
          <w:smallCaps w:val="false"/>
          <w:sz w:val="20"/>
        </w:rPr>
        <w:t>2025</w:t>
      </w:r>
      <w:r>
        <w:rPr>
          <w:rFonts w:ascii="Times New Roman;Times;serif" w:hAnsi="Times New Roman;Times;serif"/>
          <w:sz w:val="20"/>
        </w:rPr>
        <w:t xml:space="preserve">, an additional $10 million in </w:t>
      </w:r>
      <w:r>
        <w:rPr>
          <w:rFonts w:ascii="Times New Roman;Times;serif" w:hAnsi="Times New Roman;Times;serif"/>
          <w:b w:val="false"/>
          <w:i w:val="false"/>
          <w:caps w:val="false"/>
          <w:smallCaps w:val="false"/>
          <w:sz w:val="20"/>
        </w:rPr>
        <w:t>2026</w:t>
      </w:r>
      <w:r>
        <w:rPr>
          <w:rFonts w:ascii="Times New Roman;Times;serif" w:hAnsi="Times New Roman;Times;serif"/>
          <w:sz w:val="20"/>
        </w:rPr>
        <w:t>, and the remaining balance in 2027.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$38 million and $49 million as of June 30, 2024 and December 31, 2023, respectively. For the six months ended June 30, 2024 and 2023, our Energy segment recorded revenue of $13 million and $46 million, respectively, with respect to deferred revenue outstanding as of the beginning of each respective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had deferred revenue with respect to extended warranty plans of $42 million and $45 million as of June 30, 2024 and December 31, 2023, respectively, which are included in accrued expenses and other liabilities on the condensed consolidated balance sheets. For the six months ended June 30, 2024 and 2023, our Automotive segment recorded deferred revenue of $12 million and $13 million, respectively, outstanding as of the beginning of each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2022, the FASB issued ASU 2022-03, </w:t>
      </w:r>
      <w:r>
        <w:rPr>
          <w:rFonts w:ascii="Times New Roman;Times;serif" w:hAnsi="Times New Roman;Times;serif"/>
          <w:i/>
          <w:sz w:val="20"/>
        </w:rPr>
        <w:t xml:space="preserve">Fair Value Measurement of Equity Securities Subject to Contractual Sale Restrictions, </w:t>
      </w:r>
      <w:r>
        <w:rPr>
          <w:rFonts w:ascii="Times New Roman;Times;serif" w:hAnsi="Times New Roman;Times;serif"/>
          <w:sz w:val="20"/>
        </w:rPr>
        <w:t xml:space="preserve">which amends guidance in Topic 820, </w:t>
      </w:r>
      <w:r>
        <w:rPr>
          <w:rFonts w:ascii="Times New Roman;Times;serif" w:hAnsi="Times New Roman;Times;serif"/>
          <w:i/>
          <w:sz w:val="20"/>
        </w:rPr>
        <w:t>Fair Value Measurement</w:t>
      </w:r>
      <w:r>
        <w:rPr>
          <w:rFonts w:ascii="Times New Roman;Times;serif" w:hAnsi="Times New Roman;Times;serif"/>
          <w:sz w:val="20"/>
        </w:rPr>
        <w:t>. The guidance clarifies that a contractual 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We adopted this ASU effective January 1, 2024. The adoption of this standard did not have a significant impact on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We are currently assessing the impact of adopting this standard on our consolidated financial statements.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 Improvements to Reportable Segment Disclosures</w:t>
      </w:r>
      <w:r>
        <w:rPr>
          <w:rFonts w:ascii="Times New Roman;Times;serif" w:hAnsi="Times New Roman;Times;serif"/>
          <w:sz w:val="20"/>
        </w:rPr>
        <w:t xml:space="preserve">, which includes requirements for more robust disclosures of significant segment expenses and measures of a segment’s profit and loss used in assessing performance. This standard is effective for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annual period beginning January 1, 2024 and interim periods beginning January 1, 2025, with early adoptions permitted. While the Company continues to evaluate the effects of adopting this new accounting guidance, its currently expects additional disclosures will be included for its annual and interim reporting periods beginning December 31, 2024.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Subsidiary Bankruptcy and Deconsolidation</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w:t>
      </w:r>
      <w:r>
        <w:rPr>
          <w:rFonts w:ascii="Times New Roman;Times;serif" w:hAnsi="Times New Roman;Times;serif"/>
          <w:sz w:val="20"/>
        </w:rPr>
        <w:t xml:space="preserve"> </w:t>
      </w:r>
      <w:r>
        <w:rPr>
          <w:rFonts w:ascii="TimesNewRomanPSMT" w:hAnsi="TimesNewRomanPSMT"/>
          <w:sz w:val="20"/>
        </w:rPr>
        <w:t>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w:t>
      </w:r>
      <w:r>
        <w:rPr>
          <w:rFonts w:ascii="Times New Roman;Times;serif" w:hAnsi="Times New Roman;Times;serif"/>
          <w:sz w:val="20"/>
          <w:shd w:fill="FFFFFF" w:val="clear"/>
        </w:rPr>
        <w:t xml:space="preserv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w:t>
      </w:r>
      <w:r>
        <w:rPr>
          <w:rFonts w:ascii="TimesNewRomanPSMT" w:hAnsi="TimesNewRomanPSMT"/>
          <w:sz w:val="20"/>
        </w:rPr>
        <w:t xml:space="preserve">senior secured debtor-in-possession loan to Auto Plus. The last of the 363 Sales closed on June 12, 2023. The proceeds of the 363 Sales have been and will continue to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zero resulting in a non-cash charge of $246 million during the six months ended June 30,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2024 and December 31, 2023, the total fair market value of investments in the Investment Funds made by Mr. Icahn and his affiliates (excluding us and Brett Icahn) was approximately $1.9 billion and $2.1 billion, respectively, representing approximately 39% of the Investment Funds’ assets under management as of each respective date. Mr. Icahn and his affiliates (excluding us and Brett Icahn) made no redemptions from the Investment Funds during the six months ended June 30, 2024, and redeemed $1.5 billion in the six months ended June 30,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six months ended June 30, 2024 and 2023, $8 million and $7 million, respectively, was allocated to the Investment Funds based on this expense-sharing arrangement.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 xml:space="preserve">Auto Plus and AEP PLC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3, “Subsidiary Bankruptcy and Deconsolidation,” Auto Plus was deconsolidated as of January 31, 2023. Subsequent to January 31, 2023, Auto Plus had certain transactions with entities within our Automotive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 xml:space="preserve">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 </w:t>
      </w:r>
    </w:p>
    <w:p>
      <w:pPr>
        <w:pStyle w:val="TextBody"/>
        <w:bidi w:val="0"/>
        <w:spacing w:before="0" w:after="180"/>
        <w:ind w:left="0" w:right="0" w:firstLine="360"/>
        <w:jc w:val="left"/>
        <w:rPr>
          <w:rFonts w:ascii="Times New Roman;Times;serif" w:hAnsi="Times New Roman;Times;serif"/>
          <w:i/>
          <w:sz w:val="20"/>
        </w:rPr>
      </w:pPr>
      <w:r>
        <w:rPr>
          <w:rFonts w:ascii="Times New Roman;Times;serif" w:hAnsi="Times New Roman;Times;serif"/>
          <w:i w:val="false"/>
          <w:caps w:val="false"/>
          <w:smallCaps w:val="false"/>
          <w:sz w:val="20"/>
        </w:rPr>
        <w:t>For the five months from the date of deconsolidation of January 31, 2023 through June 30, 2023, the total lease revenues of entities within the Automotive segment from leases with Auto Plus was $3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Total inventory purchases of entities within the Automotive segment from Auto Plus were $4</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and total net trade accounts payable due to Auto Plus as of June 30, 2023 was $2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For the five months from the date of deconsolidation of January 31, 2023 through June 30, 2023, the total lease revenues of entities within the Real Estate segment from Auto Plus were $3 million.</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Note Receivable from Auto Plus</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May 2, 2023, we converted and rolled up our related party note receivable with our existing loans under the DIP Credit Facility. We estimated our cash to be collected for the repayment of the note receivable to be $7 million at June 30, 2024. </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AEP PLC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June 30, 2024 and were not material.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$4 million during the six months ended June 30, 2024, and had $8 million net redemptions in the six months ended June 30, 2023. As of June 30, 2024 and December 31, 2023 Brett Icahn had investments in the Investment Funds with a total fair market value of $16 million and $28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4" w:name="Tc_qOyUy-j0IU6CCWAvy1R0BQ_34_5"/>
      <w:bookmarkStart w:id="725" w:name="Tc_7HbCQrpnLUC9QCJTgtYccg_34_2"/>
      <w:bookmarkStart w:id="726" w:name="Tc_9c2s8qWJ30SL_1hyjL3B2w_33_0"/>
      <w:bookmarkStart w:id="727" w:name="Tc_wmgwtvbH1EO7h55aMRhmDg_32_0"/>
      <w:bookmarkStart w:id="728" w:name="Tc_mJFRqJUuzk2Hk7qeSVxjnA_30_0"/>
      <w:bookmarkStart w:id="729" w:name="Tc_9b_dHuXvHEymWRqyw1PLDA_29_0"/>
      <w:bookmarkStart w:id="730" w:name="Tc_HCszQMc-Q0Kh3fG2pk6Q_g_28_0"/>
      <w:bookmarkStart w:id="731" w:name="Tc_YaIESjmq2UCtb9NwOzrd8A_27_0"/>
      <w:bookmarkStart w:id="732" w:name="Tc_3nGaxJXvyUWUhuISTPGuvg_26_3"/>
      <w:bookmarkStart w:id="733" w:name="Tc_ZDL2ZvQTyUe_5NCqxCWaMg_26_0"/>
      <w:bookmarkStart w:id="734" w:name="Tc_naKKNu88G0-lGQ36DEbYCw_25_5"/>
      <w:bookmarkStart w:id="735" w:name="Tc_4guuDshys0Oem6FAn93bvQ_25_3"/>
      <w:bookmarkStart w:id="736" w:name="Tc_8IaSyxHj7UObcLbz6bYPQw_25_2"/>
      <w:bookmarkStart w:id="737" w:name="Tc_vgLG0Q7OuEu87ltDa55bcA_25_0"/>
      <w:bookmarkStart w:id="738" w:name="Tc_OZvh69TEdU2nrwWu3vn9yg_24_0"/>
      <w:bookmarkStart w:id="739" w:name="Tc_Do0SqL6d30S6EW7cUl2b7Q_23_0"/>
      <w:bookmarkStart w:id="740" w:name="Tc_IuSTZ8UDa06Z5HcGErOMvA_22_0"/>
      <w:bookmarkStart w:id="741" w:name="Tc_hx63cIwLeUea2kgno6zVqg_21_5"/>
      <w:bookmarkStart w:id="742" w:name="Tc_Jgg0EzDrdUC4kZFhmJjxFg_21_2"/>
      <w:bookmarkStart w:id="743" w:name="Tc_WV9g8Pk2wEywvir8ufiEOA_19_3"/>
      <w:bookmarkStart w:id="744" w:name="Tc_DdkUkvBeSkGGeLr8i9xc9A_19_0"/>
      <w:bookmarkStart w:id="745" w:name="Tc_DKYHbeBJ_0GZ-ydFDogguQ_18_0"/>
      <w:bookmarkStart w:id="746" w:name="Tc_lU9IUkteMk2IT_nw1shf0w_17_3"/>
      <w:bookmarkStart w:id="747" w:name="Tc_elh9PxIkU02zc7MGm4XpZg_17_0"/>
      <w:bookmarkStart w:id="748" w:name="Tc_mnPLy1EWB0ytMTw9AF0IYQ_16_0"/>
      <w:bookmarkStart w:id="749" w:name="Tc_iP-g4Z6K40GZjMzMchyd0w_14_6"/>
      <w:bookmarkStart w:id="750" w:name="Tc_7OABtEVp_kywCi-P65xDSA_14_0"/>
      <w:bookmarkStart w:id="751" w:name="Tc_1ktJaE03oEujoYA87JJJiw_13_0"/>
      <w:bookmarkStart w:id="752" w:name="Tc_DjaL4-YeXkivROCpdj-Hqw_12_3"/>
      <w:bookmarkStart w:id="753" w:name="Tc_fN6wsCzwZE-JLTe3WE053g_12_0"/>
      <w:bookmarkStart w:id="754" w:name="Tc_alMWIGkkdkmaMM28oUq8gA_11_0"/>
      <w:bookmarkStart w:id="755" w:name="Tc_jdvTCPacM0OKEXPWgPnGOA_10_0"/>
      <w:bookmarkStart w:id="756" w:name="Tc_HTX1n9uU7ECRSC8BhpDaYA_9_0"/>
      <w:bookmarkStart w:id="757" w:name="Tc_7xySOUZaW0WrgkTDrEPu6g_8_0"/>
      <w:bookmarkStart w:id="758" w:name="Tc_DE8-SPmZck-wZEY5uSiR2w_7_6"/>
      <w:bookmarkStart w:id="759" w:name="Tc_mZ7oypM0hU6tberPpq9ZEg_7_5"/>
      <w:bookmarkStart w:id="760" w:name="Tc_7M3wMWp-4UaxOJ1Zf49UxA_7_2"/>
      <w:bookmarkStart w:id="761" w:name="Tc_UNVWdwG1EUSxXArUFq-VIQ_7_0"/>
      <w:bookmarkStart w:id="762" w:name="Tc_eawewpwWWUaEXUvCZfrIoA_6_0"/>
      <w:bookmarkStart w:id="763" w:name="Tc_PDhMN7oYMk2sgxJbo98snw_5_0"/>
      <w:bookmarkStart w:id="764" w:name="Tc_ud0d1r0a9UWjc8pSJc1KGA_4_0"/>
      <w:bookmarkStart w:id="765" w:name="Tc_mGDvPMyklkeuUBUCsAP8wg_3_2"/>
      <w:bookmarkStart w:id="766" w:name="Tc_68GQXF71Z0q566GMRFPz8Q_2_5"/>
      <w:bookmarkStart w:id="767" w:name="Tc_DYC5zFkUP0qQ5ay6oA7ueg_2_2"/>
      <w:bookmarkStart w:id="768" w:name="Tc_DLzB8Yi6E0uOkE8-Ldh9vw_1_5"/>
      <w:bookmarkStart w:id="769" w:name="Tc_U6iClqumvk2BwyTB-FtWHA_1_2"/>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tbl>
      <w:tblPr>
        <w:tblW w:w="6803" w:type="dxa"/>
        <w:jc w:val="left"/>
        <w:tblInd w:w="0" w:type="dxa"/>
        <w:tblLayout w:type="fixed"/>
        <w:tblCellMar>
          <w:top w:w="0" w:type="dxa"/>
          <w:left w:w="0" w:type="dxa"/>
          <w:bottom w:w="0" w:type="dxa"/>
          <w:right w:w="0" w:type="dxa"/>
        </w:tblCellMar>
      </w:tblPr>
      <w:tblGrid>
        <w:gridCol w:w="3946"/>
        <w:gridCol w:w="326"/>
        <w:gridCol w:w="230"/>
        <w:gridCol w:w="625"/>
        <w:gridCol w:w="326"/>
        <w:gridCol w:w="343"/>
        <w:gridCol w:w="1007"/>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05710" cy="175260"/>
                      <wp:effectExtent l="0" t="0" r="0" b="0"/>
                      <wp:wrapNone/>
                      <wp:docPr id="90" name="Frame90"/>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050" cy="175260"/>
                      <wp:effectExtent l="0" t="0" r="0" b="0"/>
                      <wp:wrapNone/>
                      <wp:docPr id="92" name="Frame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6875" cy="175260"/>
                      <wp:effectExtent l="0" t="0" r="0" b="0"/>
                      <wp:wrapNone/>
                      <wp:docPr id="93" name="Frame9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7805" cy="175260"/>
                      <wp:effectExtent l="0" t="0" r="0" b="0"/>
                      <wp:wrapNone/>
                      <wp:docPr id="95" name="Frame9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39445" cy="175260"/>
                      <wp:effectExtent l="0" t="0" r="0" b="0"/>
                      <wp:wrapNone/>
                      <wp:docPr id="96" name="Frame96"/>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8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62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43" w:type="dxa"/>
            <w:tcBorders/>
            <w:shd w:fill="CCEEFF" w:val="clear"/>
            <w:vAlign w:val="center"/>
          </w:tcPr>
          <w:p>
            <w:pPr>
              <w:pStyle w:val="TableContents"/>
              <w:bidi w:val="0"/>
              <w:spacing w:before="0" w:after="1"/>
              <w:ind w:left="0" w:right="0" w:hanging="0"/>
              <w:jc w:val="center"/>
              <w:rPr/>
            </w:pPr>
            <w:r>
              <w:rPr/>
              <w:t>​</w:t>
            </w:r>
          </w:p>
        </w:tc>
        <w:tc>
          <w:tcPr>
            <w:tcW w:w="1007" w:type="dxa"/>
            <w:tcBorders/>
            <w:shd w:fill="CCEEFF" w:val="clear"/>
            <w:vAlign w:val="center"/>
          </w:tcPr>
          <w:p>
            <w:pPr>
              <w:pStyle w:val="TableContents"/>
              <w:bidi w:val="0"/>
              <w:spacing w:before="0" w:after="1"/>
              <w:ind w:left="0" w:right="0" w:hanging="0"/>
              <w:jc w:val="center"/>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2,167</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non-cyclical</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portion of unrealized (losses) and gains that relates to securities still held by our Investment segment, primarily equity securities, was $(86) million and $(69) million for the three months ended June 30, 2024 and 2023, respectively, and $(360) million and $(124) million for the six months ended June 30, 2024 and 2023, respectively.</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70" w:name="Tc_TQB24apzfEyYrWrTaLEwUg_7_5"/>
      <w:bookmarkStart w:id="771" w:name="Tc_mApzYMnYyUWy_RbupH-bRw_7_2"/>
      <w:bookmarkStart w:id="772" w:name="Tc_P3hFdJ5_oE65NiaajG15-Q_6_0"/>
      <w:bookmarkStart w:id="773" w:name="Tc_1cu7hQzpXUqj5AH4ka9RBQ_5_0"/>
      <w:bookmarkStart w:id="774" w:name="Tc_uEfgtDCP-E-TdARUcj4zqg_4_5"/>
      <w:bookmarkStart w:id="775" w:name="Tc_lkIbH-7JmEKd5xwFQyCO9w_4_2"/>
      <w:bookmarkStart w:id="776" w:name="Tc_fi2yYTFWLEiAtqxV-SDLkQ_4_0"/>
      <w:bookmarkStart w:id="777" w:name="Tc_K_3jjMnEvk6H668vEcU4JQ_3_2"/>
      <w:bookmarkStart w:id="778" w:name="Tc_aBOPo9Xa4UubDcitPf4D3A_2_5"/>
      <w:bookmarkStart w:id="779" w:name="Tc_gXr5SI7fp0CJCUd7YRVBdw_2_2"/>
      <w:bookmarkStart w:id="780" w:name="Tc_WQMx85YbrUOxoiSPDVeIyQ_1_5"/>
      <w:bookmarkStart w:id="781" w:name="Tc__UEB4GwCXUa3XqV9mYVqvA_1_2"/>
      <w:bookmarkEnd w:id="770"/>
      <w:bookmarkEnd w:id="771"/>
      <w:bookmarkEnd w:id="772"/>
      <w:bookmarkEnd w:id="773"/>
      <w:bookmarkEnd w:id="774"/>
      <w:bookmarkEnd w:id="775"/>
      <w:bookmarkEnd w:id="776"/>
      <w:bookmarkEnd w:id="777"/>
      <w:bookmarkEnd w:id="778"/>
      <w:bookmarkEnd w:id="779"/>
      <w:bookmarkEnd w:id="780"/>
      <w:bookmarkEnd w:id="781"/>
      <w:r>
        <w:rPr>
          <w:rFonts w:ascii="Times New Roman;Times;serif" w:hAnsi="Times New Roman;Times;serif"/>
          <w:b/>
          <w:i/>
          <w:sz w:val="20"/>
        </w:rPr>
        <w:t>Other Segments and Holding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pStyle w:val="TextBody"/>
        <w:bidi w:val="0"/>
        <w:spacing w:before="0" w:after="0"/>
        <w:ind w:left="0" w:right="0" w:hanging="0"/>
        <w:jc w:val="left"/>
        <w:rPr/>
      </w:pPr>
      <w:r>
        <w:rPr/>
        <w:t>​</w:t>
      </w:r>
    </w:p>
    <w:tbl>
      <w:tblPr>
        <w:tblW w:w="7973" w:type="dxa"/>
        <w:jc w:val="left"/>
        <w:tblInd w:w="0" w:type="dxa"/>
        <w:tblLayout w:type="fixed"/>
        <w:tblCellMar>
          <w:top w:w="0" w:type="dxa"/>
          <w:left w:w="0" w:type="dxa"/>
          <w:bottom w:w="0" w:type="dxa"/>
          <w:right w:w="0" w:type="dxa"/>
        </w:tblCellMar>
      </w:tblPr>
      <w:tblGrid>
        <w:gridCol w:w="5116"/>
        <w:gridCol w:w="326"/>
        <w:gridCol w:w="284"/>
        <w:gridCol w:w="571"/>
        <w:gridCol w:w="326"/>
        <w:gridCol w:w="386"/>
        <w:gridCol w:w="964"/>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248660" cy="175260"/>
                      <wp:effectExtent l="0" t="0" r="0" b="0"/>
                      <wp:wrapNone/>
                      <wp:docPr id="97" name="Frame97"/>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0340" cy="175260"/>
                      <wp:effectExtent l="0" t="0" r="0" b="0"/>
                      <wp:wrapNone/>
                      <wp:docPr id="99" name="Frame9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5110" cy="175260"/>
                      <wp:effectExtent l="0" t="0" r="0" b="0"/>
                      <wp:wrapNone/>
                      <wp:docPr id="102" name="Frame10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12140" cy="175260"/>
                      <wp:effectExtent l="0" t="0" r="0" b="0"/>
                      <wp:wrapNone/>
                      <wp:docPr id="103" name="Frame103"/>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9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unrealized gains and (losses) that relates to equity securities still held by our other segments and Holding Company for each of the three and six months ended June 30, 2024 and 2023.</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6.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82" w:name="Tc_5CZBC_RtJUC2OmNz0_TdsA_12_23"/>
      <w:bookmarkStart w:id="783" w:name="Tc_3Wz1BrV3oEi0UJpHZKKpVQ_12_21"/>
      <w:bookmarkStart w:id="784" w:name="Tc_ybhELKgQikyRP5AkZFWUwA_12_20"/>
      <w:bookmarkStart w:id="785" w:name="Tc_MgfTSREAsEWVv1ENqnp0Rg_12_17"/>
      <w:bookmarkStart w:id="786" w:name="Tc_HmDRsAQYD0eAYyH85QDffg_12_14"/>
      <w:bookmarkStart w:id="787" w:name="Tc_IhENYzOx7k67tS6s7ByIdQ_12_11"/>
      <w:bookmarkStart w:id="788" w:name="Tc_mnWeA2YChUqMURa-r_dCVg_12_9"/>
      <w:bookmarkStart w:id="789" w:name="Tc_a9iSUKE29kmNBLvk64lLsQ_12_8"/>
      <w:bookmarkStart w:id="790" w:name="Tc_-iOMHAFibkGgjuey_S4QuA_12_5"/>
      <w:bookmarkStart w:id="791" w:name="Tc_HjhJcySpwEi_ZonIrw7kGA_12_2"/>
      <w:bookmarkStart w:id="792" w:name="Tc_RSLxC8q-OkeYQDhGnyB0pA_11_21"/>
      <w:bookmarkStart w:id="793" w:name="Tc_m5xOitwElU2mtJfGmArMYw_11_15"/>
      <w:bookmarkStart w:id="794" w:name="Tc_1iZ4Q29gEUSGf8_Y8lZARQ_11_9"/>
      <w:bookmarkStart w:id="795" w:name="Tc_jr4nY2y2A0GuxNkg8a_eKw_11_3"/>
      <w:bookmarkStart w:id="796" w:name="Tc_KkF-EcokIUGUpahGtUx0nQ_11_0"/>
      <w:bookmarkStart w:id="797" w:name="Tc_bjgnEJoWOUGkq3tWB920aA_10_21"/>
      <w:bookmarkStart w:id="798" w:name="Tc_StoqZpO7ZkWIWurjuBnRlA_10_15"/>
      <w:bookmarkStart w:id="799" w:name="Tc_N4wzQHhvLEO58p0bJJOuJA_10_9"/>
      <w:bookmarkStart w:id="800" w:name="Tc_fvVO2hv3oESlecm6Y0TfWw_10_3"/>
      <w:bookmarkStart w:id="801" w:name="Tc_JGroAT0vOEeNcMseUAiRAA_10_0"/>
      <w:bookmarkStart w:id="802" w:name="Tc_-JdOA7M6BkKFCrrQ0SJJ8g_9_23"/>
      <w:bookmarkStart w:id="803" w:name="Tc_lwlc5fmk5EuZt5Yeb2apsg_9_21"/>
      <w:bookmarkStart w:id="804" w:name="Tc_ISaAPcdbtkilGsZIru7bDw_9_20"/>
      <w:bookmarkStart w:id="805" w:name="Tc_FlgII0i7sk2KE5A0oZi0PA_9_17"/>
      <w:bookmarkStart w:id="806" w:name="Tc_WBT7V1P_f0WRY4kMLAimtA_9_14"/>
      <w:bookmarkStart w:id="807" w:name="Tc_ukE3igugVkulT5OwqZQTkQ_9_11"/>
      <w:bookmarkStart w:id="808" w:name="Tc_25GK7jKLNEmfWSP2RBaBDQ_9_9"/>
      <w:bookmarkStart w:id="809" w:name="Tc_Us3Yv1_Yhk24RyXtTIQN8w_9_8"/>
      <w:bookmarkStart w:id="810" w:name="Tc__tAI1bXQp0q20aUUVz-Z4g_9_5"/>
      <w:bookmarkStart w:id="811" w:name="Tc_VVC60j68hUWsjll2bG94pg_9_2"/>
      <w:bookmarkStart w:id="812" w:name="Tc_xXS9hCmlgk2icrBlmp40Qg_9_0"/>
      <w:bookmarkStart w:id="813" w:name="Tc_-sFMUE3upkub4AqAUF66Lw_8_0"/>
      <w:bookmarkStart w:id="814" w:name="Tc_nJ_cfulhHUiNx9zOTJQUpg_7_23"/>
      <w:bookmarkStart w:id="815" w:name="Tc_LMdDOrua8EePCLayzK-bCQ_7_20"/>
      <w:bookmarkStart w:id="816" w:name="Tc_GYuaTSvljkKUtGyv9peQyA_7_17"/>
      <w:bookmarkStart w:id="817" w:name="Tc_zbMFo8Lf6EGFv8QVEsB74g_7_14"/>
      <w:bookmarkStart w:id="818" w:name="Tc_AccRMMq2PUycXfzJtlqB3g_7_11"/>
      <w:bookmarkStart w:id="819" w:name="Tc_3_rPIHrK4kC4gxCTPrmsFg_7_8"/>
      <w:bookmarkStart w:id="820" w:name="Tc_OtnSGW3fIEOomJ51KFG_ig_7_5"/>
      <w:bookmarkStart w:id="821" w:name="Tc_0IcQXTdKf02paBP1uyGBSg_7_2"/>
      <w:bookmarkStart w:id="822" w:name="Tc_BE2x8iMJ30SUj19udC_NhA_6_21"/>
      <w:bookmarkStart w:id="823" w:name="Tc_KkRB8Mq4E0C47N6QxtFr1w_6_15"/>
      <w:bookmarkStart w:id="824" w:name="Tc_2BUMfcS7Lk-QlKOZlq2rUA_6_9"/>
      <w:bookmarkStart w:id="825" w:name="Tc_6wFpJKyUXEKpDMxzEKQ2Yw_6_3"/>
      <w:bookmarkStart w:id="826" w:name="Tc_nv2nt63K6kyqby3WHXN4-A_6_0"/>
      <w:bookmarkStart w:id="827" w:name="Tc_TtDAZejCRkKbAJ2GES0nlg_5_23"/>
      <w:bookmarkStart w:id="828" w:name="Tc_l7Df9UezN06OvOx1n0CfOQ_5_20"/>
      <w:bookmarkStart w:id="829" w:name="Tc_8zF7UaFxzEOB1hm4ohsi5A_5_17"/>
      <w:bookmarkStart w:id="830" w:name="Tc_cZOQSG_5nkG9ARcQzvp9mQ_5_14"/>
      <w:bookmarkStart w:id="831" w:name="Tc_oxIBECSo_kemwU98UwH-rQ_5_11"/>
      <w:bookmarkStart w:id="832" w:name="Tc_O1u7LBIyN0qkzv6ABbBH3w_5_8"/>
      <w:bookmarkStart w:id="833" w:name="Tc_Nhwn7Xl5ekC-Md0WL49g5Q_5_5"/>
      <w:bookmarkStart w:id="834" w:name="Tc_KDJXUls_jkyQdohWAo8nzw_5_2"/>
      <w:bookmarkStart w:id="835" w:name="Tc_sWuDGp3mWk-w4e6JitB7oQ_5_0"/>
      <w:bookmarkStart w:id="836" w:name="Tc_-hXepCJD002Mo7rp6rWc_w_4_0"/>
      <w:bookmarkStart w:id="837" w:name="Tc_5FXz5BDCykaNNPc7vuQZ7w_3_2"/>
      <w:bookmarkStart w:id="838" w:name="Tc_iD3ONw25kkC08hwjcnPMqg_2_23"/>
      <w:bookmarkStart w:id="839" w:name="Tc_JayogfOlDkKjDN652w1W8A_2_20"/>
      <w:bookmarkStart w:id="840" w:name="Tc_3fJZ5gZqFUyBSkSy6vKIrA_2_17"/>
      <w:bookmarkStart w:id="841" w:name="Tc_p88r7ufIh0666807hjKEsw_2_14"/>
      <w:bookmarkStart w:id="842" w:name="Tc_Q5mIcBkmx0mRvu42l0lI6g_2_11"/>
      <w:bookmarkStart w:id="843" w:name="Tc_ulKsICiRLUWrSPC1Rkg1Gw_2_8"/>
      <w:bookmarkStart w:id="844" w:name="Tc_Zt8sNVPl10eGLsse7pjpgA_2_5"/>
      <w:bookmarkStart w:id="845" w:name="Tc_tIRl2VE8WUmviseH0eKSzA_2_2"/>
      <w:bookmarkStart w:id="846" w:name="Tc_3FeUXPU_0UqcM3mlXqXqsw_1_14"/>
      <w:bookmarkStart w:id="847" w:name="Tc_DPqCID5BqUKsOb1FG5NMig_1_2"/>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Fonts w:ascii="Times New Roman;Times;serif" w:hAnsi="Times New Roman;Times;serif"/>
          <w:b/>
          <w:i/>
          <w:sz w:val="20"/>
        </w:rPr>
        <w:t>Assets and Liabilities Measured at Fair Value on a Recurring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valuation of our assets and liabilities by the above fair value hierarchy levels measured on a recurring basis: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0"/>
        <w:gridCol w:w="326"/>
        <w:gridCol w:w="211"/>
        <w:gridCol w:w="571"/>
        <w:gridCol w:w="326"/>
        <w:gridCol w:w="211"/>
        <w:gridCol w:w="571"/>
        <w:gridCol w:w="326"/>
        <w:gridCol w:w="231"/>
        <w:gridCol w:w="383"/>
        <w:gridCol w:w="326"/>
        <w:gridCol w:w="211"/>
        <w:gridCol w:w="571"/>
        <w:gridCol w:w="326"/>
        <w:gridCol w:w="211"/>
        <w:gridCol w:w="571"/>
        <w:gridCol w:w="326"/>
        <w:gridCol w:w="211"/>
        <w:gridCol w:w="571"/>
        <w:gridCol w:w="326"/>
        <w:gridCol w:w="231"/>
        <w:gridCol w:w="383"/>
        <w:gridCol w:w="326"/>
        <w:gridCol w:w="211"/>
        <w:gridCol w:w="678"/>
      </w:tblGrid>
      <w:tr>
        <w:trPr/>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96950" cy="175260"/>
                      <wp:effectExtent l="0" t="0" r="0" b="0"/>
                      <wp:wrapNone/>
                      <wp:docPr id="104" name="Frame104"/>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2585" cy="175260"/>
                      <wp:effectExtent l="0" t="0" r="0" b="0"/>
                      <wp:wrapNone/>
                      <wp:docPr id="107" name="Frame1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6685" cy="175260"/>
                      <wp:effectExtent l="0" t="0" r="0" b="0"/>
                      <wp:wrapNone/>
                      <wp:docPr id="112" name="Frame11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3205" cy="175260"/>
                      <wp:effectExtent l="0" t="0" r="0" b="0"/>
                      <wp:wrapNone/>
                      <wp:docPr id="113" name="Frame11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9"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2" name="Frame1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6685" cy="175260"/>
                      <wp:effectExtent l="0" t="0" r="0" b="0"/>
                      <wp:wrapNone/>
                      <wp:docPr id="124" name="Frame12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3205" cy="175260"/>
                      <wp:effectExtent l="0" t="0" r="0" b="0"/>
                      <wp:wrapNone/>
                      <wp:docPr id="125" name="Frame12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0530" cy="175260"/>
                      <wp:effectExtent l="0" t="0" r="0" b="0"/>
                      <wp:wrapNone/>
                      <wp:docPr id="128" name="Frame12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3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left"/>
              <w:rPr/>
            </w:pPr>
            <w:r>
              <w:rPr/>
              <w:t>​</w:t>
            </w:r>
          </w:p>
        </w:tc>
        <w:tc>
          <w:tcPr>
            <w:tcW w:w="404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6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09" w:type="dxa"/>
            <w:gridSpan w:val="2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(Note 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 (Note 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57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15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(Note 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1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 (Note 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1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RFS obligations (Note 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15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4,781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Partners performed a non-recurring fair value measurement of the equity interest received as part of the 45Q Transaction. </w:t>
      </w:r>
      <w:r>
        <w:rPr>
          <w:rFonts w:ascii="TimesNewRoman" w:hAnsi="TimesNewRoman"/>
          <w:sz w:val="20"/>
        </w:rPr>
        <w:t>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w:t>
      </w:r>
      <w:r>
        <w:rPr>
          <w:rFonts w:ascii="Times New Roman;Times;serif" w:hAnsi="Times New Roman;Times;serif"/>
          <w:sz w:val="20"/>
        </w:rPr>
        <w:t xml:space="preserve"> </w:t>
      </w:r>
      <w:r>
        <w:rPr>
          <w:rFonts w:ascii="TimesNewRoman" w:hAnsi="TimesNewRoman"/>
          <w:sz w:val="20"/>
        </w:rPr>
        <w:t>million in the first quarter of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NewRoman" w:hAnsi="TimesNewRoman"/>
          <w:i/>
          <w:sz w:val="20"/>
        </w:rPr>
      </w:pPr>
      <w:r>
        <w:rPr>
          <w:rFonts w:ascii="TimesNewRoman" w:hAnsi="TimesNewRoman"/>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$7 million at June 30, 2024.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Credit concentrations may arise from investment activities and may be impacted by changes in economic, industry or political factors. The Investment Funds routinely execute transactions with counterparties in the financial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sz w:val="20"/>
        </w:rPr>
      </w:pPr>
      <w:bookmarkStart w:id="848" w:name="Tc_gF-yi93nv0aU6_YCiU8UHg_9_5"/>
      <w:bookmarkStart w:id="849" w:name="Tc_OiRj2TFybUuVKP6lTVOgNQ_9_2"/>
      <w:bookmarkStart w:id="850" w:name="Tc_ZbYWW6AF70uNaPfHMkWr7g_9_0"/>
      <w:bookmarkStart w:id="851" w:name="Tc_0fIUA6u29E2AnppB5NiarQ_8_0"/>
      <w:bookmarkStart w:id="852" w:name="Tc_oj-_TEYwyEiRG1jGtmsCvA_7_0"/>
      <w:bookmarkStart w:id="853" w:name="Tc_V8FWz5gfPU6Xb3k4GY4THg_6_9"/>
      <w:bookmarkStart w:id="854" w:name="Tc_-zE2qq1cNESoFnyGXEFrFA_6_0"/>
      <w:bookmarkStart w:id="855" w:name="Tc_SkIZYsLqa0SQKU--TRhT-w_5_0"/>
      <w:bookmarkStart w:id="856" w:name="Tc_XWzupbfknUSuhje3ndvxAA_4_11"/>
      <w:bookmarkStart w:id="857" w:name="Tc_YM79xucO9UevUpnR3yt5gw_4_8"/>
      <w:bookmarkStart w:id="858" w:name="Tc_zJfwCqpJCE26ytfaDUVmEA_4_5"/>
      <w:bookmarkStart w:id="859" w:name="Tc_vXUiBdmYO0GUPleDdo4iWA_4_2"/>
      <w:bookmarkStart w:id="860" w:name="Tc_XN-xd5XBgkm34KlV7c3kzw_4_0"/>
      <w:bookmarkStart w:id="861" w:name="Tc_ONwBlS8-kkK57Y_9arpkaw_3_3"/>
      <w:bookmarkStart w:id="862" w:name="Tc_xDChhVXskkabNpNpCvruIQ_2_11"/>
      <w:bookmarkStart w:id="863" w:name="Tc_mIrkWzrx4kW1YXdFf3jFpw_2_8"/>
      <w:bookmarkStart w:id="864" w:name="Tc_TeIEn9gV4kejTJl4_WlV9w_2_5"/>
      <w:bookmarkStart w:id="865" w:name="Tc_o0DVYM77fkKTARemxVu7Fw_2_2"/>
      <w:bookmarkStart w:id="866" w:name="Tc_Nj4CdZxlhE-cybt67fQXhA_1_8"/>
      <w:bookmarkStart w:id="867" w:name="Tc_P2N1RkaGFk2BU9a80Kug1g_1_2"/>
      <w:bookmarkStart w:id="868" w:name="_8c8df067_0f3c_4c5e_9729_644fc25c8841"/>
      <w:bookmarkStart w:id="869" w:name="Tc_8rnqlCaYhkmG7dEjuseEKQ_7_0"/>
      <w:bookmarkStart w:id="870" w:name="Tc_oQvW2S_k9EGKFQqh3jxakw_6_0"/>
      <w:bookmarkStart w:id="871" w:name="Tc_QyEdKuvzvUu8TBvO_6mxcA_5_11"/>
      <w:bookmarkStart w:id="872" w:name="Tc_pcv8Vy4mzE-teCxZbK8qXA_5_8"/>
      <w:bookmarkStart w:id="873" w:name="Tc_PEi4FH9LNEunD3W8uKGHyQ_5_5"/>
      <w:bookmarkStart w:id="874" w:name="Tc_UuPjxb3j0E-sxBxAb37XsA_5_2"/>
      <w:bookmarkStart w:id="875" w:name="Tc_a3XhF5LQkUip5pHh2nJM9w_5_0"/>
      <w:bookmarkStart w:id="876" w:name="Tc_mQxZOxWwVU-NOIMXC-SCtg_4_0"/>
      <w:bookmarkStart w:id="877" w:name="Tc_iXrubcBzl0G2y316hjSy8A_3_3"/>
      <w:bookmarkStart w:id="878" w:name="Tc_JpgFyLyv2ke7OG5iFgghww_2_11"/>
      <w:bookmarkStart w:id="879" w:name="Tc_wnAsCYW2AEKmk79BCpD81g_2_8"/>
      <w:bookmarkStart w:id="880" w:name="Tc_Kg7DWXLtzkeUGePrMMiMbQ_2_5"/>
      <w:bookmarkStart w:id="881" w:name="Tc_RYc6CZL29U-u24nDZaw7Hw_2_2"/>
      <w:bookmarkStart w:id="882" w:name="Tc_pMDsPixwwkezrCh9TnStwA_1_8"/>
      <w:bookmarkStart w:id="883" w:name="Tc_CHTNpLbkIkKz7KKPgnlqpg_1_2"/>
      <w:bookmarkStart w:id="884" w:name="_2d2c95bb_09e0_4d23_8439_924c8d4639e1"/>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b w:val="false"/>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w:t>
      </w:r>
      <w:r>
        <w:rPr>
          <w:rFonts w:ascii="Times New Roman;Times;serif" w:hAnsi="Times New Roman;Times;serif"/>
          <w:b/>
          <w:sz w:val="20"/>
        </w:rPr>
        <w:t xml:space="preserve"> </w:t>
      </w:r>
      <w:r>
        <w:rPr>
          <w:rFonts w:ascii="Times New Roman;Times;serif" w:hAnsi="Times New Roman;Times;serif"/>
          <w:b w:val="false"/>
          <w:sz w:val="20"/>
        </w:rPr>
        <w:t xml:space="preserve">Investment Funds’ derivative instruments with credit-risk-related contingent features in a liability position as of June 30, 2024 and December 31,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67"/>
        <w:gridCol w:w="326"/>
        <w:gridCol w:w="476"/>
        <w:gridCol w:w="1290"/>
        <w:gridCol w:w="326"/>
        <w:gridCol w:w="478"/>
        <w:gridCol w:w="1298"/>
        <w:gridCol w:w="326"/>
        <w:gridCol w:w="476"/>
        <w:gridCol w:w="1290"/>
        <w:gridCol w:w="326"/>
        <w:gridCol w:w="464"/>
        <w:gridCol w:w="1362"/>
      </w:tblGrid>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left"/>
              <w:rPr/>
            </w:pPr>
            <w:r>
              <w:rPr/>
              <w:t>​</w:t>
            </w:r>
          </w:p>
        </w:tc>
        <w:tc>
          <w:tcPr>
            <w:tcW w:w="12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1362" w:type="dxa"/>
            <w:tcBorders/>
            <w:vAlign w:val="center"/>
          </w:tcPr>
          <w:p>
            <w:pPr>
              <w:pStyle w:val="TableContents"/>
              <w:bidi w:val="0"/>
              <w:spacing w:before="0" w:after="1"/>
              <w:ind w:left="0" w:right="0" w:hanging="0"/>
              <w:jc w:val="left"/>
              <w:rPr/>
            </w:pPr>
            <w:r>
              <w:rPr/>
              <w:t>​</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1"/>
              <w:ind w:left="0" w:right="0" w:hanging="0"/>
              <w:jc w:val="left"/>
              <w:rPr/>
            </w:pPr>
            <w:r>
              <w:rPr/>
              <w:t>​</w:t>
            </w:r>
          </w:p>
        </w:tc>
        <w:tc>
          <w:tcPr>
            <w:tcW w:w="39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26" w:type="dxa"/>
            <w:tcBorders/>
            <w:vAlign w:val="center"/>
          </w:tcPr>
          <w:p>
            <w:pPr>
              <w:pStyle w:val="TableContents"/>
              <w:bidi w:val="0"/>
              <w:spacing w:before="0" w:after="1"/>
              <w:ind w:left="0" w:right="0" w:hanging="0"/>
              <w:jc w:val="center"/>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26" w:type="dxa"/>
            <w:tcBorders/>
            <w:vAlign w:val="center"/>
          </w:tcPr>
          <w:p>
            <w:pPr>
              <w:pStyle w:val="TableContents"/>
              <w:bidi w:val="0"/>
              <w:spacing w:before="0" w:after="1"/>
              <w:ind w:left="0" w:right="0" w:hanging="0"/>
              <w:jc w:val="center"/>
              <w:rPr/>
            </w:pPr>
            <w:r>
              <w:rPr/>
              <w:t>    </w:t>
            </w:r>
          </w:p>
        </w:tc>
        <w:tc>
          <w:tcPr>
            <w:tcW w:w="1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7636"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8" w:type="dxa"/>
            <w:tcBorders/>
            <w:vAlign w:val="center"/>
          </w:tcPr>
          <w:p>
            <w:pPr>
              <w:pStyle w:val="TableContents"/>
              <w:bidi w:val="0"/>
              <w:spacing w:before="0" w:after="1"/>
              <w:ind w:left="0" w:right="0" w:hanging="0"/>
              <w:jc w:val="center"/>
              <w:rPr/>
            </w:pPr>
            <w:r>
              <w:rPr/>
              <w:t>​</w:t>
            </w:r>
          </w:p>
        </w:tc>
        <w:tc>
          <w:tcPr>
            <w:tcW w:w="12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76" w:type="dxa"/>
            <w:tcBorders/>
            <w:vAlign w:val="center"/>
          </w:tcPr>
          <w:p>
            <w:pPr>
              <w:pStyle w:val="TableContents"/>
              <w:bidi w:val="0"/>
              <w:spacing w:before="0" w:after="1"/>
              <w:ind w:left="0" w:right="0" w:hanging="0"/>
              <w:jc w:val="center"/>
              <w:rPr/>
            </w:pPr>
            <w:r>
              <w:rPr/>
              <w:t>​</w:t>
            </w:r>
          </w:p>
        </w:tc>
        <w:tc>
          <w:tcPr>
            <w:tcW w:w="12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64" w:type="dxa"/>
            <w:tcBorders/>
            <w:vAlign w:val="center"/>
          </w:tcPr>
          <w:p>
            <w:pPr>
              <w:pStyle w:val="TableContents"/>
              <w:bidi w:val="0"/>
              <w:spacing w:before="0" w:after="1"/>
              <w:ind w:left="0" w:right="0" w:hanging="0"/>
              <w:jc w:val="center"/>
              <w:rPr/>
            </w:pPr>
            <w:r>
              <w:rPr/>
              <w:t>​</w:t>
            </w:r>
          </w:p>
        </w:tc>
        <w:tc>
          <w:tcPr>
            <w:tcW w:w="1362" w:type="dxa"/>
            <w:tcBorders/>
            <w:vAlign w:val="center"/>
          </w:tcPr>
          <w:p>
            <w:pPr>
              <w:pStyle w:val="TableContents"/>
              <w:bidi w:val="0"/>
              <w:spacing w:before="0" w:after="1"/>
              <w:ind w:left="0" w:right="0" w:hanging="0"/>
              <w:jc w:val="center"/>
              <w:rPr/>
            </w:pPr>
            <w:r>
              <w:rPr/>
              <w:t>​</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center"/>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26"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2,046</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1,882</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176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lef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78" w:type="dxa"/>
            <w:tcBorders/>
            <w:vAlign w:val="center"/>
          </w:tcPr>
          <w:p>
            <w:pPr>
              <w:pStyle w:val="TableContents"/>
              <w:bidi w:val="0"/>
              <w:spacing w:before="0" w:after="1"/>
              <w:ind w:left="0" w:right="0" w:hanging="0"/>
              <w:jc w:val="right"/>
              <w:rPr/>
            </w:pPr>
            <w:r>
              <w:rPr/>
              <w:t>​</w:t>
            </w:r>
          </w:p>
        </w:tc>
        <w:tc>
          <w:tcPr>
            <w:tcW w:w="12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1"/>
              <w:ind w:left="0" w:right="0" w:hanging="0"/>
              <w:jc w:val="right"/>
              <w:rPr/>
            </w:pPr>
            <w:r>
              <w:rPr/>
              <w:t>​</w:t>
            </w:r>
          </w:p>
        </w:tc>
        <w:tc>
          <w:tcPr>
            <w:tcW w:w="476" w:type="dxa"/>
            <w:tcBorders/>
            <w:vAlign w:val="center"/>
          </w:tcPr>
          <w:p>
            <w:pPr>
              <w:pStyle w:val="TableContents"/>
              <w:bidi w:val="0"/>
              <w:spacing w:before="0" w:after="1"/>
              <w:ind w:left="0" w:right="0" w:hanging="0"/>
              <w:jc w:val="right"/>
              <w:rPr/>
            </w:pPr>
            <w:r>
              <w:rPr/>
              <w:t>​</w:t>
            </w:r>
          </w:p>
        </w:tc>
        <w:tc>
          <w:tcPr>
            <w:tcW w:w="12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64" w:type="dxa"/>
            <w:tcBorders/>
            <w:vAlign w:val="center"/>
          </w:tcPr>
          <w:p>
            <w:pPr>
              <w:pStyle w:val="TableContents"/>
              <w:bidi w:val="0"/>
              <w:spacing w:before="0" w:after="1"/>
              <w:ind w:left="0" w:right="0" w:hanging="0"/>
              <w:jc w:val="right"/>
              <w:rPr/>
            </w:pPr>
            <w:r>
              <w:rPr/>
              <w:t>​</w:t>
            </w:r>
          </w:p>
        </w:tc>
        <w:tc>
          <w:tcPr>
            <w:tcW w:w="1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17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lef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right"/>
              <w:rPr/>
            </w:pPr>
            <w:r>
              <w:rPr/>
              <w:t>​</w:t>
            </w:r>
          </w:p>
        </w:tc>
        <w:tc>
          <w:tcPr>
            <w:tcW w:w="12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1"/>
              <w:ind w:left="0" w:right="0" w:hanging="0"/>
              <w:jc w:val="right"/>
              <w:rPr/>
            </w:pPr>
            <w:r>
              <w:rPr/>
              <w:t>​</w:t>
            </w:r>
          </w:p>
        </w:tc>
        <w:tc>
          <w:tcPr>
            <w:tcW w:w="476" w:type="dxa"/>
            <w:tcBorders/>
            <w:shd w:fill="CCEEFF" w:val="clear"/>
            <w:vAlign w:val="center"/>
          </w:tcPr>
          <w:p>
            <w:pPr>
              <w:pStyle w:val="TableContents"/>
              <w:bidi w:val="0"/>
              <w:spacing w:before="0" w:after="1"/>
              <w:ind w:left="0" w:right="0" w:hanging="0"/>
              <w:jc w:val="right"/>
              <w:rPr/>
            </w:pPr>
            <w:r>
              <w:rPr/>
              <w:t>​</w:t>
            </w:r>
          </w:p>
        </w:tc>
        <w:tc>
          <w:tcPr>
            <w:tcW w:w="12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64" w:type="dxa"/>
            <w:tcBorders/>
            <w:shd w:fill="CCEEFF" w:val="clear"/>
            <w:vAlign w:val="center"/>
          </w:tcPr>
          <w:p>
            <w:pPr>
              <w:pStyle w:val="TableContents"/>
              <w:bidi w:val="0"/>
              <w:spacing w:before="0" w:after="1"/>
              <w:ind w:left="0" w:right="0" w:hanging="0"/>
              <w:jc w:val="right"/>
              <w:rPr/>
            </w:pPr>
            <w:r>
              <w:rPr/>
              <w:t>​</w:t>
            </w:r>
          </w:p>
        </w:tc>
        <w:tc>
          <w:tcPr>
            <w:tcW w:w="136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409</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short notional amount on our credit default swap positions was approximately $2.3</w:t>
            </w:r>
            <w:r>
              <w:rPr>
                <w:caps w:val="false"/>
                <w:smallCaps w:val="false"/>
              </w:rPr>
              <w:t xml:space="preserve"> </w:t>
            </w:r>
            <w:r>
              <w:rPr>
                <w:rFonts w:ascii="Times New Roman;Times;serif" w:hAnsi="Times New Roman;Times;serif"/>
                <w:b w:val="false"/>
                <w:i w:val="false"/>
                <w:caps w:val="false"/>
                <w:smallCaps w:val="false"/>
                <w:sz w:val="16"/>
              </w:rPr>
              <w:t>billion and $2.5</w:t>
            </w:r>
            <w:r>
              <w:rPr>
                <w:caps w:val="false"/>
                <w:smallCaps w:val="false"/>
              </w:rPr>
              <w:t xml:space="preserve"> </w:t>
            </w:r>
            <w:r>
              <w:rPr>
                <w:rFonts w:ascii="Times New Roman;Times;serif" w:hAnsi="Times New Roman;Times;serif"/>
                <w:b w:val="false"/>
                <w:i w:val="false"/>
                <w:caps w:val="false"/>
                <w:smallCaps w:val="false"/>
                <w:sz w:val="16"/>
              </w:rPr>
              <w:t>billion at June 30, 2024 and December 31, 2023, respectively. However, because credit spreads cannot compress below zero, our downside short notional exposure to loss is approximately $0.4</w:t>
            </w:r>
            <w:r>
              <w:rPr>
                <w:caps w:val="false"/>
                <w:smallCaps w:val="false"/>
              </w:rPr>
              <w:t xml:space="preserve"> </w:t>
            </w:r>
            <w:r>
              <w:rPr>
                <w:rFonts w:ascii="Times New Roman;Times;serif" w:hAnsi="Times New Roman;Times;serif"/>
                <w:b w:val="false"/>
                <w:i w:val="false"/>
                <w:caps w:val="false"/>
                <w:smallCaps w:val="false"/>
                <w:sz w:val="16"/>
              </w:rPr>
              <w:t>billion and $0.4</w:t>
            </w:r>
            <w:r>
              <w:rPr>
                <w:caps w:val="false"/>
                <w:smallCaps w:val="false"/>
              </w:rPr>
              <w:t xml:space="preserve"> </w:t>
            </w:r>
            <w:r>
              <w:rPr>
                <w:rFonts w:ascii="Times New Roman;Times;serif" w:hAnsi="Times New Roman;Times;serif"/>
                <w:b w:val="false"/>
                <w:i w:val="false"/>
                <w:caps w:val="false"/>
                <w:smallCaps w:val="false"/>
                <w:sz w:val="16"/>
              </w:rPr>
              <w:t>billion as of June 30, 2024 and December 31, 2023,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r>
        <w:rPr/>
        <w:t>​</w:t>
      </w:r>
    </w:p>
    <w:tbl>
      <w:tblPr>
        <w:tblW w:w="10009" w:type="dxa"/>
        <w:jc w:val="left"/>
        <w:tblInd w:w="0" w:type="dxa"/>
        <w:tblLayout w:type="fixed"/>
        <w:tblCellMar>
          <w:top w:w="0" w:type="dxa"/>
          <w:left w:w="0" w:type="dxa"/>
          <w:bottom w:w="0" w:type="dxa"/>
          <w:right w:w="0" w:type="dxa"/>
        </w:tblCellMar>
      </w:tblPr>
      <w:tblGrid>
        <w:gridCol w:w="2626"/>
        <w:gridCol w:w="326"/>
        <w:gridCol w:w="458"/>
        <w:gridCol w:w="818"/>
        <w:gridCol w:w="326"/>
        <w:gridCol w:w="620"/>
        <w:gridCol w:w="1106"/>
        <w:gridCol w:w="326"/>
        <w:gridCol w:w="426"/>
        <w:gridCol w:w="850"/>
        <w:gridCol w:w="356"/>
        <w:gridCol w:w="451"/>
        <w:gridCol w:w="1320"/>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320"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1"/>
              <w:ind w:left="0" w:right="0" w:hanging="0"/>
              <w:jc w:val="center"/>
              <w:rPr/>
            </w:pPr>
            <w:r>
              <w:rPr/>
              <w:t>​</w:t>
            </w:r>
          </w:p>
        </w:tc>
        <w:tc>
          <w:tcPr>
            <w:tcW w:w="34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1"/>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1"/>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5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000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8" w:type="dxa"/>
            <w:tcBorders/>
            <w:vAlign w:val="center"/>
          </w:tcPr>
          <w:p>
            <w:pPr>
              <w:pStyle w:val="TableContents"/>
              <w:bidi w:val="0"/>
              <w:spacing w:before="0" w:after="1"/>
              <w:ind w:left="0" w:right="0" w:hanging="0"/>
              <w:jc w:val="center"/>
              <w:rPr/>
            </w:pPr>
            <w:r>
              <w:rPr/>
              <w:t>​</w:t>
            </w:r>
          </w:p>
        </w:tc>
        <w:tc>
          <w:tcPr>
            <w:tcW w:w="6599"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5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5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 </w:t>
            </w:r>
          </w:p>
        </w:tc>
        <w:tc>
          <w:tcPr>
            <w:tcW w:w="13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w:t>
            </w:r>
          </w:p>
        </w:tc>
        <w:tc>
          <w:tcPr>
            <w:tcW w:w="35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 </w:t>
            </w:r>
          </w:p>
        </w:tc>
        <w:tc>
          <w:tcPr>
            <w:tcW w:w="13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r>
      <w:tr>
        <w:trPr/>
        <w:tc>
          <w:tcPr>
            <w:tcW w:w="2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5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4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6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4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w:t>
            </w:r>
          </w:p>
        </w:tc>
        <w:tc>
          <w:tcPr>
            <w:tcW w:w="356" w:type="dxa"/>
            <w:tcBorders/>
            <w:vAlign w:val="center"/>
          </w:tcPr>
          <w:p>
            <w:pPr>
              <w:pStyle w:val="TableContents"/>
              <w:bidi w:val="0"/>
              <w:spacing w:before="0" w:after="1"/>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979</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June 30, 2024 and December 31, 2023 was $1.6</w:t>
            </w:r>
            <w:r>
              <w:rPr>
                <w:caps w:val="false"/>
                <w:smallCaps w:val="false"/>
              </w:rPr>
              <w:t xml:space="preserve"> </w:t>
            </w:r>
            <w:r>
              <w:rPr>
                <w:rFonts w:ascii="Times New Roman;Times;serif" w:hAnsi="Times New Roman;Times;serif"/>
                <w:b w:val="false"/>
                <w:i w:val="false"/>
                <w:caps w:val="false"/>
                <w:smallCaps w:val="false"/>
                <w:sz w:val="16"/>
              </w:rPr>
              <w:t>billion and $1.7</w:t>
            </w:r>
            <w:r>
              <w:rPr>
                <w:caps w:val="false"/>
                <w:smallCaps w:val="false"/>
              </w:rPr>
              <w:t xml:space="preserve"> </w:t>
            </w:r>
            <w:r>
              <w:rPr>
                <w:rFonts w:ascii="Times New Roman;Times;serif" w:hAnsi="Times New Roman;Times;serif"/>
                <w:b w:val="false"/>
                <w:i w:val="false"/>
                <w:caps w:val="false"/>
                <w:smallCaps w:val="false"/>
                <w:sz w:val="16"/>
              </w:rPr>
              <w:t>billion, respectively, across all counterparties, which are included in cash held at consolidated affiliated partnerships and restricted cash in the condensed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85" w:name="Tc_YcQJKwDvp0qW_8SfyB6xNg_6_12"/>
      <w:bookmarkStart w:id="886" w:name="Tc_uYVWlCEhsEKzqmgOAxg7ew_6_11"/>
      <w:bookmarkStart w:id="887" w:name="Tc_HaNvV3tJE0iz7FgUS-rNQQ_6_8"/>
      <w:bookmarkStart w:id="888" w:name="Tc_2GfOqnfZvUmSjB8pkJLKxg_6_5"/>
      <w:bookmarkStart w:id="889" w:name="Tc_6aH1IBKGOUKJQ0dwmvfYOQ_6_2"/>
      <w:bookmarkStart w:id="890" w:name="Tc_XK6VfWbF9Uuto_8et3GHCw_6_0"/>
      <w:bookmarkStart w:id="891" w:name="Tc_aLuVr-eAPEmRMBZczxDRaQ_5_0"/>
      <w:bookmarkStart w:id="892" w:name="Tc_lF2FmMsm6EiBmpHtE9kPFw_4_11"/>
      <w:bookmarkStart w:id="893" w:name="Tc_5ASTe8yzEE6kH5rTjPeN9Q_4_8"/>
      <w:bookmarkStart w:id="894" w:name="Tc_V2OaJS2Dy0aKdopSLA8w3w_4_5"/>
      <w:bookmarkStart w:id="895" w:name="Tc_cS08XPpZr0mHUI3KKRQXcg_4_2"/>
      <w:bookmarkStart w:id="896" w:name="Tc_1XhCnTwv1UidhF2gIFzEEQ_4_0"/>
      <w:bookmarkStart w:id="897" w:name="Tc_TRqHO3bpoEu-DyYtAPhulQ_3_3"/>
      <w:bookmarkStart w:id="898" w:name="Tc_bc3VfECo-kqGPyWYikbXCA_2_11"/>
      <w:bookmarkStart w:id="899" w:name="Tc_Mk6ozO4F_06_8Ch2kZInOg_2_8"/>
      <w:bookmarkStart w:id="900" w:name="Tc_QSWT8WvG7U6qskdSBiII2A_2_5"/>
      <w:bookmarkStart w:id="901" w:name="Tc_wk8y36jwdUuv3vbpOD70Lg_2_2"/>
      <w:bookmarkStart w:id="902" w:name="Tc_E1HEPSOVYUKG6OLphnRvOw_1_8"/>
      <w:bookmarkStart w:id="903" w:name="Tc_yvP4hK-1aUe1fWqbtDYLGg_1_2"/>
      <w:bookmarkStart w:id="904" w:name="_da7738a0_19ab_4055_8031_10dac7b5ad1a"/>
      <w:bookmarkStart w:id="905" w:name="RANGEA3M8"/>
      <w:bookmarkStart w:id="906" w:name="_41b32f1c_0f95_49dc_9b05_5ce6715d36fa"/>
      <w:bookmarkStart w:id="907" w:name="Tc_5FCGV2CQKUKAVEvinWttbw_8_11"/>
      <w:bookmarkStart w:id="908" w:name="Tc_GO41_DZqzE2ok85pCeDmlA_8_8"/>
      <w:bookmarkStart w:id="909" w:name="Tc_Mr9WzlZFkU2uWGERIKwomg_8_5"/>
      <w:bookmarkStart w:id="910" w:name="Tc_UrphJ0Rfc0icuO3wMeEVjA_8_2"/>
      <w:bookmarkStart w:id="911" w:name="Tc_kvL7WmarN0e7yAh2e4DLEQ_7_0"/>
      <w:bookmarkStart w:id="912" w:name="Tc_iSKYx0PXVkSRcS4CR9GyDA_6_0"/>
      <w:bookmarkStart w:id="913" w:name="Tc_0yuqU3BHCki9pRYJ2Ly-CQ_5_11"/>
      <w:bookmarkStart w:id="914" w:name="Tc_xrJxCpaM3UOb6zI_QCsH_Q_5_8"/>
      <w:bookmarkStart w:id="915" w:name="Tc_gxCcMurAgUeVcMUic_zMaA_5_5"/>
      <w:bookmarkStart w:id="916" w:name="Tc_hijiI05_3kKOrFzkmi_Cbw_5_2"/>
      <w:bookmarkStart w:id="917" w:name="Tc_Tdf1adw-VEuDgmKliMzk4A_5_0"/>
      <w:bookmarkStart w:id="918" w:name="Tc_f0L8s5rTUUyyf8eQvJRStw_4_2"/>
      <w:bookmarkStart w:id="919" w:name="Tc_z1ye7tc-m06o19rKKf5DXA_3_11"/>
      <w:bookmarkStart w:id="920" w:name="Tc_s2mgD9MsvEyZvxfNn2COPw_3_8"/>
      <w:bookmarkStart w:id="921" w:name="Tc_OcNWNSS-d02mi0nGe8QS4g_3_5"/>
      <w:bookmarkStart w:id="922" w:name="Tc_8gOEY-8iKU6YvM4I8yGQCQ_3_2"/>
      <w:bookmarkStart w:id="923" w:name="Tc_JxZ48KeSakmPutku0Iql3A_2_8"/>
      <w:bookmarkStart w:id="924" w:name="Tc_ESwPgNHZR0qkR16xEYwvWg_2_2"/>
      <w:bookmarkStart w:id="925" w:name="Tc_dT23lXxgJEOjTgVYOwnXAw_1_2"/>
      <w:bookmarkStart w:id="926" w:name="_e8d26ce3_2852_4a7e_bacb_06593b606108"/>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sz w:val="20"/>
        </w:rPr>
        <w:t xml:space="preserve">The following table presents the amount of gain (loss) recognized in the condensed consolidated statements of operations for our Investment segment’s derivatives not designated as hedging instruments: </w:t>
      </w:r>
    </w:p>
    <w:tbl>
      <w:tblPr>
        <w:tblW w:w="7668" w:type="dxa"/>
        <w:jc w:val="left"/>
        <w:tblInd w:w="0" w:type="dxa"/>
        <w:tblLayout w:type="fixed"/>
        <w:tblCellMar>
          <w:top w:w="0" w:type="dxa"/>
          <w:left w:w="0" w:type="dxa"/>
          <w:bottom w:w="0" w:type="dxa"/>
          <w:right w:w="0" w:type="dxa"/>
        </w:tblCellMar>
      </w:tblPr>
      <w:tblGrid>
        <w:gridCol w:w="1876"/>
        <w:gridCol w:w="326"/>
        <w:gridCol w:w="307"/>
        <w:gridCol w:w="789"/>
        <w:gridCol w:w="475"/>
        <w:gridCol w:w="307"/>
        <w:gridCol w:w="789"/>
        <w:gridCol w:w="326"/>
        <w:gridCol w:w="278"/>
        <w:gridCol w:w="714"/>
        <w:gridCol w:w="430"/>
        <w:gridCol w:w="278"/>
        <w:gridCol w:w="773"/>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91260" cy="175260"/>
                      <wp:effectExtent l="0" t="0" r="0" b="0"/>
                      <wp:wrapNone/>
                      <wp:docPr id="129" name="Frame12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945" cy="175260"/>
                      <wp:effectExtent l="0" t="0" r="0" b="0"/>
                      <wp:wrapNone/>
                      <wp:docPr id="131" name="Frame13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1015" cy="175260"/>
                      <wp:effectExtent l="0" t="0" r="0" b="0"/>
                      <wp:wrapNone/>
                      <wp:docPr id="132" name="Frame13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01625" cy="175260"/>
                      <wp:effectExtent l="0" t="0" r="0" b="0"/>
                      <wp:wrapNone/>
                      <wp:docPr id="133" name="Frame133"/>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4945" cy="175260"/>
                      <wp:effectExtent l="0" t="0" r="0" b="0"/>
                      <wp:wrapNone/>
                      <wp:docPr id="134" name="Frame13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1015" cy="175260"/>
                      <wp:effectExtent l="0" t="0" r="0" b="0"/>
                      <wp:wrapNone/>
                      <wp:docPr id="135" name="Frame13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6530" cy="175260"/>
                      <wp:effectExtent l="0" t="0" r="0" b="0"/>
                      <wp:wrapNone/>
                      <wp:docPr id="137" name="Frame13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53390" cy="175260"/>
                      <wp:effectExtent l="0" t="0" r="0" b="0"/>
                      <wp:wrapNone/>
                      <wp:docPr id="138" name="Frame13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73050" cy="175260"/>
                      <wp:effectExtent l="0" t="0" r="0" b="0"/>
                      <wp:wrapNone/>
                      <wp:docPr id="139" name="Frame1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6530" cy="175260"/>
                      <wp:effectExtent l="0" t="0" r="0" b="0"/>
                      <wp:wrapNone/>
                      <wp:docPr id="140" name="Frame14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0855" cy="175260"/>
                      <wp:effectExtent l="0" t="0" r="0" b="0"/>
                      <wp:wrapNone/>
                      <wp:docPr id="141" name="Frame14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466"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Gain (loss) Recognized in Income </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75"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30"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6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66"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475"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430"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75"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30"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75"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30"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475"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430"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condensed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2024 and December 31, 2023, CVR Energy had swap positions for crack spreads that offset to zero and 11 million barrels outstanding, respectively. As of June 30, 2024 and December 31, 2023, CVR Energy had less than 1 million barrels and no future contracts, respectively. As of June 30, 2024 and December 31, 2023, CVR Energy had forward contracts of less than 1 million barrels at each period. As of June 30, 2024, CVR Energy had open fixed-price commitments to purchase a net 12 million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fair value of our Energy segment’s derivatives and the effect of the collateral netting: </w:t>
      </w:r>
    </w:p>
    <w:tbl>
      <w:tblPr>
        <w:tblW w:w="10105" w:type="dxa"/>
        <w:jc w:val="left"/>
        <w:tblInd w:w="0" w:type="dxa"/>
        <w:tblLayout w:type="fixed"/>
        <w:tblCellMar>
          <w:top w:w="0" w:type="dxa"/>
          <w:left w:w="0" w:type="dxa"/>
          <w:bottom w:w="0" w:type="dxa"/>
          <w:right w:w="0" w:type="dxa"/>
        </w:tblCellMar>
      </w:tblPr>
      <w:tblGrid>
        <w:gridCol w:w="2626"/>
        <w:gridCol w:w="326"/>
        <w:gridCol w:w="510"/>
        <w:gridCol w:w="766"/>
        <w:gridCol w:w="360"/>
        <w:gridCol w:w="691"/>
        <w:gridCol w:w="1035"/>
        <w:gridCol w:w="326"/>
        <w:gridCol w:w="558"/>
        <w:gridCol w:w="718"/>
        <w:gridCol w:w="418"/>
        <w:gridCol w:w="564"/>
        <w:gridCol w:w="1207"/>
      </w:tblGrid>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26" w:type="dxa"/>
            <w:tcBorders/>
            <w:vAlign w:val="center"/>
          </w:tcPr>
          <w:p>
            <w:pPr>
              <w:pStyle w:val="TableContents"/>
              <w:bidi w:val="0"/>
              <w:spacing w:before="0" w:after="0"/>
              <w:ind w:left="0" w:right="0" w:hanging="0"/>
              <w:jc w:val="center"/>
              <w:rPr/>
            </w:pPr>
            <w:r>
              <w:rPr/>
              <w:t>​</w:t>
            </w:r>
          </w:p>
        </w:tc>
        <w:tc>
          <w:tcPr>
            <w:tcW w:w="3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60"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418"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01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0" w:type="dxa"/>
            <w:tcBorders/>
            <w:vAlign w:val="center"/>
          </w:tcPr>
          <w:p>
            <w:pPr>
              <w:pStyle w:val="TableContents"/>
              <w:bidi w:val="0"/>
              <w:spacing w:before="0" w:after="0"/>
              <w:ind w:left="0" w:right="0" w:hanging="0"/>
              <w:jc w:val="center"/>
              <w:rPr/>
            </w:pPr>
            <w:r>
              <w:rPr/>
              <w:t>​</w:t>
            </w:r>
          </w:p>
        </w:tc>
        <w:tc>
          <w:tcPr>
            <w:tcW w:w="6643"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0"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8"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0"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8"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0"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8" w:type="dxa"/>
            <w:tcBorders/>
            <w:shd w:fill="CCEEFF" w:val="clear"/>
            <w:vAlign w:val="center"/>
          </w:tcPr>
          <w:p>
            <w:pPr>
              <w:pStyle w:val="TableContents"/>
              <w:bidi w:val="0"/>
              <w:spacing w:before="0" w:after="0"/>
              <w:ind w:left="0" w:right="0" w:hanging="0"/>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derivatives primarily related to initial margin requirements of $5</w:t>
            </w:r>
            <w:r>
              <w:rPr>
                <w:caps w:val="false"/>
                <w:smallCaps w:val="false"/>
              </w:rPr>
              <w:t xml:space="preserve"> </w:t>
            </w:r>
            <w:r>
              <w:rPr>
                <w:rFonts w:ascii="Times New Roman;Times;serif" w:hAnsi="Times New Roman;Times;serif"/>
                <w:b w:val="false"/>
                <w:i w:val="false"/>
                <w:caps w:val="false"/>
                <w:smallCaps w:val="false"/>
                <w:sz w:val="16"/>
              </w:rPr>
              <w:t>million and $13</w:t>
            </w:r>
            <w:r>
              <w:rPr>
                <w:caps w:val="false"/>
                <w:smallCaps w:val="false"/>
              </w:rPr>
              <w:t xml:space="preserve"> </w:t>
            </w:r>
            <w:r>
              <w:rPr>
                <w:rFonts w:ascii="Times New Roman;Times;serif" w:hAnsi="Times New Roman;Times;serif"/>
                <w:b w:val="false"/>
                <w:i w:val="false"/>
                <w:caps w:val="false"/>
                <w:smallCaps w:val="false"/>
                <w:sz w:val="16"/>
              </w:rPr>
              <w:t>million at June 30, 2024 and December 31, 2023, respectively, which was not offset against derivatives liabilities, net in the condensed consolidated balance sheets.</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June 30, 2024, the aggregate fair value of derivative liabilities in our Energy segment’s derivative instruments with credit-risk-related contingent features was $2 million, for which no collateral has been posted.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Gains and (losses) recognized on derivatives for our Energy segment were $23 million and $(4) million for the three months ended June 30, 2024 and 2023, respectively, and $5 million and $41 million for the six months ended June 30, 2024 and 2023, respectively. Gains and losses recognized on derivatives for our Energy segment are included in cost of goods sold on the condensed consolidated statements of operations.</w:t>
      </w:r>
    </w:p>
    <w:p>
      <w:pPr>
        <w:pStyle w:val="TextBody"/>
        <w:bidi w:val="0"/>
        <w:spacing w:before="0" w:after="240"/>
        <w:ind w:left="0" w:right="0" w:hanging="0"/>
        <w:jc w:val="left"/>
        <w:rPr>
          <w:rFonts w:ascii="Times New Roman;Times;serif" w:hAnsi="Times New Roman;Times;serif"/>
          <w:b/>
          <w:sz w:val="20"/>
        </w:rPr>
      </w:pPr>
      <w:bookmarkStart w:id="927" w:name="Tc_wLgXahFuMk2RlBKLngpemA_11_2"/>
      <w:bookmarkStart w:id="928" w:name="Tc_UZVj8ni4PU2vvG5lBU6pRQ_11_0"/>
      <w:bookmarkStart w:id="929" w:name="Tc_x27dom1qhU2EgzhL3f1W9g_10_3"/>
      <w:bookmarkStart w:id="930" w:name="Tc_JQrqufKi2Uq-EfyULUri5A_10_0"/>
      <w:bookmarkStart w:id="931" w:name="Tc_kOgEK0I7PESS1ansqImLNA_9_3"/>
      <w:bookmarkStart w:id="932" w:name="Tc_rcqETRWCYE6RI-fxMdTbOQ_9_0"/>
      <w:bookmarkStart w:id="933" w:name="Tc_3BJ5NhBSR0WohZa7v8hedw_8_2"/>
      <w:bookmarkStart w:id="934" w:name="Tc_nNlRf1-HqE2gnYWkmFAlMA_8_0"/>
      <w:bookmarkStart w:id="935" w:name="Tc_TxamxYhjXU2KZUj8WAvD8A_7_0"/>
      <w:bookmarkStart w:id="936" w:name="Tc_ikJMMx-tM0e-9_D1yyPi6Q_5_2"/>
      <w:bookmarkStart w:id="937" w:name="Tc_8GcA9z-omESTo0QzxYvNlw_5_0"/>
      <w:bookmarkStart w:id="938" w:name="Tc_zQxNo5isakG1iQj92nPJ3w_4_0"/>
      <w:bookmarkStart w:id="939" w:name="Tc_29ZOlUISdUu-0Gtvv3aphQ_3_2"/>
      <w:bookmarkStart w:id="940" w:name="Tc_E-Ddl1LkUUG3dFvjU-_-5Q_3_0"/>
      <w:bookmarkStart w:id="941" w:name="Tc_Frx4LTuUAE6SZHGZfFyIHw_1_2"/>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b/>
          <w:sz w:val="20"/>
        </w:rPr>
        <w:t>8.  Related Party Notes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Related party notes receivable and its related allowance for expected credit losses consists of the following:</w:t>
      </w:r>
    </w:p>
    <w:p>
      <w:pPr>
        <w:pStyle w:val="TextBody"/>
        <w:bidi w:val="0"/>
        <w:spacing w:before="0" w:after="0"/>
        <w:ind w:left="0" w:right="0" w:hanging="0"/>
        <w:jc w:val="left"/>
        <w:rPr/>
      </w:pPr>
      <w:r>
        <w:rPr/>
        <w:t>​</w:t>
      </w:r>
    </w:p>
    <w:tbl>
      <w:tblPr>
        <w:tblW w:w="5165" w:type="dxa"/>
        <w:jc w:val="left"/>
        <w:tblInd w:w="0" w:type="dxa"/>
        <w:tblLayout w:type="fixed"/>
        <w:tblCellMar>
          <w:top w:w="0" w:type="dxa"/>
          <w:left w:w="0" w:type="dxa"/>
          <w:bottom w:w="0" w:type="dxa"/>
          <w:right w:w="0" w:type="dxa"/>
        </w:tblCellMar>
      </w:tblPr>
      <w:tblGrid>
        <w:gridCol w:w="3736"/>
        <w:gridCol w:w="109"/>
        <w:gridCol w:w="441"/>
        <w:gridCol w:w="879"/>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72360" cy="175260"/>
                      <wp:effectExtent l="0" t="0" r="0" b="0"/>
                      <wp:wrapNone/>
                      <wp:docPr id="142" name="Frame14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80035" cy="175260"/>
                      <wp:effectExtent l="0" t="0" r="0" b="0"/>
                      <wp:wrapNone/>
                      <wp:docPr id="144" name="Frame144"/>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58165" cy="175260"/>
                      <wp:effectExtent l="0" t="0" r="0" b="0"/>
                      <wp:wrapNone/>
                      <wp:docPr id="145" name="Frame14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441" w:type="dxa"/>
            <w:tcBorders/>
            <w:vAlign w:val="center"/>
          </w:tcPr>
          <w:p>
            <w:pPr>
              <w:pStyle w:val="TableContents"/>
              <w:bidi w:val="0"/>
              <w:spacing w:before="0" w:after="1"/>
              <w:ind w:left="0" w:right="0" w:hanging="0"/>
              <w:jc w:val="center"/>
              <w:rPr/>
            </w:pPr>
            <w:r>
              <w:rPr/>
              <w:t>​</w:t>
            </w:r>
          </w:p>
        </w:tc>
        <w:tc>
          <w:tcPr>
            <w:tcW w:w="879"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Related party notes receivable, gross </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109" w:type="dxa"/>
            <w:tcBorders/>
            <w:vAlign w:val="center"/>
          </w:tcPr>
          <w:p>
            <w:pPr>
              <w:pStyle w:val="TableContents"/>
              <w:bidi w:val="0"/>
              <w:spacing w:before="0" w:after="1"/>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 as of December 31, 2023</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loss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vAlign w:val="center"/>
          </w:tcPr>
          <w:p>
            <w:pPr>
              <w:pStyle w:val="TableContents"/>
              <w:bidi w:val="0"/>
              <w:spacing w:before="0" w:after="1"/>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 as of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
        </w:rPr>
      </w:pPr>
      <w:r>
        <w:rPr>
          <w:rFonts w:ascii="Times New Roman;Times;serif" w:hAnsi="Times New Roman;Times;serif"/>
          <w:sz w:val="20"/>
        </w:rPr>
        <w:t>There were no</w:t>
      </w:r>
      <w:r>
        <w:rPr>
          <w:rFonts w:ascii="Times New Roman;Times;serif" w:hAnsi="Times New Roman;Times;serif"/>
          <w:sz w:val="2"/>
        </w:rPr>
        <w:t xml:space="preserve"> </w:t>
      </w:r>
      <w:r>
        <w:rPr>
          <w:rFonts w:ascii="Times New Roman;Times;serif" w:hAnsi="Times New Roman;Times;serif"/>
          <w:sz w:val="20"/>
        </w:rPr>
        <w:t>write-offs associated with related party notes receivable for the six months ended June 30, 2024, and write-offs of $116</w:t>
      </w:r>
      <w:r>
        <w:rPr>
          <w:rFonts w:ascii="Times New Roman;Times;serif" w:hAnsi="Times New Roman;Times;serif"/>
          <w:sz w:val="2"/>
        </w:rPr>
        <w:t xml:space="preserve"> </w:t>
      </w:r>
      <w:r>
        <w:rPr>
          <w:rFonts w:ascii="Times New Roman;Times;serif" w:hAnsi="Times New Roman;Times;serif"/>
          <w:sz w:val="20"/>
        </w:rPr>
        <w:t>million for the six months ended June 30, 2023. See Note 6, “Fair Value Measurements,” for additional information related to the fair value of the related party notes receivable.</w:t>
      </w:r>
      <w:r>
        <w:rPr>
          <w:rFonts w:ascii="Times New Roman;Times;serif" w:hAnsi="Times New Roman;Times;serif"/>
          <w:sz w:val="2"/>
        </w:rPr>
        <w:t xml:space="preserve"> </w:t>
      </w:r>
    </w:p>
    <w:p>
      <w:pPr>
        <w:pStyle w:val="TextBody"/>
        <w:bidi w:val="0"/>
        <w:spacing w:before="0" w:after="240"/>
        <w:ind w:left="0" w:right="0" w:hanging="0"/>
        <w:jc w:val="left"/>
        <w:rPr>
          <w:rFonts w:ascii="Times New Roman;Times;serif" w:hAnsi="Times New Roman;Times;serif"/>
          <w:b/>
          <w:sz w:val="20"/>
        </w:rPr>
      </w:pPr>
      <w:bookmarkStart w:id="942" w:name="Tc_M-V4rPpTXkeqoxuPywl1EA_7_5"/>
      <w:bookmarkStart w:id="943" w:name="Tc_hk5_DAyclEWXNtOnyR7ScQ_7_2"/>
      <w:bookmarkStart w:id="944" w:name="Tc_NBOW1GGs50S01Xo0WL3IzA_6_0"/>
      <w:bookmarkStart w:id="945" w:name="Tc_kCCDrVEAjkiyMUdZk8zkUQ_5_0"/>
      <w:bookmarkStart w:id="946" w:name="Tc_sE7rRfBtqk-K3srimXg86g_4_5"/>
      <w:bookmarkStart w:id="947" w:name="Tc_gynj0iEOu0mEaQBV4QIGBw_4_2"/>
      <w:bookmarkStart w:id="948" w:name="Tc_fw5-7ufdz0OPodXt6Gyxew_4_0"/>
      <w:bookmarkStart w:id="949" w:name="Tc_-tWAMwo_PUiUfEaxvlk5DQ_3_2"/>
      <w:bookmarkStart w:id="950" w:name="Tc_V5KaNhijWESugRIzOPpr5w_2_5"/>
      <w:bookmarkStart w:id="951" w:name="Tc_rwDLj6I2tUG3g169kMoXsw_2_2"/>
      <w:bookmarkStart w:id="952" w:name="Tc_74cB5Px76kietRMmps0YOg_1_5"/>
      <w:bookmarkStart w:id="953" w:name="Tc_ylasbXLX7EeM7d4SLaEzNA_1_2"/>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sz w:val="20"/>
        </w:rPr>
        <w:t>9.  Inventories,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240"/>
        <w:ind w:left="0" w:right="0" w:firstLine="360"/>
        <w:jc w:val="left"/>
        <w:rPr/>
      </w:pPr>
      <w:r>
        <w:rPr/>
        <w:t>​</w:t>
      </w:r>
    </w:p>
    <w:tbl>
      <w:tblPr>
        <w:tblW w:w="4283" w:type="dxa"/>
        <w:jc w:val="left"/>
        <w:tblInd w:w="0" w:type="dxa"/>
        <w:tblLayout w:type="fixed"/>
        <w:tblCellMar>
          <w:top w:w="0" w:type="dxa"/>
          <w:left w:w="0" w:type="dxa"/>
          <w:bottom w:w="0" w:type="dxa"/>
          <w:right w:w="0" w:type="dxa"/>
        </w:tblCellMar>
      </w:tblPr>
      <w:tblGrid>
        <w:gridCol w:w="1426"/>
        <w:gridCol w:w="326"/>
        <w:gridCol w:w="284"/>
        <w:gridCol w:w="571"/>
        <w:gridCol w:w="326"/>
        <w:gridCol w:w="320"/>
        <w:gridCol w:w="1030"/>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05510" cy="175260"/>
                      <wp:effectExtent l="0" t="0" r="0" b="0"/>
                      <wp:wrapNone/>
                      <wp:docPr id="146" name="Frame146"/>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0340" cy="175260"/>
                      <wp:effectExtent l="0" t="0" r="0" b="0"/>
                      <wp:wrapNone/>
                      <wp:docPr id="148" name="Frame14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49" name="Frame1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3200" cy="175260"/>
                      <wp:effectExtent l="0" t="0" r="0" b="0"/>
                      <wp:wrapNone/>
                      <wp:docPr id="151" name="Frame15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54050" cy="175260"/>
                      <wp:effectExtent l="0" t="0" r="0" b="0"/>
                      <wp:wrapNone/>
                      <wp:docPr id="152" name="Frame152"/>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2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4" w:name="Tc_J8ZEaVx2VU2kBDBP4wPZPQ_13_17"/>
      <w:bookmarkStart w:id="955" w:name="Tc_IabF0XDq0EeOXj1bNvThLw_13_8"/>
      <w:bookmarkStart w:id="956" w:name="Tc_gDZpwJGtg0WUUFyMwJV9MA_13_0"/>
      <w:bookmarkStart w:id="957" w:name="Tc_0gD1AvKf9Eam9Owqn2UeCQ_12_17"/>
      <w:bookmarkStart w:id="958" w:name="Tc_MQNmlw9z3ke4hn9Rk9gySw_12_8"/>
      <w:bookmarkStart w:id="959" w:name="Tc_Ew__rhsH-0qOqbPNLstxNQ_12_0"/>
      <w:bookmarkStart w:id="960" w:name="Tc_5iMcRbjlPEGmw-mc58XZkA_10_17"/>
      <w:bookmarkStart w:id="961" w:name="Tc_qtmX-9AMFE-KRKBRQVzvEQ_10_14"/>
      <w:bookmarkStart w:id="962" w:name="Tc_hQO2sLwj5EyqnV8OfV2xqQ_10_11"/>
      <w:bookmarkStart w:id="963" w:name="Tc_Cf-7mdweMky1avOfwWg6OQ_10_8"/>
      <w:bookmarkStart w:id="964" w:name="Tc_aoz2Kv8OgUWDoGpNSXembg_10_5"/>
      <w:bookmarkStart w:id="965" w:name="Tc_i8Imd1n-7EG7JZ7_117qkQ_10_2"/>
      <w:bookmarkStart w:id="966" w:name="Tc_yoHT0KPIWkOsUnabYeicPg_9_0"/>
      <w:bookmarkStart w:id="967" w:name="Tc_SeneuuO3X0KF0eStjJB9MQ_8_0"/>
      <w:bookmarkStart w:id="968" w:name="Tc_h9HzNdfZ20u6k6BDJv433Q_7_17"/>
      <w:bookmarkStart w:id="969" w:name="Tc_8faqrQ04Pkq8GrnwPA_drQ_7_14"/>
      <w:bookmarkStart w:id="970" w:name="Tc_gJla_VtSzUu6XPykD_HVqA_7_11"/>
      <w:bookmarkStart w:id="971" w:name="Tc_FI-MvMqk60-yojSLt-CyPw_7_8"/>
      <w:bookmarkStart w:id="972" w:name="Tc_Q6K1fVJSoEahKs4eTAvCfg_7_5"/>
      <w:bookmarkStart w:id="973" w:name="Tc_vWtdCg2vTUaPVZCBMp9erQ_7_2"/>
      <w:bookmarkStart w:id="974" w:name="Tc_tnZ7i4x7UEOBq1diqq0hXg_7_0"/>
      <w:bookmarkStart w:id="975" w:name="Tc_ruE0BgfbHkyJqNy8pP4yWw_6_0"/>
      <w:bookmarkStart w:id="976" w:name="Tc_k5OiCTDmmkOKcze7iFYQSQ_5_2"/>
      <w:bookmarkStart w:id="977" w:name="Tc_adAM_VYYxkifPPVL4HF8rg_4_17"/>
      <w:bookmarkStart w:id="978" w:name="Tc_Ma3Fs2nx3EKtDe1BWYzjYg_4_14"/>
      <w:bookmarkStart w:id="979" w:name="Tc_nmbZCUeATU20N9P0YKjLnA_4_11"/>
      <w:bookmarkStart w:id="980" w:name="Tc_72DL7PbP80qkRGfP0yVcBQ_4_8"/>
      <w:bookmarkStart w:id="981" w:name="Tc_frB1mv41LEa64A5CXwjzQg_4_5"/>
      <w:bookmarkStart w:id="982" w:name="Tc_JMDKjc3vNE-4IQyE1jUjVA_4_2"/>
      <w:bookmarkStart w:id="983" w:name="Tc_w14tarp1n02oN4b0inXg9w_3_17"/>
      <w:bookmarkStart w:id="984" w:name="Tc_1DzUJDDzNEe4yqcOs2Pvsg_3_14"/>
      <w:bookmarkStart w:id="985" w:name="Tc_t9TmNF2bqUq-OlzrgByJkQ_3_11"/>
      <w:bookmarkStart w:id="986" w:name="Tc_KnryPqqXMU-4nJMCtYFGKg_3_8"/>
      <w:bookmarkStart w:id="987" w:name="Tc_XBHvgqmCtEiLXiYfwlwBAQ_3_5"/>
      <w:bookmarkStart w:id="988" w:name="Tc_JhRsT7Es-kq--yVxwKMmYw_3_2"/>
      <w:bookmarkStart w:id="989" w:name="Tc_NBTwZWT9G06zWTy7mtngMw_2_17"/>
      <w:bookmarkStart w:id="990" w:name="Tc_kx4Xwcwp_Ummw_LF-2e9fw_2_11"/>
      <w:bookmarkStart w:id="991" w:name="Tc_IeVHb4yHTEq2XUxtomwoIg_2_8"/>
      <w:bookmarkStart w:id="992" w:name="Tc_JdLnWS6f_kCFzQMRWeabbg_2_2"/>
      <w:bookmarkStart w:id="993" w:name="Tc_Pp08pUnnaEmvOLz_c8V8uQ_1_11"/>
      <w:bookmarkStart w:id="994" w:name="Tc_Fp6o1AbfuUS91SQ78wx4vA_1_2"/>
      <w:bookmarkStart w:id="995" w:name="Tc_whSIunC7qUefD0aoLb-jQQ_10_17"/>
      <w:bookmarkStart w:id="996" w:name="Tc_m41GgoB-bkyhWp02pbfhRg_10_14"/>
      <w:bookmarkStart w:id="997" w:name="Tc_HTbWjPaAmUaZTDpx6sRJPg_10_11"/>
      <w:bookmarkStart w:id="998" w:name="Tc_z4jXKf6fBk-2kceAgjK6rg_10_8"/>
      <w:bookmarkStart w:id="999" w:name="Tc_-BJQmsAohEqH1w3B9HFiiA_10_5"/>
      <w:bookmarkStart w:id="1000" w:name="Tc_ATVK4QR7dUGPvLW6NoStXA_10_2"/>
      <w:bookmarkStart w:id="1001" w:name="Tc_wsjFWJFMx06cHxeryu3gOA_9_15"/>
      <w:bookmarkStart w:id="1002" w:name="Tc_bawfW8WQCkily2KV8iOegA_9_6"/>
      <w:bookmarkStart w:id="1003" w:name="Tc_NwRfFuZnA0CypoX4EDzmCQ_9_0"/>
      <w:bookmarkStart w:id="1004" w:name="Tc_x7PuzFTi0EaTr0_na92TCw_8_0"/>
      <w:bookmarkStart w:id="1005" w:name="Tc_cNZiIVgP5UKwTbd6pwplEQ_7_15"/>
      <w:bookmarkStart w:id="1006" w:name="Tc_FT32yfaTC0e32ChD7OVNnA_7_6"/>
      <w:bookmarkStart w:id="1007" w:name="Tc_qN_VYuEMUkW_rzMUcW4apg_7_0"/>
      <w:bookmarkStart w:id="1008" w:name="Tc_WvTBWtewY062VWWj88Ld0w_6_17"/>
      <w:bookmarkStart w:id="1009" w:name="Tc_WVaxIeKgm0yrfagYTM7XiA_6_14"/>
      <w:bookmarkStart w:id="1010" w:name="Tc_FgPCRCjSUkapaH8iZ6Bn2A_6_11"/>
      <w:bookmarkStart w:id="1011" w:name="Tc_qcn70Ojin0q4DKuF1lMfMg_6_8"/>
      <w:bookmarkStart w:id="1012" w:name="Tc_18INDEU-eki_iveehCEqdA_6_5"/>
      <w:bookmarkStart w:id="1013" w:name="Tc_I6nf_ulhU0S-XuZ28UBSBQ_6_2"/>
      <w:bookmarkStart w:id="1014" w:name="Tc_3HMlNlFTUUaHuw7E80pk-Q_6_0"/>
      <w:bookmarkStart w:id="1015" w:name="Tc_sT7YsWbzOUCwbtCM0iLTEA_5_2"/>
      <w:bookmarkStart w:id="1016" w:name="Tc_a5mi6xNoNU6ig5zV96X09A_4_17"/>
      <w:bookmarkStart w:id="1017" w:name="Tc_BmwxDJZ4kEWhnzRxso3gig_4_14"/>
      <w:bookmarkStart w:id="1018" w:name="Tc_OAu8PDDfeUGedY5_MMYQLg_4_11"/>
      <w:bookmarkStart w:id="1019" w:name="Tc_dwPNW3CBukyXmrs1GNQZUg_4_8"/>
      <w:bookmarkStart w:id="1020" w:name="Tc_E2BSAQrUrUGEC-iVlVkSmQ_4_5"/>
      <w:bookmarkStart w:id="1021" w:name="Tc_2oGowyxMFUSsOambqgZgog_4_2"/>
      <w:bookmarkStart w:id="1022" w:name="Tc_675W3HCegUiXB09_orC4FA_3_17"/>
      <w:bookmarkStart w:id="1023" w:name="Tc_bxRSHtvROkW2e0EiZjx5gw_3_14"/>
      <w:bookmarkStart w:id="1024" w:name="Tc_z_g4c1FfYEia5vBgtKZtog_3_11"/>
      <w:bookmarkStart w:id="1025" w:name="Tc_F2L3enQgaUyC2JlgZegiyA_3_8"/>
      <w:bookmarkStart w:id="1026" w:name="Tc_LOGm9TvU7E2AxJcmJEC4sw_3_5"/>
      <w:bookmarkStart w:id="1027" w:name="Tc_5mQRu_fBDUeV5tSw0Pec6Q_3_2"/>
      <w:bookmarkStart w:id="1028" w:name="Tc_cq551ORMxUiL4wUinm7Dug_2_17"/>
      <w:bookmarkStart w:id="1029" w:name="Tc_wPO_5Wf-iEmxVrOA_Mhe_Q_2_11"/>
      <w:bookmarkStart w:id="1030" w:name="Tc_-C3zRjuOjE-NIy4FnTmegQ_2_8"/>
      <w:bookmarkStart w:id="1031" w:name="Tc_Hajrp1Kn1UOBzI0f68bvow_2_2"/>
      <w:bookmarkStart w:id="1032" w:name="Tc_cXhFqRsmj0inzNxYbyijCg_1_11"/>
      <w:bookmarkStart w:id="1033" w:name="Tc_lnB3QN3UkEeFnBoQml2FJg_1_2"/>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b/>
          <w:sz w:val="20"/>
        </w:rPr>
        <w:t>10.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9522" w:type="dxa"/>
        <w:jc w:val="left"/>
        <w:tblInd w:w="0" w:type="dxa"/>
        <w:tblLayout w:type="fixed"/>
        <w:tblCellMar>
          <w:top w:w="0" w:type="dxa"/>
          <w:left w:w="0" w:type="dxa"/>
          <w:bottom w:w="0" w:type="dxa"/>
          <w:right w:w="0" w:type="dxa"/>
        </w:tblCellMar>
      </w:tblPr>
      <w:tblGrid>
        <w:gridCol w:w="1441"/>
        <w:gridCol w:w="326"/>
        <w:gridCol w:w="314"/>
        <w:gridCol w:w="631"/>
        <w:gridCol w:w="326"/>
        <w:gridCol w:w="437"/>
        <w:gridCol w:w="779"/>
        <w:gridCol w:w="326"/>
        <w:gridCol w:w="300"/>
        <w:gridCol w:w="601"/>
        <w:gridCol w:w="326"/>
        <w:gridCol w:w="300"/>
        <w:gridCol w:w="601"/>
        <w:gridCol w:w="326"/>
        <w:gridCol w:w="437"/>
        <w:gridCol w:w="779"/>
        <w:gridCol w:w="326"/>
        <w:gridCol w:w="270"/>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15035" cy="175260"/>
                      <wp:effectExtent l="0" t="0" r="0" b="0"/>
                      <wp:wrapNone/>
                      <wp:docPr id="153" name="Frame15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9390" cy="175260"/>
                      <wp:effectExtent l="0" t="0" r="0" b="0"/>
                      <wp:wrapNone/>
                      <wp:docPr id="155" name="Frame15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00685" cy="175260"/>
                      <wp:effectExtent l="0" t="0" r="0" b="0"/>
                      <wp:wrapNone/>
                      <wp:docPr id="156" name="Frame15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77495" cy="175260"/>
                      <wp:effectExtent l="0" t="0" r="0" b="0"/>
                      <wp:wrapNone/>
                      <wp:docPr id="158" name="Frame158"/>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4665" cy="175260"/>
                      <wp:effectExtent l="0" t="0" r="0" b="0"/>
                      <wp:wrapNone/>
                      <wp:docPr id="159" name="Frame15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0500" cy="175260"/>
                      <wp:effectExtent l="0" t="0" r="0" b="0"/>
                      <wp:wrapNone/>
                      <wp:docPr id="161" name="Frame16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81635" cy="175260"/>
                      <wp:effectExtent l="0" t="0" r="0" b="0"/>
                      <wp:wrapNone/>
                      <wp:docPr id="162" name="Frame1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0500" cy="175260"/>
                      <wp:effectExtent l="0" t="0" r="0" b="0"/>
                      <wp:wrapNone/>
                      <wp:docPr id="164" name="Frame16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81635" cy="175260"/>
                      <wp:effectExtent l="0" t="0" r="0" b="0"/>
                      <wp:wrapNone/>
                      <wp:docPr id="165" name="Frame1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77495" cy="175260"/>
                      <wp:effectExtent l="0" t="0" r="0" b="0"/>
                      <wp:wrapNone/>
                      <wp:docPr id="167" name="Frame167"/>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4665" cy="175260"/>
                      <wp:effectExtent l="0" t="0" r="0" b="0"/>
                      <wp:wrapNone/>
                      <wp:docPr id="168" name="Frame168"/>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71450" cy="175260"/>
                      <wp:effectExtent l="0" t="0" r="0" b="0"/>
                      <wp:wrapNone/>
                      <wp:docPr id="170" name="Frame17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left"/>
              <w:rPr/>
            </w:pPr>
            <w:r>
              <w:rPr/>
              <w:t>​</w:t>
            </w:r>
          </w:p>
        </w:tc>
        <w:tc>
          <w:tcPr>
            <w:tcW w:w="37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52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5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Automotive</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Food Packaging</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Pharma</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6"/>
        <w:gridCol w:w="326"/>
        <w:gridCol w:w="306"/>
        <w:gridCol w:w="615"/>
        <w:gridCol w:w="326"/>
        <w:gridCol w:w="379"/>
        <w:gridCol w:w="867"/>
        <w:gridCol w:w="326"/>
        <w:gridCol w:w="300"/>
        <w:gridCol w:w="601"/>
        <w:gridCol w:w="326"/>
        <w:gridCol w:w="300"/>
        <w:gridCol w:w="601"/>
        <w:gridCol w:w="326"/>
        <w:gridCol w:w="379"/>
        <w:gridCol w:w="867"/>
        <w:gridCol w:w="326"/>
        <w:gridCol w:w="270"/>
        <w:gridCol w:w="67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24610" cy="175260"/>
                      <wp:effectExtent l="0" t="0" r="0" b="0"/>
                      <wp:wrapNone/>
                      <wp:docPr id="172" name="Frame17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4310" cy="175260"/>
                      <wp:effectExtent l="0" t="0" r="0" b="0"/>
                      <wp:wrapNone/>
                      <wp:docPr id="174" name="Frame17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90525" cy="175260"/>
                      <wp:effectExtent l="0" t="0" r="0" b="0"/>
                      <wp:wrapNone/>
                      <wp:docPr id="175" name="Frame17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0665" cy="175260"/>
                      <wp:effectExtent l="0" t="0" r="0" b="0"/>
                      <wp:wrapNone/>
                      <wp:docPr id="177" name="Frame17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50545" cy="175260"/>
                      <wp:effectExtent l="0" t="0" r="0" b="0"/>
                      <wp:wrapNone/>
                      <wp:docPr id="178" name="Frame178"/>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0500" cy="175260"/>
                      <wp:effectExtent l="0" t="0" r="0" b="0"/>
                      <wp:wrapNone/>
                      <wp:docPr id="180" name="Frame18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81635" cy="175260"/>
                      <wp:effectExtent l="0" t="0" r="0" b="0"/>
                      <wp:wrapNone/>
                      <wp:docPr id="181" name="Frame18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90500" cy="175260"/>
                      <wp:effectExtent l="0" t="0" r="0" b="0"/>
                      <wp:wrapNone/>
                      <wp:docPr id="183" name="Frame18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81635" cy="175260"/>
                      <wp:effectExtent l="0" t="0" r="0" b="0"/>
                      <wp:wrapNone/>
                      <wp:docPr id="184"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0665" cy="175260"/>
                      <wp:effectExtent l="0" t="0" r="0" b="0"/>
                      <wp:wrapNone/>
                      <wp:docPr id="186" name="Frame18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50545" cy="175260"/>
                      <wp:effectExtent l="0" t="0" r="0" b="0"/>
                      <wp:wrapNone/>
                      <wp:docPr id="187" name="Frame18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1450" cy="175260"/>
                      <wp:effectExtent l="0" t="0" r="0" b="0"/>
                      <wp:wrapNone/>
                      <wp:docPr id="189" name="Frame18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0530" cy="175260"/>
                      <wp:effectExtent l="0" t="0" r="0" b="0"/>
                      <wp:wrapNone/>
                      <wp:docPr id="190" name="Frame190"/>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left"/>
              <w:rPr/>
            </w:pPr>
            <w:r>
              <w:rPr/>
              <w:t>​</w:t>
            </w:r>
          </w:p>
        </w:tc>
        <w:tc>
          <w:tcPr>
            <w:tcW w:w="37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93"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associated with definite-lived intangible assets was $15 million and $14 million for the three months ended June 30, 2024 and 2023, respectively, and $29 million and $29 million for the six months ended June 30,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utilize the straight-line method of amortization, recognized over the estimated useful lives of the assets.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34" w:name="Tc_OdnqRBOG90ynjgTlclNWIg_8_5"/>
      <w:bookmarkStart w:id="1035" w:name="Tc_d4-0vuicZ0Cd7Zd1dV4ydw_8_2"/>
      <w:bookmarkStart w:id="1036" w:name="Tc_wpPHr7vDjECr5CjUGKIBDA_7_0"/>
      <w:bookmarkStart w:id="1037" w:name="Tc_tDvXzVKX3UGR7lyQEdXh5g_6_8"/>
      <w:bookmarkStart w:id="1038" w:name="Tc_biUrMXRygkas1q_5A81TuA_6_0"/>
      <w:bookmarkStart w:id="1039" w:name="Tc_BLF8s6HsU0uuZLxK5AtGzg_5_8"/>
      <w:bookmarkStart w:id="1040" w:name="Tc_ziy0Z2QvgEGT3VINbgZ0QA_5_0"/>
      <w:bookmarkStart w:id="1041" w:name="Tc_-5P1r1woJ0a8ow1uGIegKg_4_8"/>
      <w:bookmarkStart w:id="1042" w:name="Tc_1xyJ32cYYECYDdExeDRJGQ_4_5"/>
      <w:bookmarkStart w:id="1043" w:name="Tc_thmcRKwIL0aWS4pyH-RLxA_4_2"/>
      <w:bookmarkStart w:id="1044" w:name="Tc_yzCxMoPA-kqXeVMVLRzjCA_4_0"/>
      <w:bookmarkStart w:id="1045" w:name="Tc_fIH3lw3CC06e2zs4tRZOjw_3_2"/>
      <w:bookmarkStart w:id="1046" w:name="Tc_nzM0yfmGlkWPSdo6clkz9w_2_10"/>
      <w:bookmarkStart w:id="1047" w:name="Tc_OK5RJoea7EWeoTKCfpcjCg_2_8"/>
      <w:bookmarkStart w:id="1048" w:name="Tc_kc0vL3efnEaMZs6bapsqXA_2_5"/>
      <w:bookmarkStart w:id="1049" w:name="Tc_VcVHnMFobkOjqodxqOGo2Q_2_2"/>
      <w:bookmarkStart w:id="1050" w:name="Tc_A1THOGUvh0GEQ1dpj0I9kw_2_0"/>
      <w:bookmarkStart w:id="1051" w:name="Tc_DjxfGQHmtUytnOrdIx8iYw_1_10"/>
      <w:bookmarkStart w:id="1052" w:name="Tc_z5Fjh2AecECaAIgHbeDZ5g_1_5"/>
      <w:bookmarkStart w:id="1053" w:name="Tc_-1qfwohhYkCIOV9_Xi8LzA_1_2"/>
      <w:bookmarkStart w:id="1054" w:name="_7a05827d_c990_4c54_b21c_3fff58b575f8"/>
      <w:bookmarkStart w:id="1055" w:name="Tc_oaxzr_4ncEOl12zIYvgAnA_8_5"/>
      <w:bookmarkStart w:id="1056" w:name="Tc_CqJvqwDKL0O5lHp0Fj_HdQ_8_2"/>
      <w:bookmarkStart w:id="1057" w:name="Tc_G3Cb-GwtEUSyOycn0m35_w_7_0"/>
      <w:bookmarkStart w:id="1058" w:name="Tc_48lvXvSbSU-_q1U3zv-7Cw_6_8"/>
      <w:bookmarkStart w:id="1059" w:name="Tc_p8Y5FIQxG0Cii1LlEJh6mg_6_0"/>
      <w:bookmarkStart w:id="1060" w:name="Tc_djNbeJMJ10ym0rTvV4WX2Q_5_8"/>
      <w:bookmarkStart w:id="1061" w:name="Tc_BjEqxLxJf0mNxpLXl6TRyA_5_0"/>
      <w:bookmarkStart w:id="1062" w:name="Tc_xuhJOFeeyEG_ssbH5kXIGw_4_8"/>
      <w:bookmarkStart w:id="1063" w:name="Tc_MRG5odfn7kmVMY4OU_UGXg_4_5"/>
      <w:bookmarkStart w:id="1064" w:name="Tc_B4sEdp_WaUSny5OGNtVw2Q_4_2"/>
      <w:bookmarkStart w:id="1065" w:name="Tc_E1x6wJOCl0ixIPDHqMtMlw_4_0"/>
      <w:bookmarkStart w:id="1066" w:name="Tc_LX9r6VNJMkqq4zIsmfDyfg_3_2"/>
      <w:bookmarkStart w:id="1067" w:name="Tc_hotHVcQY2keJnM7WnGUUOg_2_10"/>
      <w:bookmarkStart w:id="1068" w:name="Tc_Vk1KlkjmG0K6CUXN1b5XEg_2_8"/>
      <w:bookmarkStart w:id="1069" w:name="Tc_22XyCAEmBUimVBB-fhGidw_2_5"/>
      <w:bookmarkStart w:id="1070" w:name="Tc_5CN-Tvlh4EOgjpNg1JBdxA_2_2"/>
      <w:bookmarkStart w:id="1071" w:name="Tc_aq5WWmFF-UuSBkaPgFIWhA_2_0"/>
      <w:bookmarkStart w:id="1072" w:name="Tc_ZDs9vPpod0a_IPHjSbTEvQ_1_10"/>
      <w:bookmarkStart w:id="1073" w:name="Tc_SN6BXD55gUqJhtYXNETQ-g_1_5"/>
      <w:bookmarkStart w:id="1074" w:name="Tc_dTf_VHS19kG39guAwqLC6Q_1_2"/>
      <w:bookmarkStart w:id="1075" w:name="_f9f3067d_6509_40d1_a7f8_3af7adcb5e00"/>
      <w:bookmarkStart w:id="1076" w:name="Tc_CRazy6iis0m7FNPhvrJnug_8_0"/>
      <w:bookmarkStart w:id="1077" w:name="Tc_Xa_720ocnEioynQizh5PDw_5_5"/>
      <w:bookmarkStart w:id="1078" w:name="Tc_LwFMDbzfvk2f2BJq5ZkjEA_5_2"/>
      <w:bookmarkStart w:id="1079" w:name="Tc_HUQxY1joH0mD8qOPlMQ_Xw_4_0"/>
      <w:bookmarkStart w:id="1080" w:name="Tc_P6maVvwnB0GAfAHRjXUkhA_3_2"/>
      <w:bookmarkStart w:id="1081" w:name="Tc_FICWuzvbrEyzArJ1QFIqEQ_2_5"/>
      <w:bookmarkStart w:id="1082" w:name="Tc_24Ap_DJ0PU-B5NT_4OcfBw_2_2"/>
      <w:bookmarkStart w:id="1083" w:name="Tc_c29o89SQlku79yAhrJPotA_1_5"/>
      <w:bookmarkStart w:id="1084" w:name="Tc_Eg_WviER9Um6SQjCLkBEoA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rFonts w:ascii="Times New Roman;Times;serif" w:hAnsi="Times New Roman;Times;serif"/>
          <w:sz w:val="20"/>
        </w:rPr>
        <w:t>Right-of-use assets and lease liabilities are as follows:</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4621"/>
        <w:gridCol w:w="326"/>
        <w:gridCol w:w="284"/>
        <w:gridCol w:w="571"/>
        <w:gridCol w:w="326"/>
        <w:gridCol w:w="421"/>
        <w:gridCol w:w="929"/>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934335" cy="175260"/>
                      <wp:effectExtent l="0" t="0" r="0" b="0"/>
                      <wp:wrapNone/>
                      <wp:docPr id="191" name="Frame191"/>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0340" cy="175260"/>
                      <wp:effectExtent l="0" t="0" r="0" b="0"/>
                      <wp:wrapNone/>
                      <wp:docPr id="193" name="Frame19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2585" cy="175260"/>
                      <wp:effectExtent l="0" t="0" r="0" b="0"/>
                      <wp:wrapNone/>
                      <wp:docPr id="194" name="Frame1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7335" cy="175260"/>
                      <wp:effectExtent l="0" t="0" r="0" b="0"/>
                      <wp:wrapNone/>
                      <wp:docPr id="196" name="Frame1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89915" cy="175260"/>
                      <wp:effectExtent l="0" t="0" r="0" b="0"/>
                      <wp:wrapNone/>
                      <wp:docPr id="197" name="Frame197"/>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June 30, </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December 31, </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2024</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2023</w:t>
            </w:r>
          </w:p>
        </w:tc>
      </w:tr>
      <w:tr>
        <w:trPr/>
        <w:tc>
          <w:tcPr>
            <w:tcW w:w="747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w:hAnsi="Times"/>
                <w:sz w:val="16"/>
              </w:rPr>
            </w:pPr>
            <w:r>
              <w:rPr>
                <w:rFonts w:ascii="Times" w:hAnsi="Times"/>
                <w:sz w:val="16"/>
              </w:rPr>
              <w:t>(in millions)</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information with respect to our operating leases as of June 30, 2024 and December 31, 2023 is presented below. The lease terms and discount rates for our Energy, Automotive and Food Packaging segments represent weighted averages based on their respective lease liability balances.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99" w:type="dxa"/>
        <w:jc w:val="left"/>
        <w:tblInd w:w="0" w:type="dxa"/>
        <w:tblLayout w:type="fixed"/>
        <w:tblCellMar>
          <w:top w:w="0" w:type="dxa"/>
          <w:left w:w="0" w:type="dxa"/>
          <w:bottom w:w="0" w:type="dxa"/>
          <w:right w:w="0" w:type="dxa"/>
        </w:tblCellMar>
      </w:tblPr>
      <w:tblGrid>
        <w:gridCol w:w="3271"/>
        <w:gridCol w:w="326"/>
        <w:gridCol w:w="414"/>
        <w:gridCol w:w="831"/>
        <w:gridCol w:w="326"/>
        <w:gridCol w:w="325"/>
        <w:gridCol w:w="651"/>
        <w:gridCol w:w="326"/>
        <w:gridCol w:w="1126"/>
        <w:gridCol w:w="326"/>
        <w:gridCol w:w="886"/>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7085" cy="175260"/>
                      <wp:effectExtent l="0" t="0" r="0" b="0"/>
                      <wp:wrapNone/>
                      <wp:docPr id="198" name="Frame198"/>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62890" cy="175260"/>
                      <wp:effectExtent l="0" t="0" r="0" b="0"/>
                      <wp:wrapNone/>
                      <wp:docPr id="200" name="Frame200"/>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27685" cy="175260"/>
                      <wp:effectExtent l="0" t="0" r="0" b="0"/>
                      <wp:wrapNone/>
                      <wp:docPr id="201" name="Frame201"/>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6375" cy="175260"/>
                      <wp:effectExtent l="0" t="0" r="0" b="0"/>
                      <wp:wrapNone/>
                      <wp:docPr id="203" name="Frame203"/>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13385" cy="175260"/>
                      <wp:effectExtent l="0" t="0" r="0" b="0"/>
                      <wp:wrapNone/>
                      <wp:docPr id="204" name="Frame204"/>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15010" cy="175260"/>
                      <wp:effectExtent l="0" t="0" r="0" b="0"/>
                      <wp:wrapNone/>
                      <wp:docPr id="206" name="Frame20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2610" cy="175260"/>
                      <wp:effectExtent l="0" t="0" r="0" b="0"/>
                      <wp:wrapNone/>
                      <wp:docPr id="208" name="Frame2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1285" cy="175260"/>
                      <wp:effectExtent l="0" t="0" r="0" b="0"/>
                      <wp:wrapNone/>
                      <wp:docPr id="209" name="Frame20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0"/>
              <w:ind w:left="0" w:right="0" w:hanging="0"/>
              <w:jc w:val="center"/>
              <w:rPr/>
            </w:pPr>
            <w:r>
              <w:rPr/>
              <w:t> </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June 30, 2024</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0"/>
              <w:ind w:left="0" w:right="0" w:hanging="0"/>
              <w:jc w:val="center"/>
              <w:rPr/>
            </w:pPr>
            <w:r>
              <w:rPr/>
              <w:t> </w:t>
            </w:r>
          </w:p>
        </w:tc>
      </w:tr>
      <w:tr>
        <w:trPr/>
        <w:tc>
          <w:tcPr>
            <w:tcW w:w="899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397" w:type="dxa"/>
        <w:jc w:val="left"/>
        <w:tblInd w:w="0" w:type="dxa"/>
        <w:tblLayout w:type="fixed"/>
        <w:tblCellMar>
          <w:top w:w="0" w:type="dxa"/>
          <w:left w:w="0" w:type="dxa"/>
          <w:bottom w:w="0" w:type="dxa"/>
          <w:right w:w="0" w:type="dxa"/>
        </w:tblCellMar>
      </w:tblPr>
      <w:tblGrid>
        <w:gridCol w:w="3706"/>
        <w:gridCol w:w="326"/>
        <w:gridCol w:w="414"/>
        <w:gridCol w:w="831"/>
        <w:gridCol w:w="326"/>
        <w:gridCol w:w="325"/>
        <w:gridCol w:w="651"/>
        <w:gridCol w:w="326"/>
        <w:gridCol w:w="1126"/>
        <w:gridCol w:w="32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353310" cy="175260"/>
                      <wp:effectExtent l="0" t="0" r="0" b="0"/>
                      <wp:wrapNone/>
                      <wp:docPr id="210" name="Frame21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2890" cy="175260"/>
                      <wp:effectExtent l="0" t="0" r="0" b="0"/>
                      <wp:wrapNone/>
                      <wp:docPr id="212" name="Frame212"/>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27685" cy="175260"/>
                      <wp:effectExtent l="0" t="0" r="0" b="0"/>
                      <wp:wrapNone/>
                      <wp:docPr id="213" name="Frame21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6375" cy="175260"/>
                      <wp:effectExtent l="0" t="0" r="0" b="0"/>
                      <wp:wrapNone/>
                      <wp:docPr id="215" name="Frame21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13385" cy="175260"/>
                      <wp:effectExtent l="0" t="0" r="0" b="0"/>
                      <wp:wrapNone/>
                      <wp:docPr id="216" name="Frame21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15010" cy="175260"/>
                      <wp:effectExtent l="0" t="0" r="0" b="0"/>
                      <wp:wrapNone/>
                      <wp:docPr id="218" name="Frame21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62610" cy="175260"/>
                      <wp:effectExtent l="0" t="0" r="0" b="0"/>
                      <wp:wrapNone/>
                      <wp:docPr id="220" name="Frame2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7790" cy="175260"/>
                      <wp:effectExtent l="0" t="0" r="0" b="0"/>
                      <wp:wrapNone/>
                      <wp:docPr id="221" name="Frame2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2023</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0"/>
              <w:ind w:left="0" w:right="0" w:hanging="0"/>
              <w:jc w:val="left"/>
              <w:rPr/>
            </w:pPr>
            <w:r>
              <w:rPr/>
              <w:t>​</w:t>
            </w:r>
          </w:p>
        </w:tc>
      </w:tr>
      <w:tr>
        <w:trPr/>
        <w:tc>
          <w:tcPr>
            <w:tcW w:w="939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 years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 years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2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85" w:name="_f1867a13_9329_45c0_aed1_cd0e872f6323_5"/>
      <w:bookmarkStart w:id="1086" w:name="_f1867a13_9329_45c0_aed1_cd0e872f6323_4"/>
      <w:bookmarkStart w:id="1087" w:name="_f1867a13_9329_45c0_aed1_cd0e872f6323_3"/>
      <w:bookmarkStart w:id="1088" w:name="_f1867a13_9329_45c0_aed1_cd0e872f6323_2"/>
      <w:bookmarkStart w:id="1089" w:name="_f1867a13_9329_45c0_aed1_cd0e872f6323"/>
      <w:bookmarkStart w:id="1090" w:name="Narr_yKlGkvPX0USXmlwzWIoFaw"/>
      <w:bookmarkEnd w:id="1085"/>
      <w:bookmarkEnd w:id="1086"/>
      <w:bookmarkEnd w:id="1087"/>
      <w:bookmarkEnd w:id="1088"/>
      <w:bookmarkEnd w:id="1089"/>
      <w:bookmarkEnd w:id="1090"/>
      <w:r>
        <w:rPr>
          <w:rFonts w:ascii="Times New Roman;Times;serif" w:hAnsi="Times New Roman;Times;serif"/>
          <w:sz w:val="20"/>
        </w:rPr>
        <w:t xml:space="preserve">For the three months ended June 30, 2024 and 2023, lease cost was comprised of (i) operating lease cost of $44 million and $49 million, respectively, (ii) amortization of financing lease right-of-use assets of $2 million and $3 million, respectively, and (iii) interest expense on financing lease liabilities of $2 million and $1 million, respectively. For the six months ended June 30, 2024 and 2023, lease cost was comprised of (i) operating lease cost of $86 million and $90 million, respectively, (ii) amortization of financing lease right-of-use assets of $4 million and $4 million, respectively, and (iii) interest expense on financing lease liabilities of $3 million and $2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accounted for $68 million and $72 million of total lease cost for each of the six months ended June 30, 2024 and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$15 million and $13 million for the three months ended June 30, 2024 and 2023, respectively, and $30 million and $29 million for the six months ended June 30, 2024 and 2023, respectively. Revenues from operating leases are included in other revenue from operations in the condensed consolidated statements of operations. Our Automotive segment’s expenses from operating leases including variable lease costs were $24 million and $22 million for the three months ended June 30, 2024 and 2023, respectively, and $48 million and $50 million for the six months ended June 30, 2024 and 2023, respectively. Expenses from operating leases are included in other expenses from operations in the condensed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Real Estate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segment leases real estate, primarily commercial properties under long-term operating leases. As of June 30, 2024 and December 31, 2023, our Real Estate segment had assets leased to others included in property, plant and equipment of $259 million and $252 million, respectively, net of accumulated depreciation. Our Real Estate segment’s revenue from operating leases were $2 million and $7 million for the three months ended June 30, 2024 and 2023, respectively, and $5 million and $12 million for the six months ended June 30, 2024 and 2023, respectively. Revenues from operating leases are included in other revenue from operations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91" w:name="Tc_EwMFJe3q60aD8h5tSMD5dw_19_5"/>
      <w:bookmarkStart w:id="1092" w:name="Tc_T0xRyf99E0i2Y69AkVC5Vg_19_2"/>
      <w:bookmarkStart w:id="1093" w:name="Tc_VWoJNKylGUyRKDw4n8Te3A_19_0"/>
      <w:bookmarkStart w:id="1094" w:name="Tc_5nKLifmDO0Gxl06TtGr6Qw_17_0"/>
      <w:bookmarkStart w:id="1095" w:name="Tc_8kGySmWI3UCqHxkw3gj2AQ_16_0"/>
      <w:bookmarkStart w:id="1096" w:name="Tc_D4T7W2Iih0OMvonfePCMtw_15_0"/>
      <w:bookmarkStart w:id="1097" w:name="Tc_WHRgIFbL1k2jWhtldnXPfw_14_0"/>
      <w:bookmarkStart w:id="1098" w:name="Tc_1LP18g-PmU-0VSMarMZaDg_13_0"/>
      <w:bookmarkStart w:id="1099" w:name="Tc_Feu5v5kACUuGpuVpKq33gw_12_0"/>
      <w:bookmarkStart w:id="1100" w:name="Tc_4ROMb6-nt0iB6Gljk047KQ_10_6"/>
      <w:bookmarkStart w:id="1101" w:name="Tc_TgMwFvAsOE2XfXpt8d7TBw_10_0"/>
      <w:bookmarkStart w:id="1102" w:name="Tc_WV_VggM2zEiR71bJTKKLJw_9_0"/>
      <w:bookmarkStart w:id="1103" w:name="Tc_kw8ioePslUSJZZOgPbs3dg_8_0"/>
      <w:bookmarkStart w:id="1104" w:name="Tc_DoHYlND5bE-zeG9giCUfEQ_7_0"/>
      <w:bookmarkStart w:id="1105" w:name="Tc_ukildtvISUGBLeR__Yzj6w_6_0"/>
      <w:bookmarkStart w:id="1106" w:name="Tc_7jmPcRxaTk6tv6O9xZ9XRg_5_5"/>
      <w:bookmarkStart w:id="1107" w:name="Tc_BZdF0B7rz0ujlxN5xVCELQ_5_3"/>
      <w:bookmarkStart w:id="1108" w:name="Tc_i5M92xq3XESjuH1noLcVTQ_5_2"/>
      <w:bookmarkStart w:id="1109" w:name="Tc_X5Y6TeiMk0qdN2IihCnzEw_5_0"/>
      <w:bookmarkStart w:id="1110" w:name="Tc_5zyoNpQizUm3Pd4VzQKcvQ_4_0"/>
      <w:bookmarkStart w:id="1111" w:name="Tc_lSUGtogeg02GuImBxJrsBQ_3_2"/>
      <w:bookmarkStart w:id="1112" w:name="Tc_DoxBaHnvkkOv4y7A5Azg9A_2_5"/>
      <w:bookmarkStart w:id="1113" w:name="Tc_qZp_tjyLDE6OulaEbFyRkw_2_2"/>
      <w:bookmarkStart w:id="1114" w:name="Tc_0wBf0ICczEeNo1DNuqJvNA_1_5"/>
      <w:bookmarkStart w:id="1115" w:name="Tc_wSFA4d6RzUmvQjQ_46sqtw_1_2"/>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rFonts w:ascii="Times New Roman;Times;serif" w:hAnsi="Times New Roman;Times;serif"/>
          <w:b/>
          <w:sz w:val="20"/>
        </w:rPr>
        <w:t>12.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6308" w:type="dxa"/>
        <w:jc w:val="left"/>
        <w:tblInd w:w="0" w:type="dxa"/>
        <w:tblLayout w:type="fixed"/>
        <w:tblCellMar>
          <w:top w:w="0" w:type="dxa"/>
          <w:left w:w="0" w:type="dxa"/>
          <w:bottom w:w="0" w:type="dxa"/>
          <w:right w:w="0" w:type="dxa"/>
        </w:tblCellMar>
      </w:tblPr>
      <w:tblGrid>
        <w:gridCol w:w="3451"/>
        <w:gridCol w:w="326"/>
        <w:gridCol w:w="230"/>
        <w:gridCol w:w="625"/>
        <w:gridCol w:w="326"/>
        <w:gridCol w:w="320"/>
        <w:gridCol w:w="1030"/>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1385" cy="175260"/>
                      <wp:effectExtent l="0" t="0" r="0" b="0"/>
                      <wp:wrapNone/>
                      <wp:docPr id="222" name="Frame22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6050" cy="175260"/>
                      <wp:effectExtent l="0" t="0" r="0" b="0"/>
                      <wp:wrapNone/>
                      <wp:docPr id="224" name="Frame22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96875" cy="175260"/>
                      <wp:effectExtent l="0" t="0" r="0" b="0"/>
                      <wp:wrapNone/>
                      <wp:docPr id="225" name="Frame22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3200" cy="175260"/>
                      <wp:effectExtent l="0" t="0" r="0" b="0"/>
                      <wp:wrapNone/>
                      <wp:docPr id="227" name="Frame22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54050" cy="175260"/>
                      <wp:effectExtent l="0" t="0" r="0" b="0"/>
                      <wp:wrapNone/>
                      <wp:docPr id="228" name="Frame22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30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unsecured notes due 2030</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Holding Company debt consists of various issues of fixed-rate senior unsecured notes issued by Icahn Enterprises and Icahn Enterprises Finance Corp. (together the “Issuers”) and guaranteed by Icahn Enterprise Holdings (the “Guarantor”). Interest on each tranche of the senior unsecured notes is payable semi-annually.</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In April 2024, we sold $12</w:t>
      </w:r>
      <w:r>
        <w:rPr>
          <w:rFonts w:ascii="Times New Roman;Times;serif" w:hAnsi="Times New Roman;Times;serif"/>
          <w:sz w:val="20"/>
        </w:rPr>
        <w:t xml:space="preserve"> </w:t>
      </w:r>
      <w:r>
        <w:rPr>
          <w:rFonts w:ascii="TimesNRMTPro" w:hAnsi="TimesNRMTPro"/>
          <w:sz w:val="20"/>
        </w:rPr>
        <w:t>million in aggregate principal amount of our 6.250%</w:t>
      </w:r>
      <w:r>
        <w:rPr>
          <w:rFonts w:ascii="Times New Roman;Times;serif" w:hAnsi="Times New Roman;Times;serif"/>
          <w:sz w:val="20"/>
        </w:rPr>
        <w:t xml:space="preserve"> </w:t>
      </w:r>
      <w:r>
        <w:rPr>
          <w:rFonts w:ascii="TimesNRMTPro" w:hAnsi="TimesNRMTPro"/>
          <w:sz w:val="20"/>
        </w:rPr>
        <w:t>senior unsecured notes due 2026 and $5</w:t>
      </w:r>
      <w:r>
        <w:rPr>
          <w:rFonts w:ascii="Times New Roman;Times;serif" w:hAnsi="Times New Roman;Times;serif"/>
          <w:sz w:val="20"/>
        </w:rPr>
        <w:t xml:space="preserve"> </w:t>
      </w:r>
      <w:r>
        <w:rPr>
          <w:rFonts w:ascii="TimesNRMTPro" w:hAnsi="TimesNRMTPro"/>
          <w:sz w:val="20"/>
        </w:rPr>
        <w:t>million in aggregate principal amount of our 5.250%</w:t>
      </w:r>
      <w:r>
        <w:rPr>
          <w:rFonts w:ascii="Times New Roman;Times;serif" w:hAnsi="Times New Roman;Times;serif"/>
          <w:sz w:val="20"/>
        </w:rPr>
        <w:t xml:space="preserve"> </w:t>
      </w:r>
      <w:r>
        <w:rPr>
          <w:rFonts w:ascii="TimesNRMTPro" w:hAnsi="TimesNRMTPro"/>
          <w:sz w:val="20"/>
        </w:rPr>
        <w:t>senior unsecured notes due 2027, both previously repurchased and held in treasury, in the open market.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May 2024, the Issuers issued $750 million in aggregate principal amount of 9.000% senior unsecured notes due 2030. The net proceeds from such issuance were used to redeem the remaining outstanding 6.375% senior unsecured notes due 2025 in full on June 13, 2024.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2024, CVR Energy redeemed all its $600 million in aggregate principal amount of 5.25% senior unsecured notes due 2025. As a result of this transaction, CVR Energy recognized a $1 million loss on extinguishment of debt for the six months ended June 30, 2024. </w:t>
      </w:r>
    </w:p>
    <w:p>
      <w:pPr>
        <w:pStyle w:val="TextBody"/>
        <w:bidi w:val="0"/>
        <w:spacing w:before="0" w:after="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June 30, 2024, total availability under CVR Energy’s Amended and Restated ABL Credit Agreement (“CVR Energy ABL”) and CVR Partners ABL Credit Agreement (“CVR Partners ABL”) facilities aggregated to $301 million. CVR Energy ABL had $24 million of letters of credit outstanding as of June 30, 2024. The CVR Energy ABL matures on June 30, 2027, and the CVR Partners ABL on September 26,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Non-Cash Charges to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amortization of deferred financing costs and debt discounts and premiums included in interest expense in the condensed consolidated statements of operations were $1 million for each of the three months ended June 30, 2024 and 2023, and $2 million for each of the six months ended June 30, 2024 and 2023. </w:t>
      </w:r>
    </w:p>
    <w:p>
      <w:pPr>
        <w:pStyle w:val="TextBody"/>
        <w:bidi w:val="0"/>
        <w:spacing w:before="0" w:after="240"/>
        <w:ind w:left="0" w:right="0" w:hanging="0"/>
        <w:jc w:val="left"/>
        <w:rPr>
          <w:rFonts w:ascii="Times New Roman;Times;serif" w:hAnsi="Times New Roman;Times;serif"/>
          <w:b/>
          <w:sz w:val="20"/>
        </w:rPr>
      </w:pPr>
      <w:bookmarkStart w:id="1116" w:name="Tc_WCGm0vXxw0-90XklsO4SZw_8_0"/>
      <w:bookmarkStart w:id="1117" w:name="Tc_w8FDsEdpPUOjllCE-m8oTw_7_0"/>
      <w:bookmarkStart w:id="1118" w:name="Tc_7ciVLZI5GkeusJV0RIVXow_5_11"/>
      <w:bookmarkStart w:id="1119" w:name="Tc_q1z2RX9QfEmogWBg0Mg19A_5_8"/>
      <w:bookmarkStart w:id="1120" w:name="Tc_v7f9wlHOFka_R8eKXqJnuA_5_5"/>
      <w:bookmarkStart w:id="1121" w:name="Tc_zbOvtA6dNUeKdBpIQzWV3g_5_2"/>
      <w:bookmarkStart w:id="1122" w:name="Tc_97qSWKZv4kmExmrsXubs4g_5_0"/>
      <w:bookmarkStart w:id="1123" w:name="Tc_NLTDmM9_4Ey0Gb9VjkwsNA_4_11"/>
      <w:bookmarkStart w:id="1124" w:name="Tc_OeJhTxkLwE22gWPj816mrw_4_8"/>
      <w:bookmarkStart w:id="1125" w:name="Tc_-TFJ-2gA5kafYQD_rEwIbg_4_5"/>
      <w:bookmarkStart w:id="1126" w:name="Tc_93ouDPV2w0abY8NHNocWLA_4_2"/>
      <w:bookmarkStart w:id="1127" w:name="Tc_jXN7hYu1lkWfNpowNsLjKg_4_0"/>
      <w:bookmarkStart w:id="1128" w:name="Tc_Nli04Wj4BkmxW0-uGFjQww_3_2"/>
      <w:bookmarkStart w:id="1129" w:name="Tc_B0yUZMDyt0ap2H_6dd7qUA_2_11"/>
      <w:bookmarkStart w:id="1130" w:name="Tc_BQnGTgzcikSSNXu2SYq3sg_2_8"/>
      <w:bookmarkStart w:id="1131" w:name="Tc_zd3nAPIg8EyI3iNsG8N45Q_2_5"/>
      <w:bookmarkStart w:id="1132" w:name="Tc_FiHoZKsgGki6odqdGUfWaQ_2_2"/>
      <w:bookmarkStart w:id="1133" w:name="Tc_0YQu6CVtG0aaEoej64PQeA_1_8"/>
      <w:bookmarkStart w:id="1134" w:name="Tc_6yHot6WRb0m-j7Kbq0-gRg_1_2"/>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r>
        <w:rPr>
          <w:rFonts w:ascii="Times New Roman;Times;serif" w:hAnsi="Times New Roman;Times;serif"/>
          <w:b/>
          <w:sz w:val="20"/>
        </w:rPr>
        <w:t>13.  Net Income (Loss)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per LP unit of Icahn Enterprises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54"/>
        <w:gridCol w:w="326"/>
        <w:gridCol w:w="257"/>
        <w:gridCol w:w="690"/>
        <w:gridCol w:w="398"/>
        <w:gridCol w:w="257"/>
        <w:gridCol w:w="690"/>
        <w:gridCol w:w="326"/>
        <w:gridCol w:w="241"/>
        <w:gridCol w:w="646"/>
        <w:gridCol w:w="373"/>
        <w:gridCol w:w="241"/>
        <w:gridCol w:w="706"/>
      </w:tblGrid>
      <w:tr>
        <w:trPr/>
        <w:tc>
          <w:tcPr>
            <w:tcW w:w="5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209290" cy="175260"/>
                      <wp:effectExtent l="0" t="0" r="0" b="0"/>
                      <wp:wrapNone/>
                      <wp:docPr id="229" name="Frame229"/>
                      <a:graphic xmlns:a="http://schemas.openxmlformats.org/drawingml/2006/main">
                        <a:graphicData uri="http://schemas.microsoft.com/office/word/2010/wordprocessingShape">
                          <wps:wsp>
                            <wps:cNvSpPr txBox="1"/>
                            <wps:spPr>
                              <a:xfrm>
                                <a:off x="0" y="0"/>
                                <a:ext cx="320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3195" cy="175260"/>
                      <wp:effectExtent l="0" t="0" r="0" b="0"/>
                      <wp:wrapNone/>
                      <wp:docPr id="231" name="Frame23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38150" cy="175260"/>
                      <wp:effectExtent l="0" t="0" r="0" b="0"/>
                      <wp:wrapNone/>
                      <wp:docPr id="232" name="Frame2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2730" cy="175260"/>
                      <wp:effectExtent l="0" t="0" r="0" b="0"/>
                      <wp:wrapNone/>
                      <wp:docPr id="233" name="Frame23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3195" cy="175260"/>
                      <wp:effectExtent l="0" t="0" r="0" b="0"/>
                      <wp:wrapNone/>
                      <wp:docPr id="234" name="Frame23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38150" cy="175260"/>
                      <wp:effectExtent l="0" t="0" r="0" b="0"/>
                      <wp:wrapNone/>
                      <wp:docPr id="235" name="Frame23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3035" cy="175260"/>
                      <wp:effectExtent l="0" t="0" r="0" b="0"/>
                      <wp:wrapNone/>
                      <wp:docPr id="237" name="Frame23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10210" cy="175260"/>
                      <wp:effectExtent l="0" t="0" r="0" b="0"/>
                      <wp:wrapNone/>
                      <wp:docPr id="238" name="Frame23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36855" cy="175260"/>
                      <wp:effectExtent l="0" t="0" r="0" b="0"/>
                      <wp:wrapNone/>
                      <wp:docPr id="239" name="Frame23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3035" cy="175260"/>
                      <wp:effectExtent l="0" t="0" r="0" b="0"/>
                      <wp:wrapNone/>
                      <wp:docPr id="240" name="Frame24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8310" cy="175260"/>
                      <wp:effectExtent l="0" t="0" r="0" b="0"/>
                      <wp:wrapNone/>
                      <wp:docPr id="241" name="Frame2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2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8"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73"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5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98" w:type="dxa"/>
            <w:tcBorders/>
            <w:shd w:fill="CCEEFF" w:val="clear"/>
            <w:vAlign w:val="center"/>
          </w:tcPr>
          <w:p>
            <w:pPr>
              <w:pStyle w:val="TableContents"/>
              <w:bidi w:val="0"/>
              <w:spacing w:before="0" w:after="0"/>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73"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Icahn Enterprises allocated to limited partners (98.01% allocation)</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98"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73"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50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5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98"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73"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505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and diluted weighted average LP units outstanding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73"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361</w:t>
            </w:r>
          </w:p>
        </w:tc>
      </w:tr>
    </w:tbl>
    <w:tbl>
      <w:tblPr>
        <w:tblW w:w="9021" w:type="dxa"/>
        <w:jc w:val="left"/>
        <w:tblInd w:w="0" w:type="dxa"/>
        <w:tblLayout w:type="fixed"/>
        <w:tblCellMar>
          <w:top w:w="28" w:type="dxa"/>
          <w:left w:w="28" w:type="dxa"/>
          <w:bottom w:w="28" w:type="dxa"/>
          <w:right w:w="28" w:type="dxa"/>
        </w:tblCellMar>
      </w:tblPr>
      <w:tblGrid>
        <w:gridCol w:w="124"/>
        <w:gridCol w:w="31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Excludes an immaterial amount of unvested RSU awards during the three and six months ended June 30, 2024 and 2023.</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LP Unit Transactions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Unit Distributions </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On February 26, 2024, we declared a quarterly distribution in the amount of $1.00</w:t>
      </w:r>
      <w:r>
        <w:rPr>
          <w:rFonts w:ascii="Times New Roman;Times;serif" w:hAnsi="Times New Roman;Times;serif"/>
          <w:sz w:val="20"/>
        </w:rPr>
        <w:t xml:space="preserve"> </w:t>
      </w:r>
      <w:r>
        <w:rPr>
          <w:rFonts w:ascii="TimesNRMTPro" w:hAnsi="TimesNRMTPro"/>
          <w:sz w:val="20"/>
        </w:rPr>
        <w:t xml:space="preserve">per depositary unit in which each depositary unitholder had the option to make an election to receive either cash or additional depositary units, payable April 18, 2024. </w:t>
      </w:r>
      <w:r>
        <w:rPr>
          <w:rFonts w:ascii="Times New Roman;Times;serif" w:hAnsi="Times New Roman;Times;serif"/>
          <w:sz w:val="20"/>
        </w:rPr>
        <w:t xml:space="preserve">In April 2024, we distributed 19,186,659 depositary units to unitholders who did not elect to receive cash, of which 18,016,077 depositary units were distributed to Mr. Icahn and his affiliates. In connection with these distributions, aggregate cash distributions to all depositary unitholders that made a timely election to receive cash was $97 million, of which $55 million was distributed to Mr. Icahn and his affiliates in April 2024.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6, 2024, we declared a quarterly dividend distribution in the amount of $1.00 per depositary unit in which each depositary unitholder had the option to make an election to receive either cash or additional depositary units, payable on June 25, 2024. In June 2024, we distributed 21,669,076 depositary units to unitholders who did not elect to receive cash, of which 20,418,007 depositary units were distributed to Mr. Icahn and his affiliates. In connection with these distributions, aggregate cash distributions to all depositary unitholders that made a timely election to receive cash was $106 million, of which $60 million was distributed to Mr. Icahn and his affiliates in June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June 30, 2024, we sold 2,798,377 depositary units pursuant to the Open Market Sale Agreement, resulting in gross proceeds of $49 million. During the six months ended June 30, 2024, we sold 5,573,986 depositary units pursuant to the Open Market Sale Agreement, resulting in gross proceeds of $99 million. As of June 30, 2024, we continue to have an Open Market Sale Agreement and Icahn Enterprises may sell its depositary units for up to an additional $51 million in aggregate gross sale proceeds pursuant to this agreement.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June 30, 2024, the Company has not repurchased any of the Company’s depositary units and the Company has repurchased $92 million worth of senior notes in aggregate under the Repurchase Program.</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35" w:name="Tc_4HrD-iMv502L4UjnjD5hQg_28_26"/>
      <w:bookmarkStart w:id="1136" w:name="Tc_yizOT2KQDkC4TUnVOdhqbA_28_24"/>
      <w:bookmarkStart w:id="1137" w:name="Tc_-dKJp4GpDE6vaOC8mGbKpQ_28_23"/>
      <w:bookmarkStart w:id="1138" w:name="Tc_6aeq8KrWoE2EJKIU2d7aUw_28_20"/>
      <w:bookmarkStart w:id="1139" w:name="Tc_CuOajjpRaUWJWNT7a3feyg_28_17"/>
      <w:bookmarkStart w:id="1140" w:name="Tc_TSCpDLsxnEOLy1GcopBAUw_28_14"/>
      <w:bookmarkStart w:id="1141" w:name="Tc_XqIu2TSC6UOFQgluP30yiQ_28_11"/>
      <w:bookmarkStart w:id="1142" w:name="Tc_p5tJGxQBGUK7kP4vTVJeVg_28_8"/>
      <w:bookmarkStart w:id="1143" w:name="Tc_nA_XZ25y1Ea_VDRhJmeF5g_28_5"/>
      <w:bookmarkStart w:id="1144" w:name="Tc_npHKL6br80KNanaPhTSCIg_28_3"/>
      <w:bookmarkStart w:id="1145" w:name="Tc_gZgFhfo8QUOkzYxO32ikCQ_28_2"/>
      <w:bookmarkStart w:id="1146" w:name="Tc_iuMYfE0XgEKQ6nOoIxVXDw_28_0"/>
      <w:bookmarkStart w:id="1147" w:name="Tc_AMrLfV4t0UuTQhhwCXAr_A_27_26"/>
      <w:bookmarkStart w:id="1148" w:name="Tc_UyzMQxxYmEG6MoLo04lFCw_27_24"/>
      <w:bookmarkStart w:id="1149" w:name="Tc_L8P_-qIRUEWLwdwOUKnyag_27_23"/>
      <w:bookmarkStart w:id="1150" w:name="Tc_5gtDuHkjoE-uEuMUppjTkA_27_21"/>
      <w:bookmarkStart w:id="1151" w:name="Tc_waaVBECb60Ohu0ckq6t6cg_27_20"/>
      <w:bookmarkStart w:id="1152" w:name="Tc_-WaxKbNDP0aYV976eKRT5Q_27_17"/>
      <w:bookmarkStart w:id="1153" w:name="Tc_8ovLG-yba0awuTdPgx9D6A_27_15"/>
      <w:bookmarkStart w:id="1154" w:name="Tc_DNNwk25DMkydrSdJ4hvCdQ_27_14"/>
      <w:bookmarkStart w:id="1155" w:name="Tc_h4fzuSp0XUO1CvSMwM3YSQ_27_11"/>
      <w:bookmarkStart w:id="1156" w:name="Tc_Pd9Ot4Rs6UC9T_WNo_8_wA_27_8"/>
      <w:bookmarkStart w:id="1157" w:name="Tc_0QQFHudnOkSrkWOmE068wA_27_5"/>
      <w:bookmarkStart w:id="1158" w:name="Tc_jfL1JAnzREycZs06sOOkCA_27_3"/>
      <w:bookmarkStart w:id="1159" w:name="Tc_g_aUcPCtUE-Y_85CxMBMoA_27_2"/>
      <w:bookmarkStart w:id="1160" w:name="Tc_2tFKB7owa0-ff5SNKd2tEw_27_0"/>
      <w:bookmarkStart w:id="1161" w:name="Tc_XiRHTF1LlU6SZXxX9eX9Mg_26_0"/>
      <w:bookmarkStart w:id="1162" w:name="Tc_MuZNWECrkEewShlRMaRxGA_25_26"/>
      <w:bookmarkStart w:id="1163" w:name="Tc_rRG2Relq_kWyqmAHDcPFvw_25_23"/>
      <w:bookmarkStart w:id="1164" w:name="Tc_uTTEBUsIxkmvG5UjIjfE0Q_25_21"/>
      <w:bookmarkStart w:id="1165" w:name="Tc_1AbVZn569U2nxAH7Pi46dw_25_20"/>
      <w:bookmarkStart w:id="1166" w:name="Tc_zTdLk-s06EOu6qio51S5mQ_25_17"/>
      <w:bookmarkStart w:id="1167" w:name="Tc_lHPfGSGZKkGIemPn6be_Rg_25_14"/>
      <w:bookmarkStart w:id="1168" w:name="Tc_56cwwN2NDk-suez0hldMAQ_25_11"/>
      <w:bookmarkStart w:id="1169" w:name="Tc_SWjxCt6FGUqyACXtHVYvzw_25_8"/>
      <w:bookmarkStart w:id="1170" w:name="Tc_OB6n8_CVv0iyTLzHMwkgmw_25_5"/>
      <w:bookmarkStart w:id="1171" w:name="Tc_3DkitojoQUWA8UYI-EthGQ_25_2"/>
      <w:bookmarkStart w:id="1172" w:name="Tc__5MbCthbNkiEuFe0s8EXug_25_0"/>
      <w:bookmarkStart w:id="1173" w:name="Tc_X640TofWsk6wlEljwZtg-A_24_24"/>
      <w:bookmarkStart w:id="1174" w:name="Tc_mHRnFDr3i0yW_tLTn9wF4Q_24_21"/>
      <w:bookmarkStart w:id="1175" w:name="Tc_SDgHKzhXTUulk7fy2oqlog_24_18"/>
      <w:bookmarkStart w:id="1176" w:name="Tc_sim_kAG-uki_XJMUO7_C9A_24_15"/>
      <w:bookmarkStart w:id="1177" w:name="Tc_ngbhMOFHy0Gw8kr9uKwo1A_24_12"/>
      <w:bookmarkStart w:id="1178" w:name="Tc_rMpSDGj0pEamrBegKAHjjw_24_9"/>
      <w:bookmarkStart w:id="1179" w:name="Tc_USaCfz3trkeXwCkIh1bRQw_24_0"/>
      <w:bookmarkStart w:id="1180" w:name="Tc_iVsin1SzuUunpn2m568vFQ_23_21"/>
      <w:bookmarkStart w:id="1181" w:name="Tc_Tw8XjUxPP0Oqx4ZV6rBXPQ_23_0"/>
      <w:bookmarkStart w:id="1182" w:name="Tc_VQnomnMvrUKEyIZkKwJbQg_22_21"/>
      <w:bookmarkStart w:id="1183" w:name="Tc_l1D6PPb0lEiXu4V4HZu6og_22_18"/>
      <w:bookmarkStart w:id="1184" w:name="Tc_kpGMxQUO2kiAnJOz5GuBlQ_22_15"/>
      <w:bookmarkStart w:id="1185" w:name="Tc_aw0Z9-_hu0WhEZbNlsVAjA_22_3"/>
      <w:bookmarkStart w:id="1186" w:name="Tc_K2ZEx7aZYU2JcEY10KXzfQ_22_0"/>
      <w:bookmarkStart w:id="1187" w:name="Tc_-43yHB19J0KqR4iIHzUo9A_21_21"/>
      <w:bookmarkStart w:id="1188" w:name="Tc_TxtUvhCeLUezfjQE6q09Cg_21_0"/>
      <w:bookmarkStart w:id="1189" w:name="Tc_mFzQrZ82C0umwBXrBuHBBg_19_21"/>
      <w:bookmarkStart w:id="1190" w:name="Tc_iMkcep4QeUiQH6KepOUFOQ_19_18"/>
      <w:bookmarkStart w:id="1191" w:name="Tc_miQixKJmdEiRktxcjnfStw_19_15"/>
      <w:bookmarkStart w:id="1192" w:name="Tc_NNoI_O2bKE-r0Kt64Frnag_19_0"/>
      <w:bookmarkStart w:id="1193" w:name="Tc_0xEhmRI-qEGE-0Uqla9hag_18_21"/>
      <w:bookmarkStart w:id="1194" w:name="Tc_ops2C0-bb022Lok10eiAqQ_18_18"/>
      <w:bookmarkStart w:id="1195" w:name="Tc_ExLZebPO70Oz6wjt9Hj2nA_18_15"/>
      <w:bookmarkStart w:id="1196" w:name="Tc_kA5txFZH80e4bmyp5hZuMw_18_12"/>
      <w:bookmarkStart w:id="1197" w:name="Tc_YXBRQvrp-E-QuH6IXLkSyA_18_9"/>
      <w:bookmarkStart w:id="1198" w:name="Tc_5d3vH7hpcU6UmfKfE_NKBA_18_6"/>
      <w:bookmarkStart w:id="1199" w:name="Tc_sauKchu60EOrXwKCTGXRjg_18_3"/>
      <w:bookmarkStart w:id="1200" w:name="Tc_5LxSbnmW20SPg9N-ahOYpQ_18_0"/>
      <w:bookmarkStart w:id="1201" w:name="Tc_xm0uwRttWUKZX8Si81KnwQ_17_21"/>
      <w:bookmarkStart w:id="1202" w:name="Tc_jpHdnX0l30q4VluOQFryJQ_17_18"/>
      <w:bookmarkStart w:id="1203" w:name="Tc_oXoCHojA4EOFZgbMG1eE5Q_17_15"/>
      <w:bookmarkStart w:id="1204" w:name="Tc_KthK0UDUrkaeN7dF7cO3qg_17_12"/>
      <w:bookmarkStart w:id="1205" w:name="Tc_dXuuCpcfXE6SOBKF4ZObrQ_17_9"/>
      <w:bookmarkStart w:id="1206" w:name="Tc_g4TeW4n7k0qr-wbZrFotlA_17_6"/>
      <w:bookmarkStart w:id="1207" w:name="Tc_DuWMnsMHoE-2WF_2OvWUgg_17_3"/>
      <w:bookmarkStart w:id="1208" w:name="Tc_16P3Cj64XEaR7Uqf1xGFjQ_17_0"/>
      <w:bookmarkStart w:id="1209" w:name="Tc_3fy1yX2Ka0qK8aCSV2M10g_16_0"/>
      <w:bookmarkStart w:id="1210" w:name="Tc_14YYNS7B3UW0TzPnwrRrTQ_15_24"/>
      <w:bookmarkStart w:id="1211" w:name="Tc_Xiy643Ha8kmt98CfDxPglw_15_21"/>
      <w:bookmarkStart w:id="1212" w:name="Tc_eLW6PILx90iIQfiPYaL0Ng_15_18"/>
      <w:bookmarkStart w:id="1213" w:name="Tc_1NY3VIYks02KSU0eGIzM7w_15_15"/>
      <w:bookmarkStart w:id="1214" w:name="Tc_gHVwtDSgukq_o9IRSWmHJA_15_12"/>
      <w:bookmarkStart w:id="1215" w:name="Tc_p0vQ8IbTzkeiZdNa-MbjaA_15_9"/>
      <w:bookmarkStart w:id="1216" w:name="Tc_Ju4-7Ps4Q0atnODfMJJP7Q_15_6"/>
      <w:bookmarkStart w:id="1217" w:name="Tc_KwJmt7YHGkiDL8I2hulr9Q_15_0"/>
      <w:bookmarkStart w:id="1218" w:name="Tc_zB5BCZhEnkK_5M3RI40JVQ_14_24"/>
      <w:bookmarkStart w:id="1219" w:name="Tc_ZqoEfq3kYkqNXKFOxf-pxA_14_21"/>
      <w:bookmarkStart w:id="1220" w:name="Tc_dKoL23QuzUGBG298rdemjA_14_18"/>
      <w:bookmarkStart w:id="1221" w:name="Tc_DfYapDJlTUyh1hrg8C0HOg_14_12"/>
      <w:bookmarkStart w:id="1222" w:name="Tc__T0nereCAEKMzojiKriRjA_14_6"/>
      <w:bookmarkStart w:id="1223" w:name="Tc_ZVrNbo7QoEWhkLvO8NRryQ_14_3"/>
      <w:bookmarkStart w:id="1224" w:name="Tc_BHxHq7ZVj0mQH1lDp11kRg_14_0"/>
      <w:bookmarkStart w:id="1225" w:name="Tc_rypbjtfTQ0KNaVjQLNZUPA_13_24"/>
      <w:bookmarkStart w:id="1226" w:name="Tc_KjxnHqNrxEOWNZeipHU0ZA_13_3"/>
      <w:bookmarkStart w:id="1227" w:name="Tc_MdKk55Zb8Ey24LnFGiO_Mw_13_0"/>
      <w:bookmarkStart w:id="1228" w:name="Tc_X_BEGbEPQUamKLtSGz3XCA_12_0"/>
      <w:bookmarkStart w:id="1229" w:name="Tc_DFTMvtq86kWfm59XHPg_oQ_10_24"/>
      <w:bookmarkStart w:id="1230" w:name="Tc_bWJ5Cc1cS0q_JUon8_0wXw_10_18"/>
      <w:bookmarkStart w:id="1231" w:name="Tc_J9dDYr5R3kWOea7XalN3kA_10_9"/>
      <w:bookmarkStart w:id="1232" w:name="Tc_iiWDP5J1-Eef3JxcSXtZeA_10_0"/>
      <w:bookmarkStart w:id="1233" w:name="Tc_4UUlMgh3akav4t7SH8Bb4A_9_24"/>
      <w:bookmarkStart w:id="1234" w:name="Tc_g3OFTkSFVEyK0uKghIw6GQ_9_21"/>
      <w:bookmarkStart w:id="1235" w:name="Tc_SLHWgSYYeUOprnHxC6s1xA_9_18"/>
      <w:bookmarkStart w:id="1236" w:name="Tc_XZBZtZ34AEyAahhgIuWV6w_9_15"/>
      <w:bookmarkStart w:id="1237" w:name="Tc_o-BZ2l0i40uWr87V39M1Ww_9_12"/>
      <w:bookmarkStart w:id="1238" w:name="Tc_o4lwr9VlRUm6ANMGy60Wgg_9_6"/>
      <w:bookmarkStart w:id="1239" w:name="Tc_85g-N4dAKUe0HEGxNVkY0Q_9_3"/>
      <w:bookmarkStart w:id="1240" w:name="Tc_0OFsVNM3JUGJj58IiCSTNw_9_0"/>
      <w:bookmarkStart w:id="1241" w:name="Tc_nUwI7H6zQky2jinlE5Tc_g_8_21"/>
      <w:bookmarkStart w:id="1242" w:name="Tc_NruIueuVfUa0JOX-FaxD0w_8_18"/>
      <w:bookmarkStart w:id="1243" w:name="Tc_UTIdDFDwwUSmfrcRiq1fCQ_8_15"/>
      <w:bookmarkStart w:id="1244" w:name="Tc_v0zpyRx_C0-CoqmBfDOJDA_8_12"/>
      <w:bookmarkStart w:id="1245" w:name="Tc_jTHaYFc-d0OPS5e7dfdJgw_8_9"/>
      <w:bookmarkStart w:id="1246" w:name="Tc_7ERJ07qf4kWYccaXJdsvRA_8_0"/>
      <w:bookmarkStart w:id="1247" w:name="Tc_Gyb8JVMI-k636grmlTmvUg_7_24"/>
      <w:bookmarkStart w:id="1248" w:name="Tc_wdHzK_vIKEmcBm3WIP-2WQ_7_21"/>
      <w:bookmarkStart w:id="1249" w:name="Tc_1kjMH89dZkC7zi02H55rBA_7_18"/>
      <w:bookmarkStart w:id="1250" w:name="Tc_EB4Lr-MI6kSFhyjkbVimdw_7_15"/>
      <w:bookmarkStart w:id="1251" w:name="Tc_abm5aS1VNUOkFxwwb6e9ag_7_12"/>
      <w:bookmarkStart w:id="1252" w:name="Tc_jVvjYMmOV0azZKv4g2wTJg_7_9"/>
      <w:bookmarkStart w:id="1253" w:name="Tc_rGSEBihIMUycbcnrG5551w_7_6"/>
      <w:bookmarkStart w:id="1254" w:name="Tc_p0mLr68fMUCw_UTzWKxyRA_7_0"/>
      <w:bookmarkStart w:id="1255" w:name="Tc_7DhnZX00eUStp-5ca3q3bg_6_24"/>
      <w:bookmarkStart w:id="1256" w:name="Tc_Phl5Da1MP0Cy729dB-8hJA_6_18"/>
      <w:bookmarkStart w:id="1257" w:name="Tc_OtMoZ21ld02v4NvwzO3Czg_6_12"/>
      <w:bookmarkStart w:id="1258" w:name="Tc_iKttfOXvEkG5eq7d0IaZ7A_6_6"/>
      <w:bookmarkStart w:id="1259" w:name="Tc_xyozmDX8U0650O2AdV3Duw_6_3"/>
      <w:bookmarkStart w:id="1260" w:name="Tc_wSA2FN8bD0eypFar4TQ3mg_6_0"/>
      <w:bookmarkStart w:id="1261" w:name="Tc_xmZvxVnh9kWG6UXJ94nFvQ_5_26"/>
      <w:bookmarkStart w:id="1262" w:name="Tc_S0f2aDFSKEWQOD_vv-9sPA_5_24"/>
      <w:bookmarkStart w:id="1263" w:name="Tc_oeD3yGv_2E6_q5-n_S9GJg_5_23"/>
      <w:bookmarkStart w:id="1264" w:name="Tc_q6Esllf4m0aEC0PJJnjAVw_5_20"/>
      <w:bookmarkStart w:id="1265" w:name="Tc_u2XDE-uo202TlXj14DOafg_5_17"/>
      <w:bookmarkStart w:id="1266" w:name="Tc_X46iEIKEHkqHE7nPyMmZqQ_5_14"/>
      <w:bookmarkStart w:id="1267" w:name="Tc_HIvnacGo6USNd9uDeWUKFw_5_11"/>
      <w:bookmarkStart w:id="1268" w:name="Tc_V5Xm9K-U70mI75IRJm1yeg_5_8"/>
      <w:bookmarkStart w:id="1269" w:name="Tc_1zWygbjGp0GQMrhH_EFYBg_5_5"/>
      <w:bookmarkStart w:id="1270" w:name="Tc_EraRZsMyo0iBS6FMtsohbQ_5_3"/>
      <w:bookmarkStart w:id="1271" w:name="Tc_Fns9KA9tRkWPnak5GpzaFw_5_2"/>
      <w:bookmarkStart w:id="1272" w:name="Tc__Ls2uyMjZ0S0V9IqPtuhmg_5_0"/>
      <w:bookmarkStart w:id="1273" w:name="Tc_M8nDH1-O_UO_uf7LgaeenA_4_0"/>
      <w:bookmarkStart w:id="1274" w:name="Tc_1f59jCl-1USO3PoAhERL0Q_3_2"/>
      <w:bookmarkStart w:id="1275" w:name="Tc_rRH130nFVEu1JpyjJ0fcng_2_26"/>
      <w:bookmarkStart w:id="1276" w:name="Tc_XNqM9V2i7k-Twx-Tyk36Aw_2_23"/>
      <w:bookmarkStart w:id="1277" w:name="Tc_OXRnqckE_UmKSgw_kE4IsQ_2_20"/>
      <w:bookmarkStart w:id="1278" w:name="Tc_xJMRuvEdmUiDTjgDVMB67g_2_17"/>
      <w:bookmarkStart w:id="1279" w:name="Tc_zfMavLB-rk-zUcC5UGqVPg_2_14"/>
      <w:bookmarkStart w:id="1280" w:name="Tc_G5De4q0se0iYJrOdhUzStA_2_11"/>
      <w:bookmarkStart w:id="1281" w:name="Tc_BFuTXPa2aEuNB2UeRa_Tag_2_8"/>
      <w:bookmarkStart w:id="1282" w:name="Tc_PIcrgFaH-0Gdyx2q1kwzFA_2_5"/>
      <w:bookmarkStart w:id="1283" w:name="Tc_vOXUUffcjEe-pjsNmDCWeQ_2_2"/>
      <w:bookmarkStart w:id="1284" w:name="Tc_8bFSgoNibkS2MgOq_w7kqw_1_2"/>
      <w:bookmarkStart w:id="1285" w:name="_10686c91_9fce_4551_aa14_88579185a64e"/>
      <w:bookmarkStart w:id="1286" w:name="Tc_FNkYNnr970Wx59ZKpKntQA_27_26"/>
      <w:bookmarkStart w:id="1287" w:name="Tc_Ft2TBjIvAk2m2zjAhyTMHA_27_24"/>
      <w:bookmarkStart w:id="1288" w:name="Tc_KyfP2krdcECTfjN7SCoDDw_27_23"/>
      <w:bookmarkStart w:id="1289" w:name="Tc_m3Oea69xTEO0J4DHPzmE_w_27_20"/>
      <w:bookmarkStart w:id="1290" w:name="Tc_cCY4fpu3zEiqZbbwz2wdPA_27_17"/>
      <w:bookmarkStart w:id="1291" w:name="Tc_vpYC546_B06iRYdPlKZnjA_27_14"/>
      <w:bookmarkStart w:id="1292" w:name="Tc_ZSJ-fbzgvUKn8oQ2atzbMw_27_11"/>
      <w:bookmarkStart w:id="1293" w:name="Tc_iyTp3Cv_A0eybT6LClf3jQ_27_8"/>
      <w:bookmarkStart w:id="1294" w:name="Tc_dk8e778yd0yNHRljTtjrHA_27_5"/>
      <w:bookmarkStart w:id="1295" w:name="Tc_tp2UXJk8tEKAML5bQxOMiw_27_3"/>
      <w:bookmarkStart w:id="1296" w:name="Tc_Ycr7ExG4w0CXU9ZGlFgi_Q_27_2"/>
      <w:bookmarkStart w:id="1297" w:name="Tc_6Umug_lduUajjjq6klAGlQ_27_0"/>
      <w:bookmarkStart w:id="1298" w:name="Tc_FiAKb69s9EibyMFFp9PHPw_26_26"/>
      <w:bookmarkStart w:id="1299" w:name="Tc_Aqis4Q__9E-1eXIxKKv2zg_26_24"/>
      <w:bookmarkStart w:id="1300" w:name="Tc_9Q28H6HnN0-Zxe271TyJXA_26_23"/>
      <w:bookmarkStart w:id="1301" w:name="Tc_x1pBjgG7yUOJfPnfhTWEAw_26_21"/>
      <w:bookmarkStart w:id="1302" w:name="Tc_oStcxeYIdkq3AyLDjV5XxA_26_20"/>
      <w:bookmarkStart w:id="1303" w:name="Tc_SlFNCsIItUK5TId5nKvXXg_26_17"/>
      <w:bookmarkStart w:id="1304" w:name="Tc_lFAJej16X0WY95WTY7rckQ_26_14"/>
      <w:bookmarkStart w:id="1305" w:name="Tc_tRnLwwtIrUGCb3Qe8CkEJg_26_11"/>
      <w:bookmarkStart w:id="1306" w:name="Tc_XFto-_3nsUCrfUoN7Z8pnw_26_8"/>
      <w:bookmarkStart w:id="1307" w:name="Tc_w937VBCUT0-utSr-RjvkbA_26_5"/>
      <w:bookmarkStart w:id="1308" w:name="Tc_LX9MKKGcNE2DXWVYD0LxTw_26_3"/>
      <w:bookmarkStart w:id="1309" w:name="Tc_C1wUsSWt_EaMgGui73t3MQ_26_2"/>
      <w:bookmarkStart w:id="1310" w:name="Tc_mGLpZP8AuE28w3QuuLay6A_26_0"/>
      <w:bookmarkStart w:id="1311" w:name="Tc_QqPT5tQJpEePQL6v8ClGpA_25_0"/>
      <w:bookmarkStart w:id="1312" w:name="Tc_fUVh6hutRkKWiSe8Hli-aA_24_26"/>
      <w:bookmarkStart w:id="1313" w:name="Tc_jjfWYIEZaU6Absif5pjjwA_24_23"/>
      <w:bookmarkStart w:id="1314" w:name="Tc_CjQM26XbG0273cpqZuekCw_24_20"/>
      <w:bookmarkStart w:id="1315" w:name="Tc_QKbpMWDLcki5DBkJ3o4gaQ_24_18"/>
      <w:bookmarkStart w:id="1316" w:name="Tc_8llUwO1xhEmpJ9PVlKr3UQ_24_17"/>
      <w:bookmarkStart w:id="1317" w:name="Tc_HSWi1ruPp0eXrmwb0abm_g_24_15"/>
      <w:bookmarkStart w:id="1318" w:name="Tc_mW6I4skFbUuP7za84R7EsA_24_14"/>
      <w:bookmarkStart w:id="1319" w:name="Tc_LFG25eUFfkWz0sDgkJ8SGQ_24_11"/>
      <w:bookmarkStart w:id="1320" w:name="Tc_Yp2iXeMZS0aczaAi50aC9w_24_8"/>
      <w:bookmarkStart w:id="1321" w:name="Tc_HMTNJp7ZkkOf32zuWRuICA_24_5"/>
      <w:bookmarkStart w:id="1322" w:name="Tc_FzmlYpS41EmtkbFAWT2fNg_24_2"/>
      <w:bookmarkStart w:id="1323" w:name="Tc_ccdhWe-wKkufePwgNVjkvQ_24_0"/>
      <w:bookmarkStart w:id="1324" w:name="Tc_2RaKBVzNBE-riGFCedXpQw_23_24"/>
      <w:bookmarkStart w:id="1325" w:name="Tc_JIK4zLUMAUOvisyhaADO-w_23_21"/>
      <w:bookmarkStart w:id="1326" w:name="Tc_dcRki_dS70Ca4JqowQ0xNA_23_18"/>
      <w:bookmarkStart w:id="1327" w:name="Tc_O_dCaInRJEOs11clnr_ptA_23_15"/>
      <w:bookmarkStart w:id="1328" w:name="Tc_Carho2x7nkq6WB3gCpghSA_23_9"/>
      <w:bookmarkStart w:id="1329" w:name="Tc_LZ1yhK5zr0in3Bj_lj_b0w_23_0"/>
      <w:bookmarkStart w:id="1330" w:name="Tc_nemCP--gI0WwWxpaXNSYAw_22_18"/>
      <w:bookmarkStart w:id="1331" w:name="Tc_96qVXAuP6kGDxDtjWTKRLA_22_15"/>
      <w:bookmarkStart w:id="1332" w:name="Tc_qqr_gq4IFkmpTMx9LhaNoA_22_0"/>
      <w:bookmarkStart w:id="1333" w:name="Tc_8ugtfRAj1U2KGsQAq-IwCw_21_21"/>
      <w:bookmarkStart w:id="1334" w:name="Tc_OmLvwTAQJU-YiFuybi4Nwg_21_18"/>
      <w:bookmarkStart w:id="1335" w:name="Tc_3EBXw4Emh06Hs4q1-2tq9Q_21_15"/>
      <w:bookmarkStart w:id="1336" w:name="Tc_xIyHRWKgNEytHvRGRvY8Cg_21_9"/>
      <w:bookmarkStart w:id="1337" w:name="Tc_9GtnksIxrEeC6lYw1eHekw_21_3"/>
      <w:bookmarkStart w:id="1338" w:name="Tc_TTYxJKRQXUu0kLnjywSaDQ_21_0"/>
      <w:bookmarkStart w:id="1339" w:name="Tc_Bq7dZs6aT06HhRehibP7CA_20_18"/>
      <w:bookmarkStart w:id="1340" w:name="Tc_O_SbOEi1lkSgW2F7kdTqzA_20_15"/>
      <w:bookmarkStart w:id="1341" w:name="Tc_vMTmtL9u3kGts-ZEjV9BHA_20_0"/>
      <w:bookmarkStart w:id="1342" w:name="Tc_EQBlKY4hZkelGu8uvuNFWw_18_21"/>
      <w:bookmarkStart w:id="1343" w:name="Tc_3G3dhBO-1EiQkMqYqoVmcQ_18_18"/>
      <w:bookmarkStart w:id="1344" w:name="Tc_HM4CBEthMkSEtI2s02OEgw_18_15"/>
      <w:bookmarkStart w:id="1345" w:name="Tc_WsZfbLnaukSA49L18roSnA_18_0"/>
      <w:bookmarkStart w:id="1346" w:name="Tc_y4uXwtolcUmml2kdVXnD2A_17_24"/>
      <w:bookmarkStart w:id="1347" w:name="Tc_hLT-hf2UOUeya4D79_oNFA_17_21"/>
      <w:bookmarkStart w:id="1348" w:name="Tc_ECnGpAjxZEOcPAIjUVyjhg_17_18"/>
      <w:bookmarkStart w:id="1349" w:name="Tc_yNZhHCDLtUSdCx_sU_mvtg_17_15"/>
      <w:bookmarkStart w:id="1350" w:name="Tc_Iv4eBqBkB0WdBwOc0PnTKw_17_9"/>
      <w:bookmarkStart w:id="1351" w:name="Tc_mHOmGkP2YU-rPJZ4gkOdaw_17_6"/>
      <w:bookmarkStart w:id="1352" w:name="Tc_WxBRctTUw0is9Y0lPz0iuw_17_3"/>
      <w:bookmarkStart w:id="1353" w:name="Tc_Qc6wNLzdeUOw_7bunWyWmg_17_0"/>
      <w:bookmarkStart w:id="1354" w:name="Tc_EMEdw9sm3Uu0ME_9-MdfNA_16_0"/>
      <w:bookmarkStart w:id="1355" w:name="Tc_bdM5q6cgCkSNoC0Qr49Dmw_15_24"/>
      <w:bookmarkStart w:id="1356" w:name="Tc_LMJYqqk1ZkuT9K1T_c-xpg_15_21"/>
      <w:bookmarkStart w:id="1357" w:name="Tc_lEBTbDXv0UGV7s27THAskQ_15_18"/>
      <w:bookmarkStart w:id="1358" w:name="Tc_DTy3XXK6dUyGCGBKBsMAkQ_15_15"/>
      <w:bookmarkStart w:id="1359" w:name="Tc_2X7q5nnXzEiOHMkA1xgFuQ_15_12"/>
      <w:bookmarkStart w:id="1360" w:name="Tc_mGbgqqzvik2p3vCg_FgmqQ_15_9"/>
      <w:bookmarkStart w:id="1361" w:name="Tc_HRLuqBWMT0y7HJI8RjixmQ_15_6"/>
      <w:bookmarkStart w:id="1362" w:name="Tc_K4reDCGwnEW46Xr2khc2SQ_15_0"/>
      <w:bookmarkStart w:id="1363" w:name="Tc_WFHicYS-bECmpJpHTmjqMw_14_24"/>
      <w:bookmarkStart w:id="1364" w:name="Tc_VF9shbUOqUSpuThZm0cPsg_14_21"/>
      <w:bookmarkStart w:id="1365" w:name="Tc_YahMfWZsL0q-dLHN4VJk3w_14_18"/>
      <w:bookmarkStart w:id="1366" w:name="Tc_vgOu2_Ri1E6ZsiiMfbqFsw_14_12"/>
      <w:bookmarkStart w:id="1367" w:name="Tc_HLvZ4QTA5E6_7ce1Lr5c2Q_14_6"/>
      <w:bookmarkStart w:id="1368" w:name="Tc_zXK1MfWC5kOwu_4-IzLFVA_14_3"/>
      <w:bookmarkStart w:id="1369" w:name="Tc_xVoUEZSRRUmc0QucpQFSsw_14_0"/>
      <w:bookmarkStart w:id="1370" w:name="Tc_lcwVSxokV0aD-ttvR9SKEg_13_24"/>
      <w:bookmarkStart w:id="1371" w:name="Tc_wCAapA3eE0C46oDeMsLUjA_13_3"/>
      <w:bookmarkStart w:id="1372" w:name="Tc_HeF9oQTYf0q67Ix-HzzpMA_13_0"/>
      <w:bookmarkStart w:id="1373" w:name="Tc_yAeaPHXXLUGlbp3DNZRjlA_12_0"/>
      <w:bookmarkStart w:id="1374" w:name="Tc_tts5yCb6bkKSF6rnSbz_Sw_10_27"/>
      <w:bookmarkStart w:id="1375" w:name="Tc_ZZQBvdiXJEqIJ-Zl4bs2hA_10_24"/>
      <w:bookmarkStart w:id="1376" w:name="Tc_pinq2pmx-UqHgiHmvZj_VQ_10_21"/>
      <w:bookmarkStart w:id="1377" w:name="Tc_rGamPFpal0GZqxPYy-dLww_10_18"/>
      <w:bookmarkStart w:id="1378" w:name="Tc_dHrExRMzu0KAvYl82fxvZg_10_15"/>
      <w:bookmarkStart w:id="1379" w:name="Tc_XyYeywcS4U21zb0ZQUhfEw_10_12"/>
      <w:bookmarkStart w:id="1380" w:name="Tc_xSuLBwc0tkuXXyFa8sGtbA_10_9"/>
      <w:bookmarkStart w:id="1381" w:name="Tc_ZQKxtohPV0etXgKgzxmkhA_10_6"/>
      <w:bookmarkStart w:id="1382" w:name="Tc_04GUq1zFPEWaJoXl00IPgQ_10_3"/>
      <w:bookmarkStart w:id="1383" w:name="Tc_dprYZ3ZVTkKHLgEORU9gwA_10_0"/>
      <w:bookmarkStart w:id="1384" w:name="Tc_bdQhjIjLTE6rpHd7s0O71A_9_24"/>
      <w:bookmarkStart w:id="1385" w:name="Tc_fPrAt8_pmkC15S8fW40L4Q_9_21"/>
      <w:bookmarkStart w:id="1386" w:name="Tc_SYonrI0MbUyr4JHQS00O7Q_9_18"/>
      <w:bookmarkStart w:id="1387" w:name="Tc_qilfEWyfKEih1ww8JavQlQ_9_15"/>
      <w:bookmarkStart w:id="1388" w:name="Tc_q2uVom8VokuZRTNHkxpENw_9_12"/>
      <w:bookmarkStart w:id="1389" w:name="Tc_VyVs-utfO0akqEbY8o8Fmw_9_6"/>
      <w:bookmarkStart w:id="1390" w:name="Tc_xjpUd-1EDUOz37A8oPPetg_9_3"/>
      <w:bookmarkStart w:id="1391" w:name="Tc_9jtztGF5E0KKWbH1FboYKw_9_0"/>
      <w:bookmarkStart w:id="1392" w:name="Tc_NS3Q5KKPBUS0tm00sfhnhA_8_18"/>
      <w:bookmarkStart w:id="1393" w:name="Tc_FiLva3wiN0SUaoHuhx_rZA_8_15"/>
      <w:bookmarkStart w:id="1394" w:name="Tc_y5cP3dBFyU-ce9q2OIHz1Q_8_12"/>
      <w:bookmarkStart w:id="1395" w:name="Tc_VxM704fvME24v1D4Z6Xv-w_8_0"/>
      <w:bookmarkStart w:id="1396" w:name="Tc_UZ7WDZR6HEKOP1vN-QbLLw_7_24"/>
      <w:bookmarkStart w:id="1397" w:name="Tc_2b8dWu5Dt0iVbCNSLVFWWA_7_21"/>
      <w:bookmarkStart w:id="1398" w:name="Tc_m8dQ8g0y7kmuDIo435Fofw_7_18"/>
      <w:bookmarkStart w:id="1399" w:name="Tc__Uen3R1Fyky5MwEh9QXpuw_7_15"/>
      <w:bookmarkStart w:id="1400" w:name="Tc_CILq5KO3t0uAaz_ecoqZ3A_7_12"/>
      <w:bookmarkStart w:id="1401" w:name="Tc_qp6aUDbue0Ca3Px2uc388w_7_9"/>
      <w:bookmarkStart w:id="1402" w:name="Tc_lEHoSB2Q3USje98VcPKTdw_7_6"/>
      <w:bookmarkStart w:id="1403" w:name="Tc_OCI7RlPWwk2rf3kr9LBsjA_7_0"/>
      <w:bookmarkStart w:id="1404" w:name="Tc_tmX3hBCQQkSlCxbzC11YcQ_6_24"/>
      <w:bookmarkStart w:id="1405" w:name="Tc_5H8N2obWVkuYIrI0Pfnqjg_6_18"/>
      <w:bookmarkStart w:id="1406" w:name="Tc_qL5izGocYkiitmsDDn8t-Q_6_12"/>
      <w:bookmarkStart w:id="1407" w:name="Tc_cbsyI1XJG0Go7eYjLhd2aw_6_6"/>
      <w:bookmarkStart w:id="1408" w:name="Tc_2nqk1mBZiUWrwqFLqsqsCQ_6_3"/>
      <w:bookmarkStart w:id="1409" w:name="Tc_noOyPx9Jb0i-z7FSt7vNiQ_6_0"/>
      <w:bookmarkStart w:id="1410" w:name="Tc_EqIGrR9Yzk-s-czS1J0f5g_5_26"/>
      <w:bookmarkStart w:id="1411" w:name="Tc_bJZd0IHoY0qkEJOCf7jqaA_5_24"/>
      <w:bookmarkStart w:id="1412" w:name="Tc_EfP0_aN5AEiqNQs4hxPgyA_5_23"/>
      <w:bookmarkStart w:id="1413" w:name="Tc_fhYvQ2daiEuCzCPwVq-IvA_5_20"/>
      <w:bookmarkStart w:id="1414" w:name="Tc_ugPHP57-FUiDr3-rXBWVlA_5_17"/>
      <w:bookmarkStart w:id="1415" w:name="Tc_Ir77R4MjiUm6i3THU7kzIQ_5_14"/>
      <w:bookmarkStart w:id="1416" w:name="Tc_viLpP_k51k6tBYEqIXXFgA_5_11"/>
      <w:bookmarkStart w:id="1417" w:name="Tc_EASjFDm9Hkytf45bBvav0A_5_8"/>
      <w:bookmarkStart w:id="1418" w:name="Tc_twJFzpfMuEOt2xssVi2khw_5_5"/>
      <w:bookmarkStart w:id="1419" w:name="Tc_R-d2DTpf_0mleilTSwy4pw_5_3"/>
      <w:bookmarkStart w:id="1420" w:name="Tc_Qrre79OiLkSL5dUweqkKdw_5_2"/>
      <w:bookmarkStart w:id="1421" w:name="Tc_mLEgZFYBYEaulUA1u3r5hA_5_0"/>
      <w:bookmarkStart w:id="1422" w:name="Tc_ED9_4DdSVEKN8-BTSwl_kg_4_0"/>
      <w:bookmarkStart w:id="1423" w:name="Tc_Jx6u0srpTEO1ecx8lukjsQ_3_2"/>
      <w:bookmarkStart w:id="1424" w:name="Tc_aTBklQq-zkmoJxkzLPMQ7Q_2_26"/>
      <w:bookmarkStart w:id="1425" w:name="Tc_wY4Vo3nBaUqSwcEMYq9Yww_2_23"/>
      <w:bookmarkStart w:id="1426" w:name="Tc_ZlE5dUNgREuvKg9ZKPKjDA_2_20"/>
      <w:bookmarkStart w:id="1427" w:name="Tc_zlIbhtmsb0WvGU2IrNUJVA_2_17"/>
      <w:bookmarkStart w:id="1428" w:name="Tc_AIaOYIeUtUG-vD8m7AF6Nw_2_14"/>
      <w:bookmarkStart w:id="1429" w:name="Tc_xa-3x1LofUOoYg1MQahDrQ_2_11"/>
      <w:bookmarkStart w:id="1430" w:name="Tc_BjUIirGTgUS7hEMEgfDLdA_2_8"/>
      <w:bookmarkStart w:id="1431" w:name="Tc_kmIdoQ04q0qAOjHQJkEvYw_2_5"/>
      <w:bookmarkStart w:id="1432" w:name="Tc_SJbcD1h080m9zEhwWDaOrw_2_2"/>
      <w:bookmarkStart w:id="1433" w:name="Tc_vJ4VyDkG1UyuUe99rPn4QA_1_2"/>
      <w:bookmarkStart w:id="1434" w:name="_14ec5e71_ba2b_4ffa_90de_ff6ccd8efc82"/>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r>
        <w:rPr>
          <w:rFonts w:ascii="Times New Roman;Times;serif" w:hAnsi="Times New Roman;Times;serif"/>
          <w:b/>
          <w:sz w:val="20"/>
        </w:rPr>
        <w:t>Condensed Statements of Operations</w:t>
      </w:r>
    </w:p>
    <w:tbl>
      <w:tblPr>
        <w:tblW w:w="10206" w:type="dxa"/>
        <w:jc w:val="left"/>
        <w:tblInd w:w="0" w:type="dxa"/>
        <w:tblLayout w:type="fixed"/>
        <w:tblCellMar>
          <w:top w:w="0" w:type="dxa"/>
          <w:left w:w="0" w:type="dxa"/>
          <w:bottom w:w="0" w:type="dxa"/>
          <w:right w:w="0" w:type="dxa"/>
        </w:tblCellMar>
      </w:tblPr>
      <w:tblGrid>
        <w:gridCol w:w="1051"/>
        <w:gridCol w:w="326"/>
        <w:gridCol w:w="248"/>
        <w:gridCol w:w="518"/>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32"/>
        <w:gridCol w:w="444"/>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67385" cy="175260"/>
                      <wp:effectExtent l="0" t="0" r="0" b="0"/>
                      <wp:wrapNone/>
                      <wp:docPr id="242" name="Frame2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57480" cy="175260"/>
                      <wp:effectExtent l="0" t="0" r="0" b="0"/>
                      <wp:wrapNone/>
                      <wp:docPr id="244" name="Frame24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8930" cy="175260"/>
                      <wp:effectExtent l="0" t="0" r="0" b="0"/>
                      <wp:wrapNone/>
                      <wp:docPr id="245" name="Frame24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14935" cy="175260"/>
                      <wp:effectExtent l="0" t="0" r="0" b="0"/>
                      <wp:wrapNone/>
                      <wp:docPr id="247" name="Frame2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6860" cy="175260"/>
                      <wp:effectExtent l="0" t="0" r="0" b="0"/>
                      <wp:wrapNone/>
                      <wp:docPr id="248" name="Frame24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3355" cy="175260"/>
                      <wp:effectExtent l="0" t="0" r="0" b="0"/>
                      <wp:wrapNone/>
                      <wp:docPr id="250" name="Frame25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32105" cy="175260"/>
                      <wp:effectExtent l="0" t="0" r="0" b="0"/>
                      <wp:wrapNone/>
                      <wp:docPr id="251" name="Frame251"/>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0020" cy="175260"/>
                      <wp:effectExtent l="0" t="0" r="0" b="0"/>
                      <wp:wrapNone/>
                      <wp:docPr id="253" name="Frame25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07340" cy="175260"/>
                      <wp:effectExtent l="0" t="0" r="0" b="0"/>
                      <wp:wrapNone/>
                      <wp:docPr id="254" name="Frame25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4935" cy="175260"/>
                      <wp:effectExtent l="0" t="0" r="0" b="0"/>
                      <wp:wrapNone/>
                      <wp:docPr id="256" name="Frame2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7635" cy="175260"/>
                      <wp:effectExtent l="0" t="0" r="0" b="0"/>
                      <wp:wrapNone/>
                      <wp:docPr id="259" name="Frame25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44475" cy="175260"/>
                      <wp:effectExtent l="0" t="0" r="0" b="0"/>
                      <wp:wrapNone/>
                      <wp:docPr id="260" name="Frame26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62"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38125" cy="175260"/>
                      <wp:effectExtent l="0" t="0" r="0" b="0"/>
                      <wp:wrapNone/>
                      <wp:docPr id="263" name="Frame26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47320" cy="175260"/>
                      <wp:effectExtent l="0" t="0" r="0" b="0"/>
                      <wp:wrapNone/>
                      <wp:docPr id="265" name="Frame26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81940" cy="175260"/>
                      <wp:effectExtent l="0" t="0" r="0" b="0"/>
                      <wp:wrapNone/>
                      <wp:docPr id="266" name="Frame266"/>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3830" cy="175260"/>
                      <wp:effectExtent l="0" t="0" r="0" b="0"/>
                      <wp:wrapNone/>
                      <wp:docPr id="268" name="Frame26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36880" cy="175260"/>
                      <wp:effectExtent l="0" t="0" r="0" b="0"/>
                      <wp:wrapNone/>
                      <wp:docPr id="269" name="Frame26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2024</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1,966</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1,922</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1,983</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378</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21" w:type="dxa"/>
        <w:jc w:val="left"/>
        <w:tblInd w:w="0" w:type="dxa"/>
        <w:tblLayout w:type="fixed"/>
        <w:tblCellMar>
          <w:top w:w="0" w:type="dxa"/>
          <w:left w:w="0" w:type="dxa"/>
          <w:bottom w:w="0" w:type="dxa"/>
          <w:right w:w="0" w:type="dxa"/>
        </w:tblCellMar>
      </w:tblPr>
      <w:tblGrid>
        <w:gridCol w:w="1066"/>
        <w:gridCol w:w="326"/>
        <w:gridCol w:w="248"/>
        <w:gridCol w:w="518"/>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19"/>
        <w:gridCol w:w="457"/>
        <w:gridCol w:w="326"/>
        <w:gridCol w:w="258"/>
        <w:gridCol w:w="688"/>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76910" cy="175260"/>
                      <wp:effectExtent l="0" t="0" r="0" b="0"/>
                      <wp:wrapNone/>
                      <wp:docPr id="270" name="Frame27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57480" cy="175260"/>
                      <wp:effectExtent l="0" t="0" r="0" b="0"/>
                      <wp:wrapNone/>
                      <wp:docPr id="272" name="Frame27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28930" cy="175260"/>
                      <wp:effectExtent l="0" t="0" r="0" b="0"/>
                      <wp:wrapNone/>
                      <wp:docPr id="273" name="Frame273"/>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4935" cy="175260"/>
                      <wp:effectExtent l="0" t="0" r="0" b="0"/>
                      <wp:wrapNone/>
                      <wp:docPr id="275" name="Frame2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76860" cy="175260"/>
                      <wp:effectExtent l="0" t="0" r="0" b="0"/>
                      <wp:wrapNone/>
                      <wp:docPr id="276" name="Frame27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73355" cy="175260"/>
                      <wp:effectExtent l="0" t="0" r="0" b="0"/>
                      <wp:wrapNone/>
                      <wp:docPr id="278" name="Frame27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32105" cy="175260"/>
                      <wp:effectExtent l="0" t="0" r="0" b="0"/>
                      <wp:wrapNone/>
                      <wp:docPr id="279" name="Frame279"/>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0020" cy="175260"/>
                      <wp:effectExtent l="0" t="0" r="0" b="0"/>
                      <wp:wrapNone/>
                      <wp:docPr id="281" name="Frame28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07340" cy="175260"/>
                      <wp:effectExtent l="0" t="0" r="0" b="0"/>
                      <wp:wrapNone/>
                      <wp:docPr id="282" name="Frame282"/>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14935" cy="175260"/>
                      <wp:effectExtent l="0" t="0" r="0" b="0"/>
                      <wp:wrapNone/>
                      <wp:docPr id="284" name="Frame2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7635" cy="175260"/>
                      <wp:effectExtent l="0" t="0" r="0" b="0"/>
                      <wp:wrapNone/>
                      <wp:docPr id="287" name="Frame28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44475" cy="175260"/>
                      <wp:effectExtent l="0" t="0" r="0" b="0"/>
                      <wp:wrapNone/>
                      <wp:docPr id="288" name="Frame28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38125" cy="175260"/>
                      <wp:effectExtent l="0" t="0" r="0" b="0"/>
                      <wp:wrapNone/>
                      <wp:docPr id="291" name="Frame29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9065" cy="175260"/>
                      <wp:effectExtent l="0" t="0" r="0" b="0"/>
                      <wp:wrapNone/>
                      <wp:docPr id="293" name="Frame29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90195" cy="175260"/>
                      <wp:effectExtent l="0" t="0" r="0" b="0"/>
                      <wp:wrapNone/>
                      <wp:docPr id="294" name="Frame29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3830" cy="175260"/>
                      <wp:effectExtent l="0" t="0" r="0" b="0"/>
                      <wp:wrapNone/>
                      <wp:docPr id="296" name="Frame29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6880" cy="175260"/>
                      <wp:effectExtent l="0" t="0" r="0" b="0"/>
                      <wp:wrapNone/>
                      <wp:docPr id="297" name="Frame29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2023</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21"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2,237</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2,684</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2,248</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428</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2,559</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1,990</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2,310</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Credit loss on related party note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deconsolidation of subsidiary</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2,051</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2,976</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(419)</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35" w:name="Tc_jGVdp8K21E6Z9j8pifmGVA_28_26"/>
      <w:bookmarkStart w:id="1436" w:name="Tc_c1ixmInqNEKBa7zDiKjxBw_28_24"/>
      <w:bookmarkStart w:id="1437" w:name="Tc_KXNqduxN7UGZYWE2KO05_Q_28_23"/>
      <w:bookmarkStart w:id="1438" w:name="Tc_x4qHXnaFVkO72mTmEDqJ5Q_28_20"/>
      <w:bookmarkStart w:id="1439" w:name="Tc_dEOxgJShskmZcvS4yVx1iQ_28_17"/>
      <w:bookmarkStart w:id="1440" w:name="Tc_FBZQf1vuZ0qsRCvLFS6pww_28_14"/>
      <w:bookmarkStart w:id="1441" w:name="Tc_mm-16I9qu025BvGyYELTdA_28_11"/>
      <w:bookmarkStart w:id="1442" w:name="Tc_8-4-77jUh0iYHiyTNsc-iw_28_8"/>
      <w:bookmarkStart w:id="1443" w:name="Tc_52QWswtfv0qLyyn27WqRlA_28_5"/>
      <w:bookmarkStart w:id="1444" w:name="Tc_VpId-XYZdk-GXEJuJT-Xcg_28_3"/>
      <w:bookmarkStart w:id="1445" w:name="Tc_Jy1XYBAgR0qSy3EFkKlxUg_28_2"/>
      <w:bookmarkStart w:id="1446" w:name="Tc_5dViz4AMZEmfAvihUxptyw_28_0"/>
      <w:bookmarkStart w:id="1447" w:name="Tc_qtxIUjdMM0-rQ58-JTDbWg_27_26"/>
      <w:bookmarkStart w:id="1448" w:name="Tc_ReKSbIbvJUGtaPmpMyykig_27_24"/>
      <w:bookmarkStart w:id="1449" w:name="Tc_51sp2k-oZk2Ppj0RT2Ku9g_27_23"/>
      <w:bookmarkStart w:id="1450" w:name="Tc_h5Qu5jgI9km0ut2hJPYeHA_27_21"/>
      <w:bookmarkStart w:id="1451" w:name="Tc_sO7BYUDDb0uu46jmm2iTrg_27_20"/>
      <w:bookmarkStart w:id="1452" w:name="Tc_IgEYBFSaLketm1jnleFVIQ_27_17"/>
      <w:bookmarkStart w:id="1453" w:name="Tc_vLyvu_Wv3kOH6Ci3vTQ9Ug_27_14"/>
      <w:bookmarkStart w:id="1454" w:name="Tc_PzwAtUAZ6UGPBYUd4kKuUA_27_11"/>
      <w:bookmarkStart w:id="1455" w:name="Tc__gm_oSyDUEG_mxcfsHaZZg_27_8"/>
      <w:bookmarkStart w:id="1456" w:name="Tc_ThqYKmxmkE6Vf7DBsKQVqw_27_5"/>
      <w:bookmarkStart w:id="1457" w:name="Tc_dgnqBMZLoEqz_pSFI6Dg_A_27_3"/>
      <w:bookmarkStart w:id="1458" w:name="Tc_F_TrvRZyHUW7rdU2uenpQA_27_2"/>
      <w:bookmarkStart w:id="1459" w:name="Tc_vrTEXHDdqEOB5VdEbKOy9g_27_0"/>
      <w:bookmarkStart w:id="1460" w:name="Tc_-pgIUDl99kKG5VGkXuN-yg_26_0"/>
      <w:bookmarkStart w:id="1461" w:name="Tc_4Pp4_YsCXESPb9wiMXaLgg_25_26"/>
      <w:bookmarkStart w:id="1462" w:name="Tc_wVqnQdq230iOfyDWw0eMSA_25_23"/>
      <w:bookmarkStart w:id="1463" w:name="Tc_zS1I3imgeUqo4odZBe1lrw_25_20"/>
      <w:bookmarkStart w:id="1464" w:name="Tc_X239rwRc-0CBWtah11sbPg_25_17"/>
      <w:bookmarkStart w:id="1465" w:name="Tc_pPZbJsCKv0Sjatuxq0Mqyw_25_14"/>
      <w:bookmarkStart w:id="1466" w:name="Tc_VfGHrqZmLE-QyehTw75rLQ_25_11"/>
      <w:bookmarkStart w:id="1467" w:name="Tc_DO2XW9e1rUmeDngM9NRR7g_25_8"/>
      <w:bookmarkStart w:id="1468" w:name="Tc_51EFBKjXPUmzjb_PC1VGyQ_25_5"/>
      <w:bookmarkStart w:id="1469" w:name="Tc_rWs-wFJOh0WnsITiivUztw_25_2"/>
      <w:bookmarkStart w:id="1470" w:name="Tc_3Kizlg8z_EGENN92VyFLyw_25_0"/>
      <w:bookmarkStart w:id="1471" w:name="Tc_39mZ17PsFEavClhL3VPYWw_24_24"/>
      <w:bookmarkStart w:id="1472" w:name="Tc_BOSoNDXfaUO4JkDot3vVvw_24_21"/>
      <w:bookmarkStart w:id="1473" w:name="Tc_IDYK0LERDkepeL3hp_lFWQ_24_18"/>
      <w:bookmarkStart w:id="1474" w:name="Tc_DEFfMWChrUO2ftri8GGAXg_24_15"/>
      <w:bookmarkStart w:id="1475" w:name="Tc_JjCfagVWmESRxXyKWD-NNA_24_9"/>
      <w:bookmarkStart w:id="1476" w:name="Tc_iBNTt4BZ4UmwzdQU0pXbiA_24_0"/>
      <w:bookmarkStart w:id="1477" w:name="Tc_03G1v2bFt0ynKUXeXhKgiA_23_0"/>
      <w:bookmarkStart w:id="1478" w:name="Tc_qTkp3y6kK0OBqRMhrLX-rA_22_21"/>
      <w:bookmarkStart w:id="1479" w:name="Tc_2DjegFQ7Pky7Yjw06uguYA_22_18"/>
      <w:bookmarkStart w:id="1480" w:name="Tc_14fhfNCfvEWWToW7rARMCw_22_15"/>
      <w:bookmarkStart w:id="1481" w:name="Tc_PxG9yvlt-kKmk7hevRwW5g_22_3"/>
      <w:bookmarkStart w:id="1482" w:name="Tc_bw6LIOzZT0qQYv6d8IL5ew_22_0"/>
      <w:bookmarkStart w:id="1483" w:name="Tc_O0wjvGBAOEy2T1dQbsU9yA_21_0"/>
      <w:bookmarkStart w:id="1484" w:name="Tc_Whudfmw6NkCM0MXAsTvPzw_19_21"/>
      <w:bookmarkStart w:id="1485" w:name="Tc_n6BLT1M6uU-f4a4ADe7VEg_19_18"/>
      <w:bookmarkStart w:id="1486" w:name="Tc_Gqp9pJJvyEGdHzPrwxVThA_19_15"/>
      <w:bookmarkStart w:id="1487" w:name="Tc_6AkKDUfhikq8Fqr70aOZMw_19_0"/>
      <w:bookmarkStart w:id="1488" w:name="Tc_LrttQ65qLE2yhRmRvSysdw_18_21"/>
      <w:bookmarkStart w:id="1489" w:name="Tc_5si0kSV1OkKx6OdHHOAdtQ_18_18"/>
      <w:bookmarkStart w:id="1490" w:name="Tc_UbmARJGzI0CQ1lVio0GuQA_18_15"/>
      <w:bookmarkStart w:id="1491" w:name="Tc_XXBMB5FkEEaPzptc2GGeWQ_18_12"/>
      <w:bookmarkStart w:id="1492" w:name="Tc_6RXUGLA2NE2LxIyw78koTA_18_9"/>
      <w:bookmarkStart w:id="1493" w:name="Tc_wN01ucHx4kGaj9BPEEElhA_18_6"/>
      <w:bookmarkStart w:id="1494" w:name="Tc_7ECf1fsd-k6urQUwpmWUjw_18_3"/>
      <w:bookmarkStart w:id="1495" w:name="Tc_1yXECrKzuUKYE1KhRlaC-Q_18_0"/>
      <w:bookmarkStart w:id="1496" w:name="Tc_dcTr3FBzWUKu5ojl_aiR9w_17_21"/>
      <w:bookmarkStart w:id="1497" w:name="Tc_OC9dbWnySk2i8fwRedF4uQ_17_18"/>
      <w:bookmarkStart w:id="1498" w:name="Tc_hZ5ne9ov-kOXqiF_asO_Rg_17_15"/>
      <w:bookmarkStart w:id="1499" w:name="Tc_S7wEVmnwkkedDGAeDswPKw_17_12"/>
      <w:bookmarkStart w:id="1500" w:name="Tc_UjthRPc-xkOBxoKBlv3LGg_17_9"/>
      <w:bookmarkStart w:id="1501" w:name="Tc_1U2FwT3Lc0i8ET0Qy0USzQ_17_6"/>
      <w:bookmarkStart w:id="1502" w:name="Tc_eBRgUjG4fEqE4daOG83-IA_17_3"/>
      <w:bookmarkStart w:id="1503" w:name="Tc_sh0KkmmpcUm9A91JVgSNzA_17_0"/>
      <w:bookmarkStart w:id="1504" w:name="Tc_azlNvjupW0mII_84TdzSUw_16_0"/>
      <w:bookmarkStart w:id="1505" w:name="Tc_XYgR1hUsIka-3MpXRFnuxg_15_24"/>
      <w:bookmarkStart w:id="1506" w:name="Tc_9kbHEzqU_UaSkAwG3ys6Gg_15_21"/>
      <w:bookmarkStart w:id="1507" w:name="Tc_f9SDHN6tcEGUk-s9ygicfQ_15_18"/>
      <w:bookmarkStart w:id="1508" w:name="Tc_E4cWucOxF0CKxyGDPwG3Lw_15_15"/>
      <w:bookmarkStart w:id="1509" w:name="Tc_Fb4v3mq5jU2c-UW1KckkYA_15_12"/>
      <w:bookmarkStart w:id="1510" w:name="Tc_ZWfO_rQzOUGqLIVnZ6op6Q_15_9"/>
      <w:bookmarkStart w:id="1511" w:name="Tc_3JMtEPwngkq03IS91ZsnYw_15_6"/>
      <w:bookmarkStart w:id="1512" w:name="Tc_yR8D19In9ECHTbt-_5OuPw_15_0"/>
      <w:bookmarkStart w:id="1513" w:name="Tc_FTMFkCOy60a2cc1gh7j7QQ_14_24"/>
      <w:bookmarkStart w:id="1514" w:name="Tc_yHh7n8TH7UC7m98t0ocNSQ_14_21"/>
      <w:bookmarkStart w:id="1515" w:name="Tc_97ktjyq8yUmjW9uD61PLBQ_14_18"/>
      <w:bookmarkStart w:id="1516" w:name="Tc__ZmLw-2XhU-jY-wTyTbaqw_14_12"/>
      <w:bookmarkStart w:id="1517" w:name="Tc_N9zfV8str0ef1VjvRkYNrg_14_6"/>
      <w:bookmarkStart w:id="1518" w:name="Tc_-LBWiRgC4EekXDyxCiPBQA_14_3"/>
      <w:bookmarkStart w:id="1519" w:name="Tc_oYOWxewkn0eTjCeRVbZnMg_14_0"/>
      <w:bookmarkStart w:id="1520" w:name="Tc_NQNFpFPIvEiOjSK8_gaMAA_13_24"/>
      <w:bookmarkStart w:id="1521" w:name="Tc_K5TuuVVexkqqlJ9gN3mhRg_13_3"/>
      <w:bookmarkStart w:id="1522" w:name="Tc_TwiuKoBeS0GrYzbUrATX_A_13_0"/>
      <w:bookmarkStart w:id="1523" w:name="Tc_GAsMIY_lpECnHD-bM7cXYg_12_0"/>
      <w:bookmarkStart w:id="1524" w:name="Tc_bj3QMw7Ns0SsAbpsihmPsQ_10_24"/>
      <w:bookmarkStart w:id="1525" w:name="Tc_OqvS5TJBqEKT6aX6YUT_bw_10_18"/>
      <w:bookmarkStart w:id="1526" w:name="Tc_GOlvBKIcE0C6YHExt2siRQ_10_9"/>
      <w:bookmarkStart w:id="1527" w:name="Tc_ikGJPd0vuEqqh2f7qG9A5A_10_0"/>
      <w:bookmarkStart w:id="1528" w:name="Tc_heCRx3mRckCvAv-aLO_jGQ_9_24"/>
      <w:bookmarkStart w:id="1529" w:name="Tc_51BXkuEM8UavA8-dBfgfqg_9_21"/>
      <w:bookmarkStart w:id="1530" w:name="Tc_7rR0Cat_V0qxrPcDi58c-w_9_18"/>
      <w:bookmarkStart w:id="1531" w:name="Tc_K0r7W6ujAUC4VW2d7pYwWg_9_15"/>
      <w:bookmarkStart w:id="1532" w:name="Tc_RFBVF4GEaU-xoUYk71qWqg_9_12"/>
      <w:bookmarkStart w:id="1533" w:name="Tc_Ye5XFj9fxUKBejCYeSqMwg_9_6"/>
      <w:bookmarkStart w:id="1534" w:name="Tc_82tEX4MDFkK4tPvbRnM2Ig_9_3"/>
      <w:bookmarkStart w:id="1535" w:name="Tc_pf2IG0hWJkidBBAH7RLWSQ_9_0"/>
      <w:bookmarkStart w:id="1536" w:name="Tc_bvvWAmaZBk-N8jzQT6eFng_8_21"/>
      <w:bookmarkStart w:id="1537" w:name="Tc_pgU8J9YZkUe8XxXdH85EYA_8_18"/>
      <w:bookmarkStart w:id="1538" w:name="Tc_YsCO732480iVI3nNgUnKbQ_8_15"/>
      <w:bookmarkStart w:id="1539" w:name="Tc_2oMj7SYv0EeAla91rlN2lg_8_12"/>
      <w:bookmarkStart w:id="1540" w:name="Tc_1iDm6Ga2BEiQ7KC-1L_bMg_8_9"/>
      <w:bookmarkStart w:id="1541" w:name="Tc_LVpquB4QP0Kfdz87lhkC5Q_8_0"/>
      <w:bookmarkStart w:id="1542" w:name="Tc_yDZ4yOFqXEys_Tnmflp9aA_7_24"/>
      <w:bookmarkStart w:id="1543" w:name="Tc_RQvWkQuBWk6k8i6-nI9a-Q_7_21"/>
      <w:bookmarkStart w:id="1544" w:name="Tc_gK2HNyB9NUywzoeDPZFjsA_7_18"/>
      <w:bookmarkStart w:id="1545" w:name="Tc_8m-TcYlTDEmdFo-5N4GFdQ_7_15"/>
      <w:bookmarkStart w:id="1546" w:name="Tc_QaX7kkdC00ybAENX90GaqA_7_12"/>
      <w:bookmarkStart w:id="1547" w:name="Tc_LNXVjiPcykWk-CTsovA__A_7_9"/>
      <w:bookmarkStart w:id="1548" w:name="Tc_rm8N5-L6L0e7kAQ9BH7wwQ_7_6"/>
      <w:bookmarkStart w:id="1549" w:name="Tc_gR-CN6VP2UeJfUaivssv-A_7_0"/>
      <w:bookmarkStart w:id="1550" w:name="Tc_t85VoxOHdECG8Jx6ksYGLA_6_24"/>
      <w:bookmarkStart w:id="1551" w:name="Tc_cMfVMa1oNkeKT39ovK0dQA_6_18"/>
      <w:bookmarkStart w:id="1552" w:name="Tc_vbvbaH3wZkWl5j24IGnKlw_6_12"/>
      <w:bookmarkStart w:id="1553" w:name="Tc_CRBBAXFvS0C-MusGXHfAbA_6_6"/>
      <w:bookmarkStart w:id="1554" w:name="Tc_w_6Zys9l1UCPiLrCzWoU6Q_6_3"/>
      <w:bookmarkStart w:id="1555" w:name="Tc_NFl3gaBZBUWZr2ZYtGhRNA_6_0"/>
      <w:bookmarkStart w:id="1556" w:name="Tc_Jr4wO9Xqr0Sv5P_dk62QeA_5_26"/>
      <w:bookmarkStart w:id="1557" w:name="Tc_SG4XTJMd1UC-KEXVo2J5vw_5_24"/>
      <w:bookmarkStart w:id="1558" w:name="Tc_6gBR1CuCnUqOcDnsJpS_XQ_5_23"/>
      <w:bookmarkStart w:id="1559" w:name="Tc_hzQKTzKK5EGaWuwm33UoIg_5_20"/>
      <w:bookmarkStart w:id="1560" w:name="Tc_WTfEA__LkUCtJY_psrc3sw_5_17"/>
      <w:bookmarkStart w:id="1561" w:name="Tc_BwhFcYeZSEqLCX_nYRHafA_5_14"/>
      <w:bookmarkStart w:id="1562" w:name="Tc_5Pdgs-2oHUySv3Mj6RPGxg_5_11"/>
      <w:bookmarkStart w:id="1563" w:name="Tc_HN8ZzZmD3k2NlvdRnY44Cw_5_8"/>
      <w:bookmarkStart w:id="1564" w:name="Tc_0xmoZMSHG0qIWP6dvIFxig_5_5"/>
      <w:bookmarkStart w:id="1565" w:name="Tc_W3HFNAXOwUiZGqzUVwqkRQ_5_3"/>
      <w:bookmarkStart w:id="1566" w:name="Tc_dnH_Y8pIU0CDEwwyS6tyQw_5_2"/>
      <w:bookmarkStart w:id="1567" w:name="Tc_StGt15XOvEqWr0_a-l-NdA_5_0"/>
      <w:bookmarkStart w:id="1568" w:name="Tc_ciwi4JCvM0C5GDsvBcYj8g_4_0"/>
      <w:bookmarkStart w:id="1569" w:name="Tc_somPdMRcI0ebrQXcxieLRg_3_2"/>
      <w:bookmarkStart w:id="1570" w:name="Tc_F0OdUQVIfE6OV6MtDO7hTw_2_26"/>
      <w:bookmarkStart w:id="1571" w:name="Tc_qsDIZPCn7kmeRPcqDLYalQ_2_23"/>
      <w:bookmarkStart w:id="1572" w:name="Tc_tLC3GHYneUy5X1FRfDBVew_2_20"/>
      <w:bookmarkStart w:id="1573" w:name="Tc_N2BSBcx0KE-LGopSROSxdQ_2_17"/>
      <w:bookmarkStart w:id="1574" w:name="Tc_fEYHFq4-4U-hZABhA03u-A_2_14"/>
      <w:bookmarkStart w:id="1575" w:name="Tc_L-neJrxHOUKtHFNVFS46zQ_2_11"/>
      <w:bookmarkStart w:id="1576" w:name="Tc_xeBfyb7y1kOfZwpTnHbNvg_2_8"/>
      <w:bookmarkStart w:id="1577" w:name="Tc_K9SiZX76Hk-gt6OaOJdfqQ_2_5"/>
      <w:bookmarkStart w:id="1578" w:name="Tc_eMUmyTR4qU-ulHQcEdNB7A_2_2"/>
      <w:bookmarkStart w:id="1579" w:name="Tc_Bkd2kc-omUK7QJE-EjfrTQ_1_2"/>
      <w:bookmarkStart w:id="1580" w:name="_438d33ce_a6d6_431a_a4e6_2a75eb9a3c83"/>
      <w:bookmarkStart w:id="1581" w:name="Tc_ZIvDofwVt02vJB3qMH4Dbw_27_26"/>
      <w:bookmarkStart w:id="1582" w:name="Tc_Gu118YIhrEi7TJARPkHmrA_27_24"/>
      <w:bookmarkStart w:id="1583" w:name="Tc_otg4Onv9wUyg6FkP4JfnHw_27_23"/>
      <w:bookmarkStart w:id="1584" w:name="Tc_rjx-M0UmaUWwskHu8C8ykg_27_20"/>
      <w:bookmarkStart w:id="1585" w:name="Tc_E3QNhS3GykOhpOHB_2CaEA_27_17"/>
      <w:bookmarkStart w:id="1586" w:name="Tc_MfUFWPZWF0mg5Rd0WagzgQ_27_14"/>
      <w:bookmarkStart w:id="1587" w:name="Tc_Mt_2P-hFREWhFRHNtcCdpg_27_11"/>
      <w:bookmarkStart w:id="1588" w:name="Tc_x3ixGgLXMkKxBSJZEVf3rA_27_8"/>
      <w:bookmarkStart w:id="1589" w:name="Tc_ki2Q40w-7kqzaf82vB_qOQ_27_5"/>
      <w:bookmarkStart w:id="1590" w:name="Tc_Mqmk2bA5X0y_JaKrj2pIgg_27_3"/>
      <w:bookmarkStart w:id="1591" w:name="Tc_cDqN4uXDmUibNcMpde3L7Q_27_2"/>
      <w:bookmarkStart w:id="1592" w:name="Tc_PltgOVd0IkKnEGU8kxjFvQ_27_0"/>
      <w:bookmarkStart w:id="1593" w:name="Tc_uH3bCcC6xUqsjRaRPDH9PA_26_26"/>
      <w:bookmarkStart w:id="1594" w:name="Tc_9IxvkKQG5kS2v8CEgsistA_26_24"/>
      <w:bookmarkStart w:id="1595" w:name="Tc_Kpho94GjIUeg-5B2g4hTHg_26_23"/>
      <w:bookmarkStart w:id="1596" w:name="Tc_EzEDQD2vHkCv_jva_TA0aA_26_21"/>
      <w:bookmarkStart w:id="1597" w:name="Tc_qGGoZc1ce0euqGajs5_G0Q_26_20"/>
      <w:bookmarkStart w:id="1598" w:name="Tc_NzkuN_L31EOY5K5TFZXh5g_26_17"/>
      <w:bookmarkStart w:id="1599" w:name="Tc_J3K86xPDqEqYwVUrU5hDaw_26_14"/>
      <w:bookmarkStart w:id="1600" w:name="Tc_D5FN88J4HkW6mYU2-RVc9A_26_11"/>
      <w:bookmarkStart w:id="1601" w:name="Tc_-N-l6PQxLU-Gxlj97bX4gQ_26_8"/>
      <w:bookmarkStart w:id="1602" w:name="Tc_CLM_pWK4VkyiaXE2CvJk-g_26_5"/>
      <w:bookmarkStart w:id="1603" w:name="Tc_JqfQB6R5M0Sh7Shy3Dx_Cg_26_3"/>
      <w:bookmarkStart w:id="1604" w:name="Tc_T3HQDqsp50OV_7Gg08NmLg_26_2"/>
      <w:bookmarkStart w:id="1605" w:name="Tc_14QgxjsFakOGg0DjRWFmLQ_26_0"/>
      <w:bookmarkStart w:id="1606" w:name="Tc_5TAV8ikcmUWBGpRorZREDA_25_0"/>
      <w:bookmarkStart w:id="1607" w:name="Tc_pyapPMfXKUaxXFgpCGXrqA_24_26"/>
      <w:bookmarkStart w:id="1608" w:name="Tc_5AqkXmp6W02zyYXSNkbw_Q_24_23"/>
      <w:bookmarkStart w:id="1609" w:name="Tc_d30BoT2e0UCjya5tdUi75Q_24_20"/>
      <w:bookmarkStart w:id="1610" w:name="Tc_Sdivo8xI30arbbtsDcqwBQ_24_17"/>
      <w:bookmarkStart w:id="1611" w:name="Tc_7l5_jQcBDEC3SKc89XGLMg_24_14"/>
      <w:bookmarkStart w:id="1612" w:name="Tc_oRjADDEB4UiaRhCPqBpcWw_24_11"/>
      <w:bookmarkStart w:id="1613" w:name="Tc_vJD0pI3v4E-jY7g1IzHxfA_24_8"/>
      <w:bookmarkStart w:id="1614" w:name="Tc_O4Sr4DRYAkuxRUglf567vg_24_5"/>
      <w:bookmarkStart w:id="1615" w:name="Tc_tyaKW7jqVkuAY-gOjlpOsg_24_2"/>
      <w:bookmarkStart w:id="1616" w:name="Tc_8M12jYIjM0WRB-V3k16n9A_24_0"/>
      <w:bookmarkStart w:id="1617" w:name="Tc_FzOqCtcyB0mT2DfOAMPk6A_23_24"/>
      <w:bookmarkStart w:id="1618" w:name="Tc_fH4RVViXbEeLOnc9fXx05A_23_21"/>
      <w:bookmarkStart w:id="1619" w:name="Tc_o0KnG9rjtUu11zgF4uMA4g_23_18"/>
      <w:bookmarkStart w:id="1620" w:name="Tc_1hdgLeH-8ECpm9MpReihaQ_23_15"/>
      <w:bookmarkStart w:id="1621" w:name="Tc_op5zPjx5y0irrTHelFu3rQ_23_9"/>
      <w:bookmarkStart w:id="1622" w:name="Tc_1tITd36Ir0ibpEiMjKuXXw_23_0"/>
      <w:bookmarkStart w:id="1623" w:name="Tc_9CRn4qc9M0uBExZWbRMyCA_22_0"/>
      <w:bookmarkStart w:id="1624" w:name="Tc_L1sz62jGHUCjTTYHGJalBw_21_21"/>
      <w:bookmarkStart w:id="1625" w:name="Tc_0oB9rn9trkG9s5lRufn6tQ_21_18"/>
      <w:bookmarkStart w:id="1626" w:name="Tc_K0pCJdUImEyF6vjqaby32g_21_15"/>
      <w:bookmarkStart w:id="1627" w:name="Tc_WAWC2unyH0Sy5bXItZwk6A_21_3"/>
      <w:bookmarkStart w:id="1628" w:name="Tc_LhQUvSZ41k-FbtgQWAvguQ_21_0"/>
      <w:bookmarkStart w:id="1629" w:name="Tc_peeb5HleHkCOg_lw12ycAA_20_0"/>
      <w:bookmarkStart w:id="1630" w:name="Tc_GPlV1ZgKaEGhmZDoIfu2rA_18_21"/>
      <w:bookmarkStart w:id="1631" w:name="Tc_ALIg4MUtQkicNOwGXT3yqA_18_18"/>
      <w:bookmarkStart w:id="1632" w:name="Tc_anH5bCoJPkqP5aWS0sx_Nw_18_15"/>
      <w:bookmarkStart w:id="1633" w:name="Tc_G8CVUNt2d0iq7f4B3gWuow_18_0"/>
      <w:bookmarkStart w:id="1634" w:name="Tc_olKiqpM3JE-lmn_CRUVl2w_17_24"/>
      <w:bookmarkStart w:id="1635" w:name="Tc_z54PsY3gWkeVanwzxQZ5uA_17_21"/>
      <w:bookmarkStart w:id="1636" w:name="Tc_it0N0XvDUEeGsqmePu-YoQ_17_18"/>
      <w:bookmarkStart w:id="1637" w:name="Tc_iM0wQnvgkUi9Cb-QjAQENA_17_15"/>
      <w:bookmarkStart w:id="1638" w:name="Tc_-qmbv_Y-NkuUa7c1-kv-Ag_17_9"/>
      <w:bookmarkStart w:id="1639" w:name="Tc_7gIUyfdVqk-DcQCB6gRB6Q_17_6"/>
      <w:bookmarkStart w:id="1640" w:name="Tc_8lMLbpwY7U6x1-Wm6EbiAg_17_3"/>
      <w:bookmarkStart w:id="1641" w:name="Tc_CEArmFfeXUORNZaBopZ-ZA_17_0"/>
      <w:bookmarkStart w:id="1642" w:name="Tc_3kTjjxNqnkyAuqSqb5wVdA_16_0"/>
      <w:bookmarkStart w:id="1643" w:name="Tc_awWryKM5VUegU1TIKmWdxg_15_24"/>
      <w:bookmarkStart w:id="1644" w:name="Tc_5NXVrajQw0iO0dF_fN-hXg_15_21"/>
      <w:bookmarkStart w:id="1645" w:name="Tc_4eFGcxQSoEaUimYcS5WIdw_15_18"/>
      <w:bookmarkStart w:id="1646" w:name="Tc_hMU2GD9KK0qygTB5mDgFNA_15_15"/>
      <w:bookmarkStart w:id="1647" w:name="Tc_xtZ1ryUr-kS7mZUKxd_BEg_15_12"/>
      <w:bookmarkStart w:id="1648" w:name="Tc_xxNWRQ3a2EejEoDFIDXagw_15_9"/>
      <w:bookmarkStart w:id="1649" w:name="Tc_KdTw-xT5wE2VlMuKbTYU9g_15_6"/>
      <w:bookmarkStart w:id="1650" w:name="Tc_eZBdoCa8B0CmSr7-hlLUBg_15_0"/>
      <w:bookmarkStart w:id="1651" w:name="Tc_kcKr5GrvQE67wg3xDC9lnA_14_24"/>
      <w:bookmarkStart w:id="1652" w:name="Tc_m8HLrc7AiEeQd5-c7rJXbw_14_21"/>
      <w:bookmarkStart w:id="1653" w:name="Tc_fosPsP8iG0GupBhMjC7Wgw_14_18"/>
      <w:bookmarkStart w:id="1654" w:name="Tc_kgcehu1YREqjMadY_tLw8g_14_12"/>
      <w:bookmarkStart w:id="1655" w:name="Tc_cn4H-XHmZUiMAYT2iPaHEQ_14_6"/>
      <w:bookmarkStart w:id="1656" w:name="Tc_lufqQwuvo0KWOhoXO_I6VQ_14_3"/>
      <w:bookmarkStart w:id="1657" w:name="Tc_uIhu1LfWdUKfFhQEA76SLg_14_0"/>
      <w:bookmarkStart w:id="1658" w:name="Tc_PxY4VghMwEqA3SAW_N2iYw_13_24"/>
      <w:bookmarkStart w:id="1659" w:name="Tc_QCWzGgpUGUa_SfNyU_wgSA_13_3"/>
      <w:bookmarkStart w:id="1660" w:name="Tc_9Kg01Iq_1kKW-3wMPYeDWA_13_0"/>
      <w:bookmarkStart w:id="1661" w:name="Tc_Xj8Lez38PUadQ9sypSimNw_12_0"/>
      <w:bookmarkStart w:id="1662" w:name="Tc_ZwBfYzy6JUSQv1EwxqndRA_10_24"/>
      <w:bookmarkStart w:id="1663" w:name="Tc_MBAxTHzfCEOU2LJ6Jv-PQA_10_21"/>
      <w:bookmarkStart w:id="1664" w:name="Tc_Jwhk1WbqIU-KhNy2LOf68g_10_18"/>
      <w:bookmarkStart w:id="1665" w:name="Tc_wtx2jorYDE-xCGLPB6WBYA_10_15"/>
      <w:bookmarkStart w:id="1666" w:name="Tc_ituOO6TmJU615uKDlxpxtA_10_9"/>
      <w:bookmarkStart w:id="1667" w:name="Tc_013zsnscREK0P0Ze5L8K1w_10_3"/>
      <w:bookmarkStart w:id="1668" w:name="Tc_HyaLxKloXEiAbV3eIDDDPQ_10_0"/>
      <w:bookmarkStart w:id="1669" w:name="Tc_WEr1MDXWrEGRu8kg7L04Ow_9_24"/>
      <w:bookmarkStart w:id="1670" w:name="Tc_0iusk-oDcUmOnEOvG3qWwQ_9_21"/>
      <w:bookmarkStart w:id="1671" w:name="Tc_UZ38jOClRkaWXatDZ5FKdQ_9_18"/>
      <w:bookmarkStart w:id="1672" w:name="Tc_f82J3vVJtUOh-39k6y5gRw_9_15"/>
      <w:bookmarkStart w:id="1673" w:name="Tc_NmSrbk7HJ0qQ3c9vxpVMug_9_12"/>
      <w:bookmarkStart w:id="1674" w:name="Tc_IdTzFApmuUKBRTkqqPP6-g_9_3"/>
      <w:bookmarkStart w:id="1675" w:name="Tc_mGfzJ70kxECEzgyEH43tFA_9_0"/>
      <w:bookmarkStart w:id="1676" w:name="Tc_Lhjd6qsAxkGaClvcr868TA_8_18"/>
      <w:bookmarkStart w:id="1677" w:name="Tc_isJK1JytIE2JTWXHxpD7mA_8_15"/>
      <w:bookmarkStart w:id="1678" w:name="Tc_9zMEAgxiQ0aSos1alpqxdQ_8_12"/>
      <w:bookmarkStart w:id="1679" w:name="Tc_Gn7afDKayk6adGiuxXIKQw_8_0"/>
      <w:bookmarkStart w:id="1680" w:name="Tc_0jLW0fSw-0CMiNL_TRJRSg_7_24"/>
      <w:bookmarkStart w:id="1681" w:name="Tc_pgeCAs55CUacBT_6Goc-Lw_7_21"/>
      <w:bookmarkStart w:id="1682" w:name="Tc_9mfYS5mE2U6Hz5mJfaKy5g_7_18"/>
      <w:bookmarkStart w:id="1683" w:name="Tc_SeOAIO4XM0ea_OlpiwjD6g_7_15"/>
      <w:bookmarkStart w:id="1684" w:name="Tc_k185_j6KTkWqVbaK-L7IQQ_7_12"/>
      <w:bookmarkStart w:id="1685" w:name="Tc_Ci5szXbMrky8MjelKIV7AQ_7_9"/>
      <w:bookmarkStart w:id="1686" w:name="Tc_YE6Dw9bSEkSQo7FIAtIZBA_7_6"/>
      <w:bookmarkStart w:id="1687" w:name="Tc_JpHkh61caEOhuNexqKHkfA_7_0"/>
      <w:bookmarkStart w:id="1688" w:name="Tc_n2DbNrOhsEiy9tncv4Rt_w_6_24"/>
      <w:bookmarkStart w:id="1689" w:name="Tc_oZ5tkK5iwEK2mH8GqXLBbg_6_18"/>
      <w:bookmarkStart w:id="1690" w:name="Tc_aAkYVoaPXUuO8LQtiPN6dQ_6_12"/>
      <w:bookmarkStart w:id="1691" w:name="Tc_xUmHp69Zk0iV4LJlogGYkg_6_6"/>
      <w:bookmarkStart w:id="1692" w:name="Tc_caPS_-xDU02FgZO3S9Ik-w_6_3"/>
      <w:bookmarkStart w:id="1693" w:name="Tc_0oizmBcDR06sEeq-jjuRaQ_6_0"/>
      <w:bookmarkStart w:id="1694" w:name="Tc_KW4oOb2wMUqusP_KW6WP-g_5_26"/>
      <w:bookmarkStart w:id="1695" w:name="Tc_AARZ5OSvbEab4aBTs1KcqA_5_24"/>
      <w:bookmarkStart w:id="1696" w:name="Tc_Av2-R6yk30Cd7R-WzzS6NA_5_23"/>
      <w:bookmarkStart w:id="1697" w:name="Tc_QriNCAQiokmA-7kOqRYnhw_5_20"/>
      <w:bookmarkStart w:id="1698" w:name="Tc_IGCQzYIJGU-6uJsHnKAwuQ_5_17"/>
      <w:bookmarkStart w:id="1699" w:name="Tc_LNygGzEXiEe4F_QIxXr8aA_5_14"/>
      <w:bookmarkStart w:id="1700" w:name="Tc_PILl6n1G00eJisC7weU3ZQ_5_11"/>
      <w:bookmarkStart w:id="1701" w:name="Tc_XQBTLaaiVUm_UKmEGJnp3g_5_8"/>
      <w:bookmarkStart w:id="1702" w:name="Tc_fMeKxbcvSESzQg7DGbMPgQ_5_5"/>
      <w:bookmarkStart w:id="1703" w:name="Tc_8IoGeIKLxECMmQrfuFtZCg_5_3"/>
      <w:bookmarkStart w:id="1704" w:name="Tc_QCvfyMkMu0y2o51_wk7Ehw_5_2"/>
      <w:bookmarkStart w:id="1705" w:name="Tc_wXqAzhNIKkKz74HMCEhEzA_5_0"/>
      <w:bookmarkStart w:id="1706" w:name="Tc_KBLr88BcsEOTu34xmc5XNQ_4_0"/>
      <w:bookmarkStart w:id="1707" w:name="Tc_TIAOt7uKPUeGPOE12QdfZw_3_2"/>
      <w:bookmarkStart w:id="1708" w:name="Tc_yZLK3yUB_0Sur-Bcacd3FA_2_26"/>
      <w:bookmarkStart w:id="1709" w:name="Tc_L1IQCD--YUubvmQGBI2RSQ_2_23"/>
      <w:bookmarkStart w:id="1710" w:name="Tc_RySZUoC_3UiG69Tk6L-Bmg_2_20"/>
      <w:bookmarkStart w:id="1711" w:name="Tc_TxdNdLJPyUWJR2fPGiIWgw_2_17"/>
      <w:bookmarkStart w:id="1712" w:name="Tc_8l_qZFuU2UKsR7VL8CDgBw_2_14"/>
      <w:bookmarkStart w:id="1713" w:name="Tc_orvtiERaVEixBvgdP1qTZA_2_11"/>
      <w:bookmarkStart w:id="1714" w:name="Tc_PVwQKz-9Zk-dS7e3JpSJXA_2_8"/>
      <w:bookmarkStart w:id="1715" w:name="Tc_9Q3DRgC6XkOpHR72CwV9fQ_2_5"/>
      <w:bookmarkStart w:id="1716" w:name="Tc_mDT-bmqRpkGb6IgOCwQg-w_2_2"/>
      <w:bookmarkStart w:id="1717" w:name="Tc_jEB1F9hvE02sXEZnuJtFtw_1_2"/>
      <w:bookmarkStart w:id="1718" w:name="_1066574f_f1ec_424d_aa42_c775a293f236"/>
      <w:bookmarkStart w:id="1719" w:name="Tc_jGVdp8K21E6Z9j8pifmGVA_28_26"/>
      <w:bookmarkStart w:id="1720" w:name="Tc_c1ixmInqNEKBa7zDiKjxBw_28_24"/>
      <w:bookmarkStart w:id="1721" w:name="Tc_KXNqduxN7UGZYWE2KO05_Q_28_23"/>
      <w:bookmarkStart w:id="1722" w:name="Tc_x4qHXnaFVkO72mTmEDqJ5Q_28_20"/>
      <w:bookmarkStart w:id="1723" w:name="Tc_dEOxgJShskmZcvS4yVx1iQ_28_17"/>
      <w:bookmarkStart w:id="1724" w:name="Tc_FBZQf1vuZ0qsRCvLFS6pww_28_14"/>
      <w:bookmarkStart w:id="1725" w:name="Tc_mm-16I9qu025BvGyYELTdA_28_11"/>
      <w:bookmarkStart w:id="1726" w:name="Tc_8-4-77jUh0iYHiyTNsc-iw_28_8"/>
      <w:bookmarkStart w:id="1727" w:name="Tc_52QWswtfv0qLyyn27WqRlA_28_5"/>
      <w:bookmarkStart w:id="1728" w:name="Tc_VpId-XYZdk-GXEJuJT-Xcg_28_3"/>
      <w:bookmarkStart w:id="1729" w:name="Tc_Jy1XYBAgR0qSy3EFkKlxUg_28_2"/>
      <w:bookmarkStart w:id="1730" w:name="Tc_5dViz4AMZEmfAvihUxptyw_28_0"/>
      <w:bookmarkStart w:id="1731" w:name="Tc_qtxIUjdMM0-rQ58-JTDbWg_27_26"/>
      <w:bookmarkStart w:id="1732" w:name="Tc_ReKSbIbvJUGtaPmpMyykig_27_24"/>
      <w:bookmarkStart w:id="1733" w:name="Tc_51sp2k-oZk2Ppj0RT2Ku9g_27_23"/>
      <w:bookmarkStart w:id="1734" w:name="Tc_h5Qu5jgI9km0ut2hJPYeHA_27_21"/>
      <w:bookmarkStart w:id="1735" w:name="Tc_sO7BYUDDb0uu46jmm2iTrg_27_20"/>
      <w:bookmarkStart w:id="1736" w:name="Tc_IgEYBFSaLketm1jnleFVIQ_27_17"/>
      <w:bookmarkStart w:id="1737" w:name="Tc_vLyvu_Wv3kOH6Ci3vTQ9Ug_27_14"/>
      <w:bookmarkStart w:id="1738" w:name="Tc_PzwAtUAZ6UGPBYUd4kKuUA_27_11"/>
      <w:bookmarkStart w:id="1739" w:name="Tc__gm_oSyDUEG_mxcfsHaZZg_27_8"/>
      <w:bookmarkStart w:id="1740" w:name="Tc_ThqYKmxmkE6Vf7DBsKQVqw_27_5"/>
      <w:bookmarkStart w:id="1741" w:name="Tc_dgnqBMZLoEqz_pSFI6Dg_A_27_3"/>
      <w:bookmarkStart w:id="1742" w:name="Tc_F_TrvRZyHUW7rdU2uenpQA_27_2"/>
      <w:bookmarkStart w:id="1743" w:name="Tc_vrTEXHDdqEOB5VdEbKOy9g_27_0"/>
      <w:bookmarkStart w:id="1744" w:name="Tc_-pgIUDl99kKG5VGkXuN-yg_26_0"/>
      <w:bookmarkStart w:id="1745" w:name="Tc_4Pp4_YsCXESPb9wiMXaLgg_25_26"/>
      <w:bookmarkStart w:id="1746" w:name="Tc_wVqnQdq230iOfyDWw0eMSA_25_23"/>
      <w:bookmarkStart w:id="1747" w:name="Tc_zS1I3imgeUqo4odZBe1lrw_25_20"/>
      <w:bookmarkStart w:id="1748" w:name="Tc_X239rwRc-0CBWtah11sbPg_25_17"/>
      <w:bookmarkStart w:id="1749" w:name="Tc_pPZbJsCKv0Sjatuxq0Mqyw_25_14"/>
      <w:bookmarkStart w:id="1750" w:name="Tc_VfGHrqZmLE-QyehTw75rLQ_25_11"/>
      <w:bookmarkStart w:id="1751" w:name="Tc_DO2XW9e1rUmeDngM9NRR7g_25_8"/>
      <w:bookmarkStart w:id="1752" w:name="Tc_51EFBKjXPUmzjb_PC1VGyQ_25_5"/>
      <w:bookmarkStart w:id="1753" w:name="Tc_rWs-wFJOh0WnsITiivUztw_25_2"/>
      <w:bookmarkStart w:id="1754" w:name="Tc_3Kizlg8z_EGENN92VyFLyw_25_0"/>
      <w:bookmarkStart w:id="1755" w:name="Tc_39mZ17PsFEavClhL3VPYWw_24_24"/>
      <w:bookmarkStart w:id="1756" w:name="Tc_BOSoNDXfaUO4JkDot3vVvw_24_21"/>
      <w:bookmarkStart w:id="1757" w:name="Tc_IDYK0LERDkepeL3hp_lFWQ_24_18"/>
      <w:bookmarkStart w:id="1758" w:name="Tc_DEFfMWChrUO2ftri8GGAXg_24_15"/>
      <w:bookmarkStart w:id="1759" w:name="Tc_JjCfagVWmESRxXyKWD-NNA_24_9"/>
      <w:bookmarkStart w:id="1760" w:name="Tc_iBNTt4BZ4UmwzdQU0pXbiA_24_0"/>
      <w:bookmarkStart w:id="1761" w:name="Tc_03G1v2bFt0ynKUXeXhKgiA_23_0"/>
      <w:bookmarkStart w:id="1762" w:name="Tc_qTkp3y6kK0OBqRMhrLX-rA_22_21"/>
      <w:bookmarkStart w:id="1763" w:name="Tc_2DjegFQ7Pky7Yjw06uguYA_22_18"/>
      <w:bookmarkStart w:id="1764" w:name="Tc_14fhfNCfvEWWToW7rARMCw_22_15"/>
      <w:bookmarkStart w:id="1765" w:name="Tc_PxG9yvlt-kKmk7hevRwW5g_22_3"/>
      <w:bookmarkStart w:id="1766" w:name="Tc_bw6LIOzZT0qQYv6d8IL5ew_22_0"/>
      <w:bookmarkStart w:id="1767" w:name="Tc_O0wjvGBAOEy2T1dQbsU9yA_21_0"/>
      <w:bookmarkStart w:id="1768" w:name="Tc_Whudfmw6NkCM0MXAsTvPzw_19_21"/>
      <w:bookmarkStart w:id="1769" w:name="Tc_n6BLT1M6uU-f4a4ADe7VEg_19_18"/>
      <w:bookmarkStart w:id="1770" w:name="Tc_Gqp9pJJvyEGdHzPrwxVThA_19_15"/>
      <w:bookmarkStart w:id="1771" w:name="Tc_6AkKDUfhikq8Fqr70aOZMw_19_0"/>
      <w:bookmarkStart w:id="1772" w:name="Tc_LrttQ65qLE2yhRmRvSysdw_18_21"/>
      <w:bookmarkStart w:id="1773" w:name="Tc_5si0kSV1OkKx6OdHHOAdtQ_18_18"/>
      <w:bookmarkStart w:id="1774" w:name="Tc_UbmARJGzI0CQ1lVio0GuQA_18_15"/>
      <w:bookmarkStart w:id="1775" w:name="Tc_XXBMB5FkEEaPzptc2GGeWQ_18_12"/>
      <w:bookmarkStart w:id="1776" w:name="Tc_6RXUGLA2NE2LxIyw78koTA_18_9"/>
      <w:bookmarkStart w:id="1777" w:name="Tc_wN01ucHx4kGaj9BPEEElhA_18_6"/>
      <w:bookmarkStart w:id="1778" w:name="Tc_7ECf1fsd-k6urQUwpmWUjw_18_3"/>
      <w:bookmarkStart w:id="1779" w:name="Tc_1yXECrKzuUKYE1KhRlaC-Q_18_0"/>
      <w:bookmarkStart w:id="1780" w:name="Tc_dcTr3FBzWUKu5ojl_aiR9w_17_21"/>
      <w:bookmarkStart w:id="1781" w:name="Tc_OC9dbWnySk2i8fwRedF4uQ_17_18"/>
      <w:bookmarkStart w:id="1782" w:name="Tc_hZ5ne9ov-kOXqiF_asO_Rg_17_15"/>
      <w:bookmarkStart w:id="1783" w:name="Tc_S7wEVmnwkkedDGAeDswPKw_17_12"/>
      <w:bookmarkStart w:id="1784" w:name="Tc_UjthRPc-xkOBxoKBlv3LGg_17_9"/>
      <w:bookmarkStart w:id="1785" w:name="Tc_1U2FwT3Lc0i8ET0Qy0USzQ_17_6"/>
      <w:bookmarkStart w:id="1786" w:name="Tc_eBRgUjG4fEqE4daOG83-IA_17_3"/>
      <w:bookmarkStart w:id="1787" w:name="Tc_sh0KkmmpcUm9A91JVgSNzA_17_0"/>
      <w:bookmarkStart w:id="1788" w:name="Tc_azlNvjupW0mII_84TdzSUw_16_0"/>
      <w:bookmarkStart w:id="1789" w:name="Tc_XYgR1hUsIka-3MpXRFnuxg_15_24"/>
      <w:bookmarkStart w:id="1790" w:name="Tc_9kbHEzqU_UaSkAwG3ys6Gg_15_21"/>
      <w:bookmarkStart w:id="1791" w:name="Tc_f9SDHN6tcEGUk-s9ygicfQ_15_18"/>
      <w:bookmarkStart w:id="1792" w:name="Tc_E4cWucOxF0CKxyGDPwG3Lw_15_15"/>
      <w:bookmarkStart w:id="1793" w:name="Tc_Fb4v3mq5jU2c-UW1KckkYA_15_12"/>
      <w:bookmarkStart w:id="1794" w:name="Tc_ZWfO_rQzOUGqLIVnZ6op6Q_15_9"/>
      <w:bookmarkStart w:id="1795" w:name="Tc_3JMtEPwngkq03IS91ZsnYw_15_6"/>
      <w:bookmarkStart w:id="1796" w:name="Tc_yR8D19In9ECHTbt-_5OuPw_15_0"/>
      <w:bookmarkStart w:id="1797" w:name="Tc_FTMFkCOy60a2cc1gh7j7QQ_14_24"/>
      <w:bookmarkStart w:id="1798" w:name="Tc_yHh7n8TH7UC7m98t0ocNSQ_14_21"/>
      <w:bookmarkStart w:id="1799" w:name="Tc_97ktjyq8yUmjW9uD61PLBQ_14_18"/>
      <w:bookmarkStart w:id="1800" w:name="Tc__ZmLw-2XhU-jY-wTyTbaqw_14_12"/>
      <w:bookmarkStart w:id="1801" w:name="Tc_N9zfV8str0ef1VjvRkYNrg_14_6"/>
      <w:bookmarkStart w:id="1802" w:name="Tc_-LBWiRgC4EekXDyxCiPBQA_14_3"/>
      <w:bookmarkStart w:id="1803" w:name="Tc_oYOWxewkn0eTjCeRVbZnMg_14_0"/>
      <w:bookmarkStart w:id="1804" w:name="Tc_NQNFpFPIvEiOjSK8_gaMAA_13_24"/>
      <w:bookmarkStart w:id="1805" w:name="Tc_K5TuuVVexkqqlJ9gN3mhRg_13_3"/>
      <w:bookmarkStart w:id="1806" w:name="Tc_TwiuKoBeS0GrYzbUrATX_A_13_0"/>
      <w:bookmarkStart w:id="1807" w:name="Tc_GAsMIY_lpECnHD-bM7cXYg_12_0"/>
      <w:bookmarkStart w:id="1808" w:name="Tc_bj3QMw7Ns0SsAbpsihmPsQ_10_24"/>
      <w:bookmarkStart w:id="1809" w:name="Tc_OqvS5TJBqEKT6aX6YUT_bw_10_18"/>
      <w:bookmarkStart w:id="1810" w:name="Tc_GOlvBKIcE0C6YHExt2siRQ_10_9"/>
      <w:bookmarkStart w:id="1811" w:name="Tc_ikGJPd0vuEqqh2f7qG9A5A_10_0"/>
      <w:bookmarkStart w:id="1812" w:name="Tc_heCRx3mRckCvAv-aLO_jGQ_9_24"/>
      <w:bookmarkStart w:id="1813" w:name="Tc_51BXkuEM8UavA8-dBfgfqg_9_21"/>
      <w:bookmarkStart w:id="1814" w:name="Tc_7rR0Cat_V0qxrPcDi58c-w_9_18"/>
      <w:bookmarkStart w:id="1815" w:name="Tc_K0r7W6ujAUC4VW2d7pYwWg_9_15"/>
      <w:bookmarkStart w:id="1816" w:name="Tc_RFBVF4GEaU-xoUYk71qWqg_9_12"/>
      <w:bookmarkStart w:id="1817" w:name="Tc_Ye5XFj9fxUKBejCYeSqMwg_9_6"/>
      <w:bookmarkStart w:id="1818" w:name="Tc_82tEX4MDFkK4tPvbRnM2Ig_9_3"/>
      <w:bookmarkStart w:id="1819" w:name="Tc_pf2IG0hWJkidBBAH7RLWSQ_9_0"/>
      <w:bookmarkStart w:id="1820" w:name="Tc_bvvWAmaZBk-N8jzQT6eFng_8_21"/>
      <w:bookmarkStart w:id="1821" w:name="Tc_pgU8J9YZkUe8XxXdH85EYA_8_18"/>
      <w:bookmarkStart w:id="1822" w:name="Tc_YsCO732480iVI3nNgUnKbQ_8_15"/>
      <w:bookmarkStart w:id="1823" w:name="Tc_2oMj7SYv0EeAla91rlN2lg_8_12"/>
      <w:bookmarkStart w:id="1824" w:name="Tc_1iDm6Ga2BEiQ7KC-1L_bMg_8_9"/>
      <w:bookmarkStart w:id="1825" w:name="Tc_LVpquB4QP0Kfdz87lhkC5Q_8_0"/>
      <w:bookmarkStart w:id="1826" w:name="Tc_yDZ4yOFqXEys_Tnmflp9aA_7_24"/>
      <w:bookmarkStart w:id="1827" w:name="Tc_RQvWkQuBWk6k8i6-nI9a-Q_7_21"/>
      <w:bookmarkStart w:id="1828" w:name="Tc_gK2HNyB9NUywzoeDPZFjsA_7_18"/>
      <w:bookmarkStart w:id="1829" w:name="Tc_8m-TcYlTDEmdFo-5N4GFdQ_7_15"/>
      <w:bookmarkStart w:id="1830" w:name="Tc_QaX7kkdC00ybAENX90GaqA_7_12"/>
      <w:bookmarkStart w:id="1831" w:name="Tc_LNXVjiPcykWk-CTsovA__A_7_9"/>
      <w:bookmarkStart w:id="1832" w:name="Tc_rm8N5-L6L0e7kAQ9BH7wwQ_7_6"/>
      <w:bookmarkStart w:id="1833" w:name="Tc_gR-CN6VP2UeJfUaivssv-A_7_0"/>
      <w:bookmarkStart w:id="1834" w:name="Tc_t85VoxOHdECG8Jx6ksYGLA_6_24"/>
      <w:bookmarkStart w:id="1835" w:name="Tc_cMfVMa1oNkeKT39ovK0dQA_6_18"/>
      <w:bookmarkStart w:id="1836" w:name="Tc_vbvbaH3wZkWl5j24IGnKlw_6_12"/>
      <w:bookmarkStart w:id="1837" w:name="Tc_CRBBAXFvS0C-MusGXHfAbA_6_6"/>
      <w:bookmarkStart w:id="1838" w:name="Tc_w_6Zys9l1UCPiLrCzWoU6Q_6_3"/>
      <w:bookmarkStart w:id="1839" w:name="Tc_NFl3gaBZBUWZr2ZYtGhRNA_6_0"/>
      <w:bookmarkStart w:id="1840" w:name="Tc_Jr4wO9Xqr0Sv5P_dk62QeA_5_26"/>
      <w:bookmarkStart w:id="1841" w:name="Tc_SG4XTJMd1UC-KEXVo2J5vw_5_24"/>
      <w:bookmarkStart w:id="1842" w:name="Tc_6gBR1CuCnUqOcDnsJpS_XQ_5_23"/>
      <w:bookmarkStart w:id="1843" w:name="Tc_hzQKTzKK5EGaWuwm33UoIg_5_20"/>
      <w:bookmarkStart w:id="1844" w:name="Tc_WTfEA__LkUCtJY_psrc3sw_5_17"/>
      <w:bookmarkStart w:id="1845" w:name="Tc_BwhFcYeZSEqLCX_nYRHafA_5_14"/>
      <w:bookmarkStart w:id="1846" w:name="Tc_5Pdgs-2oHUySv3Mj6RPGxg_5_11"/>
      <w:bookmarkStart w:id="1847" w:name="Tc_HN8ZzZmD3k2NlvdRnY44Cw_5_8"/>
      <w:bookmarkStart w:id="1848" w:name="Tc_0xmoZMSHG0qIWP6dvIFxig_5_5"/>
      <w:bookmarkStart w:id="1849" w:name="Tc_W3HFNAXOwUiZGqzUVwqkRQ_5_3"/>
      <w:bookmarkStart w:id="1850" w:name="Tc_dnH_Y8pIU0CDEwwyS6tyQw_5_2"/>
      <w:bookmarkStart w:id="1851" w:name="Tc_StGt15XOvEqWr0_a-l-NdA_5_0"/>
      <w:bookmarkStart w:id="1852" w:name="Tc_ciwi4JCvM0C5GDsvBcYj8g_4_0"/>
      <w:bookmarkStart w:id="1853" w:name="Tc_somPdMRcI0ebrQXcxieLRg_3_2"/>
      <w:bookmarkStart w:id="1854" w:name="Tc_F0OdUQVIfE6OV6MtDO7hTw_2_26"/>
      <w:bookmarkStart w:id="1855" w:name="Tc_qsDIZPCn7kmeRPcqDLYalQ_2_23"/>
      <w:bookmarkStart w:id="1856" w:name="Tc_tLC3GHYneUy5X1FRfDBVew_2_20"/>
      <w:bookmarkStart w:id="1857" w:name="Tc_N2BSBcx0KE-LGopSROSxdQ_2_17"/>
      <w:bookmarkStart w:id="1858" w:name="Tc_fEYHFq4-4U-hZABhA03u-A_2_14"/>
      <w:bookmarkStart w:id="1859" w:name="Tc_L-neJrxHOUKtHFNVFS46zQ_2_11"/>
      <w:bookmarkStart w:id="1860" w:name="Tc_xeBfyb7y1kOfZwpTnHbNvg_2_8"/>
      <w:bookmarkStart w:id="1861" w:name="Tc_K9SiZX76Hk-gt6OaOJdfqQ_2_5"/>
      <w:bookmarkStart w:id="1862" w:name="Tc_eMUmyTR4qU-ulHQcEdNB7A_2_2"/>
      <w:bookmarkStart w:id="1863" w:name="Tc_Bkd2kc-omUK7QJE-EjfrTQ_1_2"/>
      <w:bookmarkStart w:id="1864" w:name="_438d33ce_a6d6_431a_a4e6_2a75eb9a3c83"/>
      <w:bookmarkStart w:id="1865" w:name="Tc_ZIvDofwVt02vJB3qMH4Dbw_27_26"/>
      <w:bookmarkStart w:id="1866" w:name="Tc_Gu118YIhrEi7TJARPkHmrA_27_24"/>
      <w:bookmarkStart w:id="1867" w:name="Tc_otg4Onv9wUyg6FkP4JfnHw_27_23"/>
      <w:bookmarkStart w:id="1868" w:name="Tc_rjx-M0UmaUWwskHu8C8ykg_27_20"/>
      <w:bookmarkStart w:id="1869" w:name="Tc_E3QNhS3GykOhpOHB_2CaEA_27_17"/>
      <w:bookmarkStart w:id="1870" w:name="Tc_MfUFWPZWF0mg5Rd0WagzgQ_27_14"/>
      <w:bookmarkStart w:id="1871" w:name="Tc_Mt_2P-hFREWhFRHNtcCdpg_27_11"/>
      <w:bookmarkStart w:id="1872" w:name="Tc_x3ixGgLXMkKxBSJZEVf3rA_27_8"/>
      <w:bookmarkStart w:id="1873" w:name="Tc_ki2Q40w-7kqzaf82vB_qOQ_27_5"/>
      <w:bookmarkStart w:id="1874" w:name="Tc_Mqmk2bA5X0y_JaKrj2pIgg_27_3"/>
      <w:bookmarkStart w:id="1875" w:name="Tc_cDqN4uXDmUibNcMpde3L7Q_27_2"/>
      <w:bookmarkStart w:id="1876" w:name="Tc_PltgOVd0IkKnEGU8kxjFvQ_27_0"/>
      <w:bookmarkStart w:id="1877" w:name="Tc_uH3bCcC6xUqsjRaRPDH9PA_26_26"/>
      <w:bookmarkStart w:id="1878" w:name="Tc_9IxvkKQG5kS2v8CEgsistA_26_24"/>
      <w:bookmarkStart w:id="1879" w:name="Tc_Kpho94GjIUeg-5B2g4hTHg_26_23"/>
      <w:bookmarkStart w:id="1880" w:name="Tc_EzEDQD2vHkCv_jva_TA0aA_26_21"/>
      <w:bookmarkStart w:id="1881" w:name="Tc_qGGoZc1ce0euqGajs5_G0Q_26_20"/>
      <w:bookmarkStart w:id="1882" w:name="Tc_NzkuN_L31EOY5K5TFZXh5g_26_17"/>
      <w:bookmarkStart w:id="1883" w:name="Tc_J3K86xPDqEqYwVUrU5hDaw_26_14"/>
      <w:bookmarkStart w:id="1884" w:name="Tc_D5FN88J4HkW6mYU2-RVc9A_26_11"/>
      <w:bookmarkStart w:id="1885" w:name="Tc_-N-l6PQxLU-Gxlj97bX4gQ_26_8"/>
      <w:bookmarkStart w:id="1886" w:name="Tc_CLM_pWK4VkyiaXE2CvJk-g_26_5"/>
      <w:bookmarkStart w:id="1887" w:name="Tc_JqfQB6R5M0Sh7Shy3Dx_Cg_26_3"/>
      <w:bookmarkStart w:id="1888" w:name="Tc_T3HQDqsp50OV_7Gg08NmLg_26_2"/>
      <w:bookmarkStart w:id="1889" w:name="Tc_14QgxjsFakOGg0DjRWFmLQ_26_0"/>
      <w:bookmarkStart w:id="1890" w:name="Tc_5TAV8ikcmUWBGpRorZREDA_25_0"/>
      <w:bookmarkStart w:id="1891" w:name="Tc_pyapPMfXKUaxXFgpCGXrqA_24_26"/>
      <w:bookmarkStart w:id="1892" w:name="Tc_5AqkXmp6W02zyYXSNkbw_Q_24_23"/>
      <w:bookmarkStart w:id="1893" w:name="Tc_d30BoT2e0UCjya5tdUi75Q_24_20"/>
      <w:bookmarkStart w:id="1894" w:name="Tc_Sdivo8xI30arbbtsDcqwBQ_24_17"/>
      <w:bookmarkStart w:id="1895" w:name="Tc_7l5_jQcBDEC3SKc89XGLMg_24_14"/>
      <w:bookmarkStart w:id="1896" w:name="Tc_oRjADDEB4UiaRhCPqBpcWw_24_11"/>
      <w:bookmarkStart w:id="1897" w:name="Tc_vJD0pI3v4E-jY7g1IzHxfA_24_8"/>
      <w:bookmarkStart w:id="1898" w:name="Tc_O4Sr4DRYAkuxRUglf567vg_24_5"/>
      <w:bookmarkStart w:id="1899" w:name="Tc_tyaKW7jqVkuAY-gOjlpOsg_24_2"/>
      <w:bookmarkStart w:id="1900" w:name="Tc_8M12jYIjM0WRB-V3k16n9A_24_0"/>
      <w:bookmarkStart w:id="1901" w:name="Tc_FzOqCtcyB0mT2DfOAMPk6A_23_24"/>
      <w:bookmarkStart w:id="1902" w:name="Tc_fH4RVViXbEeLOnc9fXx05A_23_21"/>
      <w:bookmarkStart w:id="1903" w:name="Tc_o0KnG9rjtUu11zgF4uMA4g_23_18"/>
      <w:bookmarkStart w:id="1904" w:name="Tc_1hdgLeH-8ECpm9MpReihaQ_23_15"/>
      <w:bookmarkStart w:id="1905" w:name="Tc_op5zPjx5y0irrTHelFu3rQ_23_9"/>
      <w:bookmarkStart w:id="1906" w:name="Tc_1tITd36Ir0ibpEiMjKuXXw_23_0"/>
      <w:bookmarkStart w:id="1907" w:name="Tc_9CRn4qc9M0uBExZWbRMyCA_22_0"/>
      <w:bookmarkStart w:id="1908" w:name="Tc_L1sz62jGHUCjTTYHGJalBw_21_21"/>
      <w:bookmarkStart w:id="1909" w:name="Tc_0oB9rn9trkG9s5lRufn6tQ_21_18"/>
      <w:bookmarkStart w:id="1910" w:name="Tc_K0pCJdUImEyF6vjqaby32g_21_15"/>
      <w:bookmarkStart w:id="1911" w:name="Tc_WAWC2unyH0Sy5bXItZwk6A_21_3"/>
      <w:bookmarkStart w:id="1912" w:name="Tc_LhQUvSZ41k-FbtgQWAvguQ_21_0"/>
      <w:bookmarkStart w:id="1913" w:name="Tc_peeb5HleHkCOg_lw12ycAA_20_0"/>
      <w:bookmarkStart w:id="1914" w:name="Tc_GPlV1ZgKaEGhmZDoIfu2rA_18_21"/>
      <w:bookmarkStart w:id="1915" w:name="Tc_ALIg4MUtQkicNOwGXT3yqA_18_18"/>
      <w:bookmarkStart w:id="1916" w:name="Tc_anH5bCoJPkqP5aWS0sx_Nw_18_15"/>
      <w:bookmarkStart w:id="1917" w:name="Tc_G8CVUNt2d0iq7f4B3gWuow_18_0"/>
      <w:bookmarkStart w:id="1918" w:name="Tc_olKiqpM3JE-lmn_CRUVl2w_17_24"/>
      <w:bookmarkStart w:id="1919" w:name="Tc_z54PsY3gWkeVanwzxQZ5uA_17_21"/>
      <w:bookmarkStart w:id="1920" w:name="Tc_it0N0XvDUEeGsqmePu-YoQ_17_18"/>
      <w:bookmarkStart w:id="1921" w:name="Tc_iM0wQnvgkUi9Cb-QjAQENA_17_15"/>
      <w:bookmarkStart w:id="1922" w:name="Tc_-qmbv_Y-NkuUa7c1-kv-Ag_17_9"/>
      <w:bookmarkStart w:id="1923" w:name="Tc_7gIUyfdVqk-DcQCB6gRB6Q_17_6"/>
      <w:bookmarkStart w:id="1924" w:name="Tc_8lMLbpwY7U6x1-Wm6EbiAg_17_3"/>
      <w:bookmarkStart w:id="1925" w:name="Tc_CEArmFfeXUORNZaBopZ-ZA_17_0"/>
      <w:bookmarkStart w:id="1926" w:name="Tc_3kTjjxNqnkyAuqSqb5wVdA_16_0"/>
      <w:bookmarkStart w:id="1927" w:name="Tc_awWryKM5VUegU1TIKmWdxg_15_24"/>
      <w:bookmarkStart w:id="1928" w:name="Tc_5NXVrajQw0iO0dF_fN-hXg_15_21"/>
      <w:bookmarkStart w:id="1929" w:name="Tc_4eFGcxQSoEaUimYcS5WIdw_15_18"/>
      <w:bookmarkStart w:id="1930" w:name="Tc_hMU2GD9KK0qygTB5mDgFNA_15_15"/>
      <w:bookmarkStart w:id="1931" w:name="Tc_xtZ1ryUr-kS7mZUKxd_BEg_15_12"/>
      <w:bookmarkStart w:id="1932" w:name="Tc_xxNWRQ3a2EejEoDFIDXagw_15_9"/>
      <w:bookmarkStart w:id="1933" w:name="Tc_KdTw-xT5wE2VlMuKbTYU9g_15_6"/>
      <w:bookmarkStart w:id="1934" w:name="Tc_eZBdoCa8B0CmSr7-hlLUBg_15_0"/>
      <w:bookmarkStart w:id="1935" w:name="Tc_kcKr5GrvQE67wg3xDC9lnA_14_24"/>
      <w:bookmarkStart w:id="1936" w:name="Tc_m8HLrc7AiEeQd5-c7rJXbw_14_21"/>
      <w:bookmarkStart w:id="1937" w:name="Tc_fosPsP8iG0GupBhMjC7Wgw_14_18"/>
      <w:bookmarkStart w:id="1938" w:name="Tc_kgcehu1YREqjMadY_tLw8g_14_12"/>
      <w:bookmarkStart w:id="1939" w:name="Tc_cn4H-XHmZUiMAYT2iPaHEQ_14_6"/>
      <w:bookmarkStart w:id="1940" w:name="Tc_lufqQwuvo0KWOhoXO_I6VQ_14_3"/>
      <w:bookmarkStart w:id="1941" w:name="Tc_uIhu1LfWdUKfFhQEA76SLg_14_0"/>
      <w:bookmarkStart w:id="1942" w:name="Tc_PxY4VghMwEqA3SAW_N2iYw_13_24"/>
      <w:bookmarkStart w:id="1943" w:name="Tc_QCWzGgpUGUa_SfNyU_wgSA_13_3"/>
      <w:bookmarkStart w:id="1944" w:name="Tc_9Kg01Iq_1kKW-3wMPYeDWA_13_0"/>
      <w:bookmarkStart w:id="1945" w:name="Tc_Xj8Lez38PUadQ9sypSimNw_12_0"/>
      <w:bookmarkStart w:id="1946" w:name="Tc_ZwBfYzy6JUSQv1EwxqndRA_10_24"/>
      <w:bookmarkStart w:id="1947" w:name="Tc_MBAxTHzfCEOU2LJ6Jv-PQA_10_21"/>
      <w:bookmarkStart w:id="1948" w:name="Tc_Jwhk1WbqIU-KhNy2LOf68g_10_18"/>
      <w:bookmarkStart w:id="1949" w:name="Tc_wtx2jorYDE-xCGLPB6WBYA_10_15"/>
      <w:bookmarkStart w:id="1950" w:name="Tc_ituOO6TmJU615uKDlxpxtA_10_9"/>
      <w:bookmarkStart w:id="1951" w:name="Tc_013zsnscREK0P0Ze5L8K1w_10_3"/>
      <w:bookmarkStart w:id="1952" w:name="Tc_HyaLxKloXEiAbV3eIDDDPQ_10_0"/>
      <w:bookmarkStart w:id="1953" w:name="Tc_WEr1MDXWrEGRu8kg7L04Ow_9_24"/>
      <w:bookmarkStart w:id="1954" w:name="Tc_0iusk-oDcUmOnEOvG3qWwQ_9_21"/>
      <w:bookmarkStart w:id="1955" w:name="Tc_UZ38jOClRkaWXatDZ5FKdQ_9_18"/>
      <w:bookmarkStart w:id="1956" w:name="Tc_f82J3vVJtUOh-39k6y5gRw_9_15"/>
      <w:bookmarkStart w:id="1957" w:name="Tc_NmSrbk7HJ0qQ3c9vxpVMug_9_12"/>
      <w:bookmarkStart w:id="1958" w:name="Tc_IdTzFApmuUKBRTkqqPP6-g_9_3"/>
      <w:bookmarkStart w:id="1959" w:name="Tc_mGfzJ70kxECEzgyEH43tFA_9_0"/>
      <w:bookmarkStart w:id="1960" w:name="Tc_Lhjd6qsAxkGaClvcr868TA_8_18"/>
      <w:bookmarkStart w:id="1961" w:name="Tc_isJK1JytIE2JTWXHxpD7mA_8_15"/>
      <w:bookmarkStart w:id="1962" w:name="Tc_9zMEAgxiQ0aSos1alpqxdQ_8_12"/>
      <w:bookmarkStart w:id="1963" w:name="Tc_Gn7afDKayk6adGiuxXIKQw_8_0"/>
      <w:bookmarkStart w:id="1964" w:name="Tc_0jLW0fSw-0CMiNL_TRJRSg_7_24"/>
      <w:bookmarkStart w:id="1965" w:name="Tc_pgeCAs55CUacBT_6Goc-Lw_7_21"/>
      <w:bookmarkStart w:id="1966" w:name="Tc_9mfYS5mE2U6Hz5mJfaKy5g_7_18"/>
      <w:bookmarkStart w:id="1967" w:name="Tc_SeOAIO4XM0ea_OlpiwjD6g_7_15"/>
      <w:bookmarkStart w:id="1968" w:name="Tc_k185_j6KTkWqVbaK-L7IQQ_7_12"/>
      <w:bookmarkStart w:id="1969" w:name="Tc_Ci5szXbMrky8MjelKIV7AQ_7_9"/>
      <w:bookmarkStart w:id="1970" w:name="Tc_YE6Dw9bSEkSQo7FIAtIZBA_7_6"/>
      <w:bookmarkStart w:id="1971" w:name="Tc_JpHkh61caEOhuNexqKHkfA_7_0"/>
      <w:bookmarkStart w:id="1972" w:name="Tc_n2DbNrOhsEiy9tncv4Rt_w_6_24"/>
      <w:bookmarkStart w:id="1973" w:name="Tc_oZ5tkK5iwEK2mH8GqXLBbg_6_18"/>
      <w:bookmarkStart w:id="1974" w:name="Tc_aAkYVoaPXUuO8LQtiPN6dQ_6_12"/>
      <w:bookmarkStart w:id="1975" w:name="Tc_xUmHp69Zk0iV4LJlogGYkg_6_6"/>
      <w:bookmarkStart w:id="1976" w:name="Tc_caPS_-xDU02FgZO3S9Ik-w_6_3"/>
      <w:bookmarkStart w:id="1977" w:name="Tc_0oizmBcDR06sEeq-jjuRaQ_6_0"/>
      <w:bookmarkStart w:id="1978" w:name="Tc_KW4oOb2wMUqusP_KW6WP-g_5_26"/>
      <w:bookmarkStart w:id="1979" w:name="Tc_AARZ5OSvbEab4aBTs1KcqA_5_24"/>
      <w:bookmarkStart w:id="1980" w:name="Tc_Av2-R6yk30Cd7R-WzzS6NA_5_23"/>
      <w:bookmarkStart w:id="1981" w:name="Tc_QriNCAQiokmA-7kOqRYnhw_5_20"/>
      <w:bookmarkStart w:id="1982" w:name="Tc_IGCQzYIJGU-6uJsHnKAwuQ_5_17"/>
      <w:bookmarkStart w:id="1983" w:name="Tc_LNygGzEXiEe4F_QIxXr8aA_5_14"/>
      <w:bookmarkStart w:id="1984" w:name="Tc_PILl6n1G00eJisC7weU3ZQ_5_11"/>
      <w:bookmarkStart w:id="1985" w:name="Tc_XQBTLaaiVUm_UKmEGJnp3g_5_8"/>
      <w:bookmarkStart w:id="1986" w:name="Tc_fMeKxbcvSESzQg7DGbMPgQ_5_5"/>
      <w:bookmarkStart w:id="1987" w:name="Tc_8IoGeIKLxECMmQrfuFtZCg_5_3"/>
      <w:bookmarkStart w:id="1988" w:name="Tc_QCvfyMkMu0y2o51_wk7Ehw_5_2"/>
      <w:bookmarkStart w:id="1989" w:name="Tc_wXqAzhNIKkKz74HMCEhEzA_5_0"/>
      <w:bookmarkStart w:id="1990" w:name="Tc_KBLr88BcsEOTu34xmc5XNQ_4_0"/>
      <w:bookmarkStart w:id="1991" w:name="Tc_TIAOt7uKPUeGPOE12QdfZw_3_2"/>
      <w:bookmarkStart w:id="1992" w:name="Tc_yZLK3yUB_0Sur-Bcacd3FA_2_26"/>
      <w:bookmarkStart w:id="1993" w:name="Tc_L1IQCD--YUubvmQGBI2RSQ_2_23"/>
      <w:bookmarkStart w:id="1994" w:name="Tc_RySZUoC_3UiG69Tk6L-Bmg_2_20"/>
      <w:bookmarkStart w:id="1995" w:name="Tc_TxdNdLJPyUWJR2fPGiIWgw_2_17"/>
      <w:bookmarkStart w:id="1996" w:name="Tc_8l_qZFuU2UKsR7VL8CDgBw_2_14"/>
      <w:bookmarkStart w:id="1997" w:name="Tc_orvtiERaVEixBvgdP1qTZA_2_11"/>
      <w:bookmarkStart w:id="1998" w:name="Tc_PVwQKz-9Zk-dS7e3JpSJXA_2_8"/>
      <w:bookmarkStart w:id="1999" w:name="Tc_9Q3DRgC6XkOpHR72CwV9fQ_2_5"/>
      <w:bookmarkStart w:id="2000" w:name="Tc_mDT-bmqRpkGb6IgOCwQg-w_2_2"/>
      <w:bookmarkStart w:id="2001" w:name="Tc_jEB1F9hvE02sXEZnuJtFtw_1_2"/>
      <w:bookmarkStart w:id="2002" w:name="_1066574f_f1ec_424d_aa42_c775a293f236"/>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p>
    <w:tbl>
      <w:tblPr>
        <w:tblW w:w="10206" w:type="dxa"/>
        <w:jc w:val="left"/>
        <w:tblInd w:w="0" w:type="dxa"/>
        <w:tblLayout w:type="fixed"/>
        <w:tblCellMar>
          <w:top w:w="0" w:type="dxa"/>
          <w:left w:w="0" w:type="dxa"/>
          <w:bottom w:w="0" w:type="dxa"/>
          <w:right w:w="0" w:type="dxa"/>
        </w:tblCellMar>
      </w:tblPr>
      <w:tblGrid>
        <w:gridCol w:w="1051"/>
        <w:gridCol w:w="326"/>
        <w:gridCol w:w="248"/>
        <w:gridCol w:w="518"/>
        <w:gridCol w:w="326"/>
        <w:gridCol w:w="181"/>
        <w:gridCol w:w="436"/>
        <w:gridCol w:w="326"/>
        <w:gridCol w:w="273"/>
        <w:gridCol w:w="523"/>
        <w:gridCol w:w="326"/>
        <w:gridCol w:w="252"/>
        <w:gridCol w:w="484"/>
        <w:gridCol w:w="326"/>
        <w:gridCol w:w="181"/>
        <w:gridCol w:w="346"/>
        <w:gridCol w:w="326"/>
        <w:gridCol w:w="201"/>
        <w:gridCol w:w="385"/>
        <w:gridCol w:w="326"/>
        <w:gridCol w:w="196"/>
        <w:gridCol w:w="375"/>
        <w:gridCol w:w="326"/>
        <w:gridCol w:w="219"/>
        <w:gridCol w:w="457"/>
        <w:gridCol w:w="32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67385" cy="175260"/>
                      <wp:effectExtent l="0" t="0" r="0" b="0"/>
                      <wp:wrapNone/>
                      <wp:docPr id="298" name="Frame29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57480" cy="175260"/>
                      <wp:effectExtent l="0" t="0" r="0" b="0"/>
                      <wp:wrapNone/>
                      <wp:docPr id="300" name="Frame30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28930" cy="175260"/>
                      <wp:effectExtent l="0" t="0" r="0" b="0"/>
                      <wp:wrapNone/>
                      <wp:docPr id="301" name="Frame301"/>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4935" cy="175260"/>
                      <wp:effectExtent l="0" t="0" r="0" b="0"/>
                      <wp:wrapNone/>
                      <wp:docPr id="303" name="Frame3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76860" cy="175260"/>
                      <wp:effectExtent l="0" t="0" r="0" b="0"/>
                      <wp:wrapNone/>
                      <wp:docPr id="304" name="Frame30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73355" cy="175260"/>
                      <wp:effectExtent l="0" t="0" r="0" b="0"/>
                      <wp:wrapNone/>
                      <wp:docPr id="306" name="Frame30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32105" cy="175260"/>
                      <wp:effectExtent l="0" t="0" r="0" b="0"/>
                      <wp:wrapNone/>
                      <wp:docPr id="307" name="Frame30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0020" cy="175260"/>
                      <wp:effectExtent l="0" t="0" r="0" b="0"/>
                      <wp:wrapNone/>
                      <wp:docPr id="309" name="Frame30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07340" cy="175260"/>
                      <wp:effectExtent l="0" t="0" r="0" b="0"/>
                      <wp:wrapNone/>
                      <wp:docPr id="310" name="Frame310"/>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14935" cy="175260"/>
                      <wp:effectExtent l="0" t="0" r="0" b="0"/>
                      <wp:wrapNone/>
                      <wp:docPr id="312" name="Frame3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7635" cy="175260"/>
                      <wp:effectExtent l="0" t="0" r="0" b="0"/>
                      <wp:wrapNone/>
                      <wp:docPr id="315" name="Frame31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44475" cy="175260"/>
                      <wp:effectExtent l="0" t="0" r="0" b="0"/>
                      <wp:wrapNone/>
                      <wp:docPr id="316" name="Frame31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38125" cy="175260"/>
                      <wp:effectExtent l="0" t="0" r="0" b="0"/>
                      <wp:wrapNone/>
                      <wp:docPr id="319" name="Frame31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9065" cy="175260"/>
                      <wp:effectExtent l="0" t="0" r="0" b="0"/>
                      <wp:wrapNone/>
                      <wp:docPr id="321" name="Frame32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90195" cy="175260"/>
                      <wp:effectExtent l="0" t="0" r="0" b="0"/>
                      <wp:wrapNone/>
                      <wp:docPr id="322" name="Frame322"/>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3830" cy="175260"/>
                      <wp:effectExtent l="0" t="0" r="0" b="0"/>
                      <wp:wrapNone/>
                      <wp:docPr id="324" name="Frame32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6880" cy="175260"/>
                      <wp:effectExtent l="0" t="0" r="0" b="0"/>
                      <wp:wrapNone/>
                      <wp:docPr id="325" name="Frame32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2024</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1"/>
              <w:ind w:left="0" w:right="0" w:hanging="0"/>
              <w:jc w:val="left"/>
              <w:rPr/>
            </w:pPr>
            <w:r>
              <w:rPr/>
              <w:t>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1"/>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3,829</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4,606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336</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disposition of assets, net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765</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4,671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3,635</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4,191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32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32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3,771</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771</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w:t>
            </w:r>
          </w:p>
        </w:tc>
        <w:tc>
          <w:tcPr>
            <w:tcW w:w="32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2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256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40"/>
        <w:gridCol w:w="326"/>
        <w:gridCol w:w="271"/>
        <w:gridCol w:w="495"/>
        <w:gridCol w:w="326"/>
        <w:gridCol w:w="206"/>
        <w:gridCol w:w="436"/>
        <w:gridCol w:w="326"/>
        <w:gridCol w:w="297"/>
        <w:gridCol w:w="499"/>
        <w:gridCol w:w="326"/>
        <w:gridCol w:w="277"/>
        <w:gridCol w:w="467"/>
        <w:gridCol w:w="326"/>
        <w:gridCol w:w="208"/>
        <w:gridCol w:w="349"/>
        <w:gridCol w:w="326"/>
        <w:gridCol w:w="221"/>
        <w:gridCol w:w="374"/>
        <w:gridCol w:w="326"/>
        <w:gridCol w:w="213"/>
        <w:gridCol w:w="358"/>
        <w:gridCol w:w="326"/>
        <w:gridCol w:w="244"/>
        <w:gridCol w:w="446"/>
        <w:gridCol w:w="146"/>
        <w:gridCol w:w="283"/>
        <w:gridCol w:w="667"/>
      </w:tblGrid>
      <w:tr>
        <w:trPr/>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23900" cy="175260"/>
                      <wp:effectExtent l="0" t="0" r="0" b="0"/>
                      <wp:wrapNone/>
                      <wp:docPr id="326" name="Frame326"/>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72085" cy="175260"/>
                      <wp:effectExtent l="0" t="0" r="0" b="0"/>
                      <wp:wrapNone/>
                      <wp:docPr id="328" name="Frame3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14325" cy="175260"/>
                      <wp:effectExtent l="0" t="0" r="0" b="0"/>
                      <wp:wrapNone/>
                      <wp:docPr id="329" name="Frame329"/>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0810" cy="175260"/>
                      <wp:effectExtent l="0" t="0" r="0" b="0"/>
                      <wp:wrapNone/>
                      <wp:docPr id="331" name="Frame3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76860" cy="175260"/>
                      <wp:effectExtent l="0" t="0" r="0" b="0"/>
                      <wp:wrapNone/>
                      <wp:docPr id="332" name="Frame33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88595" cy="175260"/>
                      <wp:effectExtent l="0" t="0" r="0" b="0"/>
                      <wp:wrapNone/>
                      <wp:docPr id="334" name="Frame33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16865" cy="175260"/>
                      <wp:effectExtent l="0" t="0" r="0" b="0"/>
                      <wp:wrapNone/>
                      <wp:docPr id="335" name="Frame335"/>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75895" cy="175260"/>
                      <wp:effectExtent l="0" t="0" r="0" b="0"/>
                      <wp:wrapNone/>
                      <wp:docPr id="337" name="Frame33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96545" cy="175260"/>
                      <wp:effectExtent l="0" t="0" r="0" b="0"/>
                      <wp:wrapNone/>
                      <wp:docPr id="338" name="Frame338"/>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2080" cy="175260"/>
                      <wp:effectExtent l="0" t="0" r="0" b="0"/>
                      <wp:wrapNone/>
                      <wp:docPr id="340" name="Frame340"/>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21615" cy="175260"/>
                      <wp:effectExtent l="0" t="0" r="0" b="0"/>
                      <wp:wrapNone/>
                      <wp:docPr id="341" name="Frame34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40335" cy="175260"/>
                      <wp:effectExtent l="0" t="0" r="0" b="0"/>
                      <wp:wrapNone/>
                      <wp:docPr id="343" name="Frame34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37490" cy="175260"/>
                      <wp:effectExtent l="0" t="0" r="0" b="0"/>
                      <wp:wrapNone/>
                      <wp:docPr id="344" name="Frame34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5255" cy="175260"/>
                      <wp:effectExtent l="0" t="0" r="0" b="0"/>
                      <wp:wrapNone/>
                      <wp:docPr id="346" name="Frame34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27330" cy="175260"/>
                      <wp:effectExtent l="0" t="0" r="0" b="0"/>
                      <wp:wrapNone/>
                      <wp:docPr id="347" name="Frame34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4940" cy="175260"/>
                      <wp:effectExtent l="0" t="0" r="0" b="0"/>
                      <wp:wrapNone/>
                      <wp:docPr id="349" name="Frame34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83210" cy="175260"/>
                      <wp:effectExtent l="0" t="0" r="0" b="0"/>
                      <wp:wrapNone/>
                      <wp:docPr id="350" name="Frame35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92710" cy="175260"/>
                      <wp:effectExtent l="0" t="0" r="0" b="0"/>
                      <wp:wrapNone/>
                      <wp:docPr id="351" name="Frame3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79705" cy="175260"/>
                      <wp:effectExtent l="0" t="0" r="0" b="0"/>
                      <wp:wrapNone/>
                      <wp:docPr id="352" name="Frame35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3545" cy="175260"/>
                      <wp:effectExtent l="0" t="0" r="0" b="0"/>
                      <wp:wrapNone/>
                      <wp:docPr id="353" name="Frame353"/>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73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2023</w:t>
            </w:r>
          </w:p>
        </w:tc>
      </w:tr>
      <w:tr>
        <w:trPr/>
        <w:tc>
          <w:tcPr>
            <w:tcW w:w="1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26" w:type="dxa"/>
            <w:tcBorders/>
            <w:vAlign w:val="center"/>
          </w:tcPr>
          <w:p>
            <w:pPr>
              <w:pStyle w:val="TableContents"/>
              <w:bidi w:val="0"/>
              <w:spacing w:before="0" w:after="0"/>
              <w:ind w:left="0" w:right="0" w:hanging="0"/>
              <w:jc w:val="left"/>
              <w:rPr/>
            </w:pPr>
            <w:r>
              <w:rPr/>
              <w:t>    </w:t>
            </w:r>
          </w:p>
        </w:tc>
        <w:tc>
          <w:tcPr>
            <w:tcW w:w="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26" w:type="dxa"/>
            <w:tcBorders/>
            <w:vAlign w:val="center"/>
          </w:tcPr>
          <w:p>
            <w:pPr>
              <w:pStyle w:val="TableContents"/>
              <w:bidi w:val="0"/>
              <w:spacing w:before="0" w:after="0"/>
              <w:ind w:left="0" w:right="0" w:hanging="0"/>
              <w:jc w:val="left"/>
              <w:rPr/>
            </w:pPr>
            <w:r>
              <w:rPr/>
              <w:t>    </w:t>
            </w:r>
          </w:p>
        </w:tc>
        <w:tc>
          <w:tcPr>
            <w:tcW w:w="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26" w:type="dxa"/>
            <w:tcBorders/>
            <w:vAlign w:val="center"/>
          </w:tcPr>
          <w:p>
            <w:pPr>
              <w:pStyle w:val="TableContents"/>
              <w:bidi w:val="0"/>
              <w:spacing w:before="0" w:after="0"/>
              <w:ind w:left="0" w:right="0" w:hanging="0"/>
              <w:jc w:val="left"/>
              <w:rPr/>
            </w:pPr>
            <w:r>
              <w:rPr/>
              <w:t>    </w:t>
            </w:r>
          </w:p>
        </w:tc>
        <w:tc>
          <w:tcPr>
            <w:tcW w:w="6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43" w:type="dxa"/>
            <w:gridSpan w:val="23"/>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c>
          <w:tcPr>
            <w:tcW w:w="146" w:type="dxa"/>
            <w:tcBorders/>
            <w:vAlign w:val="center"/>
          </w:tcPr>
          <w:p>
            <w:pPr>
              <w:pStyle w:val="TableContents"/>
              <w:bidi w:val="0"/>
              <w:spacing w:before="0" w:after="0"/>
              <w:ind w:left="0" w:right="0" w:hanging="0"/>
              <w:jc w:val="center"/>
              <w:rPr/>
            </w:pPr>
            <w:r>
              <w:rPr/>
              <w:t> </w:t>
            </w:r>
          </w:p>
        </w:tc>
        <w:tc>
          <w:tcPr>
            <w:tcW w:w="283"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26" w:type="dxa"/>
            <w:tcBorders/>
            <w:shd w:fill="CCEEFF" w:val="clear"/>
            <w:vAlign w:val="center"/>
          </w:tcPr>
          <w:p>
            <w:pPr>
              <w:pStyle w:val="TableContents"/>
              <w:bidi w:val="0"/>
              <w:spacing w:before="0" w:after="0"/>
              <w:ind w:left="0" w:right="0" w:hanging="0"/>
              <w:jc w:val="center"/>
              <w:rPr/>
            </w:pPr>
            <w:r>
              <w:rPr/>
              <w:t>    </w:t>
            </w:r>
          </w:p>
        </w:tc>
        <w:tc>
          <w:tcPr>
            <w:tcW w:w="271" w:type="dxa"/>
            <w:tcBorders/>
            <w:shd w:fill="CCEEFF" w:val="clear"/>
            <w:vAlign w:val="center"/>
          </w:tcPr>
          <w:p>
            <w:pPr>
              <w:pStyle w:val="TableContents"/>
              <w:bidi w:val="0"/>
              <w:spacing w:before="0" w:after="0"/>
              <w:ind w:left="0" w:right="0" w:hanging="0"/>
              <w:jc w:val="center"/>
              <w:rPr/>
            </w:pPr>
            <w:r>
              <w:rPr/>
              <w:t>  </w:t>
            </w:r>
          </w:p>
        </w:tc>
        <w:tc>
          <w:tcPr>
            <w:tcW w:w="49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97" w:type="dxa"/>
            <w:tcBorders/>
            <w:shd w:fill="CCEEFF" w:val="clear"/>
            <w:vAlign w:val="center"/>
          </w:tcPr>
          <w:p>
            <w:pPr>
              <w:pStyle w:val="TableContents"/>
              <w:bidi w:val="0"/>
              <w:spacing w:before="0" w:after="0"/>
              <w:ind w:left="0" w:right="0" w:hanging="0"/>
              <w:jc w:val="center"/>
              <w:rPr/>
            </w:pPr>
            <w:r>
              <w:rPr/>
              <w:t>  </w:t>
            </w:r>
          </w:p>
        </w:tc>
        <w:tc>
          <w:tcPr>
            <w:tcW w:w="49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center"/>
              <w:rPr/>
            </w:pPr>
            <w:r>
              <w:rPr/>
              <w:t>  </w:t>
            </w:r>
          </w:p>
        </w:tc>
        <w:tc>
          <w:tcPr>
            <w:tcW w:w="46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8" w:type="dxa"/>
            <w:tcBorders/>
            <w:shd w:fill="CCEEFF" w:val="clear"/>
            <w:vAlign w:val="center"/>
          </w:tcPr>
          <w:p>
            <w:pPr>
              <w:pStyle w:val="TableContents"/>
              <w:bidi w:val="0"/>
              <w:spacing w:before="0" w:after="0"/>
              <w:ind w:left="0" w:right="0" w:hanging="0"/>
              <w:jc w:val="center"/>
              <w:rPr/>
            </w:pPr>
            <w:r>
              <w:rPr/>
              <w:t>  </w:t>
            </w:r>
          </w:p>
        </w:tc>
        <w:tc>
          <w:tcPr>
            <w:tcW w:w="34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center"/>
              <w:rPr/>
            </w:pPr>
            <w:r>
              <w:rPr/>
              <w:t>  </w:t>
            </w:r>
          </w:p>
        </w:tc>
        <w:tc>
          <w:tcPr>
            <w:tcW w:w="37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3" w:type="dxa"/>
            <w:tcBorders/>
            <w:shd w:fill="CCEEFF" w:val="clear"/>
            <w:vAlign w:val="center"/>
          </w:tcPr>
          <w:p>
            <w:pPr>
              <w:pStyle w:val="TableContents"/>
              <w:bidi w:val="0"/>
              <w:spacing w:before="0" w:after="0"/>
              <w:ind w:left="0" w:right="0" w:hanging="0"/>
              <w:jc w:val="center"/>
              <w:rPr/>
            </w:pPr>
            <w:r>
              <w:rPr/>
              <w:t>  </w:t>
            </w:r>
          </w:p>
        </w:tc>
        <w:tc>
          <w:tcPr>
            <w:tcW w:w="35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44" w:type="dxa"/>
            <w:tcBorders/>
            <w:shd w:fill="CCEEFF" w:val="clear"/>
            <w:vAlign w:val="center"/>
          </w:tcPr>
          <w:p>
            <w:pPr>
              <w:pStyle w:val="TableContents"/>
              <w:bidi w:val="0"/>
              <w:spacing w:before="0" w:after="0"/>
              <w:ind w:left="0" w:right="0" w:hanging="0"/>
              <w:jc w:val="center"/>
              <w:rPr/>
            </w:pPr>
            <w:r>
              <w:rPr/>
              <w:t>  </w:t>
            </w:r>
          </w:p>
        </w:tc>
        <w:tc>
          <w:tcPr>
            <w:tcW w:w="44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283"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center"/>
              <w:rPr/>
            </w:pPr>
            <w:r>
              <w:rPr/>
              <w:t>​</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4,523</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5,442</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(943)</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(943)</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on disposition of assets, net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4,542</w:t>
            </w:r>
          </w:p>
        </w:tc>
        <w:tc>
          <w:tcPr>
            <w:tcW w:w="326" w:type="dxa"/>
            <w:tcBorders/>
            <w:vAlign w:val="center"/>
          </w:tcPr>
          <w:p>
            <w:pPr>
              <w:pStyle w:val="TableContents"/>
              <w:bidi w:val="0"/>
              <w:spacing w:before="0" w:after="0"/>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885</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5,228</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3,916</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366</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4,570</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Credit loss on related party note receivable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deconsolidation of subsidiary</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32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0"/>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r>
      <w:tr>
        <w:trPr/>
        <w:tc>
          <w:tcPr>
            <w:tcW w:w="11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4,046</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6,019</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(791)</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w:t>
            </w:r>
          </w:p>
        </w:tc>
        <w:tc>
          <w:tcPr>
            <w:tcW w:w="3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403</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(777)</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w:t>
            </w:r>
          </w:p>
        </w:tc>
        <w:tc>
          <w:tcPr>
            <w:tcW w:w="32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(386)</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c>
          <w:tcPr>
            <w:tcW w:w="1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114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r>
      <w:tr>
        <w:trPr/>
        <w:tc>
          <w:tcPr>
            <w:tcW w:w="11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7"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03" w:name="Tc_wC_gWswyQkq0jyAEhkBgWA_8_11"/>
      <w:bookmarkStart w:id="2004" w:name="Tc_JVXZBd7EPUqjqR-0zwP32Q_8_8"/>
      <w:bookmarkStart w:id="2005" w:name="Tc_DWKBshRjE0yVsAC5uhDHow_8_5"/>
      <w:bookmarkStart w:id="2006" w:name="Tc_j3fnl-V1vkSoFcwJonb8Rg_8_2"/>
      <w:bookmarkStart w:id="2007" w:name="Tc_9k94n8DgLkSh3bF0jTAn2Q_8_0"/>
      <w:bookmarkStart w:id="2008" w:name="Tc_ruC5GY9AyUmW8UEF_Pf9SA_7_0"/>
      <w:bookmarkStart w:id="2009" w:name="Tc_o7XfuuAjb0y4SEv25CyrHg_6_5"/>
      <w:bookmarkStart w:id="2010" w:name="Tc_Uxj-bKvHPE6uLe3M1FyOZw_6_2"/>
      <w:bookmarkStart w:id="2011" w:name="Tc__JihQYnIgkWmfs_w-8mIRw_6_0"/>
      <w:bookmarkStart w:id="2012" w:name="Tc_nyPXqEC79kCt1P89ZSW7Gg_5_0"/>
      <w:bookmarkStart w:id="2013" w:name="Tc_5o6agwGKWU6JiraARrW1cw_4_11"/>
      <w:bookmarkStart w:id="2014" w:name="Tc_l4Yveuv-c0uDsYgevOwj8g_4_8"/>
      <w:bookmarkStart w:id="2015" w:name="Tc_i9MTxIXaPE6T8pX8luu2BA_4_5"/>
      <w:bookmarkStart w:id="2016" w:name="Tc_UWyc9cAltkq5SzxFk2ZR-A_4_2"/>
      <w:bookmarkStart w:id="2017" w:name="Tc_9_ft7mglOE6ctBS07tJsmA_4_0"/>
      <w:bookmarkStart w:id="2018" w:name="Tc_QzKfSbOkjkqmnECN_gnjqQ_3_2"/>
      <w:bookmarkStart w:id="2019" w:name="Tc_Ltiso1pbe0emPtNNFPaaOg_2_11"/>
      <w:bookmarkStart w:id="2020" w:name="Tc_HPyK91gDVUKtZB4m2OHE2w_2_8"/>
      <w:bookmarkStart w:id="2021" w:name="Tc_rPNvqYmDT0aItpL-pbS8Qw_2_5"/>
      <w:bookmarkStart w:id="2022" w:name="Tc_c8ZsJqvFC0GGL4iVffT98w_2_2"/>
      <w:bookmarkStart w:id="2023" w:name="Tc_QG2tvk87eEKwCuZe1oofrw_1_8"/>
      <w:bookmarkStart w:id="2024" w:name="Tc_H2c1-AnF-UqYtLOfBbW5AA_1_2"/>
      <w:bookmarkStart w:id="2025" w:name="Tc_L9GXYBRCqEmR9RtLCoAE5Q_6_11"/>
      <w:bookmarkStart w:id="2026" w:name="Tc_yNMfFGHhqEGG2aj48BU3rg_6_8"/>
      <w:bookmarkStart w:id="2027" w:name="Tc_LIix89thSk6NN-jffhvvkQ_6_5"/>
      <w:bookmarkStart w:id="2028" w:name="Tc_mWsnoh6Dd0ajnrKHGRiZmA_6_2"/>
      <w:bookmarkStart w:id="2029" w:name="Tc_29wddW5qykSGz5gClwtC4Q_5_0"/>
      <w:bookmarkStart w:id="2030" w:name="Tc_0iPu1TLzPEyfsXM1ZbPB3g_4_11"/>
      <w:bookmarkStart w:id="2031" w:name="Tc_HDShNXRYiEqIIOjYZqDnig_4_5"/>
      <w:bookmarkStart w:id="2032" w:name="Tc_S1smVjZdOki5fy3G5yZ8Pw_4_2"/>
      <w:bookmarkStart w:id="2033" w:name="Tc_3FtrA7w0A0ybM0KlbFAFQQ_4_0"/>
      <w:bookmarkStart w:id="2034" w:name="Tc_3VgTSgm0z0SzHmVJOi1_EQ_3_2"/>
      <w:bookmarkStart w:id="2035" w:name="Tc_LjIsmHySO0GOM68KHGbu0A_2_11"/>
      <w:bookmarkStart w:id="2036" w:name="Tc_M2AH8XitzEWavcTOofyhTw_2_8"/>
      <w:bookmarkStart w:id="2037" w:name="Tc_asvGEg8_rkiACe4TuJandw_2_5"/>
      <w:bookmarkStart w:id="2038" w:name="Tc_r-HK_zZ8yUeDmX0J9G6MzQ_2_2"/>
      <w:bookmarkStart w:id="2039" w:name="Tc_f4szXLUjE0qvZCoRUBcaDA_1_8"/>
      <w:bookmarkStart w:id="2040" w:name="Tc_a7VOe1vFOEeVyVtTAM13iw_1_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8118" w:type="dxa"/>
        <w:jc w:val="left"/>
        <w:tblInd w:w="0" w:type="dxa"/>
        <w:tblLayout w:type="fixed"/>
        <w:tblCellMar>
          <w:top w:w="0" w:type="dxa"/>
          <w:left w:w="0" w:type="dxa"/>
          <w:bottom w:w="0" w:type="dxa"/>
          <w:right w:w="0" w:type="dxa"/>
        </w:tblCellMar>
      </w:tblPr>
      <w:tblGrid>
        <w:gridCol w:w="2326"/>
        <w:gridCol w:w="326"/>
        <w:gridCol w:w="298"/>
        <w:gridCol w:w="806"/>
        <w:gridCol w:w="460"/>
        <w:gridCol w:w="298"/>
        <w:gridCol w:w="806"/>
        <w:gridCol w:w="326"/>
        <w:gridCol w:w="261"/>
        <w:gridCol w:w="708"/>
        <w:gridCol w:w="404"/>
        <w:gridCol w:w="261"/>
        <w:gridCol w:w="838"/>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77010" cy="175260"/>
                      <wp:effectExtent l="0" t="0" r="0" b="0"/>
                      <wp:wrapNone/>
                      <wp:docPr id="354" name="Frame35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89230" cy="175260"/>
                      <wp:effectExtent l="0" t="0" r="0" b="0"/>
                      <wp:wrapNone/>
                      <wp:docPr id="356" name="Frame35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11810" cy="175260"/>
                      <wp:effectExtent l="0" t="0" r="0" b="0"/>
                      <wp:wrapNone/>
                      <wp:docPr id="357" name="Frame357"/>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92100" cy="175260"/>
                      <wp:effectExtent l="0" t="0" r="0" b="0"/>
                      <wp:wrapNone/>
                      <wp:docPr id="358" name="Frame35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89230" cy="175260"/>
                      <wp:effectExtent l="0" t="0" r="0" b="0"/>
                      <wp:wrapNone/>
                      <wp:docPr id="359" name="Frame35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11810" cy="175260"/>
                      <wp:effectExtent l="0" t="0" r="0" b="0"/>
                      <wp:wrapNone/>
                      <wp:docPr id="360" name="Frame360"/>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5735" cy="175260"/>
                      <wp:effectExtent l="0" t="0" r="0" b="0"/>
                      <wp:wrapNone/>
                      <wp:docPr id="362" name="Frame36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49580" cy="175260"/>
                      <wp:effectExtent l="0" t="0" r="0" b="0"/>
                      <wp:wrapNone/>
                      <wp:docPr id="363" name="Frame36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56540" cy="175260"/>
                      <wp:effectExtent l="0" t="0" r="0" b="0"/>
                      <wp:wrapNone/>
                      <wp:docPr id="364" name="Frame364"/>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65735" cy="175260"/>
                      <wp:effectExtent l="0" t="0" r="0" b="0"/>
                      <wp:wrapNone/>
                      <wp:docPr id="365" name="Frame36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32130" cy="175260"/>
                      <wp:effectExtent l="0" t="0" r="0" b="0"/>
                      <wp:wrapNone/>
                      <wp:docPr id="366" name="Frame366"/>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60"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04"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811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460"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404"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2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404"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57"/>
        <w:gridCol w:w="326"/>
        <w:gridCol w:w="334"/>
        <w:gridCol w:w="668"/>
        <w:gridCol w:w="517"/>
        <w:gridCol w:w="334"/>
        <w:gridCol w:w="668"/>
        <w:gridCol w:w="326"/>
        <w:gridCol w:w="295"/>
        <w:gridCol w:w="588"/>
        <w:gridCol w:w="455"/>
        <w:gridCol w:w="295"/>
        <w:gridCol w:w="742"/>
      </w:tblGrid>
      <w:tr>
        <w:trPr/>
        <w:tc>
          <w:tcPr>
            <w:tcW w:w="4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957195" cy="175260"/>
                      <wp:effectExtent l="0" t="0" r="0" b="0"/>
                      <wp:wrapNone/>
                      <wp:docPr id="367" name="Frame367"/>
                      <a:graphic xmlns:a="http://schemas.openxmlformats.org/drawingml/2006/main">
                        <a:graphicData uri="http://schemas.microsoft.com/office/word/2010/wordprocessingShape">
                          <wps:wsp>
                            <wps:cNvSpPr txBox="1"/>
                            <wps:spPr>
                              <a:xfrm>
                                <a:off x="0" y="0"/>
                                <a:ext cx="295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2090" cy="175260"/>
                      <wp:effectExtent l="0" t="0" r="0" b="0"/>
                      <wp:wrapNone/>
                      <wp:docPr id="369" name="Frame36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24180" cy="175260"/>
                      <wp:effectExtent l="0" t="0" r="0" b="0"/>
                      <wp:wrapNone/>
                      <wp:docPr id="370" name="Frame370"/>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28295" cy="175260"/>
                      <wp:effectExtent l="0" t="0" r="0" b="0"/>
                      <wp:wrapNone/>
                      <wp:docPr id="371" name="Frame371"/>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2090" cy="175260"/>
                      <wp:effectExtent l="0" t="0" r="0" b="0"/>
                      <wp:wrapNone/>
                      <wp:docPr id="372" name="Frame372"/>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4180" cy="175260"/>
                      <wp:effectExtent l="0" t="0" r="0" b="0"/>
                      <wp:wrapNone/>
                      <wp:docPr id="373" name="Frame373"/>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87325" cy="175260"/>
                      <wp:effectExtent l="0" t="0" r="0" b="0"/>
                      <wp:wrapNone/>
                      <wp:docPr id="375" name="Frame37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73380" cy="175260"/>
                      <wp:effectExtent l="0" t="0" r="0" b="0"/>
                      <wp:wrapNone/>
                      <wp:docPr id="376" name="Frame37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88925" cy="175260"/>
                      <wp:effectExtent l="0" t="0" r="0" b="0"/>
                      <wp:wrapNone/>
                      <wp:docPr id="377" name="Frame37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87325" cy="175260"/>
                      <wp:effectExtent l="0" t="0" r="0" b="0"/>
                      <wp:wrapNone/>
                      <wp:docPr id="378" name="Frame37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71170" cy="175260"/>
                      <wp:effectExtent l="0" t="0" r="0" b="0"/>
                      <wp:wrapNone/>
                      <wp:docPr id="379" name="Frame379"/>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17"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55"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22"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4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Aftermarket Parts</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517"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55"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4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revenue outside the scope of ASC 606</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17"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5"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517"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455"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41" w:name="Tc__Sh19Cp8S0yk3tHbES1mKQ_24_26"/>
      <w:bookmarkStart w:id="2042" w:name="Tc_p71gwVzET0eWCSwBWD8uHA_24_23"/>
      <w:bookmarkStart w:id="2043" w:name="Tc_4Jj-ZEgr9U2lZlojCHvqWA_24_20"/>
      <w:bookmarkStart w:id="2044" w:name="Tc_hnBlSb_k6U-HWKf6eTOTdw_24_17"/>
      <w:bookmarkStart w:id="2045" w:name="Tc_SmrO5WHHHkCwvnSTXd7qlA_24_14"/>
      <w:bookmarkStart w:id="2046" w:name="Tc_YtV_eQOugU6s2pT-X0FBtQ_24_11"/>
      <w:bookmarkStart w:id="2047" w:name="Tc_-ryfQVJeVU-ZBy9u2F3xBQ_24_8"/>
      <w:bookmarkStart w:id="2048" w:name="Tc_Nn0Xt5opV0KWmDGFUewqmQ_24_5"/>
      <w:bookmarkStart w:id="2049" w:name="Tc_K14vTLaTiUWUsCafvrujBw_24_2"/>
      <w:bookmarkStart w:id="2050" w:name="Tc_duoOqypnDEKXg7Bi25yNWQ_24_0"/>
      <w:bookmarkStart w:id="2051" w:name="Tc_oI3q457CNkyy05mLh89S_Q_23_0"/>
      <w:bookmarkStart w:id="2052" w:name="Tc_DPXPm7Bz20ibbBchPVA0XQ_22_24"/>
      <w:bookmarkStart w:id="2053" w:name="Tc_2WjAK81YdkqXU3sVnPXPGw_22_21"/>
      <w:bookmarkStart w:id="2054" w:name="Tc_W2-wOqkLEUGHGTOh95lvrQ_22_18"/>
      <w:bookmarkStart w:id="2055" w:name="Tc_OqwaaJ_EaEOARszcPEFjwA_22_9"/>
      <w:bookmarkStart w:id="2056" w:name="Tc_9hpS9DR_L0yjS7xw-CHrAw_22_0"/>
      <w:bookmarkStart w:id="2057" w:name="Tc_fOgsO4aBEkKlkV5bxzBekw_21_0"/>
      <w:bookmarkStart w:id="2058" w:name="Tc__MhQv36dZUySynydfi6dNg_19_0"/>
      <w:bookmarkStart w:id="2059" w:name="Tc_TQO4TRKSAky1haw9MorBWw_18_21"/>
      <w:bookmarkStart w:id="2060" w:name="Tc_WeHPcIUQa0eJ3P09GFbmhA_18_3"/>
      <w:bookmarkStart w:id="2061" w:name="Tc_3ABNj8ZMykCD1GHYAcHVrw_18_0"/>
      <w:bookmarkStart w:id="2062" w:name="Tc_DbufFlNnnEWWcWfklinANQ_17_24"/>
      <w:bookmarkStart w:id="2063" w:name="Tc_x005F_Xe397_FoVEihJrtekSEvIg_17_21"/>
      <w:bookmarkStart w:id="2064" w:name="Tc_Kgo8T94htEu8h49EuW_dWQ_17_18"/>
      <w:bookmarkStart w:id="2065" w:name="Tc_sWwRTahUgk-1sUQMJkWeLQ_17_15"/>
      <w:bookmarkStart w:id="2066" w:name="Tc_SnqyG0sKuUWR1zRcbaucTw_17_12"/>
      <w:bookmarkStart w:id="2067" w:name="Tc_jHWuEOo17UeGVdap6sag2g_17_9"/>
      <w:bookmarkStart w:id="2068" w:name="Tc_wtI9mirXSEma96tDnONQFg_17_6"/>
      <w:bookmarkStart w:id="2069" w:name="Tc_tYjzNa47a0KEjDsow7414g_17_0"/>
      <w:bookmarkStart w:id="2070" w:name="Tc_sdNZz5OBUEqvpfwTB3VoXg_16_26"/>
      <w:bookmarkStart w:id="2071" w:name="Tc_A2dexah3qkG9ZKdJQfXBcw_16_23"/>
      <w:bookmarkStart w:id="2072" w:name="Tc_ilES-GZGDUyWD7MXnaqWNQ_16_20"/>
      <w:bookmarkStart w:id="2073" w:name="Tc_5Vl-oFlopUqXIP62D745Jg_16_17"/>
      <w:bookmarkStart w:id="2074" w:name="Tc_sEzs1fTkq0GiWrZ3xE3pEg_16_14"/>
      <w:bookmarkStart w:id="2075" w:name="Tc_nw6FoXl5AkOVAZCxlzUKug_16_11"/>
      <w:bookmarkStart w:id="2076" w:name="Tc_mRNdYdPbHUOAolvAAOuYww_16_8"/>
      <w:bookmarkStart w:id="2077" w:name="Tc_D6jBL_lzaUiRccAcGgQIhQ_16_5"/>
      <w:bookmarkStart w:id="2078" w:name="Tc_NyoWcqBaOEK7DTO-4x_0dQ_16_2"/>
      <w:bookmarkStart w:id="2079" w:name="Tc_kb52aqSYm0u85N2oEKCrSg_16_0"/>
      <w:bookmarkStart w:id="2080" w:name="Tc_kgl1mQ2AWUecc7gHT66geA_15_0"/>
      <w:bookmarkStart w:id="2081" w:name="Tc_zRfA8Eu4JEm0oLuIoDA7xQ_14_26"/>
      <w:bookmarkStart w:id="2082" w:name="Tc_E4v6T4USQEiQrV3eg_CPFw_14_23"/>
      <w:bookmarkStart w:id="2083" w:name="Tc_VzK-psofi0uOHQ-EJ6MxZg_14_20"/>
      <w:bookmarkStart w:id="2084" w:name="Tc_axZ6L4iJFkyi_shpikIzow_14_17"/>
      <w:bookmarkStart w:id="2085" w:name="Tc_TcWgAlVp2ESKwoHKiO5Dug_14_14"/>
      <w:bookmarkStart w:id="2086" w:name="Tc_39zO6mMtzkOpscABnxL0cg_14_11"/>
      <w:bookmarkStart w:id="2087" w:name="Tc_t3zSw-XjkkmhSy90W9bzBw_14_8"/>
      <w:bookmarkStart w:id="2088" w:name="Tc_v_Ucd5JAhU2HqlNyHmM6bw_14_5"/>
      <w:bookmarkStart w:id="2089" w:name="Tc_eI-KXpmljEabTEOpIpRntw_14_2"/>
      <w:bookmarkStart w:id="2090" w:name="Tc_Nx_7xS4PS0eMa1tPJMxJrQ_14_0"/>
      <w:bookmarkStart w:id="2091" w:name="Tc_ImYyvwj-FUaZ5SonbcDKfA_13_0"/>
      <w:bookmarkStart w:id="2092" w:name="Tc_E5k9BOcjXEev76G_XWvi0g_12_24"/>
      <w:bookmarkStart w:id="2093" w:name="Tc_cf4swcjzQky1FBSj7X4FCQ_12_15"/>
      <w:bookmarkStart w:id="2094" w:name="Tc_Zq5ejgKJj0GAzfh9ZKTqNQ_12_3"/>
      <w:bookmarkStart w:id="2095" w:name="Tc_vrXuIqx4REiTmdTPrnk43w_12_0"/>
      <w:bookmarkStart w:id="2096" w:name="Tc_oEAOvy_ZiU6bhizJXaLbRg_11_21"/>
      <w:bookmarkStart w:id="2097" w:name="Tc_f1iOHhbXzEa0J6TbxQ9CrQ_11_3"/>
      <w:bookmarkStart w:id="2098" w:name="Tc_bZWgskrnPUubOsTP-unHFA_11_0"/>
      <w:bookmarkStart w:id="2099" w:name="Tc_gVdVjS8jkUaMP0-i6PlU9g_10_24"/>
      <w:bookmarkStart w:id="2100" w:name="Tc_tY7531u-NU2szQr_t_KE0g_10_15"/>
      <w:bookmarkStart w:id="2101" w:name="Tc_QTHsHJRBGkOB_YhKJWwZTg_10_3"/>
      <w:bookmarkStart w:id="2102" w:name="Tc_QBxzXP3G8kiLuiXeqwOr6A_10_0"/>
      <w:bookmarkStart w:id="2103" w:name="Tc_RqIyJpaXgUKymRalWRFrIA_9_21"/>
      <w:bookmarkStart w:id="2104" w:name="Tc_HJQ0CDp70EOSdMGoRhMr0A_9_18"/>
      <w:bookmarkStart w:id="2105" w:name="Tc_-ospHiAQikaP-oeoqQ69BA_9_15"/>
      <w:bookmarkStart w:id="2106" w:name="Tc_YT2JECPjdk2aqZ4nYH65ug_9_12"/>
      <w:bookmarkStart w:id="2107" w:name="Tc_dlf5CpSA8kmXpBiMX5fg7Q_9_9"/>
      <w:bookmarkStart w:id="2108" w:name="Tc_bWnq4nkiT0OX49G9Wlsu0A_9_6"/>
      <w:bookmarkStart w:id="2109" w:name="Tc_eZSja_8DFE-wicm-NBq1Ew_9_3"/>
      <w:bookmarkStart w:id="2110" w:name="Tc_uz_ighBclUCsN8-02MnHoQ_9_0"/>
      <w:bookmarkStart w:id="2111" w:name="Tc_wz-y2kJpUkGBIl_HaroL7Q_8_24"/>
      <w:bookmarkStart w:id="2112" w:name="Tc_1NEngYrnMkCyyyf5-VqrzA_8_3"/>
      <w:bookmarkStart w:id="2113" w:name="Tc_mnkq7ekUsECPuHx3fC5ROw_8_0"/>
      <w:bookmarkStart w:id="2114" w:name="Tc_PqJkDrO7qUGa6u8qE-0Jww_7_24"/>
      <w:bookmarkStart w:id="2115" w:name="Tc_c8Jd39f4YE6_X3HfxxmuOQ_7_21"/>
      <w:bookmarkStart w:id="2116" w:name="Tc_e49BXVi4vkeOKb0aynTgsQ_7_18"/>
      <w:bookmarkStart w:id="2117" w:name="Tc_fhX1qA6YCE6c2e61WO73nQ_7_12"/>
      <w:bookmarkStart w:id="2118" w:name="Tc_de16NQidnUCMwFK4ps7v5g_7_9"/>
      <w:bookmarkStart w:id="2119" w:name="Tc_GD4nGmWEokyLC6REA-_xnQ_7_0"/>
      <w:bookmarkStart w:id="2120" w:name="Tc_vMfjMKelSEq5Q312fbrSSA_6_21"/>
      <w:bookmarkStart w:id="2121" w:name="Tc_dZk1lwoo4ki32Z-KwNkr5Q_6_12"/>
      <w:bookmarkStart w:id="2122" w:name="Tc_vJQg8u8ghkCPDlelMDpRYg_6_0"/>
      <w:bookmarkStart w:id="2123" w:name="Tc_jGmV698nKE6hFypK12L30w_5_26"/>
      <w:bookmarkStart w:id="2124" w:name="Tc_x1-Z0iemqUiDg3W3dwslNQ_5_23"/>
      <w:bookmarkStart w:id="2125" w:name="Tc_aSs_0cr4A0aC-bArCqCGBg_5_20"/>
      <w:bookmarkStart w:id="2126" w:name="Tc_tu40wRekeUuZBZaYYd6uKg_5_17"/>
      <w:bookmarkStart w:id="2127" w:name="Tc_hCfYKwBY_0yNHIhDhM36mQ_5_14"/>
      <w:bookmarkStart w:id="2128" w:name="Tc_GtGs0AiP9k6K_vSxeN5n8Q_5_11"/>
      <w:bookmarkStart w:id="2129" w:name="Tc_OnD0sn4kfEm8xJMH5pQAUw_5_8"/>
      <w:bookmarkStart w:id="2130" w:name="Tc_cPxzzKc6PEu45u3q_AI_lw_5_5"/>
      <w:bookmarkStart w:id="2131" w:name="Tc_xggXefN7CUyMal-sYcm07A_5_2"/>
      <w:bookmarkStart w:id="2132" w:name="Tc_fzq5hIPE9UqaYuWj0vxqNg_5_0"/>
      <w:bookmarkStart w:id="2133" w:name="Tc_N0mEEkl1XUeUyEdcwMuIBg_4_0"/>
      <w:bookmarkStart w:id="2134" w:name="Tc_h77uIHwC2UaZ7g0TPRji_g_3_2"/>
      <w:bookmarkStart w:id="2135" w:name="Tc_Fq14QH5sOEWGK8NF0MlP2Q_2_26"/>
      <w:bookmarkStart w:id="2136" w:name="Tc_w80QOA-KC0aRWVQycRgydQ_2_23"/>
      <w:bookmarkStart w:id="2137" w:name="Tc_JwrS6Flhck2jdP8OrlgUnw_2_20"/>
      <w:bookmarkStart w:id="2138" w:name="Tc_8Ug4-of1f06kJflze_o2_A_2_17"/>
      <w:bookmarkStart w:id="2139" w:name="Tc_XcwnofzHyUOyg4E3KsBpWg_2_14"/>
      <w:bookmarkStart w:id="2140" w:name="Tc_M7HTUOQOy0inoi7cxWaHqQ_2_11"/>
      <w:bookmarkStart w:id="2141" w:name="Tc_4kTo1UL_pEOupl3hISsF5Q_2_8"/>
      <w:bookmarkStart w:id="2142" w:name="Tc_X3EjLZmsP0OhwRk-kiz1Xw_2_5"/>
      <w:bookmarkStart w:id="2143" w:name="Tc_FzzSNRmjiEWHl_Pg9-WU7w_2_2"/>
      <w:bookmarkStart w:id="2144" w:name="Tc_mcOFMnamxkeybLOoHvneNg_1_2"/>
      <w:bookmarkStart w:id="2145" w:name="_d219bfcb_a548_4f51_8a16_928ba46c8861"/>
      <w:bookmarkStart w:id="2146" w:name="Tc_KDjJtNMzz0a4j8AStztCjw_24_26"/>
      <w:bookmarkStart w:id="2147" w:name="Tc_Y8MSylven0efejtaGOHNjQ_24_23"/>
      <w:bookmarkStart w:id="2148" w:name="Tc_cmR9bx-Lak6ssEPorP-gIQ_24_20"/>
      <w:bookmarkStart w:id="2149" w:name="Tc_t7WmNpE8X02_BOy5NQoljw_24_17"/>
      <w:bookmarkStart w:id="2150" w:name="Tc_g-gmrDi3_kiI_ZZfUY7aiA_24_14"/>
      <w:bookmarkStart w:id="2151" w:name="Tc_ej3tzRQMvEe8O2MnCxu5Uw_24_11"/>
      <w:bookmarkStart w:id="2152" w:name="Tc_5HiCmvbLT06U2Y7oqV2AbA_24_8"/>
      <w:bookmarkStart w:id="2153" w:name="Tc_7mBlq4hT60OKiuVHvuGPAg_24_5"/>
      <w:bookmarkStart w:id="2154" w:name="Tc_S_D9zxDN90eJALKPZ2w73Q_24_2"/>
      <w:bookmarkStart w:id="2155" w:name="Tc_HivPjTwvRE2YouzixbS7Og_24_0"/>
      <w:bookmarkStart w:id="2156" w:name="Tc_WSdJ5SLNB0OVVnknuCJOvA_23_0"/>
      <w:bookmarkStart w:id="2157" w:name="Tc_xD7fNS_LG0yvrI9c4FXxxA_22_24"/>
      <w:bookmarkStart w:id="2158" w:name="Tc_nTlqWu9Omk6NeTi42nLHcg_22_21"/>
      <w:bookmarkStart w:id="2159" w:name="Tc_a_XC3y21bUW5_IoB5EjMCQ_22_18"/>
      <w:bookmarkStart w:id="2160" w:name="Tc_Zfw6jBn4j0aF4vlAH3GVng_22_9"/>
      <w:bookmarkStart w:id="2161" w:name="Tc_7nx4z9ttcE-GN6Pf8h_gtg_22_0"/>
      <w:bookmarkStart w:id="2162" w:name="Tc_HRhKaM7-dkOLM2ga7KbTKA_21_0"/>
      <w:bookmarkStart w:id="2163" w:name="Tc_P3jJ9zOC10GePlVN0F6MKw_19_0"/>
      <w:bookmarkStart w:id="2164" w:name="Tc_j9VekXnb40mR3tiUvw2eeQ_18_21"/>
      <w:bookmarkStart w:id="2165" w:name="Tc_-SaqnPZR3EerVGBq7giodw_18_3"/>
      <w:bookmarkStart w:id="2166" w:name="Tc_KEy2jNvpM0uIrkwc0Qt-uw_18_0"/>
      <w:bookmarkStart w:id="2167" w:name="Tc_dJdIk2w2h0aVqGkrZ_w8_Q_17_24"/>
      <w:bookmarkStart w:id="2168" w:name="Tc_iDaBQtHbMU2lG7Vm6gm5yg_17_21"/>
      <w:bookmarkStart w:id="2169" w:name="Tc_ZyUjKngJiUucTVaGWtOnfw_17_18"/>
      <w:bookmarkStart w:id="2170" w:name="Tc_8XbQOXzCu0-g-kNlQJ7Gjw_17_15"/>
      <w:bookmarkStart w:id="2171" w:name="Tc_OnvQZs4j90OXCKweLfWUdg_17_12"/>
      <w:bookmarkStart w:id="2172" w:name="Tc_7ANrionniEi4uXUavwSjPg_17_9"/>
      <w:bookmarkStart w:id="2173" w:name="Tc_8VLjj4TchkeC5mQER74h-w_17_6"/>
      <w:bookmarkStart w:id="2174" w:name="Tc_0sIYhOoheUuj_pNB1pC27g_17_0"/>
      <w:bookmarkStart w:id="2175" w:name="Tc_ezzZ_ujH7Eu2r-E6FN81Cg_16_26"/>
      <w:bookmarkStart w:id="2176" w:name="Tc_OqWzhDwBI0W5DQckoOb1LA_16_23"/>
      <w:bookmarkStart w:id="2177" w:name="Tc_KVR0kJQJAUuojV_ysGvxoA_16_20"/>
      <w:bookmarkStart w:id="2178" w:name="Tc_qHv6NR7EtEmNyAv0tFMwvw_16_17"/>
      <w:bookmarkStart w:id="2179" w:name="Tc_r65X2vQE4EuEIJcI9Rc-pg_16_14"/>
      <w:bookmarkStart w:id="2180" w:name="Tc_YlIbekTma0W3jUFPwCXsAQ_16_11"/>
      <w:bookmarkStart w:id="2181" w:name="Tc_4E6PF721jkWX1KgDPnpAdQ_16_8"/>
      <w:bookmarkStart w:id="2182" w:name="Tc_dES_btTVEEONH6si9V4vfw_16_5"/>
      <w:bookmarkStart w:id="2183" w:name="Tc_MYNeOSJ35EGtsqSry-dqMg_16_2"/>
      <w:bookmarkStart w:id="2184" w:name="Tc_YzidkC9T5EG_pVHOnR4QAw_16_0"/>
      <w:bookmarkStart w:id="2185" w:name="Tc_KwKcotpvgE2qzFU0JoPgmw_15_0"/>
      <w:bookmarkStart w:id="2186" w:name="Tc_prrReU7ibkOlxJAW3jaTUQ_14_26"/>
      <w:bookmarkStart w:id="2187" w:name="Tc_4uf9cnfXjE-WEpAVxDV6vg_14_23"/>
      <w:bookmarkStart w:id="2188" w:name="Tc_ZJKuMbwPsUWNnr9aUl0pLg_14_20"/>
      <w:bookmarkStart w:id="2189" w:name="Tc_nvvKDkoCokSeJXh72m4G6A_14_17"/>
      <w:bookmarkStart w:id="2190" w:name="Tc_hiFkyf79uEKv5hHJcpj5nw_14_14"/>
      <w:bookmarkStart w:id="2191" w:name="Tc_5iDcH3QzmkyIu0SI_rzGWg_14_11"/>
      <w:bookmarkStart w:id="2192" w:name="Tc_GkHMyR4SkEyf8vScbtAf6A_14_8"/>
      <w:bookmarkStart w:id="2193" w:name="Tc_XlaTfsc37Ey42V5KzPTkXQ_14_5"/>
      <w:bookmarkStart w:id="2194" w:name="Tc_FtQpTUS9XkmzawE3m3ul3Q_14_2"/>
      <w:bookmarkStart w:id="2195" w:name="Tc_TWcmoV1XukWjy3KV9kp2bw_14_0"/>
      <w:bookmarkStart w:id="2196" w:name="Tc_kbbDijY5qESOQrIcgeJCQw_13_0"/>
      <w:bookmarkStart w:id="2197" w:name="Tc_msoDt6I33kOTjlm-Xo3QZg_12_24"/>
      <w:bookmarkStart w:id="2198" w:name="Tc_y8ksV8K6JEODmPXuSX6fww_12_15"/>
      <w:bookmarkStart w:id="2199" w:name="Tc_3vfUoXfiykGolLyb9MiyHQ_12_3"/>
      <w:bookmarkStart w:id="2200" w:name="Tc_3T09KlIyP0yS8p52nT3csQ_12_0"/>
      <w:bookmarkStart w:id="2201" w:name="Tc_cfSnsB8VU02qOchRM6Zn0Q_11_21"/>
      <w:bookmarkStart w:id="2202" w:name="Tc_jwX8tML7oEytLGjEX21Qjw_11_3"/>
      <w:bookmarkStart w:id="2203" w:name="Tc_s-29F_C9E0CXfRDrJZcx_g_11_0"/>
      <w:bookmarkStart w:id="2204" w:name="Tc_ZIEwcdsWP02A3SbQqsBH-w_10_21"/>
      <w:bookmarkStart w:id="2205" w:name="Tc_Z3gIl1eAeEmfMElKwfDtVA_10_18"/>
      <w:bookmarkStart w:id="2206" w:name="Tc_bmNyC3Ab30mmIVyI0ItXfw_10_15"/>
      <w:bookmarkStart w:id="2207" w:name="Tc_2zi8KUseeUGzTKFDBtzP-Q_10_12"/>
      <w:bookmarkStart w:id="2208" w:name="Tc_YkEhEyGnr0S43zqs6sUnFw_10_9"/>
      <w:bookmarkStart w:id="2209" w:name="Tc_Mw2AvTAGzU2K113UdCPJ6A_10_6"/>
      <w:bookmarkStart w:id="2210" w:name="Tc_fhWNoCHExUqhIzeudgQ2sQ_10_3"/>
      <w:bookmarkStart w:id="2211" w:name="Tc_JQ5atWflNUSCOdolTRAatw_10_0"/>
      <w:bookmarkStart w:id="2212" w:name="Tc_-HXnWaUn_UWF4zRFaU4qHQ_9_24"/>
      <w:bookmarkStart w:id="2213" w:name="Tc_09z1v2VCWECq9M6iggdg7w_9_15"/>
      <w:bookmarkStart w:id="2214" w:name="Tc_B2kaHswig0iew-I5oHPJbQ_9_3"/>
      <w:bookmarkStart w:id="2215" w:name="Tc_sPDLKjF9z0e3RuZa2XQN5w_9_0"/>
      <w:bookmarkStart w:id="2216" w:name="Tc_OjwF8zN5r0yuUFacytXsjA_8_24"/>
      <w:bookmarkStart w:id="2217" w:name="Tc_0QIRL4yfeUWesixavTt-8g_8_3"/>
      <w:bookmarkStart w:id="2218" w:name="Tc_gWWCO5dgZk2arwQ-zqpCpQ_8_0"/>
      <w:bookmarkStart w:id="2219" w:name="Tc_W5VLeIlBjUyF9k_9AfZI4w_7_24"/>
      <w:bookmarkStart w:id="2220" w:name="Tc_L6jnx1u2LUKPUvgJ4XVUkA_7_21"/>
      <w:bookmarkStart w:id="2221" w:name="Tc_L3JoZffxB0SHG5Y4playyA_7_18"/>
      <w:bookmarkStart w:id="2222" w:name="Tc_z2E_XQMM8Eu9hlTpYgBAgQ_7_12"/>
      <w:bookmarkStart w:id="2223" w:name="Tc_GVnKl4BhnE2mjwzACISbfQ_7_9"/>
      <w:bookmarkStart w:id="2224" w:name="Tc_95QkOht1zU-46fYfWlHKIA_7_0"/>
      <w:bookmarkStart w:id="2225" w:name="Tc_nJc7uIxxR0Spbxl5WE8G9Q_6_21"/>
      <w:bookmarkStart w:id="2226" w:name="Tc_58hW4_ODzk-i8SHNown99A_6_12"/>
      <w:bookmarkStart w:id="2227" w:name="Tc_qSFyV_JXO0qEKNwgha6AGQ_6_6"/>
      <w:bookmarkStart w:id="2228" w:name="Tc_VazX0A0GgUamz9I2NgyNWg_6_0"/>
      <w:bookmarkStart w:id="2229" w:name="Tc_2aebdIFih0mhP4oraYp2tA_5_26"/>
      <w:bookmarkStart w:id="2230" w:name="Tc_bQnC1Fny4kOUsxZmfQYqLw_5_23"/>
      <w:bookmarkStart w:id="2231" w:name="Tc_os6iHxpt1UuC1-gvcKDGBg_5_20"/>
      <w:bookmarkStart w:id="2232" w:name="Tc_yrY9_g9-3EO-fu_Zm4DZMw_5_17"/>
      <w:bookmarkStart w:id="2233" w:name="Tc_aHzbXCPe0E66atUzQdtQTA_5_14"/>
      <w:bookmarkStart w:id="2234" w:name="Tc_8QsEDVqJtESrXPOBWtO8Ug_5_11"/>
      <w:bookmarkStart w:id="2235" w:name="Tc_TpR6qX5hHEKHDTG24IigbA_5_8"/>
      <w:bookmarkStart w:id="2236" w:name="Tc_uYMMl-0LkU6Co5Az1RBOtw_5_5"/>
      <w:bookmarkStart w:id="2237" w:name="Tc_yBKwbWqMuUCy2Mb57pRBqg_5_2"/>
      <w:bookmarkStart w:id="2238" w:name="Tc_T8W7o3-P2EmTYJ3k7loVqw_5_0"/>
      <w:bookmarkStart w:id="2239" w:name="Tc_wRkP1rcupE6WM8YByjZ0nQ_4_0"/>
      <w:bookmarkStart w:id="2240" w:name="Tc_JqgyClv6PUy6bvqum88jSQ_3_2"/>
      <w:bookmarkStart w:id="2241" w:name="Tc_I3EEb2iukUCHMmff2nqDQA_2_26"/>
      <w:bookmarkStart w:id="2242" w:name="Tc_HPD70zwo-keBrCDbYuG4Rg_2_23"/>
      <w:bookmarkStart w:id="2243" w:name="Tc_ykiqgSzlikKKl81hDEOlUA_2_20"/>
      <w:bookmarkStart w:id="2244" w:name="Tc_2fc7jO2a1EmdXmGq099XcQ_2_17"/>
      <w:bookmarkStart w:id="2245" w:name="Tc_gwpOMamEAE-aDo8nR0GhIQ_2_14"/>
      <w:bookmarkStart w:id="2246" w:name="Tc_Df7QOTerekq8C_dXX7mIbg_2_11"/>
      <w:bookmarkStart w:id="2247" w:name="Tc_8xlCcod10UemxODCpRYJTQ_2_8"/>
      <w:bookmarkStart w:id="2248" w:name="Tc_-QAIrdSbME-idhdyZEQ-Sw_2_5"/>
      <w:bookmarkStart w:id="2249" w:name="Tc_p7o3aj2zEEe6sAB_RA-VRw_2_2"/>
      <w:bookmarkStart w:id="2250" w:name="Tc_E9tS0n3OH0-XOjVCagvOSw_1_2"/>
      <w:bookmarkStart w:id="2251" w:name="_f3388f2b_b566_4a3b_ab49_698c295644ff"/>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893570" cy="175260"/>
                      <wp:effectExtent l="0" t="0" r="0" b="0"/>
                      <wp:wrapNone/>
                      <wp:docPr id="380" name="Frame380"/>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42240" cy="175260"/>
                      <wp:effectExtent l="0" t="0" r="0" b="0"/>
                      <wp:wrapNone/>
                      <wp:docPr id="382" name="Frame38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44170" cy="175260"/>
                      <wp:effectExtent l="0" t="0" r="0" b="0"/>
                      <wp:wrapNone/>
                      <wp:docPr id="383" name="Frame38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14935" cy="175260"/>
                      <wp:effectExtent l="0" t="0" r="0" b="0"/>
                      <wp:wrapNone/>
                      <wp:docPr id="385" name="Frame3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76860" cy="175260"/>
                      <wp:effectExtent l="0" t="0" r="0" b="0"/>
                      <wp:wrapNone/>
                      <wp:docPr id="386" name="Frame38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7955" cy="175260"/>
                      <wp:effectExtent l="0" t="0" r="0" b="0"/>
                      <wp:wrapNone/>
                      <wp:docPr id="388" name="Frame38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7505" cy="175260"/>
                      <wp:effectExtent l="0" t="0" r="0" b="0"/>
                      <wp:wrapNone/>
                      <wp:docPr id="389" name="Frame389"/>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60020" cy="175260"/>
                      <wp:effectExtent l="0" t="0" r="0" b="0"/>
                      <wp:wrapNone/>
                      <wp:docPr id="391" name="Frame39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07340" cy="175260"/>
                      <wp:effectExtent l="0" t="0" r="0" b="0"/>
                      <wp:wrapNone/>
                      <wp:docPr id="392" name="Frame392"/>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14935" cy="175260"/>
                      <wp:effectExtent l="0" t="0" r="0" b="0"/>
                      <wp:wrapNone/>
                      <wp:docPr id="394" name="Frame3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27635" cy="175260"/>
                      <wp:effectExtent l="0" t="0" r="0" b="0"/>
                      <wp:wrapNone/>
                      <wp:docPr id="397" name="Frame39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4475" cy="175260"/>
                      <wp:effectExtent l="0" t="0" r="0" b="0"/>
                      <wp:wrapNone/>
                      <wp:docPr id="398" name="Frame39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24460" cy="175260"/>
                      <wp:effectExtent l="0" t="0" r="0" b="0"/>
                      <wp:wrapNone/>
                      <wp:docPr id="400" name="Frame4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38125" cy="175260"/>
                      <wp:effectExtent l="0" t="0" r="0" b="0"/>
                      <wp:wrapNone/>
                      <wp:docPr id="401" name="Frame40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14935" cy="175260"/>
                      <wp:effectExtent l="0" t="0" r="0" b="0"/>
                      <wp:wrapNone/>
                      <wp:docPr id="403" name="Frame4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27025" cy="175260"/>
                      <wp:effectExtent l="0" t="0" r="0" b="0"/>
                      <wp:wrapNone/>
                      <wp:docPr id="404" name="Frame404"/>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8430" cy="175260"/>
                      <wp:effectExtent l="0" t="0" r="0" b="0"/>
                      <wp:wrapNone/>
                      <wp:docPr id="406" name="Frame40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62915" cy="175260"/>
                      <wp:effectExtent l="0" t="0" r="0" b="0"/>
                      <wp:wrapNone/>
                      <wp:docPr id="407" name="Frame407"/>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2024</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2,218</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3,256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3,442</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2,306</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494</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543</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970</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notes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3,909</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4,522</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17,988</w:t>
            </w:r>
          </w:p>
        </w:tc>
      </w:tr>
      <w:tr>
        <w:trPr/>
        <w:tc>
          <w:tcPr>
            <w:tcW w:w="298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2,128</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4,860</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3,022</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843</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4,952</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12,602</w:t>
            </w:r>
          </w:p>
        </w:tc>
      </w:tr>
      <w:tr>
        <w:trPr/>
        <w:tc>
          <w:tcPr>
            <w:tcW w:w="29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2,727</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2,659</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5,386</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4,522</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17,988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2"/>
        <w:gridCol w:w="109"/>
        <w:gridCol w:w="200"/>
        <w:gridCol w:w="566"/>
        <w:gridCol w:w="109"/>
        <w:gridCol w:w="181"/>
        <w:gridCol w:w="436"/>
        <w:gridCol w:w="109"/>
        <w:gridCol w:w="233"/>
        <w:gridCol w:w="563"/>
        <w:gridCol w:w="109"/>
        <w:gridCol w:w="252"/>
        <w:gridCol w:w="484"/>
        <w:gridCol w:w="109"/>
        <w:gridCol w:w="181"/>
        <w:gridCol w:w="346"/>
        <w:gridCol w:w="109"/>
        <w:gridCol w:w="201"/>
        <w:gridCol w:w="385"/>
        <w:gridCol w:w="109"/>
        <w:gridCol w:w="196"/>
        <w:gridCol w:w="375"/>
        <w:gridCol w:w="109"/>
        <w:gridCol w:w="181"/>
        <w:gridCol w:w="515"/>
        <w:gridCol w:w="109"/>
        <w:gridCol w:w="218"/>
        <w:gridCol w:w="729"/>
      </w:tblGrid>
      <w:tr>
        <w:trPr/>
        <w:tc>
          <w:tcPr>
            <w:tcW w:w="2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893570" cy="175260"/>
                      <wp:effectExtent l="0" t="0" r="0" b="0"/>
                      <wp:wrapNone/>
                      <wp:docPr id="408" name="Frame408"/>
                      <a:graphic xmlns:a="http://schemas.openxmlformats.org/drawingml/2006/main">
                        <a:graphicData uri="http://schemas.microsoft.com/office/word/2010/wordprocessingShape">
                          <wps:wsp>
                            <wps:cNvSpPr txBox="1"/>
                            <wps:spPr>
                              <a:xfrm>
                                <a:off x="0" y="0"/>
                                <a:ext cx="189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7000" cy="175260"/>
                      <wp:effectExtent l="0" t="0" r="0" b="0"/>
                      <wp:wrapNone/>
                      <wp:docPr id="410" name="Frame41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59410" cy="175260"/>
                      <wp:effectExtent l="0" t="0" r="0" b="0"/>
                      <wp:wrapNone/>
                      <wp:docPr id="411" name="Frame41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14935" cy="175260"/>
                      <wp:effectExtent l="0" t="0" r="0" b="0"/>
                      <wp:wrapNone/>
                      <wp:docPr id="413" name="Frame41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76860" cy="175260"/>
                      <wp:effectExtent l="0" t="0" r="0" b="0"/>
                      <wp:wrapNone/>
                      <wp:docPr id="414" name="Frame41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47955" cy="175260"/>
                      <wp:effectExtent l="0" t="0" r="0" b="0"/>
                      <wp:wrapNone/>
                      <wp:docPr id="416" name="Frame41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57505" cy="175260"/>
                      <wp:effectExtent l="0" t="0" r="0" b="0"/>
                      <wp:wrapNone/>
                      <wp:docPr id="417" name="Frame41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60020" cy="175260"/>
                      <wp:effectExtent l="0" t="0" r="0" b="0"/>
                      <wp:wrapNone/>
                      <wp:docPr id="419" name="Frame41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07340" cy="175260"/>
                      <wp:effectExtent l="0" t="0" r="0" b="0"/>
                      <wp:wrapNone/>
                      <wp:docPr id="420" name="Frame420"/>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14935" cy="175260"/>
                      <wp:effectExtent l="0" t="0" r="0" b="0"/>
                      <wp:wrapNone/>
                      <wp:docPr id="422" name="Frame4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7635" cy="175260"/>
                      <wp:effectExtent l="0" t="0" r="0" b="0"/>
                      <wp:wrapNone/>
                      <wp:docPr id="425" name="Frame42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44475" cy="175260"/>
                      <wp:effectExtent l="0" t="0" r="0" b="0"/>
                      <wp:wrapNone/>
                      <wp:docPr id="426" name="Frame42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24460" cy="175260"/>
                      <wp:effectExtent l="0" t="0" r="0" b="0"/>
                      <wp:wrapNone/>
                      <wp:docPr id="428" name="Frame4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38125" cy="175260"/>
                      <wp:effectExtent l="0" t="0" r="0" b="0"/>
                      <wp:wrapNone/>
                      <wp:docPr id="429" name="Frame4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14935" cy="175260"/>
                      <wp:effectExtent l="0" t="0" r="0" b="0"/>
                      <wp:wrapNone/>
                      <wp:docPr id="431" name="Frame4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27025" cy="175260"/>
                      <wp:effectExtent l="0" t="0" r="0" b="0"/>
                      <wp:wrapNone/>
                      <wp:docPr id="432" name="Frame43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4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8430" cy="175260"/>
                      <wp:effectExtent l="0" t="0" r="0" b="0"/>
                      <wp:wrapNone/>
                      <wp:docPr id="434" name="Frame43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62915" cy="175260"/>
                      <wp:effectExtent l="0" t="0" r="0" b="0"/>
                      <wp:wrapNone/>
                      <wp:docPr id="435" name="Frame435"/>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9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14"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982"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1,179</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2,951</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2,898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3,012</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note receivable, net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1,047</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2,594</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3,969</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5,634</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10,145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20,858</w:t>
            </w:r>
          </w:p>
        </w:tc>
      </w:tr>
      <w:tr>
        <w:trPr/>
        <w:tc>
          <w:tcPr>
            <w:tcW w:w="298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4,105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3,473</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4,847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7,207</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923</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4,909</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14,785</w:t>
            </w:r>
          </w:p>
        </w:tc>
      </w:tr>
      <w:tr>
        <w:trPr/>
        <w:tc>
          <w:tcPr>
            <w:tcW w:w="29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1,096</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3,208</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2,865</w:t>
            </w:r>
          </w:p>
        </w:tc>
      </w:tr>
      <w:tr>
        <w:trPr/>
        <w:tc>
          <w:tcPr>
            <w:tcW w:w="29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1,096</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(2,913)</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6,073</w:t>
            </w:r>
          </w:p>
        </w:tc>
      </w:tr>
      <w:tr>
        <w:trPr/>
        <w:tc>
          <w:tcPr>
            <w:tcW w:w="29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10,145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20,858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2024, we recorded an income tax expense of $4 million on pre-tax loss of $482 million compared to an income tax expense of $2 million on pre-tax loss of $417 million for the three months ended June 30, 2023. Our effective income tax rate was (0.8%) and (0.5%) for the three months ended June 30, 2024 and 2023,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2024, the effective tax rate was lower than the statutory federal rate of 21%, for corporations, primarily due to changes in the valuation allowance and from partnership losses for which there was no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as such losses are allocated to the partners. For the three months ended June 30, 2023, the effective tax rate was lower than the statutory federal rate of 21%, for corporations, primarily due to partnership loss for which there was no tax benefit as such losses are allocated to the partners.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2024, we recorded an income tax expense of $11 million on a pre-tax loss of $501 million compared to an income tax benefit of $14 million on a pre-tax loss of $791 million for the six months ended June 30, 2023. Our effective income tax rate was (2.2%) and 1.8% for the six months ended June 30, 2024 and 2023,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2024, the effective tax rate was lower than the statutory federal tax rate of 21%, for corporations, primarily due to changes in the valuation allowance and from partnership losses for which there was no tax benefit as such losses are allocated to the partner. For the six months ended June 30, 2023, the effective tax rate was lower than the statutory federal tax rate of 21%, for corporations, primarily due to partnership loss for which there was no tax benefit as such losses are allocated to the partner.</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252" w:name="Tc_OZGhNoIKzEeWcY22IucGhQ_9_8"/>
      <w:bookmarkStart w:id="2253" w:name="Tc_o-aLbffJYk2CS0Vgy0elaw_9_5"/>
      <w:bookmarkStart w:id="2254" w:name="Tc_AoSQwWbJLkaNvO1fjiGqSA_9_2"/>
      <w:bookmarkStart w:id="2255" w:name="Tc_hkLZg2kTPkeVKlb1GdHExQ_9_0"/>
      <w:bookmarkStart w:id="2256" w:name="Tc_5mmuNskHoUW0GAw09UInaQ_8_0"/>
      <w:bookmarkStart w:id="2257" w:name="Tc_aoWYuJOpYUuqhPPqCSzApg_7_3"/>
      <w:bookmarkStart w:id="2258" w:name="Tc_80hpY-lyGUGjPk1ISH5V-Q_7_0"/>
      <w:bookmarkStart w:id="2259" w:name="Tc_r3d1irTWVUCiihlVohHDwQ_6_6"/>
      <w:bookmarkStart w:id="2260" w:name="Tc_En3Oh5BAp0WpyjvqFKWGcA_6_0"/>
      <w:bookmarkStart w:id="2261" w:name="Tc_VkNGrwho6UGcZK4ogpopAQ_5_8"/>
      <w:bookmarkStart w:id="2262" w:name="Tc_-GGnzscKjEG2dIFHqkGz3A_5_5"/>
      <w:bookmarkStart w:id="2263" w:name="Tc_5c6JJ_uym0Ctft0J7XLerA_5_2"/>
      <w:bookmarkStart w:id="2264" w:name="Tc_sIAesQnz50-BKfQZd7d2ew_5_0"/>
      <w:bookmarkStart w:id="2265" w:name="Tc_hCvJtq_aQk-0zubIbJAH9Q_4_2"/>
      <w:bookmarkStart w:id="2266" w:name="Tc_L_J2dR60p0q35CN1RoHyTg_3_8"/>
      <w:bookmarkStart w:id="2267" w:name="Tc_4ECJjkGV-k-Dt4Q72qflvw_3_5"/>
      <w:bookmarkStart w:id="2268" w:name="Tc_VVQP9JffkE2jhmyXprQi6Q_3_2"/>
      <w:bookmarkStart w:id="2269" w:name="Tc_610Yk4EAf06pZ9oSyH1ivg_2_5"/>
      <w:bookmarkStart w:id="2270" w:name="Tc_0S7HuncGSUOPW0Ex5MVjHw_2_2"/>
      <w:bookmarkStart w:id="2271" w:name="Tc_gR1X6KycP0KymBtY7g0wMg_1_5"/>
      <w:bookmarkStart w:id="2272" w:name="Tc_BjhRzJGvC0SJagQ982CXUA_1_2"/>
      <w:bookmarkStart w:id="2273" w:name="_f553d881_d024_487e_8cc9_90ad0e8e791d"/>
      <w:bookmarkStart w:id="2274" w:name="Tc_4wtHwgPHUEeiBJUYWUfPUQ_8_8"/>
      <w:bookmarkStart w:id="2275" w:name="Tc_HLAqgzaGN0aukXZF0NlhHw_8_5"/>
      <w:bookmarkStart w:id="2276" w:name="Tc_7OeDH69INUSzK5csXOa6gQ_8_2"/>
      <w:bookmarkStart w:id="2277" w:name="Tc_SSIMyy-0Wky6A89c4e7JRA_8_0"/>
      <w:bookmarkStart w:id="2278" w:name="Tc_djA9s3PDBkyB9eA3tfPJyw_7_6"/>
      <w:bookmarkStart w:id="2279" w:name="Tc_wDju5hMQBE62w80CcTbRtw_7_0"/>
      <w:bookmarkStart w:id="2280" w:name="Tc_DAVUXbMfVUyOxJQDH99P8A_6_6"/>
      <w:bookmarkStart w:id="2281" w:name="Tc_Zb8_yrFMYU--085TzMREKQ_6_0"/>
      <w:bookmarkStart w:id="2282" w:name="Tc_cBjZgQMvwkSv9URy72d4RA_5_8"/>
      <w:bookmarkStart w:id="2283" w:name="Tc_k96jZJtYeU6HM3nY6qU-MQ_5_5"/>
      <w:bookmarkStart w:id="2284" w:name="Tc_iiZnL9sf1Eq6DAXH_oXvhg_5_2"/>
      <w:bookmarkStart w:id="2285" w:name="Tc_uPxQcUgS1Ey_VJPP-UM3Ww_5_0"/>
      <w:bookmarkStart w:id="2286" w:name="Tc__jOwpwB_BkO0cHdF1RGxDA_4_2"/>
      <w:bookmarkStart w:id="2287" w:name="Tc_xIHphmXnnkm6RPzivBkddQ_3_8"/>
      <w:bookmarkStart w:id="2288" w:name="Tc_hDJOTTCz2UyirjK8lfEhUQ_3_5"/>
      <w:bookmarkStart w:id="2289" w:name="Tc_ZNOauUZNO0yOvsxoBI9cGQ_3_2"/>
      <w:bookmarkStart w:id="2290" w:name="Tc_pEZ1Q-ZuokiHURRJ7tmCkw_2_5"/>
      <w:bookmarkStart w:id="2291" w:name="Tc_Zk9Sy39lQEuhinEhgHcBlg_2_2"/>
      <w:bookmarkStart w:id="2292" w:name="Tc_p5HehveFJ0S2tGGcBhwL2Q_1_5"/>
      <w:bookmarkStart w:id="2293" w:name="Tc__VFqzx2-wEiP62wvvL-tGA_1_2"/>
      <w:bookmarkStart w:id="2294" w:name="_b940a727_a659_41e4_917f_795385e7d7aa"/>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r>
        <w:rPr>
          <w:rFonts w:ascii="Times New Roman;Times;serif" w:hAnsi="Times New Roman;Times;serif"/>
          <w:b/>
          <w:sz w:val="20"/>
        </w:rPr>
        <w:t>16.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9622" w:type="dxa"/>
        <w:jc w:val="left"/>
        <w:tblInd w:w="0" w:type="dxa"/>
        <w:tblLayout w:type="fixed"/>
        <w:tblCellMar>
          <w:top w:w="0" w:type="dxa"/>
          <w:left w:w="0" w:type="dxa"/>
          <w:bottom w:w="0" w:type="dxa"/>
          <w:right w:w="0" w:type="dxa"/>
        </w:tblCellMar>
      </w:tblPr>
      <w:tblGrid>
        <w:gridCol w:w="4966"/>
        <w:gridCol w:w="326"/>
        <w:gridCol w:w="543"/>
        <w:gridCol w:w="972"/>
        <w:gridCol w:w="326"/>
        <w:gridCol w:w="528"/>
        <w:gridCol w:w="943"/>
        <w:gridCol w:w="32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153410" cy="175260"/>
                      <wp:effectExtent l="0" t="0" r="0" b="0"/>
                      <wp:wrapNone/>
                      <wp:docPr id="436" name="Frame43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44805" cy="175260"/>
                      <wp:effectExtent l="0" t="0" r="0" b="0"/>
                      <wp:wrapNone/>
                      <wp:docPr id="438" name="Frame43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17220" cy="175260"/>
                      <wp:effectExtent l="0" t="0" r="0" b="0"/>
                      <wp:wrapNone/>
                      <wp:docPr id="439" name="Frame43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35280" cy="175260"/>
                      <wp:effectExtent l="0" t="0" r="0" b="0"/>
                      <wp:wrapNone/>
                      <wp:docPr id="441" name="Frame441"/>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98805" cy="175260"/>
                      <wp:effectExtent l="0" t="0" r="0" b="0"/>
                      <wp:wrapNone/>
                      <wp:docPr id="442" name="Frame442"/>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05435" cy="175260"/>
                      <wp:effectExtent l="0" t="0" r="0" b="0"/>
                      <wp:wrapNone/>
                      <wp:docPr id="445" name="Frame44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5639"/>
        <w:gridCol w:w="326"/>
        <w:gridCol w:w="515"/>
        <w:gridCol w:w="922"/>
        <w:gridCol w:w="326"/>
        <w:gridCol w:w="528"/>
        <w:gridCol w:w="943"/>
        <w:gridCol w:w="326"/>
        <w:gridCol w:w="211"/>
        <w:gridCol w:w="469"/>
      </w:tblGrid>
      <w:tr>
        <w:trPr/>
        <w:tc>
          <w:tcPr>
            <w:tcW w:w="5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580765" cy="175260"/>
                      <wp:effectExtent l="0" t="0" r="0" b="0"/>
                      <wp:wrapNone/>
                      <wp:docPr id="446" name="Frame446"/>
                      <a:graphic xmlns:a="http://schemas.openxmlformats.org/drawingml/2006/main">
                        <a:graphicData uri="http://schemas.microsoft.com/office/word/2010/wordprocessingShape">
                          <wps:wsp>
                            <wps:cNvSpPr txBox="1"/>
                            <wps:spPr>
                              <a:xfrm>
                                <a:off x="0" y="0"/>
                                <a:ext cx="3580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27025" cy="175260"/>
                      <wp:effectExtent l="0" t="0" r="0" b="0"/>
                      <wp:wrapNone/>
                      <wp:docPr id="448" name="Frame44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85470" cy="175260"/>
                      <wp:effectExtent l="0" t="0" r="0" b="0"/>
                      <wp:wrapNone/>
                      <wp:docPr id="449" name="Frame44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35280" cy="175260"/>
                      <wp:effectExtent l="0" t="0" r="0" b="0"/>
                      <wp:wrapNone/>
                      <wp:docPr id="451" name="Frame451"/>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98805" cy="175260"/>
                      <wp:effectExtent l="0" t="0" r="0" b="0"/>
                      <wp:wrapNone/>
                      <wp:docPr id="452" name="Frame452"/>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97815" cy="175260"/>
                      <wp:effectExtent l="0" t="0" r="0" b="0"/>
                      <wp:wrapNone/>
                      <wp:docPr id="455" name="Frame455"/>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3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r>
      <w:tr>
        <w:trPr/>
        <w:tc>
          <w:tcPr>
            <w:tcW w:w="5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3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r>
      <w:tr>
        <w:trPr/>
        <w:tc>
          <w:tcPr>
            <w:tcW w:w="5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26" w:type="dxa"/>
            <w:tcBorders/>
            <w:vAlign w:val="center"/>
          </w:tcPr>
          <w:p>
            <w:pPr>
              <w:pStyle w:val="TableContents"/>
              <w:bidi w:val="0"/>
              <w:spacing w:before="0" w:after="1"/>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4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6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6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26"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6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 comprehensive loss to earnings,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6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vAlign w:val="center"/>
          </w:tcPr>
          <w:p>
            <w:pPr>
              <w:pStyle w:val="TableContents"/>
              <w:bidi w:val="0"/>
              <w:spacing w:before="0" w:after="1"/>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6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5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295" w:name="Tc_crhI4xiB00SEbPqcOSOc7Q_8_11"/>
      <w:bookmarkStart w:id="2296" w:name="Tc_Tgn4d96wEUqlXNOtOdgwRg_8_8"/>
      <w:bookmarkStart w:id="2297" w:name="Tc_j5Al7GSA7ke-bL3L3615aQ_8_5"/>
      <w:bookmarkStart w:id="2298" w:name="Tc_zkOqO8ORnU2vdexNW_wegw_8_2"/>
      <w:bookmarkStart w:id="2299" w:name="Tc_Meq3dPl23UGgeP914WHQfw_7_0"/>
      <w:bookmarkStart w:id="2300" w:name="Tc_tTWg2fFg3U-HipmsIaiWaw_6_12"/>
      <w:bookmarkStart w:id="2301" w:name="Tc_ZX-RtNJQnEepoRXTo7CHRg_6_6"/>
      <w:bookmarkStart w:id="2302" w:name="Tc_OaF2pYVaoUKDtsKWuia6iw_6_0"/>
      <w:bookmarkStart w:id="2303" w:name="Tc_AIThonsKM06Nc0sds8xonw_5_0"/>
      <w:bookmarkStart w:id="2304" w:name="Tc_Q4ZZkuAbdE6skU7pr7Yn2g_4_11"/>
      <w:bookmarkStart w:id="2305" w:name="Tc_ShFXmOuhHEKiSS9xMWqQEg_4_8"/>
      <w:bookmarkStart w:id="2306" w:name="Tc_QZd0mbJqU0WtrfCw25pNPQ_4_5"/>
      <w:bookmarkStart w:id="2307" w:name="Tc_h_hKuTUu0kieA7XmN9c69Q_4_2"/>
      <w:bookmarkStart w:id="2308" w:name="Tc_h-rQtKE3uUqhK3xDHLFjvw_4_0"/>
      <w:bookmarkStart w:id="2309" w:name="Tc_5qQhCu4zv0aQEEvOhRCooA_3_2"/>
      <w:bookmarkStart w:id="2310" w:name="Tc_BXvX-zQng0GZ-XLGiToBmA_2_11"/>
      <w:bookmarkStart w:id="2311" w:name="Tc_BtFmbPFiJ02gqz90YKDQvg_2_8"/>
      <w:bookmarkStart w:id="2312" w:name="Tc_QcCGA71BtkG12qHHknloYg_2_5"/>
      <w:bookmarkStart w:id="2313" w:name="Tc_lDCwPbWYMk2J-x6lJAcO2Q_2_2"/>
      <w:bookmarkStart w:id="2314" w:name="Tc_RcQTnULfJ0yKC1kyjR7Usg_1_8"/>
      <w:bookmarkStart w:id="2315" w:name="Tc_wfUWO3yTFU2xl0n1behQuA_1_2"/>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r>
        <w:rPr>
          <w:rFonts w:ascii="Times New Roman;Times;serif" w:hAnsi="Times New Roman;Times;serif"/>
          <w:b/>
          <w:sz w:val="20"/>
        </w:rPr>
        <w:t>17.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consists of the following:</w:t>
      </w:r>
    </w:p>
    <w:p>
      <w:pPr>
        <w:pStyle w:val="TextBody"/>
        <w:bidi w:val="0"/>
        <w:spacing w:before="0" w:after="0"/>
        <w:ind w:left="0" w:right="0" w:hanging="0"/>
        <w:jc w:val="left"/>
        <w:rPr/>
      </w:pPr>
      <w:r>
        <w:rPr/>
        <w:t>​</w:t>
      </w:r>
    </w:p>
    <w:tbl>
      <w:tblPr>
        <w:tblW w:w="9846" w:type="dxa"/>
        <w:jc w:val="left"/>
        <w:tblInd w:w="0" w:type="dxa"/>
        <w:tblLayout w:type="fixed"/>
        <w:tblCellMar>
          <w:top w:w="0" w:type="dxa"/>
          <w:left w:w="0" w:type="dxa"/>
          <w:bottom w:w="0" w:type="dxa"/>
          <w:right w:w="0" w:type="dxa"/>
        </w:tblCellMar>
      </w:tblPr>
      <w:tblGrid>
        <w:gridCol w:w="4051"/>
        <w:gridCol w:w="326"/>
        <w:gridCol w:w="395"/>
        <w:gridCol w:w="620"/>
        <w:gridCol w:w="611"/>
        <w:gridCol w:w="395"/>
        <w:gridCol w:w="648"/>
        <w:gridCol w:w="326"/>
        <w:gridCol w:w="355"/>
        <w:gridCol w:w="557"/>
        <w:gridCol w:w="549"/>
        <w:gridCol w:w="355"/>
        <w:gridCol w:w="658"/>
      </w:tblGrid>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11" w:type="dxa"/>
            <w:tcBorders/>
            <w:vAlign w:val="center"/>
          </w:tcPr>
          <w:p>
            <w:pPr>
              <w:pStyle w:val="TableContents"/>
              <w:bidi w:val="0"/>
              <w:spacing w:before="0" w:after="0"/>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49" w:type="dxa"/>
            <w:tcBorders/>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84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9"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11"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4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transaction (loss) gain</w:t>
            </w:r>
          </w:p>
        </w:tc>
        <w:tc>
          <w:tcPr>
            <w:tcW w:w="326"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11"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4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11"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4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1"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49"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11"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9"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$5 million and $19 million as of June 30, 2024 and December 31, 2023,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RFS Disputes</w:t>
      </w:r>
      <w:r>
        <w:rPr>
          <w:rFonts w:ascii="Times New Roman;Times;serif" w:hAnsi="Times New Roman;Times;serif"/>
          <w:sz w:val="20"/>
        </w:rPr>
        <w:t xml:space="preserve"> - CVR Energy’s obligated-party subsidiaries are subject to the Renewable Fuel Standard (“RFS”) 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May 2024, the EPA and certain biofuels groups filed petitions for a writ of certiorari to the Supreme Court of the United States (“SCOTUS”) seeking review of a decision of a panel of the United States Court of Appeals for the Fifth Circuit (the “Fifth Circuit”) vacating the EPA’s denials of SREs under the RFS for certain small refineries, including those for WRC for the 2017 to 2021 compliance periods (the “2022 Denials”), finding that such denials, which were based on a new standard announced by the EPA in December 2021 and retroactively applied, were impermissibly retroactive and that the EPA’s interpretation of the SRE provisions was contrary to law and arbitrary and capricious as applied to the Fifth Circuit petitioners’ SRE petitions. WRC expects to file an opposition to these petitions for a writ of certiorari in the third quarter of 2024.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Regarding WRC’s SRE petition for the 2022 compliance period which was denied by the EPA in July 2023 largely on the same grounds as the 2022 Denials, WRC’s obligations under the RFS for the 2022 compliance period were stayed and its lawsuit filed against the EPA relating to such denial held in abeyance pending the outcome of the lawsuit filed by certain other small refineries against the EPA in the DC Circuit related to the 2022 Denials. In July 2024, the DC Circuit vacated the EPA’s denials of those SRE petitions.  The EPA has not yet acted following the DC Circuit’s action.  Also in July 2024, the DC Circuit in the case filed by WRC against the EPA for the damages it sustained as a result of the EPA’s late grant of its SRE petition for the 2018 compliance period (which SRE petition was later denied by the EPA in the 2022 Denials), the DC Circuit denied WRC’s request for relief, holding that there was no final agency action as to WRC. WRC is evaluating what responses it will take following such rulings. </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2024, WRC filed suit in the United States District Court for the Southern District of Texas seeking, among other relief, a declaration that the Administrator of the EPA violated the CAA by failing to timely rule on WRC’s SRE petition for the 2023 compliance period within 90 days following receipt and compelling the Administrator to rule on WRC’s 2023 SRE petition by an expeditious date certain, which suit remains pending.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2024, the DC Circuit rejected challenges by WRC and other parties and upheld the EPA’s final rules issued in June 2022 and June 2023 establishing RVOs for 2020 to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316" w:name="_Hlk172889507"/>
      <w:bookmarkEnd w:id="2316"/>
      <w:r>
        <w:rPr>
          <w:rFonts w:ascii="Times New Roman;Times;serif" w:hAnsi="Times New Roman;Times;serif"/>
          <w:sz w:val="20"/>
        </w:rPr>
        <w:t>As these matters are in various stages, CVR Energy cannot yet determine at this time the outcomes of these matters. While CVR Energy intends to prosecute these actions vigorously, if these matters are ultimately concluded in a manner adverse to CVR Energy, except as noted above, they could have a material effect on CVR Energy’s financial position, results of operations,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 recognized expenses of approximately $30 million and $48 million for the three months ended June 30, 2024 and 2023, respectively, and a benefit of $21 million and an expense of $37 million for the six months ended June 30, 2024 and 2023, respectively for CVR Energy’s obligated-party subsidiaries’ compliance with the RFS (based on the 2020 through 2024 annual RVO for the respective periods,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June 30, 2024 and December 31, 2023, CVR Energy’s obligated-party subsidiaries’ RFS position was $312 million and $329 million, respectively, and is included in accrued expenses and other liabilities in the condensed consolidated balance sheets.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i/>
          <w:sz w:val="20"/>
        </w:rPr>
        <w:t>Call Option Coverage Case</w:t>
      </w:r>
      <w:r>
        <w:rPr>
          <w:rFonts w:ascii="Times New Roman;Times;serif" w:hAnsi="Times New Roman;Times;serif"/>
          <w:sz w:val="20"/>
        </w:rPr>
        <w:t xml:space="preserve"> – The lawsuits involving CVR Energy and certain of its affiliates (the “Call Defendants”) and CVR Energy’s primary and excess insurers (the “Insurers”) relating to insurance coverage for settlement by the Call Defendants of the consolidated lawsuits filed by purported former unitholders of CVR Refining, LP (“CVR Refining”) on behalf of themselves and an alleged class of similarly situated unitholders relating to CVR Energy’s exercise of the call option under the CVR Refining Amended and Restated Agreement of Limited Partnership remain pending. In the lawsuit filed by the Call Defendants against the Insurers alleging breach of contract and breach of the implied covenant of good faith and fair motion to emend their complaint remains pending. Briefing is ongoing in the Call Defendants’ appeal of summary judgment granted in favor of the Insurers by the 434</w:t>
      </w:r>
      <w:r>
        <w:rPr>
          <w:rFonts w:ascii="Times New Roman;Times;serif" w:hAnsi="Times New Roman;Times;serif"/>
          <w:sz w:val="15"/>
        </w:rPr>
        <w:t>th</w:t>
      </w:r>
      <w:r>
        <w:rPr>
          <w:rFonts w:ascii="Times New Roman;Times;serif" w:hAnsi="Times New Roman;Times;serif"/>
          <w:sz w:val="20"/>
        </w:rPr>
        <w:t xml:space="preserve"> Judicial District Court of Fort Bend County, Texas in the Insurer’s separate lawsuit against the Call Defendants seeking determination that the Insurers owe no indemnity coverage for the settlement under policies with coverage limits of $50 million, with oral arguments expected in 2025.While these cases remain pending, CVR Energy does not expect the outcome of these lawsuits to have a material adverse impact on CVR Energy’s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Mr. Icahn, through certain affiliates, owns 100% of Icahn Enterprises GP and approximately 85% of Icahn Enterprises’ outstanding depositary units as of June 30, 2024. Applicable pension and tax laws make each member of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r>
        <w:rPr>
          <w:rFonts w:ascii="Times New Roman;Times;serif" w:hAnsi="Times New Roman;Times;serif"/>
          <w:sz w:val="20"/>
        </w:rPr>
        <w:t>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June 30, 2024. If the plans were voluntarily terminated, they would be underfunded by an aggregate of approximately $26 million as of June 30,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We are cooperating with these requests and investigations and are providing documents in response to these requests for information. In addition, two putative securities class action lawsuits have been filed against the Company in the U.S. District Court for the Southern District of Florida alleging violations of the federal securities laws, </w:t>
      </w:r>
      <w:r>
        <w:rPr>
          <w:rFonts w:ascii="Times New Roman;Times;serif" w:hAnsi="Times New Roman;Times;serif"/>
          <w:i/>
          <w:sz w:val="20"/>
        </w:rPr>
        <w:t>Okaro v. Icahn Enterprises L.P. et al.</w:t>
      </w:r>
      <w:r>
        <w:rPr>
          <w:rFonts w:ascii="Times New Roman;Times;serif" w:hAnsi="Times New Roman;Times;serif"/>
          <w:sz w:val="20"/>
        </w:rPr>
        <w:t xml:space="preserve">, Case No. 23-21773 (S.D. Fl.), and </w:t>
      </w:r>
      <w:r>
        <w:rPr>
          <w:rFonts w:ascii="Times New Roman;Times;serif" w:hAnsi="Times New Roman;Times;serif"/>
          <w:i/>
          <w:sz w:val="20"/>
        </w:rPr>
        <w:t>Levine v. Icahn Enterprises L.P. et al.</w:t>
      </w:r>
      <w:r>
        <w:rPr>
          <w:rFonts w:ascii="Times New Roman;Times;serif" w:hAnsi="Times New Roman;Times;serif"/>
          <w:sz w:val="20"/>
        </w:rPr>
        <w:t xml:space="preserve">, Case No. 23-22009 (S.D. Fl.). These lawsuits have been consolidated and the court appointed a lead plaintiff on November 20, 2023. Plaintiffs filed their consolidated class action complaint on January 12, 2024, and we filed our motion to dismiss the consolidated class action complaint on March 12, 2024. A derivative complaint has also been filed in the U.S. District Court for the Southern District of Florida, naming the Company’s general partner, its directors, and certain current and former officers as defendants, and the Company as a nominal defendant, alleging breaches of fiduciary duties with respect to the Company’s disclosure, </w:t>
      </w:r>
      <w:r>
        <w:rPr>
          <w:rFonts w:ascii="Times New Roman;Times;serif" w:hAnsi="Times New Roman;Times;serif"/>
          <w:i/>
          <w:sz w:val="20"/>
        </w:rPr>
        <w:t>Patrick Pickney v. Icahn Enterprises G.P. Inc. Case No. 1:23-cv-22932-KMW</w:t>
      </w:r>
      <w:r>
        <w:rPr>
          <w:rFonts w:ascii="Times New Roman;Times;serif" w:hAnsi="Times New Roman;Times;serif"/>
          <w:sz w:val="20"/>
        </w:rPr>
        <w:t xml:space="preserve"> (S.D. Fl.). In addition, an action to compel inspection of our books and records was filed on November 22, 2023 in the Court of Chancery of the State of Delaware, </w:t>
      </w:r>
      <w:r>
        <w:rPr>
          <w:rFonts w:ascii="Times New Roman;Times;serif" w:hAnsi="Times New Roman;Times;serif"/>
          <w:i/>
          <w:sz w:val="20"/>
        </w:rPr>
        <w:t>Bruno v. Icahn Enterprises, L.P. et al.</w:t>
      </w:r>
      <w:r>
        <w:rPr>
          <w:rFonts w:ascii="Times New Roman;Times;serif" w:hAnsi="Times New Roman;Times;serif"/>
          <w:sz w:val="20"/>
        </w:rPr>
        <w:t>, Case No. 2023-1170-SEM.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we maintain a strong compliance program and, while no assurances can be made, and we continue to evaluate these matters, we do not currently believe that these inquiries and litigations will have a material impact on our business, financial condition, results of operations or cash flows.</w:t>
      </w:r>
    </w:p>
    <w:p>
      <w:pPr>
        <w:pStyle w:val="TextBody"/>
        <w:bidi w:val="0"/>
        <w:spacing w:before="0" w:after="240"/>
        <w:ind w:left="0" w:right="0" w:hanging="0"/>
        <w:jc w:val="left"/>
        <w:rPr>
          <w:rFonts w:ascii="Times New Roman;Times;serif" w:hAnsi="Times New Roman;Times;serif"/>
          <w:b/>
          <w:sz w:val="20"/>
        </w:rPr>
      </w:pPr>
      <w:bookmarkStart w:id="2317" w:name="Tc_07LunfuDKky53JBQWK6B5w_7_3"/>
      <w:bookmarkStart w:id="2318" w:name="Tc_vjHGSFJ650qShrpJVLN9_A_7_0"/>
      <w:bookmarkStart w:id="2319" w:name="Tc_huwqM3HNGUKhZozkj9wZ8w_6_3"/>
      <w:bookmarkStart w:id="2320" w:name="Tc_bf0Ry1rOQ02kdxWRTXYq5A_6_0"/>
      <w:bookmarkStart w:id="2321" w:name="Tc_HnpfShQ_vEmSDG9FxdpJ0w_5_0"/>
      <w:bookmarkStart w:id="2322" w:name="Tc__lJEK5VCcECi7IrQzdXZEg_4_5"/>
      <w:bookmarkStart w:id="2323" w:name="Tc_pOrDe-uey0Cv36OA8wLFVw_4_2"/>
      <w:bookmarkStart w:id="2324" w:name="Tc_6M0jzijYqUy05glMlMglQA_4_0"/>
      <w:bookmarkStart w:id="2325" w:name="Tc_Wh7M2cnpNUm5rN_JonelIA_3_2"/>
      <w:bookmarkStart w:id="2326" w:name="Tc_cU6Meksd-Eu7ETC7Lq_YcQ_2_5"/>
      <w:bookmarkStart w:id="2327" w:name="Tc_qEqFQWPwfEGRVhNovXbEag_2_2"/>
      <w:bookmarkStart w:id="2328" w:name="Tc_MuUspTEwrkGU3e3SINQ6Hg_1_2"/>
      <w:bookmarkEnd w:id="2317"/>
      <w:bookmarkEnd w:id="2318"/>
      <w:bookmarkEnd w:id="2319"/>
      <w:bookmarkEnd w:id="2320"/>
      <w:bookmarkEnd w:id="2321"/>
      <w:bookmarkEnd w:id="2322"/>
      <w:bookmarkEnd w:id="2323"/>
      <w:bookmarkEnd w:id="2324"/>
      <w:bookmarkEnd w:id="2325"/>
      <w:bookmarkEnd w:id="2326"/>
      <w:bookmarkEnd w:id="2327"/>
      <w:bookmarkEnd w:id="2328"/>
      <w:r>
        <w:rPr>
          <w:rFonts w:ascii="Times New Roman;Times;serif" w:hAnsi="Times New Roman;Times;serif"/>
          <w:b/>
          <w:sz w:val="20"/>
        </w:rPr>
        <w:t>19.  Supplemental Cash Flow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Supplemental cash flow information consists of the following: </w:t>
      </w:r>
    </w:p>
    <w:p>
      <w:pPr>
        <w:pStyle w:val="TextBody"/>
        <w:bidi w:val="0"/>
        <w:spacing w:before="0" w:after="0"/>
        <w:ind w:left="0" w:right="0" w:hanging="0"/>
        <w:jc w:val="left"/>
        <w:rPr/>
      </w:pPr>
      <w:r>
        <w:rPr/>
        <w:t>​</w:t>
      </w:r>
    </w:p>
    <w:tbl>
      <w:tblPr>
        <w:tblW w:w="8695" w:type="dxa"/>
        <w:jc w:val="left"/>
        <w:tblInd w:w="0" w:type="dxa"/>
        <w:tblLayout w:type="fixed"/>
        <w:tblCellMar>
          <w:top w:w="0" w:type="dxa"/>
          <w:left w:w="0" w:type="dxa"/>
          <w:bottom w:w="0" w:type="dxa"/>
          <w:right w:w="0" w:type="dxa"/>
        </w:tblCellMar>
      </w:tblPr>
      <w:tblGrid>
        <w:gridCol w:w="5896"/>
        <w:gridCol w:w="326"/>
        <w:gridCol w:w="278"/>
        <w:gridCol w:w="714"/>
        <w:gridCol w:w="430"/>
        <w:gridCol w:w="278"/>
        <w:gridCol w:w="773"/>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743960" cy="175260"/>
                      <wp:effectExtent l="0" t="0" r="0" b="0"/>
                      <wp:wrapNone/>
                      <wp:docPr id="456" name="Frame456"/>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76530" cy="175260"/>
                      <wp:effectExtent l="0" t="0" r="0" b="0"/>
                      <wp:wrapNone/>
                      <wp:docPr id="458" name="Frame45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53390" cy="175260"/>
                      <wp:effectExtent l="0" t="0" r="0" b="0"/>
                      <wp:wrapNone/>
                      <wp:docPr id="459" name="Frame459"/>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73050" cy="175260"/>
                      <wp:effectExtent l="0" t="0" r="0" b="0"/>
                      <wp:wrapNone/>
                      <wp:docPr id="460" name="Frame460"/>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76530" cy="175260"/>
                      <wp:effectExtent l="0" t="0" r="0" b="0"/>
                      <wp:wrapNone/>
                      <wp:docPr id="461" name="Frame46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0855" cy="175260"/>
                      <wp:effectExtent l="0" t="0" r="0" b="0"/>
                      <wp:wrapNone/>
                      <wp:docPr id="462" name="Frame462"/>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5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30"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869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income taxes, net of payments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Investment segment 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Distribution and Redemption</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shd w:fill="FFFFFF" w:val="clear"/>
        </w:rPr>
        <w:t>In July 2024, the Investment Funds issued a pro-rata distribution of $650</w:t>
      </w:r>
      <w:r>
        <w:rPr>
          <w:rFonts w:ascii="Times New Roman;Times;serif" w:hAnsi="Times New Roman;Times;serif"/>
          <w:sz w:val="20"/>
          <w:shd w:fill="FFFFFF" w:val="clear"/>
        </w:rPr>
        <w:t xml:space="preserve"> </w:t>
      </w:r>
      <w:r>
        <w:rPr>
          <w:rFonts w:ascii="TimesNRMTPro" w:hAnsi="TimesNRMTPro"/>
          <w:sz w:val="20"/>
          <w:shd w:fill="FFFFFF" w:val="clear"/>
        </w:rPr>
        <w:t>million in cash, including $256</w:t>
      </w:r>
      <w:r>
        <w:rPr>
          <w:rFonts w:ascii="Times New Roman;Times;serif" w:hAnsi="Times New Roman;Times;serif"/>
          <w:sz w:val="20"/>
          <w:shd w:fill="FFFFFF" w:val="clear"/>
        </w:rPr>
        <w:t xml:space="preserve"> </w:t>
      </w:r>
      <w:r>
        <w:rPr>
          <w:rFonts w:ascii="TimesNRMTPro" w:hAnsi="TimesNRMTPro"/>
          <w:sz w:val="20"/>
          <w:shd w:fill="FFFFFF" w:val="clear"/>
        </w:rPr>
        <w:t>million to Mr. Icahn and his affiliates (excluding us and Brett Icahn) and $394</w:t>
      </w:r>
      <w:r>
        <w:rPr>
          <w:rFonts w:ascii="Times New Roman;Times;serif" w:hAnsi="Times New Roman;Times;serif"/>
          <w:sz w:val="20"/>
          <w:shd w:fill="FFFFFF" w:val="clear"/>
        </w:rPr>
        <w:t xml:space="preserve"> </w:t>
      </w:r>
      <w:r>
        <w:rPr>
          <w:rFonts w:ascii="TimesNRMTPro" w:hAnsi="TimesNRMTPro"/>
          <w:sz w:val="20"/>
          <w:shd w:fill="FFFFFF" w:val="clear"/>
        </w:rPr>
        <w:t>million to the Holding Company. Also in July 2024, Mr. Icahn and his affiliates (excluding us and Brett Icahn) redeemed $250</w:t>
      </w:r>
      <w:r>
        <w:rPr>
          <w:rFonts w:ascii="Times New Roman;Times;serif" w:hAnsi="Times New Roman;Times;serif"/>
          <w:sz w:val="20"/>
          <w:shd w:fill="FFFFFF" w:val="clear"/>
        </w:rPr>
        <w:t xml:space="preserve"> </w:t>
      </w:r>
      <w:r>
        <w:rPr>
          <w:rFonts w:ascii="TimesNRMTPro" w:hAnsi="TimesNRMTPro"/>
          <w:sz w:val="20"/>
          <w:shd w:fill="FFFFFF" w:val="clear"/>
        </w:rPr>
        <w:t xml:space="preserve">million from his personal interests in the Investment Funds included in the Investment segment.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August 5, 2024, the Board of Directors of the general partner of Icahn Enterprises declared a quarterly distribution in the amount of $1.00 per depositary unit, which will be paid on or about September 25, 2024 to depositary unitholders of record at the close of business on August 19, 2024. Depositary unitholders will have until September 13, 2024 to make a timely election to receive either cash or additional depositary units. If a unitholder does not make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20, 2024.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29" w:name="Item2ManagementsDiscussionandAnalysisofF"/>
      <w:bookmarkStart w:id="2330" w:name="_beeeb1dc_fdb0_4811_ac27_bcbb09302825"/>
      <w:bookmarkEnd w:id="2329"/>
      <w:bookmarkEnd w:id="233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2024 (this “Report”), as well as our Annual Report on Form 10-K for the year ended December 31, 2023 filed with the Securities and Exchange Commission on February 29,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2024 representing an aggregate 1.99% general partner interest in Icahn Enterprises and Icahn Enterprises Holdings. Mr. Icahn and his affiliates owned approximately 85% of Icahn Enterprises’ outstanding depositary units as of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Wynnewood Refinery Incident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Within our Energy segment, a fire commenced at the Wynnewood refinery during severe weather in the early morning hours of April 28, 2024. The fire was extinguished shortly after it started, with no employees or contractors injured. Operations at the Coffeyville refinery was not impacted by the fire. After further assessment of this incident, it was determined the damages were limited to pipe racks and pumps in the area of the naphtha processing units, which impacted service to the other units. CVR Energy, Inc. (“CVI”), our majority owned subsidiary in our Energy segment, estimates the impact from the downtime and increased expenses with this incident in the second quarter of 2024 was approximately $50 million in reduction to CVI’s income before taxes, excluding the potential impact of any successful insurance recovery.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Potential Strategic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previously disclosed, we are considering, with CVI, potential strategic transactions available to CVI and its subsidiaries, which may include the acquisition of additional entities, assets or businesses, including the acquisition of material amounts of refining assets through negotiated mergers and/or stock or asset purchase agreements by CVI or its subsidiaries, and/or strategic options involving CVR Partners, LP, a controlled subsidiary of CVI. There is no assurance that any of the aforementioned or previously disclosed or other transactions will develop or materialize, or if they do, as to their timing.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 Distribution and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“Investment Funds Distributions and Redemptions” below under “Liquidity and Capital Resources.”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14, “Segment Reporting,” to the condensed consolidated financial statements for a reconciliation of each of our reporting segment’s results of continuing operations to our consolidated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inventory tightening and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989"/>
        <w:gridCol w:w="326"/>
        <w:gridCol w:w="259"/>
        <w:gridCol w:w="676"/>
        <w:gridCol w:w="431"/>
        <w:gridCol w:w="259"/>
        <w:gridCol w:w="676"/>
        <w:gridCol w:w="326"/>
        <w:gridCol w:w="263"/>
        <w:gridCol w:w="668"/>
        <w:gridCol w:w="439"/>
        <w:gridCol w:w="263"/>
        <w:gridCol w:w="668"/>
        <w:gridCol w:w="326"/>
        <w:gridCol w:w="293"/>
        <w:gridCol w:w="743"/>
        <w:gridCol w:w="488"/>
        <w:gridCol w:w="293"/>
        <w:gridCol w:w="819"/>
      </w:tblGrid>
      <w:tr>
        <w:trPr/>
        <w:tc>
          <w:tcPr>
            <w:tcW w:w="1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263015" cy="175260"/>
                      <wp:effectExtent l="0" t="0" r="0" b="0"/>
                      <wp:wrapNone/>
                      <wp:docPr id="463" name="Frame463"/>
                      <a:graphic xmlns:a="http://schemas.openxmlformats.org/drawingml/2006/main">
                        <a:graphicData uri="http://schemas.microsoft.com/office/word/2010/wordprocessingShape">
                          <wps:wsp>
                            <wps:cNvSpPr txBox="1"/>
                            <wps:spPr>
                              <a:xfrm>
                                <a:off x="0" y="0"/>
                                <a:ext cx="1263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64465" cy="175260"/>
                      <wp:effectExtent l="0" t="0" r="0" b="0"/>
                      <wp:wrapNone/>
                      <wp:docPr id="465" name="Frame46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29260" cy="175260"/>
                      <wp:effectExtent l="0" t="0" r="0" b="0"/>
                      <wp:wrapNone/>
                      <wp:docPr id="466" name="Frame4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73685" cy="175260"/>
                      <wp:effectExtent l="0" t="0" r="0" b="0"/>
                      <wp:wrapNone/>
                      <wp:docPr id="467" name="Frame46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4465" cy="175260"/>
                      <wp:effectExtent l="0" t="0" r="0" b="0"/>
                      <wp:wrapNone/>
                      <wp:docPr id="468" name="Frame46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29260" cy="175260"/>
                      <wp:effectExtent l="0" t="0" r="0" b="0"/>
                      <wp:wrapNone/>
                      <wp:docPr id="469" name="Frame4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67005" cy="175260"/>
                      <wp:effectExtent l="0" t="0" r="0" b="0"/>
                      <wp:wrapNone/>
                      <wp:docPr id="471" name="Frame47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24180" cy="175260"/>
                      <wp:effectExtent l="0" t="0" r="0" b="0"/>
                      <wp:wrapNone/>
                      <wp:docPr id="472" name="Frame47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78765" cy="175260"/>
                      <wp:effectExtent l="0" t="0" r="0" b="0"/>
                      <wp:wrapNone/>
                      <wp:docPr id="473" name="Frame473"/>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7005" cy="175260"/>
                      <wp:effectExtent l="0" t="0" r="0" b="0"/>
                      <wp:wrapNone/>
                      <wp:docPr id="474" name="Frame47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24180" cy="175260"/>
                      <wp:effectExtent l="0" t="0" r="0" b="0"/>
                      <wp:wrapNone/>
                      <wp:docPr id="475" name="Frame475"/>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86055" cy="175260"/>
                      <wp:effectExtent l="0" t="0" r="0" b="0"/>
                      <wp:wrapNone/>
                      <wp:docPr id="477" name="Frame47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71805" cy="175260"/>
                      <wp:effectExtent l="0" t="0" r="0" b="0"/>
                      <wp:wrapNone/>
                      <wp:docPr id="478" name="Frame47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09880" cy="175260"/>
                      <wp:effectExtent l="0" t="0" r="0" b="0"/>
                      <wp:wrapNone/>
                      <wp:docPr id="479" name="Frame479"/>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86055" cy="175260"/>
                      <wp:effectExtent l="0" t="0" r="0" b="0"/>
                      <wp:wrapNone/>
                      <wp:docPr id="480" name="Frame48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20065" cy="175260"/>
                      <wp:effectExtent l="0" t="0" r="0" b="0"/>
                      <wp:wrapNone/>
                      <wp:docPr id="481" name="Frame48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43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23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1"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9"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8"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90"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43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488"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r>
      <w:tr>
        <w:trPr/>
        <w:tc>
          <w:tcPr>
            <w:tcW w:w="19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43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r>
      <w:tr>
        <w:trPr/>
        <w:tc>
          <w:tcPr>
            <w:tcW w:w="19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43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488"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9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43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w:t>
            </w:r>
          </w:p>
        </w:tc>
        <w:tc>
          <w:tcPr>
            <w:tcW w:w="488"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9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743"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39"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88"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2,567</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439"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488"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19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2,559</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43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w:t>
            </w:r>
          </w:p>
        </w:tc>
        <w:tc>
          <w:tcPr>
            <w:tcW w:w="488"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r>
    </w:tbl>
    <w:p>
      <w:pPr>
        <w:pStyle w:val="TextBody"/>
        <w:bidi w:val="0"/>
        <w:spacing w:before="0" w:after="0"/>
        <w:ind w:left="0" w:right="0" w:firstLine="360"/>
        <w:jc w:val="left"/>
        <w:rPr/>
      </w:pPr>
      <w:r>
        <w:rPr/>
        <w:t>​</w:t>
      </w:r>
    </w:p>
    <w:tbl>
      <w:tblPr>
        <w:tblW w:w="9839" w:type="dxa"/>
        <w:jc w:val="left"/>
        <w:tblInd w:w="0" w:type="dxa"/>
        <w:tblLayout w:type="fixed"/>
        <w:tblCellMar>
          <w:top w:w="0" w:type="dxa"/>
          <w:left w:w="0" w:type="dxa"/>
          <w:bottom w:w="0" w:type="dxa"/>
          <w:right w:w="0" w:type="dxa"/>
        </w:tblCellMar>
      </w:tblPr>
      <w:tblGrid>
        <w:gridCol w:w="1996"/>
        <w:gridCol w:w="326"/>
        <w:gridCol w:w="238"/>
        <w:gridCol w:w="621"/>
        <w:gridCol w:w="396"/>
        <w:gridCol w:w="238"/>
        <w:gridCol w:w="621"/>
        <w:gridCol w:w="326"/>
        <w:gridCol w:w="242"/>
        <w:gridCol w:w="613"/>
        <w:gridCol w:w="403"/>
        <w:gridCol w:w="242"/>
        <w:gridCol w:w="613"/>
        <w:gridCol w:w="326"/>
        <w:gridCol w:w="294"/>
        <w:gridCol w:w="746"/>
        <w:gridCol w:w="490"/>
        <w:gridCol w:w="294"/>
        <w:gridCol w:w="81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267460" cy="175260"/>
                      <wp:effectExtent l="0" t="0" r="0" b="0"/>
                      <wp:wrapNone/>
                      <wp:docPr id="482" name="Frame48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51130" cy="175260"/>
                      <wp:effectExtent l="0" t="0" r="0" b="0"/>
                      <wp:wrapNone/>
                      <wp:docPr id="484" name="Frame48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94335" cy="175260"/>
                      <wp:effectExtent l="0" t="0" r="0" b="0"/>
                      <wp:wrapNone/>
                      <wp:docPr id="485" name="Frame485"/>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51460" cy="175260"/>
                      <wp:effectExtent l="0" t="0" r="0" b="0"/>
                      <wp:wrapNone/>
                      <wp:docPr id="486" name="Frame48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1130" cy="175260"/>
                      <wp:effectExtent l="0" t="0" r="0" b="0"/>
                      <wp:wrapNone/>
                      <wp:docPr id="487" name="Frame48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94335" cy="175260"/>
                      <wp:effectExtent l="0" t="0" r="0" b="0"/>
                      <wp:wrapNone/>
                      <wp:docPr id="488" name="Frame488"/>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53670" cy="175260"/>
                      <wp:effectExtent l="0" t="0" r="0" b="0"/>
                      <wp:wrapNone/>
                      <wp:docPr id="490" name="Frame49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89255" cy="175260"/>
                      <wp:effectExtent l="0" t="0" r="0" b="0"/>
                      <wp:wrapNone/>
                      <wp:docPr id="491" name="Frame491"/>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55905" cy="175260"/>
                      <wp:effectExtent l="0" t="0" r="0" b="0"/>
                      <wp:wrapNone/>
                      <wp:docPr id="492" name="Frame492"/>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53670" cy="175260"/>
                      <wp:effectExtent l="0" t="0" r="0" b="0"/>
                      <wp:wrapNone/>
                      <wp:docPr id="493" name="Frame4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89255" cy="175260"/>
                      <wp:effectExtent l="0" t="0" r="0" b="0"/>
                      <wp:wrapNone/>
                      <wp:docPr id="494" name="Frame494"/>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86690" cy="175260"/>
                      <wp:effectExtent l="0" t="0" r="0" b="0"/>
                      <wp:wrapNone/>
                      <wp:docPr id="496" name="Frame49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73710" cy="175260"/>
                      <wp:effectExtent l="0" t="0" r="0" b="0"/>
                      <wp:wrapNone/>
                      <wp:docPr id="497" name="Frame497"/>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11150" cy="175260"/>
                      <wp:effectExtent l="0" t="0" r="0" b="0"/>
                      <wp:wrapNone/>
                      <wp:docPr id="498" name="Frame498"/>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86690" cy="175260"/>
                      <wp:effectExtent l="0" t="0" r="0" b="0"/>
                      <wp:wrapNone/>
                      <wp:docPr id="499" name="Frame49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16890" cy="175260"/>
                      <wp:effectExtent l="0" t="0" r="0" b="0"/>
                      <wp:wrapNone/>
                      <wp:docPr id="500" name="Frame500"/>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3"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90" w:type="dxa"/>
            <w:tcBorders/>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839"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17"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9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03"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90"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9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90"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5,004</w:t>
            </w:r>
          </w:p>
        </w:tc>
        <w:tc>
          <w:tcPr>
            <w:tcW w:w="39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403"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490"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4,671</w:t>
            </w:r>
          </w:p>
        </w:tc>
        <w:tc>
          <w:tcPr>
            <w:tcW w:w="39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5,228</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w:t>
            </w:r>
          </w:p>
        </w:tc>
        <w:tc>
          <w:tcPr>
            <w:tcW w:w="403"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490"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r>
    </w:tbl>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various private investment funds (“Investment Funds”). As of June 30, 2024 and December 31, 2023, we had investments with a fair market value of approximately $2.9 billion and $3.2 billion, respectively in the Investment Funds. As of June 30, 2024 and December 31, 2023, the total fair market value of investments in the Investment Funds made by Mr. Icahn and his affiliates (excluding us and Brett Icahn) was approximately $1.9 billion and $2.1 billion,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2024.</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2024 and 2023, our Investment Funds’ returns were (8.1)% and (5.4)%, respectively. For the six months ended June 30, 2024 and 2023, our Investment Funds’ returns were (8.8)% and (9.3)%,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respectively. Our Investment Funds’ returns represent a weighted-average composite of the average returns, net of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performance attribution and net income (loss) for the Investment Funds’ returns for the three and six months ended June 30, 2024 and 2023, respectively, and includes performance of all investment and derivative position types including the impact of the use of leverage through options, short sales, swaps, forwards and other derivative instruments.</w:t>
      </w:r>
    </w:p>
    <w:tbl>
      <w:tblPr>
        <w:tblW w:w="7868" w:type="dxa"/>
        <w:jc w:val="left"/>
        <w:tblInd w:w="0" w:type="dxa"/>
        <w:tblLayout w:type="fixed"/>
        <w:tblCellMar>
          <w:top w:w="0" w:type="dxa"/>
          <w:left w:w="0" w:type="dxa"/>
          <w:bottom w:w="0" w:type="dxa"/>
          <w:right w:w="0" w:type="dxa"/>
        </w:tblCellMar>
      </w:tblPr>
      <w:tblGrid>
        <w:gridCol w:w="1351"/>
        <w:gridCol w:w="326"/>
        <w:gridCol w:w="1062"/>
        <w:gridCol w:w="654"/>
        <w:gridCol w:w="953"/>
        <w:gridCol w:w="361"/>
        <w:gridCol w:w="326"/>
        <w:gridCol w:w="904"/>
        <w:gridCol w:w="621"/>
        <w:gridCol w:w="904"/>
        <w:gridCol w:w="40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857885" cy="175260"/>
                      <wp:effectExtent l="0" t="0" r="0" b="0"/>
                      <wp:wrapNone/>
                      <wp:docPr id="501" name="Frame50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74370" cy="175260"/>
                      <wp:effectExtent l="0" t="0" r="0" b="0"/>
                      <wp:wrapNone/>
                      <wp:docPr id="503" name="Frame503"/>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15290" cy="175260"/>
                      <wp:effectExtent l="0" t="0" r="0" b="0"/>
                      <wp:wrapNone/>
                      <wp:docPr id="504" name="Frame50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05155" cy="175260"/>
                      <wp:effectExtent l="0" t="0" r="0" b="0"/>
                      <wp:wrapNone/>
                      <wp:docPr id="505" name="Frame505"/>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29235" cy="175260"/>
                      <wp:effectExtent l="0" t="0" r="0" b="0"/>
                      <wp:wrapNone/>
                      <wp:docPr id="506" name="Frame5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74040" cy="175260"/>
                      <wp:effectExtent l="0" t="0" r="0" b="0"/>
                      <wp:wrapNone/>
                      <wp:docPr id="508" name="Frame50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94335" cy="175260"/>
                      <wp:effectExtent l="0" t="0" r="0" b="0"/>
                      <wp:wrapNone/>
                      <wp:docPr id="509" name="Frame509"/>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74040" cy="175260"/>
                      <wp:effectExtent l="0" t="0" r="0" b="0"/>
                      <wp:wrapNone/>
                      <wp:docPr id="510" name="Frame51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57810" cy="175260"/>
                      <wp:effectExtent l="0" t="0" r="0" b="0"/>
                      <wp:wrapNone/>
                      <wp:docPr id="511" name="Frame51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54" w:type="dxa"/>
            <w:tcBorders/>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21" w:type="dxa"/>
            <w:tcBorders/>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06" w:type="dxa"/>
            <w:tcBorders/>
            <w:vAlign w:val="center"/>
          </w:tcPr>
          <w:p>
            <w:pPr>
              <w:pStyle w:val="TableContents"/>
              <w:bidi w:val="0"/>
              <w:spacing w:before="0" w:after="0"/>
              <w:ind w:left="0" w:right="0" w:hanging="0"/>
              <w:jc w:val="lef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pPr>
      <w:r>
        <w:rPr/>
        <w:t>​</w:t>
      </w:r>
    </w:p>
    <w:tbl>
      <w:tblPr>
        <w:tblW w:w="7143" w:type="dxa"/>
        <w:jc w:val="left"/>
        <w:tblInd w:w="0" w:type="dxa"/>
        <w:tblLayout w:type="fixed"/>
        <w:tblCellMar>
          <w:top w:w="0" w:type="dxa"/>
          <w:left w:w="0" w:type="dxa"/>
          <w:bottom w:w="0" w:type="dxa"/>
          <w:right w:w="0" w:type="dxa"/>
        </w:tblCellMar>
      </w:tblPr>
      <w:tblGrid>
        <w:gridCol w:w="1351"/>
        <w:gridCol w:w="326"/>
        <w:gridCol w:w="307"/>
        <w:gridCol w:w="789"/>
        <w:gridCol w:w="475"/>
        <w:gridCol w:w="307"/>
        <w:gridCol w:w="789"/>
        <w:gridCol w:w="326"/>
        <w:gridCol w:w="278"/>
        <w:gridCol w:w="714"/>
        <w:gridCol w:w="430"/>
        <w:gridCol w:w="278"/>
        <w:gridCol w:w="773"/>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857885" cy="175260"/>
                      <wp:effectExtent l="0" t="0" r="0" b="0"/>
                      <wp:wrapNone/>
                      <wp:docPr id="512" name="Frame51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94945" cy="175260"/>
                      <wp:effectExtent l="0" t="0" r="0" b="0"/>
                      <wp:wrapNone/>
                      <wp:docPr id="514" name="Frame51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01015" cy="175260"/>
                      <wp:effectExtent l="0" t="0" r="0" b="0"/>
                      <wp:wrapNone/>
                      <wp:docPr id="515" name="Frame51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01625" cy="175260"/>
                      <wp:effectExtent l="0" t="0" r="0" b="0"/>
                      <wp:wrapNone/>
                      <wp:docPr id="516" name="Frame516"/>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94945" cy="175260"/>
                      <wp:effectExtent l="0" t="0" r="0" b="0"/>
                      <wp:wrapNone/>
                      <wp:docPr id="517" name="Frame51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01015" cy="175260"/>
                      <wp:effectExtent l="0" t="0" r="0" b="0"/>
                      <wp:wrapNone/>
                      <wp:docPr id="518" name="Frame51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76530" cy="175260"/>
                      <wp:effectExtent l="0" t="0" r="0" b="0"/>
                      <wp:wrapNone/>
                      <wp:docPr id="520" name="Frame52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53390" cy="175260"/>
                      <wp:effectExtent l="0" t="0" r="0" b="0"/>
                      <wp:wrapNone/>
                      <wp:docPr id="521" name="Frame52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73050" cy="175260"/>
                      <wp:effectExtent l="0" t="0" r="0" b="0"/>
                      <wp:wrapNone/>
                      <wp:docPr id="522" name="Frame52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76530" cy="175260"/>
                      <wp:effectExtent l="0" t="0" r="0" b="0"/>
                      <wp:wrapNone/>
                      <wp:docPr id="523" name="Frame52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90855" cy="175260"/>
                      <wp:effectExtent l="0" t="0" r="0" b="0"/>
                      <wp:wrapNone/>
                      <wp:docPr id="524" name="Frame524"/>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75"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30"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1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6"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475"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475"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75"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475"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430"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2024, the Investment Funds’ negative performance was primarily driven by net losses in long positions, which includes the impact of derivatives, offset in part by net gains in short positions. The negative performance of our Investment segment’s long positions was driven primarily by net losses from the healthcare and energy sectors of $861 million. The positive performance of our Investment segment’s short positions was driven by net gains in the energy sector of $485 million.</w:t>
      </w:r>
      <w:r>
        <w:rPr>
          <w:rFonts w:ascii="Times New Roman;Times;serif" w:hAnsi="Times New Roman;Times;serif"/>
          <w:sz w:val="20"/>
          <w:shd w:fill="FFFF00" w:val="clear"/>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2023, the Investment Funds’ negative performance was primarily driven by net losses in long positions. The negative performance of our Investment segment’s long positions was driven primarily by losses from one consumer, cyclical investment of $110 million, one healthcare sector investment of $104 million and the aggregate performance of long positions with net losses across various sectors of $93 million. The negative performance of our Investment segment’s short positions was driven by the negative performance of short broad market hedges of $253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2024, the Investment Funds’ negative performance was primarily driven by net losses in long and short positions. The negative performance of our Investment segment’s long positions was driven primarily by net losses from the healthcare and energy sectors of $482 million, offset in part by gains in the utilities sector of $134 million. The negative performance of our Investment segment’s short positions was driven primarily by net losses in broad market hedges of $163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2023, the Investment Funds’ negative performance was primarily driven by net losses in short positions. The negative performance of our Investment segment’s short positions was driven primarily by losses from a broad market hedge of $618 million and the aggregate performance of short equity and short credit positions with net losses across various sectors of $128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and nitrogen fertilizer manufacturing businesses. The petroleum business accounted for approximately 93% and 91% of our Energy segment’s net sales for the six months ended June 30,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partially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recent market conditions, such as the ongoing conflict in the Middle East and the impact of the Russia/Ukraine conflict, there are long-term factors that may impact the demand for and inventory of Refined Products. These factors include mandated renewable fuels standards, proposed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the price at which RINs can be purchased, transportation fuel and renewable diesel production levels and pricing,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18, “Commitments and Contingencies,” to the consolidated financial statements for further discussion of RINs.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Since 2022, our Energy segment has focused significant efforts on decarbonization initiatives including but not limited to the completion of the renewable diesel unit (“RDU”), the creation of an Environmental, Social and Governance (“ESG”) committee and the publication of multiple ESG reports. In addition, our Energy segment achieved mechanical completion of the renewable stock feeder pretreater project at its Wynnewood Refinery in the fourth quarter of 2023 with the unit becoming operational during the first quarter of 2024. Our Energy segment expects to continue to explore options to decarbonize its business in areas with attractive economics, without sole reliance on government subsidies. </w:t>
      </w:r>
    </w:p>
    <w:tbl>
      <w:tblPr>
        <w:tblW w:w="7429" w:type="dxa"/>
        <w:jc w:val="left"/>
        <w:tblInd w:w="0" w:type="dxa"/>
        <w:tblLayout w:type="fixed"/>
        <w:tblCellMar>
          <w:top w:w="0" w:type="dxa"/>
          <w:left w:w="0" w:type="dxa"/>
          <w:bottom w:w="0" w:type="dxa"/>
          <w:right w:w="0" w:type="dxa"/>
        </w:tblCellMar>
      </w:tblPr>
      <w:tblGrid>
        <w:gridCol w:w="1636"/>
        <w:gridCol w:w="326"/>
        <w:gridCol w:w="298"/>
        <w:gridCol w:w="806"/>
        <w:gridCol w:w="460"/>
        <w:gridCol w:w="298"/>
        <w:gridCol w:w="806"/>
        <w:gridCol w:w="326"/>
        <w:gridCol w:w="269"/>
        <w:gridCol w:w="730"/>
        <w:gridCol w:w="417"/>
        <w:gridCol w:w="269"/>
        <w:gridCol w:w="78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038860" cy="175260"/>
                      <wp:effectExtent l="0" t="0" r="0" b="0"/>
                      <wp:wrapNone/>
                      <wp:docPr id="525" name="Frame52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89230" cy="175260"/>
                      <wp:effectExtent l="0" t="0" r="0" b="0"/>
                      <wp:wrapNone/>
                      <wp:docPr id="527" name="Frame52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11810" cy="175260"/>
                      <wp:effectExtent l="0" t="0" r="0" b="0"/>
                      <wp:wrapNone/>
                      <wp:docPr id="528" name="Frame528"/>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92100" cy="175260"/>
                      <wp:effectExtent l="0" t="0" r="0" b="0"/>
                      <wp:wrapNone/>
                      <wp:docPr id="529" name="Frame52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89230" cy="175260"/>
                      <wp:effectExtent l="0" t="0" r="0" b="0"/>
                      <wp:wrapNone/>
                      <wp:docPr id="530" name="Frame53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11810" cy="175260"/>
                      <wp:effectExtent l="0" t="0" r="0" b="0"/>
                      <wp:wrapNone/>
                      <wp:docPr id="531" name="Frame531"/>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70815" cy="175260"/>
                      <wp:effectExtent l="0" t="0" r="0" b="0"/>
                      <wp:wrapNone/>
                      <wp:docPr id="533" name="Frame53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63550" cy="175260"/>
                      <wp:effectExtent l="0" t="0" r="0" b="0"/>
                      <wp:wrapNone/>
                      <wp:docPr id="534" name="Frame534"/>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64795" cy="175260"/>
                      <wp:effectExtent l="0" t="0" r="0" b="0"/>
                      <wp:wrapNone/>
                      <wp:docPr id="535" name="Frame53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70815" cy="175260"/>
                      <wp:effectExtent l="0" t="0" r="0" b="0"/>
                      <wp:wrapNone/>
                      <wp:docPr id="536" name="Frame53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00380" cy="175260"/>
                      <wp:effectExtent l="0" t="0" r="0" b="0"/>
                      <wp:wrapNone/>
                      <wp:docPr id="537" name="Frame53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60" w:type="dxa"/>
            <w:tcBorders/>
            <w:vAlign w:val="center"/>
          </w:tcPr>
          <w:p>
            <w:pPr>
              <w:pStyle w:val="TableContents"/>
              <w:bidi w:val="0"/>
              <w:spacing w:before="0" w:after="0"/>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17" w:type="dxa"/>
            <w:tcBorders/>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42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7"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417"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4,523</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460"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c>
          <w:tcPr>
            <w:tcW w:w="417"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3,916</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60"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417"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for our Energy segment decreased by $271 million (12%) for the three months ended June 30, 2024 as compared to the comparable prior year period due to a decrease in our petroleum business’ net sales, which decreased $221 million, as well as a decrease in our nitrogen fertilizer business’ net sales by $50 million over the comparable period. The decrease in the petroleum business’ net sales was due to lower refined product prices resulting from elevated inventory levels and reduced demand along with fewer sales as a result of the Wynnewood Refinery fire during the current period. The decrease in our nitrogen fertilizer business’ net sales was primarily due to a decrease in urea ammonium nitrate (“UAN”) and ammonia pricing conditions primarily due to lower natural gas prices in the current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for our Energy segment decreased by $68 million (3%) for the three months ended June 30, 2024 as compared to the comparable prior year period. The decrease was primarily due to declines in our petroleum business as a result of a decrease in net sales, offset in part by a decline in RFS expense of $51 million which includes a favorable RINs liability revaluation of $2 million and a favorable derivatives impact of $20 million in the current period compared to losses in the three months ended June 30, 2023. Gross margin for our Energy segment decreased by $203 million for the three months ended June 30, 2024 as compared to the comparable prior year period. Gross margin as a percentage of net sales was 2% and 11% for the three months ended June 30, 2024 and 2023, respectively. The decrease in gross margin as a percentage of net sales was primarily attributable to the petroleum business, which was primarily due to lower refining margins driven by increased inventory levels and lower demand in the current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for our Energy segment decreased by $694 million (15%) for the six months ended June 30, 2024 as compared to the comparable prior year period due to a decrease in our petroleum business’ net sales, which decreased $546 million, as well as a decrease in our nitrogen fertilizer business’ net sales, which decreased $148 million over the comparable periods. The decrease in the petroleum business’ net sales was due to lower refined product prices resulting from elevated inventory levels and reduced demand along with fewer sales as a result of the Wynnewood Refinery fire during the current period. The decrease in our nitrogen fertilizer business’ net sales was primarily due to lower product sales prices attributable to natural gas prices reducing input costs and driving an overall decrease in the market prices.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for our Energy segment decreased by $281 million (7%) for the six months ended June 30, 2024 as compared to the comparable prior year period. The decrease was primarily due to declines in our petroleum business as a result of a decrease in net sales and lower derivative performance of $37 million, offset in part by a decline in RFS expense of $136 million which includes a favorable RINs liability revaluation of $37 million. Gross margin for our Energy segment decreased by $413 million for the six months ended June 30, 2024 as compared to the comparable prior year period. Gross margin as a percentage of net sales was 5% and 13% for the six months ended June 30, 2024 and 2023, respectively. The decrease in the gross margin as a percentage of net sales was primarily attributable to the petroleum business, which was primarily due to lower crack spreads and lower derivative performance, offset in part by favorable RINs liability revaluation.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three and six months ended June 30, 2024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periods, and will result in lower net sales from our Automotive segment in future periods. Our results of operations for the six months ended June 30, 2023 include the results of Auto Plus prior to its January 31, 2023 bankruptcy 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segment’s results include AEP PLC LLC (“AEP PLC”), which acquired $10 million in assets, mainly comprised of Aftermarket Parts inventory from the Auto Plus auction.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priorities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Positioning the Automotive Services broad offerings to take advantage of opportunities in the do-it-for-me market and vehicle fleets;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investment in brownfield and greenfield supplementing existing store footprints;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and strategic review of, capital projects within Icahn Automotive’s owned and leased locations to increase leasing revenue, restructure lease liabilities, and reduce occupancy costs;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Optimization of Store and Distribution Center network while improving inventory and cost position;</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to improve the overall customer experience through process, facilities and automation;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employees with focus on training and career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 improvements and sharing best practices through investments in people, technology, and our overall supply chain.</w:t>
            </w:r>
          </w:p>
        </w:tc>
      </w:tr>
    </w:tbl>
    <w:p>
      <w:pPr>
        <w:pStyle w:val="TextBody"/>
        <w:bidi w:val="0"/>
        <w:spacing w:before="0" w:after="0"/>
        <w:ind w:left="90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56"/>
        <w:gridCol w:w="326"/>
        <w:gridCol w:w="350"/>
        <w:gridCol w:w="699"/>
        <w:gridCol w:w="541"/>
        <w:gridCol w:w="350"/>
        <w:gridCol w:w="699"/>
        <w:gridCol w:w="326"/>
        <w:gridCol w:w="305"/>
        <w:gridCol w:w="609"/>
        <w:gridCol w:w="472"/>
        <w:gridCol w:w="305"/>
        <w:gridCol w:w="767"/>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829560" cy="175260"/>
                      <wp:effectExtent l="0" t="0" r="0" b="0"/>
                      <wp:wrapNone/>
                      <wp:docPr id="538" name="Frame538"/>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22250" cy="175260"/>
                      <wp:effectExtent l="0" t="0" r="0" b="0"/>
                      <wp:wrapNone/>
                      <wp:docPr id="540" name="Frame54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43865" cy="175260"/>
                      <wp:effectExtent l="0" t="0" r="0" b="0"/>
                      <wp:wrapNone/>
                      <wp:docPr id="541" name="Frame541"/>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43535" cy="175260"/>
                      <wp:effectExtent l="0" t="0" r="0" b="0"/>
                      <wp:wrapNone/>
                      <wp:docPr id="542" name="Frame54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22250" cy="175260"/>
                      <wp:effectExtent l="0" t="0" r="0" b="0"/>
                      <wp:wrapNone/>
                      <wp:docPr id="543" name="Frame54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43865" cy="175260"/>
                      <wp:effectExtent l="0" t="0" r="0" b="0"/>
                      <wp:wrapNone/>
                      <wp:docPr id="544" name="Frame54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93675" cy="175260"/>
                      <wp:effectExtent l="0" t="0" r="0" b="0"/>
                      <wp:wrapNone/>
                      <wp:docPr id="546" name="Frame54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86715" cy="175260"/>
                      <wp:effectExtent l="0" t="0" r="0" b="0"/>
                      <wp:wrapNone/>
                      <wp:docPr id="547" name="Frame547"/>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99720" cy="175260"/>
                      <wp:effectExtent l="0" t="0" r="0" b="0"/>
                      <wp:wrapNone/>
                      <wp:docPr id="548" name="Frame548"/>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93675" cy="175260"/>
                      <wp:effectExtent l="0" t="0" r="0" b="0"/>
                      <wp:wrapNone/>
                      <wp:docPr id="549" name="Frame54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87045" cy="175260"/>
                      <wp:effectExtent l="0" t="0" r="0" b="0"/>
                      <wp:wrapNone/>
                      <wp:docPr id="550" name="Frame55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41" w:type="dxa"/>
            <w:tcBorders/>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72" w:type="dxa"/>
            <w:tcBorders/>
            <w:vAlign w:val="center"/>
          </w:tcPr>
          <w:p>
            <w:pPr>
              <w:pStyle w:val="TableContents"/>
              <w:bidi w:val="0"/>
              <w:spacing w:before="0" w:after="0"/>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23"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and other revenues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541"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541"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472"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541"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2331" w:name="_Hlk149058774"/>
      <w:bookmarkStart w:id="2332" w:name="_Hlk149058874"/>
      <w:bookmarkEnd w:id="2331"/>
      <w:bookmarkEnd w:id="2332"/>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bookmarkStart w:id="2333" w:name="_Hlk109386898"/>
      <w:bookmarkEnd w:id="2333"/>
      <w:r>
        <w:rPr>
          <w:rFonts w:ascii="Times New Roman;Times;serif" w:hAnsi="Times New Roman;Times;serif"/>
          <w:sz w:val="20"/>
        </w:rPr>
        <w:t xml:space="preserve">Net sales and other revenues from operations for our Automotive segment for the three months ended June 30, 2024 decreased by $44 million (11%) as compared to the comparable prior year period. The decrease was primarily attributable to a decrease in Automotive Services of $29 million (7%), mainly due to reduced consumer spending on automotive repairs and maintenance. The decrease in the Automotive segment’s net sales was also partially due to a decrease in Aftermarket Parts revenue of $15 million (75%), mainly due to the winding down of the Aftermarket Parts business.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three months ended June 30, 2024 decreased by $39 million (13%) as compared to the comparable prior year period. The decrease was primarily driven by cost reduction efforts and lower net sales mainly due to reduced consumer spending on automotive repairs and maintenance. Gross margin on net sales and other revenue from operations for the three months ended June 30, 2024 decreased by $5 million (4%) from the comparable prior year period. Gross margin as a percentage of net sales and other revenue from operations was 31% and 29% for the three months ended June 30, 2024 and 2023,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and other revenues from operations for our Automotive segment for the six months ended June 30, 2024 decreased by $116 million (14%) as compared to the comparable prior year period. The decrease was attributable to a decrease in Aftermarket Parts sales of $74 million (80%), mainly due to the deconsolidation of Auto Plus as of January 31, 2023. The decrease in the Automotive segment’s net sales was also partially due to a decrease in Automotive Services of $42 million (6%), mainly due to reduced consumer spending on automotive repairs and maintenance.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and other expenses from operations for the six months ended June 30, 2024 decreased by $82 million (14%) as compared to the comparable prior year period. The decrease was primarily driven by decreased aftermarket parts sales related to the deconsolidation of Auto Plus, in addition to cost reduction efforts and lower net sales mainly related to reduced consumer spending on automotive repairs and maintenance at our Automotive Services business. Gross margin on net sales and other revenue from operations for the six months ended June 30, 2024 decreased by $34 million (14%) from the comparable prior year period. Gross margin as a percentage of net sales and other revenue from operations was 29% and 29% for the six months ended June 30,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2024 decreased $12 million (10%) as compared to the comparable prior year period. The decrease was primarily due to a decrease of $7 million in price and product mix and lower volumes of $5 million. Cost of goods sold for the three months ended June 30, 2024 decreased $4 million (4%) compared to the comparable prior year period primarily due to effects of lower volume and corresponding lower absorption of manufacturing fixed costs. Gross margin as a percentage of net sales was 18% and 23% for the three months ended June 30,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2024 decreased $29 million (12%) as compared to the comparable prior year period. The decrease was primarily due to lower volumes of $17 million and a decrease of $12 million in price and product mix. Cost of goods sold for the six months ended June 30, 2024 decreased $15 million (8%) compared to the comparable prior year period primarily due to effects of lower volume and corresponding lower absorption of manufacturing fixed costs. Gross margin as a percentage of net sales was 19% and 23% for the six months ended June 30,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months ended June 30, 2024 and 2023 was primarily derived from country club and resort operations. Revenue from our real estate operations for the six months ended June 30, 2024 and 2023 was primarily derived from the sale of single-family homes and resort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2024 decreased by $3 million (23%) as compared to the comparable prior year period primarily due to the decrease in single-family home sales as inventory is almost sold out in one country club, while the second country club is ramping up its development with sales expected to commence at the end of 2024 to early 2025. Cost of goods sold for the three months ended June 30, 2024 decreased $1 million (13%) compared to the prior year period primarily due to the aforementioned decrease in single-family home sales. Gross margin as a percentage of net sales was 30% and 38% for the three months ended June 30,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revenues from operations for the three months ended June 30, 2024 decreased by $1 million (5%) as compared to the comparable prior year period. Other expenses from operations for the three months ended June 30, 2024 were flat compared to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2024 decreased by $9 million (45%) as compared to the comparable prior year period primarily due to a decrease in single-family home sales as inventory is almost sold out in one country club, while the second country club is ramping up its development with sales expected to commence at the end of 2024 to early 2025. Cost of goods sold for the six months ended June 30, 2024 decreased $6 million (43%) compared to the prior year period primarily due to decreased home sales. Gross margin as a percentage of net sales was 27% and 30% for the six months ended June 30,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six months ended June 30, 2024 was flat as compared to the comparable prior year period. Other expenses from operations for the six months ended June 30, 2024 increased by $1 million (3%) compared to the prior year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Home Fashion segment is significantly influenced by the overall economic environment, including consumer spending, at the retail level, for home textile products.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bookmarkStart w:id="2334" w:name="_Hlk165651022"/>
      <w:bookmarkStart w:id="2335" w:name="_Hlk165650935"/>
      <w:bookmarkEnd w:id="2334"/>
      <w:bookmarkEnd w:id="2335"/>
      <w:r>
        <w:rPr>
          <w:rFonts w:ascii="Times New Roman;Times;serif" w:hAnsi="Times New Roman;Times;serif"/>
          <w:sz w:val="20"/>
        </w:rPr>
        <w:t xml:space="preserve">Net sales for the three months ended June 30, 2024 decreased by $2 million (4%) as compared to the comparable prior year period mostly due to lower demand from our retail and international businesses. Cost of goods sold for the three months ended June 30, 2024 decreased by $2 million (6%) compared to the comparable prior year period mostly due to lower material costs and improved manufacturing efficiency. Gross margin as a percentage of net sales was 25% and 24% for the three months ended June 30, 2024 and 2023,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2024 decreased $6 million (7%) as compared to the comparable prior year period mostly due to lower demand from our retail business. Cost of goods sold for the six months ended June 30, 2024 decreased by $7 million (10%) as compared to the comparable prior year period mostly due to lower material costs and improved manufacturing efficiency. Gross margin as a percentage of net sales was 25% and 22% for the six months ended June 30,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Pharma segment derives revenues primarily from the sale of its products directly to customers, wholesalers and pharmacies. Pursuant to previously announced settlement agreements, at the end of 2024 a competitor, and in the second half of 2025 a second competitor, will be permitted to launch competing generic products to the patent protected weight loss treatment sold within our Pharma segment in the United States, which we anticipate will cause a moderate reduction of prescription volume in the retail pharmacy market in the United States.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2024 increased by $2 million (9%) as compared to the comparable prior year period primarily due to higher prescription growth resulting in increased sales. Cost of goods sold for the three months ended June 30, 2024 were flat compared to the comparable prior year period. Gross margin as a percentage of net sales was 44% and 39% for the three months ended June 30,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2024 increased by $6 million (14%) compared to the comparable prior year period primarily due to higher prescription growth resulting in increased sales. Cost of goods sold for the six months ended June 30, 2024 increased $2 million (8%) compared to the prior year period due to increased sales. Gross margin as a percentage of net sales was 43% and 40% for the six months ended June 30,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loss on deconsolidation of one of its subsidiaries, credit loss on its related party note receivable, and interest expense on its senior unsecured notes for each of the three and six months ended June 30,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on deconsolidation of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Note 3, “Subsidiary Bankruptcy and Deconsolidation”, to the consolidated financial statements, we deconsolidated Auto Plus effective as of January 31, 2023, resulting in a pretax loss on deconsolidation of subsidiary of $246 million during the six months ended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loss on related party note receivable</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credit loss on related party note receivable of $116 million for the six months ended June 30, 2023 relates to the note receivable expected to be uncollectible.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three months ended June 30, 2024 decreased by $32 million (15%) as compared to the comparable prior year period primarily due to lower expenses of our Automotive segment of $15 million mainly related to lower marketing expenses in the current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six months ended June 30, 2024 decreased by $68 million (15%) as compared to the comparable prior year period primarily due to lower expenses of our Automotive segment mainly related to the deconsolidation of Auto Plus, which included $28 million in the six months ended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2024 and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three months ended June 30, 2024 decreased by $8 million (6%) as compared to the comparable prior year period. The decrease was primarily due to lower interest expense for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segment of $19 million attributable to changes in short exposure composition. The decrease was offset in part by higher interest expense in our Holding Company segment of $7 million mainly due to the refinancing of bonds at higher rates than the comparable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interest expense during the six months ended June 30, 2024 decreased by $14 million (5%) as compared to the comparable prior year period. The decrease was primarily due to lower interest expense</w:t>
      </w:r>
      <w:r>
        <w:rPr>
          <w:rFonts w:ascii="Times New Roman;Times;serif" w:hAnsi="Times New Roman;Times;serif"/>
          <w:sz w:val="20"/>
          <w:shd w:fill="FFFFFF" w:val="clear"/>
        </w:rPr>
        <w:t xml:space="preserve"> for our Investment segment of $39 million attributable to changes in short exposure. The decrease was offset in part by higher interest expense in our Energy segment of $14 million, mainly due to the refinancing of bonds at higher interest rates than the comparative period.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15, “Income Taxes,” to the condensed consolidated financial statements for a discussion of income taxes.</w:t>
      </w:r>
    </w:p>
    <w:p>
      <w:pPr>
        <w:pStyle w:val="TextBody"/>
        <w:bidi w:val="0"/>
        <w:spacing w:before="0" w:after="240"/>
        <w:ind w:left="0" w:right="0" w:hanging="0"/>
        <w:jc w:val="left"/>
        <w:rPr>
          <w:rFonts w:ascii="Times New Roman;Times;serif" w:hAnsi="Times New Roman;Times;serif"/>
          <w:b/>
          <w:sz w:val="20"/>
        </w:rPr>
      </w:pPr>
      <w:bookmarkStart w:id="2336" w:name="_0e451132_ddae_4b7c_89c5_90d641bea6ad"/>
      <w:bookmarkEnd w:id="2336"/>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our Holding Company had cash and cash equivalents of approximately $1.5 billion and total debt of approximately $4.9 billion. As of June 30, 2024, our Holding Company had investments in the Investment Funds with a total fair market value of approximately $2.9 billion. We may redeem our direct investment in the Investment Funds upon notice. See “Investment Segment Liquidity,” including under “Investment Funds Distributions and Redemptions,”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outstanding senior unsecured notes consist of the following:</w:t>
      </w:r>
    </w:p>
    <w:p>
      <w:pPr>
        <w:pStyle w:val="TextBody"/>
        <w:bidi w:val="0"/>
        <w:spacing w:before="0" w:after="240"/>
        <w:ind w:left="0" w:right="0" w:firstLine="360"/>
        <w:jc w:val="left"/>
        <w:rPr/>
      </w:pPr>
      <w:r>
        <w:rPr/>
        <w:t>​</w:t>
      </w:r>
    </w:p>
    <w:tbl>
      <w:tblPr>
        <w:tblW w:w="7857" w:type="dxa"/>
        <w:jc w:val="left"/>
        <w:tblInd w:w="0" w:type="dxa"/>
        <w:tblLayout w:type="fixed"/>
        <w:tblCellMar>
          <w:top w:w="0" w:type="dxa"/>
          <w:left w:w="0" w:type="dxa"/>
          <w:bottom w:w="0" w:type="dxa"/>
          <w:right w:w="0" w:type="dxa"/>
        </w:tblCellMar>
      </w:tblPr>
      <w:tblGrid>
        <w:gridCol w:w="5326"/>
        <w:gridCol w:w="230"/>
        <w:gridCol w:w="625"/>
        <w:gridCol w:w="326"/>
        <w:gridCol w:w="320"/>
        <w:gridCol w:w="1030"/>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382010" cy="175260"/>
                      <wp:effectExtent l="0" t="0" r="0" b="0"/>
                      <wp:wrapNone/>
                      <wp:docPr id="551" name="Frame551"/>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46050" cy="175260"/>
                      <wp:effectExtent l="0" t="0" r="0" b="0"/>
                      <wp:wrapNone/>
                      <wp:docPr id="552" name="Frame55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96875" cy="175260"/>
                      <wp:effectExtent l="0" t="0" r="0" b="0"/>
                      <wp:wrapNone/>
                      <wp:docPr id="553" name="Frame55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3200" cy="175260"/>
                      <wp:effectExtent l="0" t="0" r="0" b="0"/>
                      <wp:wrapNone/>
                      <wp:docPr id="555" name="Frame55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54050" cy="175260"/>
                      <wp:effectExtent l="0" t="0" r="0" b="0"/>
                      <wp:wrapNone/>
                      <wp:docPr id="556" name="Frame55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857"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left"/>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6.375% senior unsecured notes due 2025</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unsecured notes due 2026</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unsecured notes due 2027</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unsecured notes due 2029</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unsecured notes due 2029</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unsecured notes due 2030</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debt issuance costs</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Notes held in treasury </w:t>
            </w:r>
            <w:r>
              <w:rPr>
                <w:rFonts w:ascii="Times New Roman;Times;serif" w:hAnsi="Times New Roman;Times;serif"/>
                <w:sz w:val="15"/>
              </w:rPr>
              <w:t>(1)</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4,847</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June 30, 2024, total debt is net of notes held in treasury of $40 million aggregate principal amount of our 4.375% senior unsecured notes due 2029. At December 31, 2023, total debt is net of shares held in treasury of $12 million aggregate principal amount of our 6.25% senior unsecured notes due 2026, $5 million aggregate principal amount of our 5.25% senior unsecured notes due 2027, and $ 40 million aggregate principal amount of our 4.375% senior unsecured notes due 2029.</w:t>
            </w:r>
          </w:p>
        </w:tc>
      </w:tr>
    </w:tbl>
    <w:p>
      <w:pPr>
        <w:pStyle w:val="TextBody"/>
        <w:bidi w:val="0"/>
        <w:spacing w:before="0" w:after="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May 2024, the Issuers issued $750 million in aggregate principal amount of 9.000% senior unsecured notes due 2030. The net proceeds from such issuance were used to redeem the remaining outstanding 6.375% senior unsecured notes due 2025 in full on June 13, 2024. </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During the second quarter, the 6.375% senior notes due 2026 became callable without a premium. Additionally, each of the 5.250% seniors notes due 2027, the 4.375% senior notes due 2029 and the 9.000% senior notes due 2030 are subject to optional redemption premiums in the event we redeem any of these notes prior to six months before maturity. The 9.750% senior notes due 2029 are subject to optional redemption premiums in the event we redeem these notes prior to three months before maturity.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30, 2024 and December 31, 2023, we were in compliance with all covenants, including maintaining certain minimum financial ratios, as defined in the indentures. Additionally, as of June 30, 2024, based on covenants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indentures governing our senior unsecured notes, we are not permitted to incur additional indebtedness; however, we are permitted to issue new notes in connection with debt refinancings of existing notes. </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Debt Repurchase 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In November and December of 2023, we repurchased in the open market approximately </w:t>
      </w:r>
      <w:r>
        <w:rPr>
          <w:rFonts w:ascii="TimesNRMTPro" w:hAnsi="TimesNRMTPro"/>
          <w:sz w:val="20"/>
          <w:shd w:fill="FFFFFF" w:val="clear"/>
        </w:rPr>
        <w:t xml:space="preserve">$35 million aggregate principal amount of our 4.750% senior unsecured notes due 2024,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$92 million. The Company cancelled and reduced the outstanding principal of the repurchased 4.750% senior unsecured notes due 2024, and the remaining repurchased notes of $57 million aggregate principal were extinguished but were not retired and are held in treasury. </w:t>
      </w:r>
      <w:r>
        <w:rPr>
          <w:rFonts w:ascii="TimesNRMTPro" w:hAnsi="TimesNRMTPro"/>
          <w:sz w:val="20"/>
        </w:rPr>
        <w:t>In April 2024, we sold the $12 million in aggregate principal amount of our 6.250% senior unsecured notes due 2026 and the $5 million in aggregate principal amount of our 5.250% senior unsecured notes due 2027, both previously repurchased and held in treasury, in the open market.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2024, we sold 2,798,377 depositary units pursuant to the Open Market Sale Agreement, resulting in gross proceeds of $49 million. During the six months ended June 30, 2024, we sold 5,573,986 depositary units pursuant to the Open Market Sale Agreement, resulting in gross proceeds of $99 million. We continue to have an Open Market Sale Agreement and Icahn Enterprises may sell its depositary units for up to an additional $51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Our ability to access remaining capital under our At-The-Market program may be limited by market conditions at the time of any future potential sale. While we were able to sell depositary units during the six months ended June 30, 2024,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Icahn Enterprises declared two quarterly distributions, each distribution in the amount of $1.00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$203 million, of which $115 million was distributed to Mr. Icahn and his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August 5, 2024, the Board of Directors of the general partner of Icahn Enterprises declared a quarterly distribution in the amount of $1.00 per depositary unit, which will be paid on or about September 25, 2024 to depositary unitholders of record at the close of business on August 9, 2024. Depositary unitholders will have until September 13,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20, 2024. Icahn Enterprises will make a cash payment in lieu of issuing fractional depositary units to any unitholders electing to receive (or who are deemed to have elected to receive) depositary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June 30, 2024, the Company has not repurchased any of the Company’s depositary units and the Company has repurchased $92 million worth of senior unsecured notes in aggregate under the Repurchase Program. See “Debt Repurchases and Sales” above.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investments by us and Mr. Icahn, the Investment Funds historically have access to significant amounts of cash available from prime brokerage lines of credit, subject to customary terms and market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June 30, 2024, the Investment Funds had a net short notional exposure of 16%. The Investment Funds’ long exposure was 83% (82% long equity and 1% long credit) and its short exposure was 99% (85% short equity, 10% short credit and 4% short commodity). The notional exposure represents the ratio of the notional exposure of the Investment Funds’ invested capital to the net asset value of the Investment Funds at June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Investment Funds’ 83% long exposure, 46% was comprised of the fair value of its long positions and 37% was comprised mostly of single name equity forward and swap contracts. Of the Investment Funds’ 99% short exposure, 44% was comprised of the fair value of its short positions (with certain adjustments) and 55% was comprised mostly of short broad market index swap derivative contracts, short credit default swap contracts and short commodity contracts.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 respect to both our long positions that are not notionalized (46% long exposure) and our short positions that are not notionalized (44%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the notional value of our other long positions (37% long exposure) and short positions (55%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Distributions and Redemptions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Icahn and his affiliates (excluding us and Brett Icahn) made no redemptions from the Investment Funds during the six months ended June 30, 2024, and redeemed $1.5 billion from his personal interests in the Investment Funds included in the Investment segment in the six months ended June 30, 2023. As of June 30, 2024 and December 31, 2023, the total fair market value of investments in the Investment Funds owned by the Company was approximately $2.9 billion and $3.2 billion, respectively, representing approximately 60% of the Investment Funds’ assets under management as of each respective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NRMTPro" w:hAnsi="TimesNRMTPro"/>
          <w:sz w:val="20"/>
          <w:shd w:fill="FFFFFF" w:val="clear"/>
        </w:rPr>
      </w:pPr>
      <w:r>
        <w:rPr>
          <w:rFonts w:ascii="TimesNRMTPro" w:hAnsi="TimesNRMTPro"/>
          <w:sz w:val="20"/>
          <w:shd w:fill="FFFFFF" w:val="clear"/>
        </w:rPr>
        <w:t xml:space="preserve">In July 2024, the Investment Funds issued a pro-rata distribution of $650 million in cash, including $256 million to Mr. Icahn and his affiliates (excluding us and Brett Icahn) and $394 million to the Holding Company. Also in July 2024, Mr. Icahn and his affiliates (excluding us and Brett Icahn) redeemed $250 million from his personal interests in the Investment Funds included in the Investment segment.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4298" w:type="dxa"/>
        <w:jc w:val="left"/>
        <w:tblInd w:w="0" w:type="dxa"/>
        <w:tblLayout w:type="fixed"/>
        <w:tblCellMar>
          <w:top w:w="0" w:type="dxa"/>
          <w:left w:w="0" w:type="dxa"/>
          <w:bottom w:w="0" w:type="dxa"/>
          <w:right w:w="0" w:type="dxa"/>
        </w:tblCellMar>
      </w:tblPr>
      <w:tblGrid>
        <w:gridCol w:w="1441"/>
        <w:gridCol w:w="326"/>
        <w:gridCol w:w="284"/>
        <w:gridCol w:w="571"/>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915035" cy="175260"/>
                      <wp:effectExtent l="0" t="0" r="0" b="0"/>
                      <wp:wrapNone/>
                      <wp:docPr id="557" name="Frame55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80340" cy="175260"/>
                      <wp:effectExtent l="0" t="0" r="0" b="0"/>
                      <wp:wrapNone/>
                      <wp:docPr id="559" name="Frame55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62585" cy="175260"/>
                      <wp:effectExtent l="0" t="0" r="0" b="0"/>
                      <wp:wrapNone/>
                      <wp:docPr id="560" name="Frame5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3200" cy="175260"/>
                      <wp:effectExtent l="0" t="0" r="0" b="0"/>
                      <wp:wrapNone/>
                      <wp:docPr id="562" name="Frame56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54050" cy="175260"/>
                      <wp:effectExtent l="0" t="0" r="0" b="0"/>
                      <wp:wrapNone/>
                      <wp:docPr id="563" name="Frame563"/>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2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3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1,344</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4298" w:type="dxa"/>
        <w:jc w:val="left"/>
        <w:tblInd w:w="0" w:type="dxa"/>
        <w:tblLayout w:type="fixed"/>
        <w:tblCellMar>
          <w:top w:w="0" w:type="dxa"/>
          <w:left w:w="0" w:type="dxa"/>
          <w:bottom w:w="0" w:type="dxa"/>
          <w:right w:w="0" w:type="dxa"/>
        </w:tblCellMar>
      </w:tblPr>
      <w:tblGrid>
        <w:gridCol w:w="1441"/>
        <w:gridCol w:w="326"/>
        <w:gridCol w:w="230"/>
        <w:gridCol w:w="625"/>
        <w:gridCol w:w="32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915035" cy="175260"/>
                      <wp:effectExtent l="0" t="0" r="0" b="0"/>
                      <wp:wrapNone/>
                      <wp:docPr id="564" name="Frame56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07010" cy="175260"/>
                      <wp:effectExtent l="0" t="0" r="0" b="0"/>
                      <wp:wrapNone/>
                      <wp:docPr id="565" name="Frame5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46050" cy="175260"/>
                      <wp:effectExtent l="0" t="0" r="0" b="0"/>
                      <wp:wrapNone/>
                      <wp:docPr id="566" name="Frame5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96875" cy="175260"/>
                      <wp:effectExtent l="0" t="0" r="0" b="0"/>
                      <wp:wrapNone/>
                      <wp:docPr id="567" name="Frame56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3200" cy="175260"/>
                      <wp:effectExtent l="0" t="0" r="0" b="0"/>
                      <wp:wrapNone/>
                      <wp:docPr id="569" name="Frame56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54050" cy="175260"/>
                      <wp:effectExtent l="0" t="0" r="0" b="0"/>
                      <wp:wrapNone/>
                      <wp:docPr id="570" name="Frame570"/>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2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3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2024, CVR Energy redeemed all of its $600 million in aggregate principal amount of 5.25% senior unsecured notes due 2025. As a result of this transaction, CVR Energy recognized a $1 million loss on extinguishment of debt for the six months ended June 30, 2024. </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our Annual Report on Form 10-K for the year ended December 31, 2023 for information concerning terms, restrictions and covenants pertaining to our subsidiaries’ debt. As of June 30, 2024, all of our subsidiaries were in compliance with all debt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2772" w:type="dxa"/>
        <w:jc w:val="left"/>
        <w:tblInd w:w="0" w:type="dxa"/>
        <w:tblLayout w:type="fixed"/>
        <w:tblCellMar>
          <w:top w:w="0" w:type="dxa"/>
          <w:left w:w="0" w:type="dxa"/>
          <w:bottom w:w="0" w:type="dxa"/>
          <w:right w:w="0" w:type="dxa"/>
        </w:tblCellMar>
      </w:tblPr>
      <w:tblGrid>
        <w:gridCol w:w="1441"/>
        <w:gridCol w:w="326"/>
        <w:gridCol w:w="287"/>
        <w:gridCol w:w="718"/>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915035" cy="175260"/>
                      <wp:effectExtent l="0" t="0" r="0" b="0"/>
                      <wp:wrapNone/>
                      <wp:docPr id="571" name="Frame57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82245" cy="175260"/>
                      <wp:effectExtent l="0" t="0" r="0" b="0"/>
                      <wp:wrapNone/>
                      <wp:docPr id="573" name="Frame57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55930" cy="175260"/>
                      <wp:effectExtent l="0" t="0" r="0" b="0"/>
                      <wp:wrapNone/>
                      <wp:docPr id="574" name="Frame57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borrowing availability with respect to each of our continuing operating segments reflects third-party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cash flow information for Icahn Enterprises’ reporting segments and our Holding Company: </w:t>
      </w:r>
    </w:p>
    <w:tbl>
      <w:tblPr>
        <w:tblW w:w="9314" w:type="dxa"/>
        <w:jc w:val="left"/>
        <w:tblInd w:w="0" w:type="dxa"/>
        <w:tblLayout w:type="fixed"/>
        <w:tblCellMar>
          <w:top w:w="0" w:type="dxa"/>
          <w:left w:w="0" w:type="dxa"/>
          <w:bottom w:w="0" w:type="dxa"/>
          <w:right w:w="0" w:type="dxa"/>
        </w:tblCellMar>
      </w:tblPr>
      <w:tblGrid>
        <w:gridCol w:w="2311"/>
        <w:gridCol w:w="326"/>
        <w:gridCol w:w="285"/>
        <w:gridCol w:w="571"/>
        <w:gridCol w:w="326"/>
        <w:gridCol w:w="237"/>
        <w:gridCol w:w="544"/>
        <w:gridCol w:w="326"/>
        <w:gridCol w:w="251"/>
        <w:gridCol w:w="575"/>
        <w:gridCol w:w="326"/>
        <w:gridCol w:w="230"/>
        <w:gridCol w:w="626"/>
        <w:gridCol w:w="326"/>
        <w:gridCol w:w="237"/>
        <w:gridCol w:w="544"/>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467485" cy="175260"/>
                      <wp:effectExtent l="0" t="0" r="0" b="0"/>
                      <wp:wrapNone/>
                      <wp:docPr id="575" name="Frame57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80975" cy="175260"/>
                      <wp:effectExtent l="0" t="0" r="0" b="0"/>
                      <wp:wrapNone/>
                      <wp:docPr id="577" name="Frame57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62585" cy="175260"/>
                      <wp:effectExtent l="0" t="0" r="0" b="0"/>
                      <wp:wrapNone/>
                      <wp:docPr id="578" name="Frame5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50495" cy="175260"/>
                      <wp:effectExtent l="0" t="0" r="0" b="0"/>
                      <wp:wrapNone/>
                      <wp:docPr id="580" name="Frame58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45440" cy="175260"/>
                      <wp:effectExtent l="0" t="0" r="0" b="0"/>
                      <wp:wrapNone/>
                      <wp:docPr id="581" name="Frame581"/>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2"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59385" cy="175260"/>
                      <wp:effectExtent l="0" t="0" r="0" b="0"/>
                      <wp:wrapNone/>
                      <wp:docPr id="583" name="Frame58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365125" cy="175260"/>
                      <wp:effectExtent l="0" t="0" r="0" b="0"/>
                      <wp:wrapNone/>
                      <wp:docPr id="584" name="Frame584"/>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46050" cy="175260"/>
                      <wp:effectExtent l="0" t="0" r="0" b="0"/>
                      <wp:wrapNone/>
                      <wp:docPr id="586" name="Frame58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97510" cy="175260"/>
                      <wp:effectExtent l="0" t="0" r="0" b="0"/>
                      <wp:wrapNone/>
                      <wp:docPr id="587" name="Frame587"/>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50495" cy="175260"/>
                      <wp:effectExtent l="0" t="0" r="0" b="0"/>
                      <wp:wrapNone/>
                      <wp:docPr id="589" name="Frame58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345440" cy="175260"/>
                      <wp:effectExtent l="0" t="0" r="0" b="0"/>
                      <wp:wrapNone/>
                      <wp:docPr id="590" name="Frame590"/>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67360" cy="175260"/>
                      <wp:effectExtent l="0" t="0" r="0" b="0"/>
                      <wp:wrapNone/>
                      <wp:docPr id="593" name="Frame59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c>
          <w:tcPr>
            <w:tcW w:w="326" w:type="dxa"/>
            <w:tcBorders/>
            <w:vAlign w:val="center"/>
          </w:tcPr>
          <w:p>
            <w:pPr>
              <w:pStyle w:val="TableContents"/>
              <w:bidi w:val="0"/>
              <w:spacing w:before="0" w:after="1"/>
              <w:ind w:left="0" w:right="0" w:hanging="0"/>
              <w:jc w:val="left"/>
              <w:rPr/>
            </w:pPr>
            <w:r>
              <w:rPr/>
              <w:t>​</w:t>
            </w:r>
          </w:p>
        </w:tc>
        <w:tc>
          <w:tcPr>
            <w:tcW w:w="32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Used In</w:t>
            </w:r>
          </w:p>
        </w:tc>
        <w:tc>
          <w:tcPr>
            <w:tcW w:w="326" w:type="dxa"/>
            <w:tcBorders/>
            <w:vAlign w:val="center"/>
          </w:tcPr>
          <w:p>
            <w:pPr>
              <w:pStyle w:val="TableContents"/>
              <w:bidi w:val="0"/>
              <w:spacing w:before="0" w:after="1"/>
              <w:ind w:left="0" w:right="0" w:hanging="0"/>
              <w:jc w:val="left"/>
              <w:rPr/>
            </w:pPr>
            <w:r>
              <w:rPr/>
              <w:t>​</w:t>
            </w:r>
          </w:p>
        </w:tc>
        <w:tc>
          <w:tcPr>
            <w:tcW w:w="32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r>
      <w:tr>
        <w:trPr/>
        <w:tc>
          <w:tcPr>
            <w:tcW w:w="9314"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77" w:type="dxa"/>
            <w:gridSpan w:val="17"/>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Eliminations in the table above relate to certain of our Holding Company’s transactions with our Investment and other operating segments. Our Holding Company’s net (investments in) distributions from the Investments Funds,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182" w:type="dxa"/>
        <w:jc w:val="left"/>
        <w:tblInd w:w="0" w:type="dxa"/>
        <w:tblLayout w:type="fixed"/>
        <w:tblCellMar>
          <w:top w:w="0" w:type="dxa"/>
          <w:left w:w="0" w:type="dxa"/>
          <w:bottom w:w="0" w:type="dxa"/>
          <w:right w:w="0" w:type="dxa"/>
        </w:tblCellMar>
      </w:tblPr>
      <w:tblGrid>
        <w:gridCol w:w="7216"/>
        <w:gridCol w:w="326"/>
        <w:gridCol w:w="211"/>
        <w:gridCol w:w="886"/>
        <w:gridCol w:w="239"/>
        <w:gridCol w:w="345"/>
        <w:gridCol w:w="959"/>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582160" cy="175260"/>
                      <wp:effectExtent l="0" t="0" r="0" b="0"/>
                      <wp:wrapNone/>
                      <wp:docPr id="594" name="Frame594"/>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5" name="Frame5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62610" cy="175260"/>
                      <wp:effectExtent l="0" t="0" r="0" b="0"/>
                      <wp:wrapNone/>
                      <wp:docPr id="597" name="Frame5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51765" cy="175260"/>
                      <wp:effectExtent l="0" t="0" r="0" b="0"/>
                      <wp:wrapNone/>
                      <wp:docPr id="598" name="Frame59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075" cy="175260"/>
                      <wp:effectExtent l="0" t="0" r="0" b="0"/>
                      <wp:wrapNone/>
                      <wp:docPr id="599" name="Frame59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08965" cy="175260"/>
                      <wp:effectExtent l="0" t="0" r="0" b="0"/>
                      <wp:wrapNone/>
                      <wp:docPr id="600" name="Frame60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left"/>
              <w:rPr/>
            </w:pPr>
            <w:r>
              <w:rPr/>
              <w:t>​</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4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c>
          <w:tcPr>
            <w:tcW w:w="13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2023</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0" w:type="dxa"/>
            <w:gridSpan w:val="5"/>
            <w:tcBorders/>
            <w:vAlign w:val="center"/>
          </w:tcPr>
          <w:p>
            <w:pPr>
              <w:pStyle w:val="TableContents"/>
              <w:bidi w:val="0"/>
              <w:spacing w:before="0" w:after="1"/>
              <w:ind w:left="0" w:right="0" w:hanging="0"/>
              <w:jc w:val="center"/>
              <w:rPr/>
            </w:pPr>
            <w:r>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c>
          <w:tcPr>
            <w:tcW w:w="239" w:type="dxa"/>
            <w:tcBorders/>
            <w:vAlign w:val="center"/>
          </w:tcPr>
          <w:p>
            <w:pPr>
              <w:pStyle w:val="TableContents"/>
              <w:bidi w:val="0"/>
              <w:spacing w:before="0" w:after="1"/>
              <w:ind w:left="0" w:right="0" w:hanging="0"/>
              <w:jc w:val="left"/>
              <w:rPr/>
            </w:pPr>
            <w:r>
              <w:rPr/>
              <w:t> </w:t>
            </w:r>
          </w:p>
        </w:tc>
        <w:tc>
          <w:tcPr>
            <w:tcW w:w="345"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  </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receipts for income taxes, net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transactions with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239"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  </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 receivable disbursements and repayments,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239"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  </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unsecured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unsecured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23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239"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239"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decrease in interest payments for the six months ended June 30, 2024 over the comparable period is primarily due to the redemption of $1.1 billion aggregate principal amount of our 4.750% senior unsecured notes due in 2024 in December 2023, on which we paid interest of $26 million in the six months ended June 30, 2023.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Operating transactions with subsidiaries includes the reimbursement of operating expenses to our Investment segment based on an expense-sharing agreement.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from operating segments is made up of dividends, distributions, and repayments of intercompany loans that are eliminated in consolidation. During the six months ended June 30, 2024, this includes cash dividends received from our Energy segment of $67 million, cash distributions received from our Real Estate segment of $16 million, cash distributions from our Automotive segment of $6 million and Investment segment of $1 million, and repayments of intercompany loans from our Pharma segment of $15 million. During the six months ended June 30, 2023, this includes cash dividends received from our Energy segment of $71 million and cash distributions from our Real Estate segment of $5 million.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to operating segments is made up of intercompany loans and contributions to operating segments that are eliminated in consolidation. During the six months ended June 30, 2024, changes in cash to operating segments was mainly attributable to cash paid to our Automotive segment of $37 million, Real Estate segment of $11 million and Home Fashion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segment of $9 million. During the six months ended June 30, 2023, this includes cash paid to our Automotive segment of $10 million, Real Estate segment of $8 million and our Home Fashion segment of $5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Partnership contributions represent sales in connection with our At-The-Market offerings pursuant to our Open Market Sale Agreements, as discussed above.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Subsidiary Dividends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2024, we received $67 million in dividends from our Energy segment. Subsequent to June 30, 2024, our Energy segment declared a cash dividend of $0.50 per share, which is payable August 19, 2024 to shareholders of record as of August 12, 2024. Our portion of the dividend is estimated to be approximately $33 million in cash. </w:t>
      </w:r>
    </w:p>
    <w:p>
      <w:pPr>
        <w:pStyle w:val="TextBody"/>
        <w:bidi w:val="0"/>
        <w:spacing w:before="0" w:after="240"/>
        <w:ind w:left="0" w:right="0" w:hanging="0"/>
        <w:jc w:val="both"/>
        <w:rPr/>
      </w:pPr>
      <w:r>
        <w:rPr>
          <w:shd w:fill="FFFFFF" w:val="clear"/>
        </w:rPr>
        <w:t> </w:t>
      </w: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cash flows used in financing activities for the six months ended June 30, 2024 was </w:t>
      </w:r>
      <w:r>
        <w:rPr>
          <w:rFonts w:ascii="Times New Roman;Times;serif" w:hAnsi="Times New Roman;Times;serif"/>
          <w:sz w:val="20"/>
          <w:shd w:fill="FFFFFF" w:val="clear"/>
        </w:rPr>
        <w:t xml:space="preserve">mainly attributable to Brett Icahn’s net redemptions from the Investment Funds of </w:t>
      </w:r>
      <w:r>
        <w:rPr>
          <w:rFonts w:ascii="Times New Roman;Times;serif" w:hAnsi="Times New Roman;Times;serif"/>
          <w:sz w:val="20"/>
        </w:rPr>
        <w:t xml:space="preserve">$4 million. </w:t>
      </w:r>
      <w:r>
        <w:rPr>
          <w:rFonts w:ascii="Times New Roman;Times;serif" w:hAnsi="Times New Roman;Times;serif"/>
          <w:sz w:val="20"/>
          <w:shd w:fill="FFFFFF" w:val="clear"/>
        </w:rPr>
        <w:t xml:space="preserve">Our Investment segment’s cash flows used in financing activities for the six months ended June 30, 2023 was mainly attributable to redemptions paid to Mr. Icahn and his affiliates (excluding us and Brett Icahn) of $1.5 billion and Brett Icahn’s net redemptions of $8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Operating Segments </w:t>
      </w:r>
    </w:p>
    <w:tbl>
      <w:tblPr>
        <w:tblW w:w="10205" w:type="dxa"/>
        <w:jc w:val="left"/>
        <w:tblInd w:w="0" w:type="dxa"/>
        <w:tblLayout w:type="fixed"/>
        <w:tblCellMar>
          <w:top w:w="0" w:type="dxa"/>
          <w:left w:w="0" w:type="dxa"/>
          <w:bottom w:w="0" w:type="dxa"/>
          <w:right w:w="0" w:type="dxa"/>
        </w:tblCellMar>
      </w:tblPr>
      <w:tblGrid>
        <w:gridCol w:w="7435"/>
        <w:gridCol w:w="326"/>
        <w:gridCol w:w="211"/>
        <w:gridCol w:w="721"/>
        <w:gridCol w:w="442"/>
        <w:gridCol w:w="286"/>
        <w:gridCol w:w="784"/>
      </w:tblGrid>
      <w:tr>
        <w:trPr/>
        <w:tc>
          <w:tcPr>
            <w:tcW w:w="7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721225" cy="175260"/>
                      <wp:effectExtent l="0" t="0" r="0" b="0"/>
                      <wp:wrapNone/>
                      <wp:docPr id="601" name="Frame601"/>
                      <a:graphic xmlns:a="http://schemas.openxmlformats.org/drawingml/2006/main">
                        <a:graphicData uri="http://schemas.microsoft.com/office/word/2010/wordprocessingShape">
                          <wps:wsp>
                            <wps:cNvSpPr txBox="1"/>
                            <wps:spPr>
                              <a:xfrm>
                                <a:off x="0" y="0"/>
                                <a:ext cx="4721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457835" cy="175260"/>
                      <wp:effectExtent l="0" t="0" r="0" b="0"/>
                      <wp:wrapNone/>
                      <wp:docPr id="604" name="Frame6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80670" cy="175260"/>
                      <wp:effectExtent l="0" t="0" r="0" b="0"/>
                      <wp:wrapNone/>
                      <wp:docPr id="605" name="Frame60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81610" cy="175260"/>
                      <wp:effectExtent l="0" t="0" r="0" b="0"/>
                      <wp:wrapNone/>
                      <wp:docPr id="606" name="Frame6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97840" cy="175260"/>
                      <wp:effectExtent l="0" t="0" r="0" b="0"/>
                      <wp:wrapNone/>
                      <wp:docPr id="607" name="Frame60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2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42" w:type="dxa"/>
            <w:tcBorders/>
            <w:vAlign w:val="center"/>
          </w:tcPr>
          <w:p>
            <w:pPr>
              <w:pStyle w:val="TableContents"/>
              <w:bidi w:val="0"/>
              <w:spacing w:before="0" w:after="1"/>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4" w:type="dxa"/>
            <w:gridSpan w:val="5"/>
            <w:tcBorders/>
            <w:vAlign w:val="center"/>
          </w:tcPr>
          <w:p>
            <w:pPr>
              <w:pStyle w:val="TableContents"/>
              <w:bidi w:val="0"/>
              <w:spacing w:before="0" w:after="1"/>
              <w:ind w:left="0" w:right="0" w:hanging="0"/>
              <w:jc w:val="center"/>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c>
          <w:tcPr>
            <w:tcW w:w="442"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  </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of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44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42"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442"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other operating segments’ cash flows from operating activities before changes in operating assets and liabilities were primarily attributable to the results of our Energy segment during both periods. The change in cash flows from operating activities for the six months ended June 30, 2024 as compared to the comparable prior year was primarily due to a decrease in the operating results of our Energy segment primarily associated with a decrease in our petroleum business’ net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and turnaround expenditures are primarily from our Energy and Automotive segments and are primarily for maintenance and growth and includes the planned maintenance of one of its refineries in both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Repayments of other borrowings are related to our Energy segment’s redemption of $600 million principal amount of its 5.25% senior unsecured notes due February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to non-controlling interests were from our Energy segment related to its regular quarterly dividends and distributions, excluding payments made to us.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from Holding Company is made up of intercompany loans and contributions between our Holding Company and subsidiaries that are eliminated in consolidation. During the six months ended June 30, 2024, the c</w:t>
      </w:r>
      <w:r>
        <w:rPr>
          <w:rFonts w:ascii="Times New Roman;Times;serif" w:hAnsi="Times New Roman;Times;serif"/>
          <w:sz w:val="20"/>
          <w:shd w:fill="FFFFFF" w:val="clear"/>
        </w:rPr>
        <w:t>hanges in cash from Holding Company were mainly attributable to cash paid to our Automotive segment of $37 million, Real Estate segment of $11 million and our Home Fashion segment of $9 million. During the six months ended June 30, 2023, this included cash paid to our Automotive segment of $10 million, Real Estate segment of $8 million and our Home Fashion segment of $5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Cash to Holding Company is made up of dividends, distributions and intercompany loans that are eliminated in consolidation. </w:t>
      </w:r>
      <w:r>
        <w:rPr>
          <w:rFonts w:ascii="Times New Roman;Times;serif" w:hAnsi="Times New Roman;Times;serif"/>
          <w:sz w:val="20"/>
          <w:shd w:fill="FFFFFF" w:val="clear"/>
        </w:rPr>
        <w:t xml:space="preserve">During the six months ended June 30, 2024, this includes cash dividends paid from our Energy segment of $67 million, cash distributions from our Real Estate segment of $16 million, cash distributions from our Automotive segment of $6 million, and repayments of intercompany loans from our Pharma segment of $15 million. During the six months ended June 30, 2023, this includes cash dividends from our Energy segment of $71 million and cash distributions from our Real Estate segment of $5 million.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our planned capital expenditures as compared to the estimated capital expenditures for 2024 reported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Refer to Note 2, “Basis of Presentation and Summary of Significant Accounting Policies,” to the condensed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37" w:name="Item3QuantitativeandQualitativeDisclosur"/>
      <w:bookmarkStart w:id="2338" w:name="_07c5dc9f_d810_46fe_97d1_aee3245a7cc7"/>
      <w:bookmarkEnd w:id="2337"/>
      <w:bookmarkEnd w:id="2338"/>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discussed below, information about our quantitative and qualitative disclosures about market risk did not differ materially from those disclosed in our Annual Report on Form 10-K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market risk is related to our Investment segment and the sensitivities to movements in the fair value of the Investment Funds’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2024, we estimate that in the event of a 10% adverse change in the fair value of these investments, the fair values of securities owned, securities sold, not yet purchased and derivatives would be negatively impacted by approximately $220 million, $213 million and $606 million, respectively. However, as of June 30, 2024, we estimate that the impact to our share of the net gain (loss) from investment activities reported in our condensed consolidated statement of operations would be less than the change in fair value since we have an interest of approximately 60% in the Investment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39" w:name="Item4ControlsandProcedures_867240"/>
      <w:bookmarkStart w:id="2340" w:name="_8166002b_b107_48ef_8bf2_0d115c9dad42"/>
      <w:bookmarkEnd w:id="2339"/>
      <w:bookmarkEnd w:id="2340"/>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June 30, 2024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41" w:name="_5de6d9bb_578c_4148_bc05_8b0d063d33a7"/>
      <w:bookmarkEnd w:id="2341"/>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2342" w:name="Item1LegalProceedings_984640"/>
      <w:bookmarkEnd w:id="2342"/>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business. Refer to Note 18,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bookmarkStart w:id="2343" w:name="Item1ARiskFactors_993647"/>
      <w:bookmarkStart w:id="2344" w:name="_fee4ee85_eabf_4f8f_bcc0_f8c5fca43254"/>
      <w:bookmarkEnd w:id="2343"/>
      <w:bookmarkEnd w:id="2344"/>
      <w:r>
        <w:rPr>
          <w:rFonts w:ascii="Times New Roman;Times;serif" w:hAnsi="Times New Roman;Times;serif"/>
          <w:b/>
          <w:sz w:val="20"/>
        </w:rPr>
        <w:t xml:space="preserve">Item 1A. Risk Factors </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Other than as set forth below, there were no material changes to our risk factors during the six months ended June 30, 2024 as compared to those reported in our Annual Report on Form 10-K for the year ended December 31, 2023.</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pStyle w:val="TextBody"/>
        <w:bidi w:val="0"/>
        <w:spacing w:before="0" w:after="240"/>
        <w:ind w:left="0" w:right="0" w:hanging="0"/>
        <w:jc w:val="left"/>
        <w:rPr>
          <w:shd w:fill="FFFFFF" w:val="clear"/>
        </w:rPr>
      </w:pPr>
      <w:r>
        <w:rPr>
          <w:shd w:fill="FFFFFF" w:val="clear"/>
        </w:rPr>
        <w: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 through affiliates, owns 100% of Icahn Enterprises GP, the general partner of Icahn Enterprises, and approximately 85% of Icahn Enterprises’ outstanding depositary units as of June 30, 2024, and, as a result, has the ability to influence many aspects of our operations and affairs.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July 2, 2024, Mr. Icahn and his affiliates have pledged 406,313,986 depositary units and approximately $981 million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that was made prior to September 1, 2023, quarterly principal payments of $87.5 million beginning in September 2024, and a final principal payment of $2.6 billion at the end of the term. On July 2, 2024, Mr. Icahn and his affiliates entered into Amendment No. 1 to the Loan Agreement (“Amendment No. 1”). Among other changes, Amendment No. 1 extended the maturity of the Loan Agreement to July 2027 and correspondingly extended the payment due dates under the Loan Agreement, amended certain covenants, provided for a principal payment of approximately $453 million in connection with the execution of Amendment No. 1, and provided for additional quarterly principal payments of $87.5 million during the additional term of the Loan Agreement. In addition, Amendment No. 1 provides for the pledging by Mr. Icahn of (i) depositary units of IEP owned by Mr. Icahn, (ii) interests owned by Mr. Icahn in the Investment Funds, and (iii) certain other collateral unrelated to IEP or the Investment Funds. The terms of the Loan Agreement require that distributions paid upon, or proceeds from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Unlike the previous loan agreements, for purposes of the loan-to-value ratio set forth in the Loan Agreement, the value of the pledged depositary units will be calculated based upon the Company’s indicative net asset value rather than 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 may sell depositary units or make withdrawals from the Investment Funds in order to satisfy payment obligations under the Loan Agreements. Mr. Icahn has made withdrawals from the Investment Funds in recent months, including in connection with the principal payment made in connection with Amendment No. 1 to the Loan Agreements,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86%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Investment segment’s revenue depends on the investments made by the Investment Funds. There are numerous and significant risks associated with these investments, certain of which are described in this risk factor and in other risk factors set forth herein and in our Annual Report on Form 10-K and other filings with the SEC.</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any given time, the Investment Funds’ assets may become highly concentrated within a particular company, industry, asset category, trading style or financial or economic market, and the level of concentration can be increased through the use of swaps or other derivative instruments. In that event, the Investment Funds’ investment portfolio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Typically, our top holdings in the Investment Funds represent a significant percentage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Pursuant to the terms of our swap and other derivative agreements, certain events, including a voluntary or involuntary bankruptcy filing involving the company issuing the securities referenced by such agreements or a delisting of such referenced securities, could give our derivative counterparties termination rights that would result in the closing of our swap positions and the realization of any and all losses, even if the referenced securities are not extinguished and thereafter appreciate in value. The Investment Funds are subject to the risk of failure of any of the exchanges on which their positions trade or of their clearinghouses.</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use of leverage in investments by the Investment Funds may pose a significant degree of risk and may enhance the possibility of significant loss in the value of the investments in the Investment Funds.</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and the value of derivatives or other instruments used to provide leverage may not always be correlated to the value of the reference equity security, which could lead to increased losses in circumstances when the value of the reference security remains higher than that of the derivative. The cumulative effect of the use of leverage by the Investment Funds in a market that moves adversely to the Investment Funds’ investments could result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substantial loss to the Investment Funds that would be greater than if the Investment Funds were not leveraged. There is no assurance that leverage will be available on acceptable terms, if at all.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345" w:name="Item2UnregisteredSalesofEquitySecurities"/>
      <w:bookmarkEnd w:id="2345"/>
      <w:r>
        <w:rPr/>
        <w:t>​</w:t>
      </w:r>
    </w:p>
    <w:p>
      <w:pPr>
        <w:pStyle w:val="TextBody"/>
        <w:bidi w:val="0"/>
        <w:spacing w:before="0" w:after="240"/>
        <w:ind w:left="0" w:right="0" w:hanging="0"/>
        <w:jc w:val="left"/>
        <w:rPr>
          <w:rFonts w:ascii="Times New Roman;Times;serif" w:hAnsi="Times New Roman;Times;serif"/>
          <w:b/>
          <w:sz w:val="20"/>
        </w:rPr>
      </w:pPr>
      <w:bookmarkStart w:id="2346" w:name="_6f3672da_e066_42f3_9100_2f2cb383661e"/>
      <w:bookmarkStart w:id="2347" w:name="Item5OtherInformation"/>
      <w:bookmarkEnd w:id="2346"/>
      <w:bookmarkEnd w:id="2347"/>
      <w:r>
        <w:rPr>
          <w:rFonts w:ascii="Times New Roman;Times;serif" w:hAnsi="Times New Roman;Times;serif"/>
          <w:b/>
          <w:sz w:val="20"/>
        </w:rPr>
        <w:t>Item 5. Other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our last fiscal quarter, no director or officer, as defined in Rule 16a-f(1), adopted or terminated a “Rule 10b5-1 trading arrangement” or a “non-Rule 10b5-1 trading arrangement,” each as defined in Regulation S-K Item 408.</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348" w:name="_0de52724_c49e_4293_a142_1c31b889b4fe"/>
      <w:bookmarkStart w:id="2349" w:name="Item6Exhibits_796652"/>
      <w:bookmarkEnd w:id="2348"/>
      <w:bookmarkEnd w:id="2349"/>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86435" cy="175260"/>
                      <wp:effectExtent l="0" t="0" r="0" b="0"/>
                      <wp:wrapNone/>
                      <wp:docPr id="608" name="Frame60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8" w:type="dxa"/>
            <w:tcBorders/>
            <w:vAlign w:val="center"/>
          </w:tcPr>
          <w:p>
            <w:pPr>
              <w:pStyle w:val="TableContents"/>
              <w:bidi w:val="0"/>
              <w:spacing w:before="0" w:after="0"/>
              <w:ind w:left="0" w:right="0" w:hanging="0"/>
              <w:jc w:val="left"/>
              <w:rPr/>
            </w:pPr>
            <w:r>
              <w:rPr/>
              <w:t>​</w:t>
            </w:r>
          </w:p>
        </w:tc>
      </w:tr>
      <w:tr>
        <w:trPr/>
        <w:tc>
          <w:tcPr>
            <w:tcW w:w="1081"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Contents"/>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8" w:type="dxa"/>
            <w:tcBorders/>
            <w:vAlign w:val="center"/>
          </w:tcPr>
          <w:p>
            <w:pPr>
              <w:pStyle w:val="TableContents"/>
              <w:bidi w:val="0"/>
              <w:spacing w:before="0" w:after="30"/>
              <w:ind w:left="0" w:right="0" w:hanging="0"/>
              <w:jc w:val="left"/>
              <w:rPr/>
            </w:pPr>
            <w:hyperlink r:id="rId2">
              <w:r>
                <w:rPr>
                  <w:rStyle w:val="InternetLink"/>
                  <w:rFonts w:ascii="Times New Roman;Times;serif" w:hAnsi="Times New Roman;Times;serif"/>
                  <w:b w:val="false"/>
                  <w:i w:val="false"/>
                  <w:caps w:val="false"/>
                  <w:smallCaps w:val="false"/>
                  <w:sz w:val="20"/>
                </w:rPr>
                <w:t>Indenture, dated May 28, 2024, among Icahn Enterprises L.P., Icahn Enterprises Finance Corp., Icahn Enterprises Holdings L.P., as guarantor, and Wilmington Trust, National Association, as trustee (incorporated by reference to Exhibit 4.1 to the Current Report on Form 8-K filed on May 28, 2024).</w:t>
              </w:r>
            </w:hyperlink>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8" w:type="dxa"/>
            <w:tcBorders/>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Registration Rights Agreement, dated May 28, 2024, among Icahn Enterprises L.P., Icahn Enterprises Finance Corp., Icahn Enterprises Holdings L.P. and Jefferies LLC (incorporated by reference to Exhibit 10.1 to the Current Report on Form 8-K filed by Icahn Enterprises L.P. on May 28,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8"/>
        <w:gridCol w:w="109"/>
        <w:gridCol w:w="9398"/>
      </w:tblGrid>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9215" cy="175260"/>
                      <wp:effectExtent l="0" t="0" r="0" b="0"/>
                      <wp:wrapNone/>
                      <wp:docPr id="612"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pPr>
            <w:hyperlink w:anchor="tmb-20240630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13a-14(a) of the Securities Exchange Act of 1934.</w:t>
              </w:r>
            </w:hyperlink>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9215" cy="175260"/>
                      <wp:effectExtent l="0" t="0" r="0" b="0"/>
                      <wp:wrapNone/>
                      <wp:docPr id="613" name="Frame6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pPr>
            <w:hyperlink w:anchor="tmb-20240630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pPr>
            <w:hyperlink w:anchor="tmb-2024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9215" cy="175260"/>
                      <wp:effectExtent l="0" t="0" r="0" b="0"/>
                      <wp:wrapNone/>
                      <wp:docPr id="615" name="Frame6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9215" cy="175260"/>
                      <wp:effectExtent l="0" t="0" r="0" b="0"/>
                      <wp:wrapNone/>
                      <wp:docPr id="616" name="Frame6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18" name="Frame6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9215" cy="175260"/>
                      <wp:effectExtent l="0" t="0" r="0" b="0"/>
                      <wp:wrapNone/>
                      <wp:docPr id="619" name="Frame6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98"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50" w:name="SIGNATURES_87486"/>
      <w:bookmarkStart w:id="2351" w:name="_643a980a_d3f2_4d8c_87fe_87559a82661f"/>
      <w:bookmarkEnd w:id="2350"/>
      <w:bookmarkEnd w:id="2351"/>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861" w:type="dxa"/>
        <w:jc w:val="left"/>
        <w:tblInd w:w="0" w:type="dxa"/>
        <w:tblLayout w:type="fixed"/>
        <w:tblCellMar>
          <w:top w:w="0" w:type="dxa"/>
          <w:left w:w="0" w:type="dxa"/>
          <w:bottom w:w="0" w:type="dxa"/>
          <w:right w:w="0" w:type="dxa"/>
        </w:tblCellMar>
      </w:tblPr>
      <w:tblGrid>
        <w:gridCol w:w="124"/>
        <w:gridCol w:w="406"/>
        <w:gridCol w:w="6331"/>
      </w:tblGrid>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partner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Teno</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 (Principal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0"/>
        <w:ind w:left="0" w:right="0" w:hanging="0"/>
        <w:jc w:val="right"/>
        <w:rPr>
          <w:rFonts w:ascii="Times New Roman;Times;serif" w:hAnsi="Times New Roman;Times;serif"/>
          <w:b/>
          <w:sz w:val="20"/>
        </w:rPr>
      </w:pPr>
      <w:bookmarkStart w:id="2352" w:name="Section1"/>
      <w:bookmarkStart w:id="2353" w:name="tmb-20240630xex31d1.htm"/>
      <w:bookmarkStart w:id="2354" w:name="kstmb20240630xex31d1"/>
      <w:bookmarkEnd w:id="2352"/>
      <w:bookmarkEnd w:id="2353"/>
      <w:bookmarkEnd w:id="2354"/>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Andrew Teno,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2024;</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5848985" cy="175260"/>
                      <wp:effectExtent l="0" t="0" r="0" b="0"/>
                      <wp:wrapNone/>
                      <wp:docPr id="621" name="Frame621"/>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848985" cy="167005"/>
                      <wp:effectExtent l="0" t="0" r="0" b="0"/>
                      <wp:wrapNone/>
                      <wp:docPr id="622" name="Frame622"/>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5848985" cy="167005"/>
                      <wp:effectExtent l="0" t="0" r="0" b="0"/>
                      <wp:wrapNone/>
                      <wp:docPr id="623" name="Frame623"/>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August 7, 2024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355" w:name="Section11"/>
      <w:bookmarkStart w:id="2356" w:name="tmb-20240630xex31d2.htm"/>
      <w:bookmarkStart w:id="2357" w:name="kstmb20240630xex31d2"/>
      <w:bookmarkEnd w:id="2355"/>
      <w:bookmarkEnd w:id="2356"/>
      <w:bookmarkEnd w:id="2357"/>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2024;</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07315" cy="175260"/>
                      <wp:effectExtent l="0" t="0" r="0" b="0"/>
                      <wp:wrapNone/>
                      <wp:docPr id="624" name="Frame624"/>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07315" cy="2146935"/>
                      <wp:effectExtent l="0" t="0" r="0" b="0"/>
                      <wp:wrapNone/>
                      <wp:docPr id="625" name="Frame625"/>
                      <a:graphic xmlns:a="http://schemas.openxmlformats.org/drawingml/2006/main">
                        <a:graphicData uri="http://schemas.microsoft.com/office/word/2010/wordprocessingShape">
                          <wps:wsp>
                            <wps:cNvSpPr txBox="1"/>
                            <wps:spPr>
                              <a:xfrm>
                                <a:off x="0" y="0"/>
                                <a:ext cx="107315" cy="214693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07315" cy="1894840"/>
                      <wp:effectExtent l="0" t="0" r="0" b="0"/>
                      <wp:wrapNone/>
                      <wp:docPr id="626" name="Frame626"/>
                      <a:graphic xmlns:a="http://schemas.openxmlformats.org/drawingml/2006/main">
                        <a:graphicData uri="http://schemas.microsoft.com/office/word/2010/wordprocessingShape">
                          <wps:wsp>
                            <wps:cNvSpPr txBox="1"/>
                            <wps:spPr>
                              <a:xfrm>
                                <a:off x="0" y="0"/>
                                <a:ext cx="107315" cy="1894840"/>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4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07315" cy="1685925"/>
                      <wp:effectExtent l="0" t="0" r="0" b="0"/>
                      <wp:wrapNone/>
                      <wp:docPr id="627" name="Frame627"/>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of Icahn Enterprises G.P. Inc., the general partner of Icahn Enterprises L.P. </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2024</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2358" w:name="Section12"/>
      <w:bookmarkStart w:id="2359" w:name="tmb-20240630xex32d1.htm"/>
      <w:bookmarkStart w:id="2360" w:name="kstmb20240630xex32d1"/>
      <w:bookmarkEnd w:id="2358"/>
      <w:bookmarkEnd w:id="2359"/>
      <w:bookmarkEnd w:id="2360"/>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Icahn Enterprises L.P., for the period ended June 30, 2024, the undersigned certify that, to the best of his knowledge, based upon a review of the Icahn Enterprises L.P. quarterly report on Form 10-Q for the period ended June 30, 2024:</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211" w:type="dxa"/>
        <w:jc w:val="right"/>
        <w:tblInd w:w="0" w:type="dxa"/>
        <w:tblLayout w:type="fixed"/>
        <w:tblCellMar>
          <w:top w:w="0" w:type="dxa"/>
          <w:left w:w="0" w:type="dxa"/>
          <w:bottom w:w="0" w:type="dxa"/>
          <w:right w:w="0" w:type="dxa"/>
        </w:tblCellMar>
      </w:tblPr>
      <w:tblGrid>
        <w:gridCol w:w="9211"/>
      </w:tblGrid>
      <w:tr>
        <w:trPr/>
        <w:tc>
          <w:tcPr>
            <w:tcW w:w="9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848985" cy="175260"/>
                      <wp:effectExtent l="0" t="0" r="0" b="0"/>
                      <wp:wrapNone/>
                      <wp:docPr id="628" name="Frame628"/>
                      <a:graphic xmlns:a="http://schemas.openxmlformats.org/drawingml/2006/main">
                        <a:graphicData uri="http://schemas.microsoft.com/office/word/2010/wordprocessingShape">
                          <wps:wsp>
                            <wps:cNvSpPr txBox="1"/>
                            <wps:spPr>
                              <a:xfrm>
                                <a:off x="0" y="0"/>
                                <a:ext cx="584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211"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848985" cy="167005"/>
                      <wp:effectExtent l="0" t="0" r="0" b="0"/>
                      <wp:wrapNone/>
                      <wp:docPr id="629" name="Frame629"/>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Andrew Teno</w:t>
                            </w:r>
                          </w:p>
                        </w:txbxContent>
                      </v:textbox>
                      <w10:wrap type="none"/>
                    </v:rect>
                  </w:pict>
                </mc:Fallback>
              </mc:AlternateContent>
            </w:r>
          </w:p>
        </w:tc>
      </w:tr>
      <w:tr>
        <w:trPr/>
        <w:tc>
          <w:tcPr>
            <w:tcW w:w="9211"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848985" cy="167005"/>
                      <wp:effectExtent l="0" t="0" r="0" b="0"/>
                      <wp:wrapNone/>
                      <wp:docPr id="630" name="Frame630"/>
                      <a:graphic xmlns:a="http://schemas.openxmlformats.org/drawingml/2006/main">
                        <a:graphicData uri="http://schemas.microsoft.com/office/word/2010/wordprocessingShape">
                          <wps:wsp>
                            <wps:cNvSpPr txBox="1"/>
                            <wps:spPr>
                              <a:xfrm>
                                <a:off x="0" y="0"/>
                                <a:ext cx="584898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92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of Icahn Enterprises G.P. Inc., the general partner of Icahn Enterprises L.P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2024</w:t>
      </w:r>
    </w:p>
    <w:p>
      <w:pPr>
        <w:pStyle w:val="TextBody"/>
        <w:bidi w:val="0"/>
        <w:spacing w:before="0" w:after="0"/>
        <w:ind w:left="0" w:right="0" w:hanging="0"/>
        <w:jc w:val="left"/>
        <w:rPr/>
      </w:pPr>
      <w:r>
        <w:rPr/>
        <w:t>​</w:t>
      </w:r>
    </w:p>
    <w:tbl>
      <w:tblPr>
        <w:tblW w:w="7966" w:type="dxa"/>
        <w:jc w:val="right"/>
        <w:tblInd w:w="0" w:type="dxa"/>
        <w:tblLayout w:type="fixed"/>
        <w:tblCellMar>
          <w:top w:w="0" w:type="dxa"/>
          <w:left w:w="0" w:type="dxa"/>
          <w:bottom w:w="0" w:type="dxa"/>
          <w:right w:w="0" w:type="dxa"/>
        </w:tblCellMar>
      </w:tblPr>
      <w:tblGrid>
        <w:gridCol w:w="7966"/>
      </w:tblGrid>
      <w:tr>
        <w:trPr/>
        <w:tc>
          <w:tcPr>
            <w:tcW w:w="7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058410" cy="175260"/>
                      <wp:effectExtent l="0" t="0" r="0" b="0"/>
                      <wp:wrapNone/>
                      <wp:docPr id="631" name="Frame631"/>
                      <a:graphic xmlns:a="http://schemas.openxmlformats.org/drawingml/2006/main">
                        <a:graphicData uri="http://schemas.microsoft.com/office/word/2010/wordprocessingShape">
                          <wps:wsp>
                            <wps:cNvSpPr txBox="1"/>
                            <wps:spPr>
                              <a:xfrm>
                                <a:off x="0" y="0"/>
                                <a:ext cx="505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6"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058410" cy="167005"/>
                      <wp:effectExtent l="0" t="0" r="0" b="0"/>
                      <wp:wrapNone/>
                      <wp:docPr id="632" name="Frame632"/>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7966"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058410" cy="167005"/>
                      <wp:effectExtent l="0" t="0" r="0" b="0"/>
                      <wp:wrapNone/>
                      <wp:docPr id="633" name="Frame633"/>
                      <a:graphic xmlns:a="http://schemas.openxmlformats.org/drawingml/2006/main">
                        <a:graphicData uri="http://schemas.microsoft.com/office/word/2010/wordprocessingShape">
                          <wps:wsp>
                            <wps:cNvSpPr txBox="1"/>
                            <wps:spPr>
                              <a:xfrm>
                                <a:off x="0" y="0"/>
                                <a:ext cx="50584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796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TimesNewRoman">
    <w:charset w:val="01"/>
    <w:family w:val="auto"/>
    <w:pitch w:val="default"/>
  </w:font>
  <w:font w:name="Times">
    <w:altName w:val="Times New Roman"/>
    <w:charset w:val="01"/>
    <w:family w:val="auto"/>
    <w:pitch w:val="default"/>
  </w:font>
  <w:font w:name="TimesNRMT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762/000110465924065621/tm2415571d1_ex4-1.htm" TargetMode="External"/><Relationship Id="rId3" Type="http://schemas.openxmlformats.org/officeDocument/2006/relationships/hyperlink" Target="https://www.sec.gov/Archives/edgar/data/813762/000110465924065621/tm2415571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32518</Words>
  <Characters>172932</Characters>
  <CharactersWithSpaces>209061</CharactersWithSpaces>
  <Paragraphs>11378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