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color w:val="auto"/>
                <w:w w:val="90"/>
              </w:rPr>
              <w:t>(State or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80" w:type="dxa"/>
            <w:vAlign w:val="bottom"/>
            <w:gridSpan w:val="4"/>
          </w:tcPr>
          <w:p>
            <w:pPr>
              <w:jc w:val="center"/>
              <w:ind w:right="348"/>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8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8"/>
              </w:rPr>
              <w:t>Jurisdiction of</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80" w:type="dxa"/>
            <w:vAlign w:val="bottom"/>
            <w:gridSpan w:val="4"/>
          </w:tcPr>
          <w:p>
            <w:pPr>
              <w:jc w:val="center"/>
              <w:ind w:right="32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 or</w:t>
            </w: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Pr>
          <w:p>
            <w:pPr>
              <w:ind w:left="640"/>
              <w:spacing w:after="0"/>
              <w:rPr>
                <w:sz w:val="20"/>
                <w:szCs w:val="20"/>
                <w:color w:val="auto"/>
              </w:rPr>
            </w:pPr>
            <w:r>
              <w:rPr>
                <w:rFonts w:ascii="Arial" w:cs="Arial" w:eastAsia="Arial" w:hAnsi="Arial"/>
                <w:sz w:val="14"/>
                <w:szCs w:val="14"/>
                <w:color w:val="auto"/>
              </w:rPr>
              <w:t>(Commission File Number)</w:t>
            </w:r>
          </w:p>
        </w:tc>
        <w:tc>
          <w:tcPr>
            <w:tcW w:w="2840" w:type="dxa"/>
            <w:vAlign w:val="bottom"/>
            <w:gridSpan w:val="3"/>
          </w:tcPr>
          <w:p>
            <w:pPr>
              <w:jc w:val="center"/>
              <w:ind w:left="1441"/>
              <w:spacing w:after="0"/>
              <w:rPr>
                <w:sz w:val="20"/>
                <w:szCs w:val="20"/>
                <w:color w:val="auto"/>
              </w:rPr>
            </w:pPr>
            <w:r>
              <w:rPr>
                <w:rFonts w:ascii="Arial" w:cs="Arial" w:eastAsia="Arial" w:hAnsi="Arial"/>
                <w:sz w:val="14"/>
                <w:szCs w:val="14"/>
                <w:color w:val="auto"/>
                <w:w w:val="92"/>
              </w:rPr>
              <w:t>(Telephone Number)</w:t>
            </w:r>
          </w:p>
        </w:tc>
        <w:tc>
          <w:tcPr>
            <w:tcW w:w="1940" w:type="dxa"/>
            <w:vAlign w:val="bottom"/>
          </w:tcPr>
          <w:p>
            <w:pPr>
              <w:spacing w:after="0"/>
              <w:rPr>
                <w:sz w:val="15"/>
                <w:szCs w:val="15"/>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color w:val="auto"/>
                <w:w w:val="95"/>
              </w:rPr>
              <w:t>Organization)</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24"/>
        </w:trPr>
        <w:tc>
          <w:tcPr>
            <w:tcW w:w="3480" w:type="dxa"/>
            <w:vAlign w:val="bottom"/>
            <w:gridSpan w:val="2"/>
          </w:tcPr>
          <w:p>
            <w:pPr>
              <w:jc w:val="right"/>
              <w:ind w:right="1648"/>
              <w:spacing w:after="0"/>
              <w:rPr>
                <w:sz w:val="20"/>
                <w:szCs w:val="20"/>
                <w:color w:val="auto"/>
              </w:rPr>
            </w:pPr>
            <w:r>
              <w:rPr>
                <w:rFonts w:ascii="Arial" w:cs="Arial" w:eastAsia="Arial" w:hAnsi="Arial"/>
                <w:sz w:val="14"/>
                <w:szCs w:val="14"/>
                <w:b w:val="1"/>
                <w:bCs w:val="1"/>
                <w:color w:val="auto"/>
              </w:rPr>
              <w:t>001-09516</w:t>
            </w:r>
          </w:p>
        </w:tc>
        <w:tc>
          <w:tcPr>
            <w:tcW w:w="4780" w:type="dxa"/>
            <w:vAlign w:val="bottom"/>
            <w:gridSpan w:val="4"/>
          </w:tcPr>
          <w:p>
            <w:pPr>
              <w:jc w:val="center"/>
              <w:ind w:right="348"/>
              <w:spacing w:after="0"/>
              <w:rPr>
                <w:sz w:val="20"/>
                <w:szCs w:val="20"/>
                <w:color w:val="auto"/>
              </w:rPr>
            </w:pPr>
            <w:r>
              <w:rPr>
                <w:rFonts w:ascii="Arial" w:cs="Arial" w:eastAsia="Arial" w:hAnsi="Arial"/>
                <w:sz w:val="23"/>
                <w:szCs w:val="23"/>
                <w:b w:val="1"/>
                <w:bCs w:val="1"/>
                <w:color w:val="auto"/>
              </w:rPr>
              <w:t>ICAHN ENTERPRISES L.P.</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78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92"/>
              </w:rPr>
              <w:t>767 Fifth Avenue, Suite 4700</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40" w:type="dxa"/>
            <w:vAlign w:val="bottom"/>
            <w:gridSpan w:val="3"/>
          </w:tcPr>
          <w:p>
            <w:pPr>
              <w:jc w:val="center"/>
              <w:ind w:left="1461"/>
              <w:spacing w:after="0" w:line="149" w:lineRule="exact"/>
              <w:rPr>
                <w:sz w:val="20"/>
                <w:szCs w:val="20"/>
                <w:color w:val="auto"/>
              </w:rPr>
            </w:pPr>
            <w:r>
              <w:rPr>
                <w:rFonts w:ascii="Arial" w:cs="Arial" w:eastAsia="Arial" w:hAnsi="Arial"/>
                <w:sz w:val="14"/>
                <w:szCs w:val="14"/>
                <w:b w:val="1"/>
                <w:bCs w:val="1"/>
                <w:color w:val="auto"/>
                <w:w w:val="97"/>
              </w:rPr>
              <w:t>New York, NY 10153</w:t>
            </w: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40" w:type="dxa"/>
            <w:vAlign w:val="bottom"/>
            <w:gridSpan w:val="3"/>
          </w:tcPr>
          <w:p>
            <w:pPr>
              <w:jc w:val="center"/>
              <w:ind w:left="1461"/>
              <w:spacing w:after="0"/>
              <w:rPr>
                <w:sz w:val="20"/>
                <w:szCs w:val="20"/>
                <w:color w:val="auto"/>
              </w:rPr>
            </w:pPr>
            <w:r>
              <w:rPr>
                <w:rFonts w:ascii="Arial" w:cs="Arial" w:eastAsia="Arial" w:hAnsi="Arial"/>
                <w:sz w:val="14"/>
                <w:szCs w:val="14"/>
                <w:b w:val="1"/>
                <w:bCs w:val="1"/>
                <w:color w:val="auto"/>
                <w:w w:val="93"/>
              </w:rPr>
              <w:t>(212) 702-4300</w:t>
            </w: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3480" w:type="dxa"/>
            <w:vAlign w:val="bottom"/>
            <w:gridSpan w:val="2"/>
          </w:tcPr>
          <w:p>
            <w:pPr>
              <w:jc w:val="right"/>
              <w:ind w:right="1528"/>
              <w:spacing w:after="0"/>
              <w:rPr>
                <w:sz w:val="20"/>
                <w:szCs w:val="20"/>
                <w:color w:val="auto"/>
              </w:rPr>
            </w:pPr>
            <w:r>
              <w:rPr>
                <w:rFonts w:ascii="Arial" w:cs="Arial" w:eastAsia="Arial" w:hAnsi="Arial"/>
                <w:sz w:val="14"/>
                <w:szCs w:val="14"/>
                <w:b w:val="1"/>
                <w:bCs w:val="1"/>
                <w:color w:val="auto"/>
              </w:rPr>
              <w:t>333-118021-01</w:t>
            </w:r>
          </w:p>
        </w:tc>
        <w:tc>
          <w:tcPr>
            <w:tcW w:w="4780" w:type="dxa"/>
            <w:vAlign w:val="bottom"/>
            <w:gridSpan w:val="4"/>
          </w:tcPr>
          <w:p>
            <w:pPr>
              <w:jc w:val="center"/>
              <w:ind w:right="348"/>
              <w:spacing w:after="0"/>
              <w:rPr>
                <w:sz w:val="20"/>
                <w:szCs w:val="20"/>
                <w:color w:val="auto"/>
              </w:rPr>
            </w:pPr>
            <w:r>
              <w:rPr>
                <w:rFonts w:ascii="Arial" w:cs="Arial" w:eastAsia="Arial" w:hAnsi="Arial"/>
                <w:sz w:val="23"/>
                <w:szCs w:val="23"/>
                <w:b w:val="1"/>
                <w:bCs w:val="1"/>
                <w:color w:val="auto"/>
              </w:rPr>
              <w:t>ICAHN ENTERPRISES HOLDINGS L.P.</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78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92"/>
              </w:rPr>
              <w:t>767 Fifth Avenue, Suite 4700</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40" w:type="dxa"/>
            <w:vAlign w:val="bottom"/>
            <w:gridSpan w:val="3"/>
          </w:tcPr>
          <w:p>
            <w:pPr>
              <w:jc w:val="center"/>
              <w:ind w:left="1461"/>
              <w:spacing w:after="0" w:line="149" w:lineRule="exact"/>
              <w:rPr>
                <w:sz w:val="20"/>
                <w:szCs w:val="20"/>
                <w:color w:val="auto"/>
              </w:rPr>
            </w:pPr>
            <w:r>
              <w:rPr>
                <w:rFonts w:ascii="Arial" w:cs="Arial" w:eastAsia="Arial" w:hAnsi="Arial"/>
                <w:sz w:val="14"/>
                <w:szCs w:val="14"/>
                <w:b w:val="1"/>
                <w:bCs w:val="1"/>
                <w:color w:val="auto"/>
                <w:w w:val="97"/>
              </w:rPr>
              <w:t>New York, NY 10153</w:t>
            </w: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40" w:type="dxa"/>
            <w:vAlign w:val="bottom"/>
            <w:gridSpan w:val="3"/>
          </w:tcPr>
          <w:p>
            <w:pPr>
              <w:jc w:val="center"/>
              <w:ind w:left="1461"/>
              <w:spacing w:after="0"/>
              <w:rPr>
                <w:sz w:val="20"/>
                <w:szCs w:val="20"/>
                <w:color w:val="auto"/>
              </w:rPr>
            </w:pPr>
            <w:r>
              <w:rPr>
                <w:rFonts w:ascii="Arial" w:cs="Arial" w:eastAsia="Arial" w:hAnsi="Arial"/>
                <w:sz w:val="14"/>
                <w:szCs w:val="14"/>
                <w:b w:val="1"/>
                <w:bCs w:val="1"/>
                <w:color w:val="auto"/>
                <w:w w:val="93"/>
              </w:rPr>
              <w:t>(212) 702-4300</w:t>
            </w: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780" w:type="dxa"/>
            <w:vAlign w:val="bottom"/>
            <w:gridSpan w:val="4"/>
          </w:tcPr>
          <w:p>
            <w:pPr>
              <w:ind w:left="360"/>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460" w:type="dxa"/>
            <w:vAlign w:val="bottom"/>
            <w:tcBorders>
              <w:bottom w:val="single" w:sz="8" w:color="auto"/>
            </w:tcBorders>
          </w:tcPr>
          <w:p>
            <w:pPr>
              <w:jc w:val="center"/>
              <w:ind w:left="2068"/>
              <w:spacing w:after="0"/>
              <w:rPr>
                <w:sz w:val="20"/>
                <w:szCs w:val="20"/>
                <w:color w:val="auto"/>
              </w:rPr>
            </w:pPr>
            <w:r>
              <w:rPr>
                <w:rFonts w:ascii="Arial" w:cs="Arial" w:eastAsia="Arial" w:hAnsi="Arial"/>
                <w:sz w:val="14"/>
                <w:szCs w:val="14"/>
                <w:b w:val="1"/>
                <w:bCs w:val="1"/>
                <w:color w:val="auto"/>
                <w:w w:val="93"/>
              </w:rPr>
              <w:t>Title of Each Class</w:t>
            </w:r>
          </w:p>
        </w:tc>
        <w:tc>
          <w:tcPr>
            <w:tcW w:w="2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left="68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gridSpan w:val="4"/>
          </w:tcPr>
          <w:p>
            <w:pPr>
              <w:jc w:val="center"/>
              <w:ind w:right="700"/>
              <w:spacing w:after="0" w:line="157" w:lineRule="exact"/>
              <w:rPr>
                <w:sz w:val="20"/>
                <w:szCs w:val="20"/>
                <w:color w:val="auto"/>
              </w:rPr>
            </w:pPr>
            <w:r>
              <w:rPr>
                <w:rFonts w:ascii="Arial" w:cs="Arial" w:eastAsia="Arial" w:hAnsi="Arial"/>
                <w:sz w:val="14"/>
                <w:szCs w:val="14"/>
                <w:color w:val="auto"/>
                <w:w w:val="93"/>
              </w:rPr>
              <w:t>Depositary Units of Icahn Enterprises L.P.</w:t>
            </w:r>
          </w:p>
        </w:tc>
        <w:tc>
          <w:tcPr>
            <w:tcW w:w="3740" w:type="dxa"/>
            <w:vAlign w:val="bottom"/>
            <w:gridSpan w:val="2"/>
            <w:vMerge w:val="restart"/>
          </w:tcPr>
          <w:p>
            <w:pPr>
              <w:jc w:val="center"/>
              <w:ind w:left="688"/>
              <w:spacing w:after="0"/>
              <w:rPr>
                <w:sz w:val="20"/>
                <w:szCs w:val="20"/>
                <w:color w:val="auto"/>
              </w:rPr>
            </w:pPr>
            <w:r>
              <w:rPr>
                <w:rFonts w:ascii="Arial" w:cs="Arial" w:eastAsia="Arial" w:hAnsi="Arial"/>
                <w:sz w:val="14"/>
                <w:szCs w:val="14"/>
                <w:color w:val="auto"/>
                <w:w w:val="96"/>
              </w:rPr>
              <w:t>NASDAQ Global Select Market</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300" w:type="dxa"/>
            <w:vAlign w:val="bottom"/>
            <w:gridSpan w:val="4"/>
            <w:vMerge w:val="restart"/>
          </w:tcPr>
          <w:p>
            <w:pPr>
              <w:jc w:val="center"/>
              <w:ind w:right="700"/>
              <w:spacing w:after="0"/>
              <w:rPr>
                <w:sz w:val="20"/>
                <w:szCs w:val="20"/>
                <w:color w:val="auto"/>
              </w:rPr>
            </w:pPr>
            <w:r>
              <w:rPr>
                <w:rFonts w:ascii="Arial" w:cs="Arial" w:eastAsia="Arial" w:hAnsi="Arial"/>
                <w:sz w:val="14"/>
                <w:szCs w:val="14"/>
                <w:color w:val="auto"/>
                <w:w w:val="93"/>
              </w:rPr>
              <w:t>Representing Limited Partner Interests</w:t>
            </w:r>
          </w:p>
        </w:tc>
        <w:tc>
          <w:tcPr>
            <w:tcW w:w="374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300" w:type="dxa"/>
            <w:vAlign w:val="bottom"/>
            <w:gridSpan w:val="4"/>
            <w:vMerge w:val="continue"/>
          </w:tcPr>
          <w:p>
            <w:pPr>
              <w:spacing w:after="0"/>
              <w:rPr>
                <w:sz w:val="7"/>
                <w:szCs w:val="7"/>
                <w:color w:val="auto"/>
              </w:rPr>
            </w:pPr>
          </w:p>
        </w:tc>
        <w:tc>
          <w:tcPr>
            <w:tcW w:w="19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80" w:type="dxa"/>
            <w:vAlign w:val="bottom"/>
            <w:gridSpan w:val="4"/>
          </w:tcPr>
          <w:p>
            <w:pPr>
              <w:ind w:left="1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gridSpan w:val="6"/>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by Rule 405 of the Securities Act.</w:t>
            </w: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40" w:type="dxa"/>
            <w:vAlign w:val="bottom"/>
            <w:gridSpan w:val="3"/>
          </w:tcPr>
          <w:p>
            <w:pPr>
              <w:ind w:left="440"/>
              <w:spacing w:after="0"/>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p>
        </w:tc>
        <w:tc>
          <w:tcPr>
            <w:tcW w:w="3740" w:type="dxa"/>
            <w:vAlign w:val="bottom"/>
            <w:gridSpan w:val="2"/>
          </w:tcPr>
          <w:p>
            <w:pPr>
              <w:spacing w:after="0"/>
              <w:rPr>
                <w:sz w:val="20"/>
                <w:szCs w:val="20"/>
                <w:color w:val="auto"/>
              </w:rPr>
            </w:pPr>
            <w:r>
              <w:rPr>
                <w:rFonts w:ascii="Arial" w:cs="Arial" w:eastAsia="Arial" w:hAnsi="Arial"/>
                <w:sz w:val="14"/>
                <w:szCs w:val="14"/>
                <w:color w:val="auto"/>
              </w:rPr>
              <w:t>Icahn Enterprises Holdings L.P. Yes o No x</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260" w:type="dxa"/>
            <w:vAlign w:val="bottom"/>
            <w:gridSpan w:val="6"/>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Exchange Act.</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40" w:type="dxa"/>
            <w:vAlign w:val="bottom"/>
            <w:gridSpan w:val="3"/>
          </w:tcPr>
          <w:p>
            <w:pPr>
              <w:ind w:left="360"/>
              <w:spacing w:after="0"/>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p>
        </w:tc>
        <w:tc>
          <w:tcPr>
            <w:tcW w:w="3740" w:type="dxa"/>
            <w:vAlign w:val="bottom"/>
            <w:gridSpan w:val="2"/>
          </w:tcPr>
          <w:p>
            <w:pPr>
              <w:ind w:left="60"/>
              <w:spacing w:after="0"/>
              <w:rPr>
                <w:sz w:val="20"/>
                <w:szCs w:val="20"/>
                <w:color w:val="auto"/>
              </w:rPr>
            </w:pPr>
            <w:r>
              <w:rPr>
                <w:rFonts w:ascii="Arial" w:cs="Arial" w:eastAsia="Arial" w:hAnsi="Arial"/>
                <w:sz w:val="14"/>
                <w:szCs w:val="14"/>
                <w:color w:val="auto"/>
              </w:rPr>
              <w:t>Icahn Enterprises Holdings L.P. Yes o No x</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200"/>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8"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6"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780" w:type="dxa"/>
            <w:vAlign w:val="bottom"/>
            <w:gridSpan w:val="3"/>
          </w:tcPr>
          <w:p>
            <w:pPr>
              <w:spacing w:after="0"/>
              <w:rPr>
                <w:sz w:val="20"/>
                <w:szCs w:val="20"/>
                <w:color w:val="auto"/>
              </w:rPr>
            </w:pPr>
            <w:r>
              <w:rPr>
                <w:rFonts w:ascii="Arial" w:cs="Arial" w:eastAsia="Arial" w:hAnsi="Arial"/>
                <w:sz w:val="14"/>
                <w:szCs w:val="14"/>
                <w:color w:val="auto"/>
              </w:rPr>
              <w:t>Icahn Enterprises L.P.</w:t>
            </w:r>
          </w:p>
        </w:tc>
        <w:tc>
          <w:tcPr>
            <w:tcW w:w="1980" w:type="dxa"/>
            <w:vAlign w:val="bottom"/>
          </w:tcPr>
          <w:p>
            <w:pPr>
              <w:spacing w:after="0"/>
              <w:rPr>
                <w:sz w:val="14"/>
                <w:szCs w:val="14"/>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Icahn Enterprises Holdings L.P.</w:t>
            </w: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9"/>
        </w:trPr>
        <w:tc>
          <w:tcPr>
            <w:tcW w:w="2020" w:type="dxa"/>
            <w:vAlign w:val="bottom"/>
            <w:gridSpan w:val="2"/>
          </w:tcPr>
          <w:p>
            <w:pPr>
              <w:jc w:val="center"/>
              <w:ind w:right="488"/>
              <w:spacing w:after="0"/>
              <w:rPr>
                <w:sz w:val="20"/>
                <w:szCs w:val="20"/>
                <w:color w:val="auto"/>
              </w:rPr>
            </w:pPr>
            <w:r>
              <w:rPr>
                <w:rFonts w:ascii="Arial" w:cs="Arial" w:eastAsia="Arial" w:hAnsi="Arial"/>
                <w:sz w:val="14"/>
                <w:szCs w:val="14"/>
                <w:color w:val="auto"/>
                <w:w w:val="93"/>
              </w:rPr>
              <w:t>Large Accelerated Filer x</w:t>
            </w:r>
          </w:p>
        </w:tc>
        <w:tc>
          <w:tcPr>
            <w:tcW w:w="640" w:type="dxa"/>
            <w:vAlign w:val="bottom"/>
          </w:tcPr>
          <w:p>
            <w:pPr>
              <w:spacing w:after="0"/>
              <w:rPr>
                <w:sz w:val="24"/>
                <w:szCs w:val="24"/>
                <w:color w:val="auto"/>
              </w:rPr>
            </w:pPr>
          </w:p>
        </w:tc>
        <w:tc>
          <w:tcPr>
            <w:tcW w:w="2520" w:type="dxa"/>
            <w:vAlign w:val="bottom"/>
          </w:tcPr>
          <w:p>
            <w:pPr>
              <w:jc w:val="center"/>
              <w:ind w:right="848"/>
              <w:spacing w:after="0"/>
              <w:rPr>
                <w:sz w:val="20"/>
                <w:szCs w:val="20"/>
                <w:color w:val="auto"/>
              </w:rPr>
            </w:pPr>
            <w:r>
              <w:rPr>
                <w:rFonts w:ascii="Arial" w:cs="Arial" w:eastAsia="Arial" w:hAnsi="Arial"/>
                <w:sz w:val="14"/>
                <w:szCs w:val="14"/>
                <w:color w:val="auto"/>
                <w:w w:val="95"/>
              </w:rPr>
              <w:t>Accelerated Filer o</w:t>
            </w:r>
          </w:p>
        </w:tc>
        <w:tc>
          <w:tcPr>
            <w:tcW w:w="2820" w:type="dxa"/>
            <w:vAlign w:val="bottom"/>
            <w:gridSpan w:val="2"/>
          </w:tcPr>
          <w:p>
            <w:pPr>
              <w:jc w:val="center"/>
              <w:ind w:left="288"/>
              <w:spacing w:after="0"/>
              <w:rPr>
                <w:sz w:val="20"/>
                <w:szCs w:val="20"/>
                <w:color w:val="auto"/>
              </w:rPr>
            </w:pPr>
            <w:r>
              <w:rPr>
                <w:rFonts w:ascii="Arial" w:cs="Arial" w:eastAsia="Arial" w:hAnsi="Arial"/>
                <w:sz w:val="14"/>
                <w:szCs w:val="14"/>
                <w:color w:val="auto"/>
                <w:w w:val="93"/>
              </w:rPr>
              <w:t>Large Accelerated Filer o</w:t>
            </w:r>
          </w:p>
        </w:tc>
        <w:tc>
          <w:tcPr>
            <w:tcW w:w="2260" w:type="dxa"/>
            <w:vAlign w:val="bottom"/>
            <w:gridSpan w:val="2"/>
          </w:tcPr>
          <w:p>
            <w:pPr>
              <w:jc w:val="center"/>
              <w:ind w:left="448"/>
              <w:spacing w:after="0"/>
              <w:rPr>
                <w:sz w:val="20"/>
                <w:szCs w:val="20"/>
                <w:color w:val="auto"/>
              </w:rPr>
            </w:pPr>
            <w:r>
              <w:rPr>
                <w:rFonts w:ascii="Arial" w:cs="Arial" w:eastAsia="Arial" w:hAnsi="Arial"/>
                <w:sz w:val="14"/>
                <w:szCs w:val="14"/>
                <w:color w:val="auto"/>
                <w:w w:val="94"/>
              </w:rPr>
              <w:t>Accelerated Filer o</w:t>
            </w:r>
          </w:p>
        </w:tc>
      </w:tr>
      <w:tr>
        <w:trPr>
          <w:trHeight w:val="270"/>
        </w:trPr>
        <w:tc>
          <w:tcPr>
            <w:tcW w:w="2020" w:type="dxa"/>
            <w:vAlign w:val="bottom"/>
            <w:gridSpan w:val="2"/>
          </w:tcPr>
          <w:p>
            <w:pPr>
              <w:jc w:val="center"/>
              <w:ind w:right="508"/>
              <w:spacing w:after="0"/>
              <w:rPr>
                <w:sz w:val="20"/>
                <w:szCs w:val="20"/>
                <w:color w:val="auto"/>
              </w:rPr>
            </w:pPr>
            <w:r>
              <w:rPr>
                <w:rFonts w:ascii="Arial" w:cs="Arial" w:eastAsia="Arial" w:hAnsi="Arial"/>
                <w:sz w:val="14"/>
                <w:szCs w:val="14"/>
                <w:color w:val="auto"/>
                <w:w w:val="93"/>
              </w:rPr>
              <w:t>Non-accelerated Filer o</w:t>
            </w:r>
          </w:p>
        </w:tc>
        <w:tc>
          <w:tcPr>
            <w:tcW w:w="3160" w:type="dxa"/>
            <w:vAlign w:val="bottom"/>
            <w:gridSpan w:val="2"/>
          </w:tcPr>
          <w:p>
            <w:pPr>
              <w:jc w:val="center"/>
              <w:ind w:right="208"/>
              <w:spacing w:after="0"/>
              <w:rPr>
                <w:sz w:val="20"/>
                <w:szCs w:val="20"/>
                <w:color w:val="auto"/>
              </w:rPr>
            </w:pPr>
            <w:r>
              <w:rPr>
                <w:rFonts w:ascii="Arial" w:cs="Arial" w:eastAsia="Arial" w:hAnsi="Arial"/>
                <w:sz w:val="14"/>
                <w:szCs w:val="14"/>
                <w:color w:val="auto"/>
                <w:w w:val="93"/>
              </w:rPr>
              <w:t>Smaller Reporting Company o</w:t>
            </w:r>
          </w:p>
        </w:tc>
        <w:tc>
          <w:tcPr>
            <w:tcW w:w="2820" w:type="dxa"/>
            <w:vAlign w:val="bottom"/>
            <w:gridSpan w:val="2"/>
          </w:tcPr>
          <w:p>
            <w:pPr>
              <w:jc w:val="center"/>
              <w:ind w:left="288"/>
              <w:spacing w:after="0"/>
              <w:rPr>
                <w:sz w:val="20"/>
                <w:szCs w:val="20"/>
                <w:color w:val="auto"/>
              </w:rPr>
            </w:pPr>
            <w:r>
              <w:rPr>
                <w:rFonts w:ascii="Arial" w:cs="Arial" w:eastAsia="Arial" w:hAnsi="Arial"/>
                <w:sz w:val="14"/>
                <w:szCs w:val="14"/>
                <w:color w:val="auto"/>
                <w:w w:val="92"/>
              </w:rPr>
              <w:t>Non-accelerated Filer x</w:t>
            </w:r>
          </w:p>
        </w:tc>
        <w:tc>
          <w:tcPr>
            <w:tcW w:w="2260" w:type="dxa"/>
            <w:vAlign w:val="bottom"/>
            <w:gridSpan w:val="2"/>
          </w:tcPr>
          <w:p>
            <w:pPr>
              <w:jc w:val="center"/>
              <w:ind w:left="428"/>
              <w:spacing w:after="0"/>
              <w:rPr>
                <w:sz w:val="20"/>
                <w:szCs w:val="20"/>
                <w:color w:val="auto"/>
              </w:rPr>
            </w:pPr>
            <w:r>
              <w:rPr>
                <w:rFonts w:ascii="Arial" w:cs="Arial" w:eastAsia="Arial" w:hAnsi="Arial"/>
                <w:sz w:val="14"/>
                <w:szCs w:val="14"/>
                <w:color w:val="auto"/>
                <w:w w:val="93"/>
              </w:rPr>
              <w:t>Smaller Reporting Company o</w:t>
            </w:r>
          </w:p>
        </w:tc>
      </w:tr>
    </w:tbl>
    <w:p>
      <w:pPr>
        <w:spacing w:after="0" w:line="142"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13" w:lineRule="exact"/>
        <w:rPr>
          <w:sz w:val="24"/>
          <w:szCs w:val="24"/>
          <w:color w:val="auto"/>
        </w:rPr>
      </w:pPr>
    </w:p>
    <w:p>
      <w:pPr>
        <w:ind w:left="3920"/>
        <w:spacing w:after="0"/>
        <w:tabs>
          <w:tab w:leader="none" w:pos="6300" w:val="left"/>
        </w:tabs>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r>
        <w:rPr>
          <w:sz w:val="20"/>
          <w:szCs w:val="20"/>
          <w:color w:val="auto"/>
        </w:rPr>
        <w:tab/>
      </w:r>
      <w:r>
        <w:rPr>
          <w:rFonts w:ascii="Arial" w:cs="Arial" w:eastAsia="Arial" w:hAnsi="Arial"/>
          <w:sz w:val="13"/>
          <w:szCs w:val="13"/>
          <w:color w:val="auto"/>
        </w:rPr>
        <w:t>Icahn Enterprises Holdings L.P. Yes o No x</w:t>
      </w:r>
    </w:p>
    <w:p>
      <w:pPr>
        <w:spacing w:after="0" w:line="126"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The aggregate market value of Icahn Enterprises' depositary units held by non-affiliates of the registrant as of June 30, 2017, the last business day of the registrant's most recently completed second fiscal quarter, based upon the closing price of depositary units on the Nasdaq Global Select Market on such date was $839 million.</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As of March 1, 2018, there were 173,576,769 of Icahn Enterprises' depositary units outstanding.</w:t>
      </w:r>
    </w:p>
    <w:p>
      <w:pPr>
        <w:sectPr>
          <w:pgSz w:w="11900" w:h="16838" w:orient="portrait"/>
          <w:cols w:equalWidth="0" w:num="1">
            <w:col w:w="11400"/>
          </w:cols>
          <w:pgMar w:left="240" w:top="229"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70"/>
              </w:rPr>
              <w:t>No</w:t>
            </w:r>
            <w:r>
              <w:rPr>
                <w:rFonts w:ascii="Arial" w:cs="Arial" w:eastAsia="Arial" w:hAnsi="Arial"/>
                <w:sz w:val="14"/>
                <w:szCs w:val="14"/>
                <w:color w:val="auto"/>
                <w:w w:val="70"/>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20" w:type="dxa"/>
            <w:vAlign w:val="bottom"/>
            <w:shd w:val="clear" w:color="auto" w:fill="CCEEFF"/>
          </w:tcPr>
          <w:p>
            <w:pPr>
              <w:spacing w:after="0"/>
              <w:rPr>
                <w:sz w:val="21"/>
                <w:szCs w:val="21"/>
                <w:color w:val="auto"/>
              </w:rPr>
            </w:pPr>
          </w:p>
        </w:tc>
      </w:tr>
      <w:tr>
        <w:trPr>
          <w:trHeight w:val="284"/>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w w:val="98"/>
              </w:rPr>
              <w:t>PART I</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1B.</w:t>
              </w:r>
            </w:hyperlink>
          </w:p>
        </w:tc>
        <w:tc>
          <w:tcPr>
            <w:tcW w:w="620" w:type="dxa"/>
            <w:vAlign w:val="bottom"/>
          </w:tcPr>
          <w:p>
            <w:pPr>
              <w:spacing w:after="0"/>
              <w:rPr>
                <w:sz w:val="17"/>
                <w:szCs w:val="17"/>
                <w:color w:val="auto"/>
              </w:rPr>
            </w:pPr>
          </w:p>
        </w:tc>
        <w:tc>
          <w:tcPr>
            <w:tcW w:w="9200" w:type="dxa"/>
            <w:vAlign w:val="bottom"/>
            <w:gridSpan w:val="22"/>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740" w:type="dxa"/>
            <w:vAlign w:val="bottom"/>
            <w:gridSpan w:val="3"/>
            <w:shd w:val="clear" w:color="auto" w:fill="CCEEFF"/>
          </w:tcPr>
          <w:p>
            <w:pPr>
              <w:spacing w:after="0"/>
              <w:rPr>
                <w:sz w:val="17"/>
                <w:szCs w:val="17"/>
                <w:color w:val="auto"/>
              </w:rPr>
            </w:pPr>
          </w:p>
        </w:tc>
        <w:tc>
          <w:tcPr>
            <w:tcW w:w="74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Properties</w:t>
              </w:r>
            </w:hyperlink>
          </w:p>
        </w:tc>
        <w:tc>
          <w:tcPr>
            <w:tcW w:w="8460" w:type="dxa"/>
            <w:vAlign w:val="bottom"/>
            <w:gridSpan w:val="20"/>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27</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740" w:type="dxa"/>
            <w:vAlign w:val="bottom"/>
            <w:gridSpan w:val="3"/>
          </w:tcPr>
          <w:p>
            <w:pPr>
              <w:spacing w:after="0"/>
              <w:rPr>
                <w:sz w:val="17"/>
                <w:szCs w:val="17"/>
                <w:color w:val="auto"/>
              </w:rPr>
            </w:pPr>
          </w:p>
        </w:tc>
        <w:tc>
          <w:tcPr>
            <w:tcW w:w="9200" w:type="dxa"/>
            <w:vAlign w:val="bottom"/>
            <w:gridSpan w:val="22"/>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320" w:type="dxa"/>
            <w:vAlign w:val="bottom"/>
            <w:shd w:val="clear" w:color="auto" w:fill="CCEEFF"/>
          </w:tcPr>
          <w:p>
            <w:pPr>
              <w:spacing w:after="0"/>
              <w:rPr>
                <w:sz w:val="21"/>
                <w:szCs w:val="21"/>
                <w:color w:val="auto"/>
              </w:rPr>
            </w:pPr>
          </w:p>
        </w:tc>
      </w:tr>
      <w:tr>
        <w:trPr>
          <w:trHeight w:val="297"/>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Related Security Holder Matters and Issuer Purchases of Equity Securities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740" w:type="dxa"/>
            <w:vAlign w:val="bottom"/>
            <w:gridSpan w:val="3"/>
            <w:shd w:val="clear" w:color="auto" w:fill="CCEEFF"/>
          </w:tcPr>
          <w:p>
            <w:pPr>
              <w:spacing w:after="0"/>
              <w:rPr>
                <w:sz w:val="17"/>
                <w:szCs w:val="17"/>
                <w:color w:val="auto"/>
              </w:rPr>
            </w:pP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7480" w:type="dxa"/>
            <w:vAlign w:val="bottom"/>
            <w:gridSpan w:val="15"/>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31</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7.</w:t>
              </w:r>
            </w:hyperlink>
          </w:p>
        </w:tc>
        <w:tc>
          <w:tcPr>
            <w:tcW w:w="740" w:type="dxa"/>
            <w:vAlign w:val="bottom"/>
            <w:gridSpan w:val="3"/>
          </w:tcPr>
          <w:p>
            <w:pPr>
              <w:spacing w:after="0"/>
              <w:rPr>
                <w:sz w:val="17"/>
                <w:szCs w:val="17"/>
                <w:color w:val="auto"/>
              </w:rPr>
            </w:pPr>
          </w:p>
        </w:tc>
        <w:tc>
          <w:tcPr>
            <w:tcW w:w="9200" w:type="dxa"/>
            <w:vAlign w:val="bottom"/>
            <w:gridSpan w:val="22"/>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7A.</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8.</w:t>
              </w:r>
            </w:hyperlink>
          </w:p>
        </w:tc>
        <w:tc>
          <w:tcPr>
            <w:tcW w:w="620" w:type="dxa"/>
            <w:vAlign w:val="bottom"/>
          </w:tcPr>
          <w:p>
            <w:pPr>
              <w:spacing w:after="0"/>
              <w:rPr>
                <w:sz w:val="17"/>
                <w:szCs w:val="17"/>
                <w:color w:val="auto"/>
              </w:rPr>
            </w:pPr>
          </w:p>
        </w:tc>
        <w:tc>
          <w:tcPr>
            <w:tcW w:w="4320" w:type="dxa"/>
            <w:vAlign w:val="bottom"/>
            <w:gridSpan w:val="16"/>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488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jc w:val="center"/>
              <w:ind w:right="40"/>
              <w:spacing w:after="0"/>
              <w:rPr>
                <w:rFonts w:ascii="Arial" w:cs="Arial" w:eastAsia="Arial" w:hAnsi="Arial"/>
                <w:sz w:val="17"/>
                <w:szCs w:val="17"/>
                <w:color w:val="0000EE"/>
                <w:w w:val="73"/>
              </w:rPr>
            </w:pPr>
            <w:hyperlink w:anchor="page60">
              <w:r>
                <w:rPr>
                  <w:rFonts w:ascii="Arial" w:cs="Arial" w:eastAsia="Arial" w:hAnsi="Arial"/>
                  <w:sz w:val="17"/>
                  <w:szCs w:val="17"/>
                  <w:color w:val="0000EE"/>
                  <w:w w:val="73"/>
                </w:rPr>
                <w:t>58</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Item 9.</w:t>
              </w:r>
            </w:hyperlink>
          </w:p>
        </w:tc>
        <w:tc>
          <w:tcPr>
            <w:tcW w:w="740" w:type="dxa"/>
            <w:vAlign w:val="bottom"/>
            <w:gridSpan w:val="3"/>
            <w:shd w:val="clear" w:color="auto" w:fill="CCEEFF"/>
          </w:tcPr>
          <w:p>
            <w:pPr>
              <w:spacing w:after="0"/>
              <w:rPr>
                <w:sz w:val="17"/>
                <w:szCs w:val="17"/>
                <w:color w:val="auto"/>
              </w:rPr>
            </w:pPr>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125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Item 9A.</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Controls and Procedures</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125</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Item 9B.</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Other Information</w:t>
              </w:r>
            </w:hyperlink>
          </w:p>
        </w:tc>
        <w:tc>
          <w:tcPr>
            <w:tcW w:w="90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30">
              <w:r>
                <w:rPr>
                  <w:rFonts w:ascii="Arial" w:cs="Arial" w:eastAsia="Arial" w:hAnsi="Arial"/>
                  <w:sz w:val="18"/>
                  <w:szCs w:val="18"/>
                  <w:color w:val="0000EE"/>
                  <w:w w:val="86"/>
                </w:rPr>
                <w:t>127</w:t>
              </w:r>
            </w:hyperlink>
          </w:p>
        </w:tc>
      </w:tr>
      <w:tr>
        <w:trPr>
          <w:trHeight w:val="297"/>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Item 10.</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Directors, Executive Officers and Corporate Governance</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31">
              <w:r>
                <w:rPr>
                  <w:rFonts w:ascii="Arial" w:cs="Arial" w:eastAsia="Arial" w:hAnsi="Arial"/>
                  <w:sz w:val="18"/>
                  <w:szCs w:val="18"/>
                  <w:color w:val="0000EE"/>
                  <w:w w:val="86"/>
                </w:rPr>
                <w:t>128</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Item 11.</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Executive Compensation</w:t>
              </w:r>
            </w:hyperlink>
          </w:p>
        </w:tc>
        <w:tc>
          <w:tcPr>
            <w:tcW w:w="90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39">
              <w:r>
                <w:rPr>
                  <w:rFonts w:ascii="Arial" w:cs="Arial" w:eastAsia="Arial" w:hAnsi="Arial"/>
                  <w:sz w:val="18"/>
                  <w:szCs w:val="18"/>
                  <w:color w:val="0000EE"/>
                </w:rPr>
                <w:t>Item 12.</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39">
              <w:r>
                <w:rPr>
                  <w:rFonts w:ascii="Arial" w:cs="Arial" w:eastAsia="Arial" w:hAnsi="Arial"/>
                  <w:sz w:val="18"/>
                  <w:szCs w:val="18"/>
                  <w:color w:val="0000EE"/>
                </w:rPr>
                <w:t>Security Ownership of Certain Beneficial Owners and Management and Related Security Holder Matters</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39">
              <w:r>
                <w:rPr>
                  <w:rFonts w:ascii="Arial" w:cs="Arial" w:eastAsia="Arial" w:hAnsi="Arial"/>
                  <w:sz w:val="18"/>
                  <w:szCs w:val="18"/>
                  <w:color w:val="0000EE"/>
                  <w:w w:val="86"/>
                </w:rPr>
                <w:t>136</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41">
              <w:r>
                <w:rPr>
                  <w:rFonts w:ascii="Arial" w:cs="Arial" w:eastAsia="Arial" w:hAnsi="Arial"/>
                  <w:sz w:val="18"/>
                  <w:szCs w:val="18"/>
                  <w:color w:val="0000EE"/>
                </w:rPr>
                <w:t>Item 13.</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41">
              <w:r>
                <w:rPr>
                  <w:rFonts w:ascii="Arial" w:cs="Arial" w:eastAsia="Arial" w:hAnsi="Arial"/>
                  <w:sz w:val="18"/>
                  <w:szCs w:val="18"/>
                  <w:color w:val="0000EE"/>
                </w:rPr>
                <w:t>Certain Relationships and Related Transactions, and Director Independence</w:t>
              </w:r>
            </w:hyperlink>
          </w:p>
        </w:tc>
        <w:tc>
          <w:tcPr>
            <w:tcW w:w="90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41">
              <w:r>
                <w:rPr>
                  <w:rFonts w:ascii="Arial" w:cs="Arial" w:eastAsia="Arial" w:hAnsi="Arial"/>
                  <w:sz w:val="18"/>
                  <w:szCs w:val="18"/>
                  <w:color w:val="0000EE"/>
                  <w:w w:val="86"/>
                </w:rPr>
                <w:t>138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Item 14.</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Principal Accountant Fees and Services</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45">
              <w:r>
                <w:rPr>
                  <w:rFonts w:ascii="Arial" w:cs="Arial" w:eastAsia="Arial" w:hAnsi="Arial"/>
                  <w:sz w:val="18"/>
                  <w:szCs w:val="18"/>
                  <w:color w:val="0000EE"/>
                  <w:w w:val="86"/>
                </w:rPr>
                <w:t>142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97"/>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10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98"/>
              </w:rPr>
              <w:t>PART IV</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Item 15.</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Exhibits and Financial Statement Schedules</w:t>
              </w:r>
            </w:hyperlink>
          </w:p>
        </w:tc>
        <w:tc>
          <w:tcPr>
            <w:tcW w:w="90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46">
              <w:r>
                <w:rPr>
                  <w:rFonts w:ascii="Arial" w:cs="Arial" w:eastAsia="Arial" w:hAnsi="Arial"/>
                  <w:sz w:val="18"/>
                  <w:szCs w:val="18"/>
                  <w:color w:val="0000EE"/>
                  <w:w w:val="86"/>
                </w:rPr>
                <w:t>143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Item 16.</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Form 10-K Summary</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46">
              <w:r>
                <w:rPr>
                  <w:rFonts w:ascii="Arial" w:cs="Arial" w:eastAsia="Arial" w:hAnsi="Arial"/>
                  <w:sz w:val="18"/>
                  <w:szCs w:val="18"/>
                  <w:color w:val="0000EE"/>
                  <w:w w:val="86"/>
                </w:rPr>
                <w:t>143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This Annual Report on Form 10-K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indirectly owned and controlled by Mr. Carl C. Icahn, owns a 1% general partner interest in each of Icahn Enterprises and Icahn Enterprises Holdings as of December 31, 2017.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the allocation of the general partner interest, which is reflected as an aggregate 1.99% general partner interest in the financial statements of Icahn Enterprises. Mr. Icahn and his affiliates owned approximately 91.0% of Icahn Enterprises' outstanding depositary units as of March 1, 2018.</w:t>
      </w:r>
    </w:p>
    <w:p>
      <w:pPr>
        <w:spacing w:after="0" w:line="70"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We conduct our activities in a manner so as not to be deemed an investment company under the Investment Company Act of 1940, as amended ("Investment Company Act"). Generally, this means that we do not invest or intend to invest in securities as our primary business and that no more than 40% of our total assets will be invested in investment securities as such term is defined in the Investment Company Act. In addition, we intend to structure our investments so as to continue to be taxed as a partnership rather than as a corporation under the applicable publicly traded partnership rules of the Internal Revenue Code of 1986, as amended.</w:t>
      </w:r>
    </w:p>
    <w:p>
      <w:pPr>
        <w:spacing w:after="0" w:line="80" w:lineRule="exact"/>
        <w:rPr>
          <w:sz w:val="20"/>
          <w:szCs w:val="20"/>
          <w:color w:val="auto"/>
        </w:rPr>
      </w:pPr>
    </w:p>
    <w:p>
      <w:pPr>
        <w:jc w:val="both"/>
        <w:ind w:right="180" w:firstLine="378"/>
        <w:spacing w:after="0" w:line="264"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family members.</w:t>
      </w:r>
    </w:p>
    <w:p>
      <w:pPr>
        <w:spacing w:after="0" w:line="73"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231F20"/>
        </w:rPr>
        <w:t>We are a diversified holding company owning subsidiaries engaged in the following operating businesses: Investment, Automotive, Energy, Railcar, Gaming, Metals, Mining, Food Packaging, Real Estate and Home Fashion, as discussed further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Core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Icahn Strategy</w:t>
      </w:r>
    </w:p>
    <w:p>
      <w:pPr>
        <w:spacing w:after="0" w:line="117" w:lineRule="exact"/>
        <w:rPr>
          <w:sz w:val="20"/>
          <w:szCs w:val="20"/>
          <w:color w:val="auto"/>
        </w:rPr>
      </w:pPr>
    </w:p>
    <w:p>
      <w:pPr>
        <w:ind w:right="120" w:firstLine="378"/>
        <w:spacing w:after="0" w:line="273" w:lineRule="auto"/>
        <w:rPr>
          <w:sz w:val="20"/>
          <w:szCs w:val="20"/>
          <w:color w:val="auto"/>
        </w:rPr>
      </w:pPr>
      <w:r>
        <w:rPr>
          <w:rFonts w:ascii="Arial" w:cs="Arial" w:eastAsia="Arial" w:hAnsi="Arial"/>
          <w:sz w:val="17"/>
          <w:szCs w:val="17"/>
          <w:color w:val="auto"/>
        </w:rPr>
        <w:t xml:space="preserve">Across </w:t>
      </w:r>
      <w:r>
        <w:rPr>
          <w:rFonts w:ascii="Arial" w:cs="Arial" w:eastAsia="Arial" w:hAnsi="Arial"/>
          <w:sz w:val="17"/>
          <w:szCs w:val="17"/>
          <w:color w:val="231F20"/>
        </w:rPr>
        <w:t>all of our businesses, our success is based on a simple formula: we seek to find undervalued companies in the Graham &amp; Dodd tradition, a</w:t>
      </w:r>
      <w:r>
        <w:rPr>
          <w:rFonts w:ascii="Arial" w:cs="Arial" w:eastAsia="Arial" w:hAnsi="Arial"/>
          <w:sz w:val="17"/>
          <w:szCs w:val="17"/>
          <w:color w:val="auto"/>
        </w:rPr>
        <w:t xml:space="preserve"> </w:t>
      </w:r>
      <w:r>
        <w:rPr>
          <w:rFonts w:ascii="Arial" w:cs="Arial" w:eastAsia="Arial" w:hAnsi="Arial"/>
          <w:sz w:val="17"/>
          <w:szCs w:val="17"/>
          <w:color w:val="231F20"/>
        </w:rPr>
        <w:t>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typically brought about very strong returns over the years.</w:t>
      </w:r>
    </w:p>
    <w:p>
      <w:pPr>
        <w:spacing w:after="0" w:line="70"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Today</w:t>
      </w:r>
      <w:r>
        <w:rPr>
          <w:rFonts w:ascii="Arial" w:cs="Arial" w:eastAsia="Arial" w:hAnsi="Arial"/>
          <w:sz w:val="18"/>
          <w:szCs w:val="18"/>
          <w:color w:val="231F20"/>
        </w:rPr>
        <w:t>, we are a diversified holding company owning subsidiaries engaged in ten diversified reporting segments. As of December 31, 2017, through our</w:t>
      </w:r>
      <w:r>
        <w:rPr>
          <w:rFonts w:ascii="Arial" w:cs="Arial" w:eastAsia="Arial" w:hAnsi="Arial"/>
          <w:sz w:val="18"/>
          <w:szCs w:val="18"/>
          <w:color w:val="auto"/>
        </w:rPr>
        <w:t xml:space="preserve"> </w:t>
      </w:r>
      <w:r>
        <w:rPr>
          <w:rFonts w:ascii="Arial" w:cs="Arial" w:eastAsia="Arial" w:hAnsi="Arial"/>
          <w:sz w:val="18"/>
          <w:szCs w:val="18"/>
          <w:color w:val="231F20"/>
        </w:rPr>
        <w:t>Investment segment, we have significant positions in various investments, which include American International Group, Inc. (AIG), Cheniere Energy Inc. (LNG), Herbalife Ltd. (HLF), Freeport McMoRan Inc. (FCX), Xerox Corporation (XRX), Navistar International Corp. (NAV), Hertz Global Holdings, Inc. (HTZ) and PayPal Holdings, Inc. (PYPL).</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 xml:space="preserve">Several </w:t>
      </w:r>
      <w:r>
        <w:rPr>
          <w:rFonts w:ascii="Arial" w:cs="Arial" w:eastAsia="Arial" w:hAnsi="Arial"/>
          <w:sz w:val="18"/>
          <w:szCs w:val="18"/>
          <w:color w:val="231F20"/>
        </w:rPr>
        <w:t>of our operating businesses started out as investment positions in debt or equity securities, held either directly by us or Mr. Icahn. Those</w:t>
      </w:r>
      <w:r>
        <w:rPr>
          <w:rFonts w:ascii="Arial" w:cs="Arial" w:eastAsia="Arial" w:hAnsi="Arial"/>
          <w:sz w:val="18"/>
          <w:szCs w:val="18"/>
          <w:color w:val="auto"/>
        </w:rPr>
        <w:t xml:space="preserve"> </w:t>
      </w:r>
      <w:r>
        <w:rPr>
          <w:rFonts w:ascii="Arial" w:cs="Arial" w:eastAsia="Arial" w:hAnsi="Arial"/>
          <w:sz w:val="18"/>
          <w:szCs w:val="18"/>
          <w:color w:val="231F20"/>
        </w:rPr>
        <w:t>positions ultimately resulted in control or complete ownership of the target company. For example, in 2012, we acquired a controlling interest in CVR Energy, Inc. (‘‘CVR Energy’’), which started out as a position in our Investment segment and is now an operating subsidiary that comprises our Energy segment. The acquisition of CVR Energy, like our other operating subsidiaries, reflects our opportunistic approach to value creation, through which returns may be obtained by, among other things, promoting change through minority positions at targeted companies in our Investment segment or by acquiring control of those target companies that we believe we could run more profitably ourselves.</w:t>
      </w:r>
    </w:p>
    <w:p>
      <w:pPr>
        <w:spacing w:after="0" w:line="85" w:lineRule="exact"/>
        <w:rPr>
          <w:sz w:val="20"/>
          <w:szCs w:val="20"/>
          <w:color w:val="auto"/>
        </w:rPr>
      </w:pPr>
    </w:p>
    <w:p>
      <w:pPr>
        <w:ind w:right="840" w:firstLine="378"/>
        <w:spacing w:after="0" w:line="277" w:lineRule="auto"/>
        <w:rPr>
          <w:sz w:val="20"/>
          <w:szCs w:val="20"/>
          <w:color w:val="auto"/>
        </w:rPr>
      </w:pPr>
      <w:r>
        <w:rPr>
          <w:rFonts w:ascii="Arial" w:cs="Arial" w:eastAsia="Arial" w:hAnsi="Arial"/>
          <w:sz w:val="18"/>
          <w:szCs w:val="18"/>
          <w:color w:val="auto"/>
        </w:rPr>
        <w:t xml:space="preserve">During </w:t>
      </w:r>
      <w:r>
        <w:rPr>
          <w:rFonts w:ascii="Arial" w:cs="Arial" w:eastAsia="Arial" w:hAnsi="Arial"/>
          <w:sz w:val="18"/>
          <w:szCs w:val="18"/>
          <w:color w:val="231F20"/>
        </w:rPr>
        <w:t>the next several years, we see a favorable opportunity to follow an activist strategy that centers on the purchase of target stock and the</w:t>
      </w:r>
      <w:r>
        <w:rPr>
          <w:rFonts w:ascii="Arial" w:cs="Arial" w:eastAsia="Arial" w:hAnsi="Arial"/>
          <w:sz w:val="18"/>
          <w:szCs w:val="18"/>
          <w:color w:val="auto"/>
        </w:rPr>
        <w:t xml:space="preserve"> </w:t>
      </w:r>
      <w:r>
        <w:rPr>
          <w:rFonts w:ascii="Arial" w:cs="Arial" w:eastAsia="Arial" w:hAnsi="Arial"/>
          <w:sz w:val="18"/>
          <w:szCs w:val="18"/>
          <w:color w:val="231F20"/>
        </w:rPr>
        <w:t>subsequent removal of any barriers that might interfere with a friendly purchase offer from a strong buyer.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231F20"/>
        </w:rPr>
        <w:t>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are often unaccountable and very difficult to remove.</w:t>
      </w:r>
    </w:p>
    <w:p>
      <w:pPr>
        <w:spacing w:after="0" w:line="7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Boards of Directors and Chief Executive Officers ("CEO") to proxy fights, tender offers and acquiring control. We work diligently to enhance value for all shareholders and we believe that the best way to do this is to make underperforming management teams and Boards of Directors accountable or to replace them.</w:t>
      </w:r>
    </w:p>
    <w:p>
      <w:pPr>
        <w:spacing w:after="0" w:line="64"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The Chairman of the Board of Directors of our general partner, Carl C. Icahn, has been an activist investor since 1980. Mr. Icahn believes that the current environment continues to be conducive to activism. Many major companies have substantial amounts of cash. We believe that they are hoarding cash, rather than spending it, because they do not believe investments in their business will translate to earnings.</w:t>
      </w:r>
    </w:p>
    <w:p>
      <w:pPr>
        <w:spacing w:after="0" w:line="73"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We believe that one of the best ways for many cash-rich companies to achieve increased earnings is to use their large amounts of excess cash, together with advantageous borrowing opportunities, to purchase other companies in their industries and take advantage of the meaningful synergies that could result. In our opinion, the CEOs and Boards of Directors of undervalued companies that would be acquisition targets are the major road blocks to this logical use of assets to increase value, because we believe those CEOs and Boards of Directors are not willing to give up their power and perquisites, even if they have done a poor job in administering the companies they have been running. In addition, acquirers are often unwilling to undertake the arduous task of launching a hostile campaign. This is precisely the situation in which we believe a strong activist catalyst is necessary.</w:t>
      </w:r>
    </w:p>
    <w:p>
      <w:pPr>
        <w:spacing w:after="0" w:line="70"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We believe that the activist catalyst adds value because, for companies with strong balance sheets, acquisitions of their weaker industry rivals is often extremely compelling financially. We further believe that there are many transactions that make economic sense, even at a large premium over market. Acquirers can use their excess cash, that is earning a very low return, and/or borrow at the advantageous interest rates now available, to acquire a target company. In either case, an acquirer can add the target company’s earnings and the income from synergies to the acquirer’s bottom line, at a relatively low cost. But for these potential acquirers to act, the target company must be willing to at least entertain an offer. We believe that often the activist can step in and remove the obstacles that a target generally may seek to use to prevent an acquisition.</w:t>
      </w:r>
    </w:p>
    <w:p>
      <w:pPr>
        <w:spacing w:after="0" w:line="70"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It is our belief that our strategy will continue to produce strong results into the future. We believe that the strong cash flow and asset coverage from our operating subsidiaries will allow us to maintain a strong balance sheet and ample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Strengths</w:t>
      </w:r>
    </w:p>
    <w:p>
      <w:pPr>
        <w:spacing w:after="0" w:line="117"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key elements of our business strategy include the following:</w:t>
      </w:r>
    </w:p>
    <w:p>
      <w:pPr>
        <w:spacing w:after="0" w:line="117"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i w:val="1"/>
          <w:iCs w:val="1"/>
          <w:color w:val="auto"/>
        </w:rPr>
        <w:t>Capitalize on Growth Opportunities in our Existing Businesses</w:t>
      </w:r>
      <w:r>
        <w:rPr>
          <w:rFonts w:ascii="Arial" w:cs="Arial" w:eastAsia="Arial" w:hAnsi="Arial"/>
          <w:sz w:val="18"/>
          <w:szCs w:val="18"/>
          <w:color w:val="auto"/>
        </w:rPr>
        <w:t>. We believe that we have developed a strong portfolio of businesses with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We may expand our existing businesses if appropriate opportunities are identified, as well as use our established businesses as a platform for additional acquisitions in the same or related areas.</w:t>
      </w:r>
    </w:p>
    <w:p>
      <w:pPr>
        <w:spacing w:after="0" w:line="73"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i w:val="1"/>
          <w:iCs w:val="1"/>
          <w:color w:val="auto"/>
        </w:rPr>
        <w:t xml:space="preserve">Drive Accountability and Financial Discipline in the Management of our Business. </w:t>
      </w:r>
      <w:r>
        <w:rPr>
          <w:rFonts w:ascii="Arial" w:cs="Arial" w:eastAsia="Arial" w:hAnsi="Arial"/>
          <w:sz w:val="18"/>
          <w:szCs w:val="18"/>
          <w:color w:val="auto"/>
        </w:rPr>
        <w:t>Our CEO is accountable directly to our Board of Directors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including the Chairman, Carl C. Icahn,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its businesses and directly accountable to its board of directors.</w:t>
      </w:r>
    </w:p>
    <w:p>
      <w:pPr>
        <w:spacing w:after="0" w:line="85"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i w:val="1"/>
          <w:iCs w:val="1"/>
          <w:color w:val="auto"/>
        </w:rPr>
        <w:t>Seek to Acquire Undervalued Assets</w:t>
      </w:r>
      <w:r>
        <w:rPr>
          <w:rFonts w:ascii="Arial" w:cs="Arial" w:eastAsia="Arial" w:hAnsi="Arial"/>
          <w:sz w:val="16"/>
          <w:szCs w:val="16"/>
          <w:color w:val="auto"/>
        </w:rPr>
        <w:t>. We intend to continue to make investments in businesses that we believe are undervalued and have potential for</w:t>
      </w:r>
      <w:r>
        <w:rPr>
          <w:rFonts w:ascii="Arial" w:cs="Arial" w:eastAsia="Arial" w:hAnsi="Arial"/>
          <w:sz w:val="16"/>
          <w:szCs w:val="16"/>
          <w:i w:val="1"/>
          <w:iCs w:val="1"/>
          <w:color w:val="auto"/>
        </w:rPr>
        <w:t xml:space="preserve"> </w:t>
      </w:r>
      <w:r>
        <w:rPr>
          <w:rFonts w:ascii="Arial" w:cs="Arial" w:eastAsia="Arial" w:hAnsi="Arial"/>
          <w:sz w:val="16"/>
          <w:szCs w:val="16"/>
          <w:color w:val="auto"/>
        </w:rPr>
        <w:t>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we may establish an ownership position through the purchase of debt or equity securities in the open market or in privately negotiated transactions.</w:t>
      </w:r>
    </w:p>
    <w:p>
      <w:pPr>
        <w:spacing w:after="0" w:line="129" w:lineRule="exact"/>
        <w:rPr>
          <w:sz w:val="20"/>
          <w:szCs w:val="20"/>
          <w:color w:val="auto"/>
        </w:rPr>
      </w:pPr>
    </w:p>
    <w:p>
      <w:pPr>
        <w:jc w:val="both"/>
        <w:ind w:right="120" w:firstLine="378"/>
        <w:spacing w:after="0" w:line="312" w:lineRule="auto"/>
        <w:rPr>
          <w:sz w:val="20"/>
          <w:szCs w:val="20"/>
          <w:color w:val="auto"/>
        </w:rPr>
      </w:pPr>
      <w:r>
        <w:rPr>
          <w:rFonts w:ascii="Arial" w:cs="Arial" w:eastAsia="Arial" w:hAnsi="Arial"/>
          <w:sz w:val="16"/>
          <w:szCs w:val="16"/>
          <w:i w:val="1"/>
          <w:iCs w:val="1"/>
          <w:color w:val="auto"/>
        </w:rPr>
        <w:t xml:space="preserve">Use Activism to Unlock Value. </w:t>
      </w:r>
      <w:r>
        <w:rPr>
          <w:rFonts w:ascii="Arial" w:cs="Arial" w:eastAsia="Arial" w:hAnsi="Arial"/>
          <w:sz w:val="16"/>
          <w:szCs w:val="16"/>
          <w:color w:val="auto"/>
        </w:rPr>
        <w:t>As described above, we become actively involved in companies in which we invest. Such activism may involve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40" w:firstLine="378"/>
        <w:spacing w:after="0" w:line="270" w:lineRule="auto"/>
        <w:rPr>
          <w:sz w:val="20"/>
          <w:szCs w:val="20"/>
          <w:color w:val="auto"/>
        </w:rPr>
      </w:pPr>
      <w:r>
        <w:rPr>
          <w:rFonts w:ascii="Arial" w:cs="Arial" w:eastAsia="Arial" w:hAnsi="Arial"/>
          <w:sz w:val="17"/>
          <w:szCs w:val="17"/>
          <w:color w:val="auto"/>
        </w:rPr>
        <w:t>Icahn Enterprises began as American Real Estate Partners L.P. in 1987 and has grown its portfolio to ten diversified reporting segments, as discussed above. We report segment information based on the various industries in which our businesses operate and the strategies we use to manage them.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Automotive and Energy segments, which together accounted for more than 90% of our consolidated net sales for each of the three years ended December 31, 2017. Our other operating segments' revenues are also derived through various other revenue streams which primarily consists of services, leasing and casino operations. Geographically, the majority of our consolidated revenues are derived from customers in the United States. Our Automotive segment accounts for the significant majority of our consolidated revenues derived from customers outside the United States.</w:t>
      </w:r>
    </w:p>
    <w:p>
      <w:pPr>
        <w:spacing w:after="0" w:line="7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Segment and geographic information for our reporting segments as of December 31, 2017 and 2016 and for each of the three years ended December 31, 2017 is presented in Note 13, “Segment and Geographic Reporting,” to the consolidated financial statements. Certain additional information with respect to our segments is discussed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 owned affiliates are the sole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17"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73"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85"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Investment Funds are often activist investors ready to take the steps necessary to seek to unlock value, including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117"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and by Mr. Icahn and his affiliates.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Affiliate Investments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Icahn Enterprises Holdings and their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right="40" w:firstLine="378"/>
        <w:spacing w:after="0" w:line="312" w:lineRule="auto"/>
        <w:rPr>
          <w:sz w:val="20"/>
          <w:szCs w:val="20"/>
          <w:color w:val="auto"/>
        </w:rPr>
      </w:pPr>
      <w:r>
        <w:rPr>
          <w:rFonts w:ascii="Arial" w:cs="Arial" w:eastAsia="Arial" w:hAnsi="Arial"/>
          <w:sz w:val="16"/>
          <w:szCs w:val="16"/>
          <w:color w:val="auto"/>
        </w:rPr>
        <w:t>We conduct our Automotive segment through our wholly owned subsidiaries Federal-Mogul LLC ("Federal-Mogul") and Icahn Automotive Group LLC ("Icahn Automotive"). Currently, we operate Federal-Mogul independently from Icahn Automotive, however, we generally discuss our automotive businesses together due to the nature of the industry in which they operate and how we manage these businesses in accordance with our investment strategies.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w:t>
      </w:r>
    </w:p>
    <w:p>
      <w:pPr>
        <w:spacing w:after="0" w:line="121" w:lineRule="exact"/>
        <w:rPr>
          <w:sz w:val="20"/>
          <w:szCs w:val="20"/>
          <w:color w:val="auto"/>
        </w:rPr>
      </w:pPr>
    </w:p>
    <w:p>
      <w:pPr>
        <w:ind w:right="160" w:firstLine="378"/>
        <w:spacing w:after="0" w:line="279" w:lineRule="auto"/>
        <w:rPr>
          <w:sz w:val="20"/>
          <w:szCs w:val="20"/>
          <w:color w:val="auto"/>
        </w:rPr>
      </w:pPr>
      <w:r>
        <w:rPr>
          <w:rFonts w:ascii="Arial" w:cs="Arial" w:eastAsia="Arial" w:hAnsi="Arial"/>
          <w:sz w:val="17"/>
          <w:szCs w:val="17"/>
          <w:color w:val="auto"/>
        </w:rPr>
        <w:t>Federal-Mogul is a diversified, global supplier of automotive products to a variety of end markets. In order to improve management's focus for the respective business units, Federal-Mogul is operated with two end-customer focused business units, Powertrain and Motorparts. In January 2017, we increased our ownership in Federal-Mogul from 82% to 100%. In February 2017, Federal-Mogul was converted from a Delaware corporation to a Delaware limited liability company. Prior to this, Federal-Mogul was a majority owned subsidiary of ours with publicly traded common stock.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Services and Customers</w:t>
      </w:r>
    </w:p>
    <w:p>
      <w:pPr>
        <w:spacing w:after="0" w:line="117" w:lineRule="exact"/>
        <w:rPr>
          <w:sz w:val="20"/>
          <w:szCs w:val="20"/>
          <w:color w:val="auto"/>
        </w:rPr>
      </w:pPr>
    </w:p>
    <w:p>
      <w:pPr>
        <w:ind w:right="260" w:firstLine="378"/>
        <w:spacing w:after="0" w:line="259" w:lineRule="auto"/>
        <w:rPr>
          <w:sz w:val="20"/>
          <w:szCs w:val="20"/>
          <w:color w:val="auto"/>
        </w:rPr>
      </w:pPr>
      <w:r>
        <w:rPr>
          <w:rFonts w:ascii="Arial" w:cs="Arial" w:eastAsia="Arial" w:hAnsi="Arial"/>
          <w:sz w:val="18"/>
          <w:szCs w:val="18"/>
          <w:color w:val="auto"/>
        </w:rPr>
        <w:t>Federal-Mogul is engaged in the manufacture and distribution of automotive parts. Federal-Mogul's Powertrain business unit focuses on original equipment powertrain products for automotive, heavy-duty and industrial applications, while its Motorparts business unit sells and distributes a broad portfolio of products in the global vehicle aftermarket, while also serving original equipment manufacturers with vehicle products including brakes, wipers and, to a limited extent, chassis components.</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Federal-Mogul's customers consist of automotive light vehicle, medium and heavy-duty commercial vehicle manufacturers as well as agricultural, off-highway, marine, railroad, aerospace, high-performance, power generation and industrial application manufacturers. Federal-Mogul's aftermarket customers include independent warehouse distributors that redistribute products to local parts suppliers, distributors, engine rebuilders, retail parts stores, mass merchants and service chains.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global vehicular parts business is highly competitive. Federal-Mogul competes with many independent manufacturers and distributors of component parts globally. In general, competition for sales is based on price, product quality, technology, delivery, customer service and the breadth of products offered by a given supplier. Federal-Mogul is meeting these competitive challenges by developing leading technologies, efficiently integrating and expanding its manufacturing and distribution operations, widening its product coverage within its core businesses, restructuring its operations and transferring production to best cost countries, and utilizing its worldwide technical centers to develop and provide value-added solutions to its customers.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Federal-Mogul’s research and development activities are conducted at its technical centers located in the United States and internationally. Each of Federal-Mogul's business units is engaged in engineering and research and development efforts and works closely with customers to develop custom solutions to meet their needs. Total expenditures for research and development activities, including product engineering and validation costs, were $195 million, $192 million and $189 million for the years ended December 31, 2017, 2016 and 2015,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Federal-Mogul holds in excess of 6,500 patents and patent applications on a worldwide basis, of which more than 1,200 have been filed in the United States. Of the approximately 6,500 patents and patent applications, approximately 30% are in production use and/or are licensed to third parties, and the remaining 70% are being considered for future production use or provide a strategic technological benefit to Federal-Mogul.</w:t>
      </w:r>
    </w:p>
    <w:p>
      <w:pPr>
        <w:spacing w:after="0" w:line="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Federal-Mogul does not materially rely on any single patent, nor will the expiration of any single patent materially affect its business. Federal-Mogul’s current patents expire over various periods into the year 2040. Federal-Mogul is actively introducing and patenting new technology to replace formerly patented technology before the expiration of the existing patents. In the aggregate,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Federal-Mogul’s worldwide patent portfolio is materially important to its business because it enables it to achieve technological differentiation from its competitors.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 also maintains more than 6,600 active trademark registrations and applications worldwide.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 and Suppliers</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Federal-Mogul purchases various raw materials and component parts for use in its manufacturing processes, including ferrous and non-ferrous metals, non-metallic raw materials, stampings, castings and forgings. Federal-Mogul has not experienced any significant shortages of raw materials, components or finished parts and normally does not carry inventories of raw materials or finished parts in excess of those reasonably required to meet its production and shipping schedules. Federal-Mogul, along with Icahn Automotive, also purchases parts manufactured by other manufacturers for sale in the aftermarket.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Federal-Mogul's operations, consistent with those of the manufacturing sector in general, are subject to numerous existing and proposed laws and governmental regulations designed to protect the environment, particularly regarding plant wastes and emissions and solid waste disposal. Capital expenditures for property, plant and equipment for environmental control activities did not have a material impact on Federal-Mogul's financial position or cash flows in 2017 and are not expected to have a material impact on its financial position or cash flows in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Icahn Automotive</w:t>
      </w:r>
    </w:p>
    <w:p>
      <w:pPr>
        <w:spacing w:after="0" w:line="9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Icahn Automotive is a wholly owned subsidiary formed by us to invest in and operate businesses involved in automotive repair and maintenance services as well as the distribution and sale of automotive aftermarket parts and accessories to end-user do-it-yourself customers, wholesale distributors, and professional auto mechanics. Icahn Automotive acquired IEH Auto Parts Holding LLC ("IEH Auto") in 2015, The Pep Boys - Manny, Moe &amp; Jack ("Pep Boys") in 2016, the franchise businesses of Precision Tune Auto Care ("Precision Tune") and American Driveline Systems, the franchisor of AAMCO and Cottman Transmission service centers ("American Driveline"), in 2017, and various other businesses in recent years.</w:t>
      </w:r>
    </w:p>
    <w:p>
      <w:pPr>
        <w:spacing w:after="0" w:line="3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Icahn Automotive operates in a highly competitive environment. Icahn Automotive's competitors for automotive service include national and regional chains, automotive dealerships, and local independent service providers. Its competitors for distribution and sales of auto parts and accessories include general, full range and discount retailers, national and regional auto parts retailers, and online retailers which carry automotive parts and accessories. Icahn Automotive believes that its operations in both do-it-for-me and do-it-yourself differentiates it from most of their competitors.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40" w:firstLine="378"/>
        <w:spacing w:after="0" w:line="286" w:lineRule="auto"/>
        <w:rPr>
          <w:sz w:val="20"/>
          <w:szCs w:val="20"/>
          <w:color w:val="auto"/>
        </w:rPr>
      </w:pPr>
      <w:r>
        <w:rPr>
          <w:rFonts w:ascii="Arial" w:cs="Arial" w:eastAsia="Arial" w:hAnsi="Arial"/>
          <w:sz w:val="17"/>
          <w:szCs w:val="17"/>
          <w:color w:val="auto"/>
        </w:rPr>
        <w:t>We conduct our Energy segment through our majority ownership in CVR Energy. CVR Energy is a reporting company under the Exchange Act and files annual, quarterly and current reports, proxy statements and other information with the Securities and Exchange Commission ("SEC") that are publicly available. As of December 31, 2017, we owned 82.0% of the total outstanding common stock of CVR Energy.</w:t>
      </w:r>
    </w:p>
    <w:p>
      <w:pPr>
        <w:spacing w:after="0" w:line="5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CVR Energy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("UAN") and ammonia. CVR Energy has a general partner interest in CVR Refining and CVR Partners and also owns approximately 66.0% of the outstanding common units of CVR Refining and 34.0% of the outstanding common units of CVR Partners as of December 31, 2017. In addition, we directly owned approximately 3.9% of the total outstanding common units of CVR Refining as of December 31, 2017.</w:t>
      </w:r>
    </w:p>
    <w:p>
      <w:pPr>
        <w:spacing w:after="0" w:line="70"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On August 2, 2016, we sold 250,000 common units of CVR Refining. As a result of this transaction, we and our affiliates collectively own 69.99% of CVR Refining. Pursuant to CVR Refining’s partnership agreement, in certain circumstances, the general partner of CVR Refining has the right to purchase all, but not less than all, of CVR Refining's common units held by unaffiliated unit holders at a price not less than their then-current market price, as calculated pursuant to the terms of such partnership agreement (the “CVR Refining Call Right”). Pursuant to the terms of the partnership agreement, because our holdings were reduced to less than 70.0%, the ownership threshold for the application of such CVR Refining Call Right was permanently reduced from 95% to 80%. Accordingly, if at any time the general partner of CVR Refining and its affiliates owns more than 80% of CVR Refining's common units, it will have the right, but not the obligation, to exercise such CVR Refining Call Right.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Raw Materials and Supply</w:t>
      </w:r>
    </w:p>
    <w:p>
      <w:pPr>
        <w:spacing w:after="0" w:line="117" w:lineRule="exact"/>
        <w:rPr>
          <w:sz w:val="20"/>
          <w:szCs w:val="20"/>
          <w:color w:val="auto"/>
        </w:rPr>
      </w:pPr>
    </w:p>
    <w:p>
      <w:pPr>
        <w:ind w:right="700" w:firstLine="378"/>
        <w:spacing w:after="0" w:line="277" w:lineRule="auto"/>
        <w:rPr>
          <w:sz w:val="20"/>
          <w:szCs w:val="20"/>
          <w:color w:val="auto"/>
        </w:rPr>
      </w:pPr>
      <w:r>
        <w:rPr>
          <w:rFonts w:ascii="Arial" w:cs="Arial" w:eastAsia="Arial" w:hAnsi="Arial"/>
          <w:sz w:val="18"/>
          <w:szCs w:val="18"/>
          <w:color w:val="auto"/>
        </w:rPr>
        <w:t>CVR Refining has the capability to process a variety of crude oil blends. CVR Refining's oil refineries in Coffeyville, Kansas and Wynnewood, Oklahoma have a combined capacity of approximately 185,000 barrels per calendar day, representing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9" w:right="239" w:bottom="1440" w:gutter="0" w:footer="0" w:header="0"/>
        </w:sectPr>
      </w:pPr>
    </w:p>
    <w:bookmarkStart w:id="8" w:name="page9"/>
    <w:bookmarkEnd w:id="8"/>
    <w:p>
      <w:pPr>
        <w:jc w:val="both"/>
        <w:ind w:right="280"/>
        <w:spacing w:after="0" w:line="264" w:lineRule="auto"/>
        <w:rPr>
          <w:sz w:val="20"/>
          <w:szCs w:val="20"/>
          <w:color w:val="auto"/>
        </w:rPr>
      </w:pPr>
      <w:r>
        <w:rPr>
          <w:rFonts w:ascii="Arial" w:cs="Arial" w:eastAsia="Arial" w:hAnsi="Arial"/>
          <w:sz w:val="18"/>
          <w:szCs w:val="18"/>
          <w:color w:val="auto"/>
        </w:rPr>
        <w:t>approximately 23% of the region's refining capacity. Crude oil is supplied to its refineries through a wholly-owned gathering system and by owned, leased and joint venture pipelines. Petroleum refining product yield includes gasoline, diesel fuel, pet coke and other refined products such as natural gas liquids, asphalt and jet fuel among other products.</w:t>
      </w:r>
    </w:p>
    <w:p>
      <w:pPr>
        <w:spacing w:after="0" w:line="73"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CVR Partners produces and distributes nitrogen fertilizer products, which are used primarily by farmers to improve the yield and quality of their crops. The principal products are UAN and ammonia. CVR Partners' Coffeyville, Kansas facility uses pet coke to produce nitrogen fertilizer and is supplied primarily by its adjacent crude oil refinery pursuant to a renewable long-term agreement with CVR Refining.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 Natural Gas interstate pipeline system, which is within one mile of the facility, and the ANR Pipeline Company pipeline.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Marketing and Distribution</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Customers for CVR Refining's products primarily include retailers, railroads, and farm cooperatives and other refiners/marketers in Group 3 of the PADD II region because of their relative proximity to the refineries and pipeline access. CVR Refining sells bulk products to long-standing customers at spot market prices based on a Group 3 basis differential to prices quoted on the New York Mercantile Exchange, which are reported by industry market-related indices such as Platts and Oil Price Information Service. CVR Refining's rack sales are at posted prices that are influenced by competitor pricing and Group 3 spot market differentials. Additionally, CVR Refining supplies jet fuel to the U.S. Department of Defense. For the year ended December 31, 2017, one customer accounted for approximately 19% of CVR Refining's net sales and approximately 52% of CVR Refining's net sales were made to its ten largest customers.</w:t>
      </w:r>
    </w:p>
    <w:p>
      <w:pPr>
        <w:spacing w:after="0" w:line="81"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CVR Refining sells and distributes directly to its customers by tanker truck and railcar and also at throughput terminals on the refined products distribution systems of Magellan Midstream Partners, L.P. ("Magellan") and NuStar Energy, L.P ("NuStar"). CVR Refining focuses its marketing efforts in the central mid-continent area because of its relative proximity to its refineries and pipeline access and the southern portion of the Magellan system which covers all of Oklahoma, parts of Arkansas as well as eastern Missouri, and all other Magellan terminals. CVR Refining also has access to the Rocky Mountain area as well as the Texas markets and some adjoining states with pipeline connections. CVR Refining also makes bulk sales (sales into third-party pipelines) into the mid-continent markets and other destinations utilizing the product pipeline networks owned by Magellan, Enterprise Products Partners, L.P. and NuStar. The outbound Enterprise Pipeline Red Line provides CVR Refining with access to the NuStar Refined Products Pipeline system. This allows gasoline and ultra-low sulfur diesel product sales from Kansas up into North Dakota.</w:t>
      </w:r>
    </w:p>
    <w:p>
      <w:pPr>
        <w:spacing w:after="0" w:line="71"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CVR Partners sells UAN products to retailers and distributors. In addition, it sells ammonia to agricultural and industrial customers. CVR Partners' primary markets for its products are in Illinois, Iowa, Kansas, Nebraska and Texas. Its products are primarily distributed by truck or by railcar. Given the nature of its business, and consistent with industry practice, CVR Partners does not have long-term minimum purchase contracts with most of its agricultural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CVR Energy's petroleum business competes primarily on the basis of price, reliability of supply, availability of multiple grades of products and location. The principal competitive factors affecting its refining operations are cost of crude oil and other feedstock costs, refinery complexity, refinery efficiency, refinery product mix and product distribution and transportation costs. The location of the refineries provides the petroleum business with a reliable supply of crude oil and a transportation cost advantage over its competitors. The petroleum business primarily competes against five refineries operated in the mid-continent region. In addition to these refineries, the refineries compete against trading companies, as well as other refineries located outside the region that are linked to the mid-continent market through an extensive product pipeline system. These competitors include refineries located near the Gulf Coast and the Texas panhandle region. The petroleum business refinery competition also includes branded, integrated and independent oil refining companies, such as Phillips 66 Company, HollyFrontier Corporation, CHS Inc., Valero Energy Corporation and Flint Hills Resources LLC.</w:t>
      </w:r>
    </w:p>
    <w:p>
      <w:pPr>
        <w:spacing w:after="0" w:line="58"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nitrogen fertilizer business has experienced, and expect to continue to meet, significant levels of competition from current and potential competitors, many of whom have significantly greater financial and other resources. Competition in the nitrogen fertilizer industry is dominated by price considerations. However, during the spring and fall application seasons, farming activities intensify and delivery capacity is a significant competitive factor. Domestic competition is intense due to customers' sophisticated buying tendencies and competitor strategies that focus on cost and service. The nitrogen fertilizer business also encounters competition from producers of fertilizer products manufactured in foreign countries. In certain cases, foreign producers of fertilizer who export to the United States may be subsidized by their respective governments.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7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Environmental Regulations</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CVR Energy's petroleum and nitrogen fertilizer businesses are subject to extensive and frequently changing federal, state and local, environmental,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These laws and regulations, their underlying regulatory requirements and the enforcement thereof impact the petroleum business and operations and the nitrogen fertilizer business and operations by imposing:</w:t>
      </w:r>
    </w:p>
    <w:p>
      <w:pPr>
        <w:spacing w:after="0" w:line="80" w:lineRule="exact"/>
        <w:rPr>
          <w:sz w:val="20"/>
          <w:szCs w:val="20"/>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operations or the need to install enhanced or additional controls;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need to obtain and comply with permits, licenses and authorizations;</w:t>
      </w:r>
    </w:p>
    <w:p>
      <w:pPr>
        <w:spacing w:after="0" w:line="117" w:lineRule="exact"/>
        <w:rPr>
          <w:rFonts w:ascii="Arial" w:cs="Arial" w:eastAsia="Arial" w:hAnsi="Arial"/>
          <w:sz w:val="18"/>
          <w:szCs w:val="18"/>
          <w:color w:val="auto"/>
        </w:rPr>
      </w:pPr>
    </w:p>
    <w:p>
      <w:pPr>
        <w:ind w:left="660" w:right="30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liability for the investigation and remediation of contaminated soil and groundwater at current and former facilities (if any) and for off-site waste disposal locations; and</w:t>
      </w:r>
    </w:p>
    <w:p>
      <w:pPr>
        <w:spacing w:after="0" w:line="62"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specifications for the products marketed by the petroleum business and the nitrogen fertilizer business, primarily gasoline, diesel fuel, UAN and ammonia.</w:t>
      </w:r>
    </w:p>
    <w:p>
      <w:pPr>
        <w:spacing w:after="0" w:line="62"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CVR Energy's operations require numerous permits, licenses and authorizations. Failure to comply with these permits or environmental laws and regulations could result in fines, penalties or other sanctions or a revocation of CVR Energy's permits. In addition, the laws and regulations to which CVR Energy is subject to are often evolving and many of them have become more stringent or have become subject to more stringent interpretation or enforcement by federal or state agencies. These laws and regulations could result in increased capital, operating and compliance costs.</w:t>
      </w:r>
    </w:p>
    <w:p>
      <w:pPr>
        <w:spacing w:after="0" w:line="63"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CVR Energy's businesses are also subject to, or impacted by, various other environmental laws and regulations such as the federal Clean Air Act, the federal Clean Water Act, release reporting requirements relating to the release of hazardous substances into the environment, certain fuel regulations, renewable fuel standards, as discussed below, and various other laws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Fuel Standards</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CVR Refining is subject to the Renewable Fuel Standard which requires refiners to either blend "renewable fuels" with their transportation fuels or purchase renewable fuel credits, known as renewable identification numbers (“RINs”), in lieu of blending. See Item 1A, "Risk Factors" and Note 17, "Commitments and Contingencies," to the consolidated financial statements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Health and Security Matters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CVR Energy is subject to a number of federal and state laws and regulations related to safety, including the Occupational Safety and Health Act ("OSHA") and comparable state statutes, the purpose of which are to protect the health and safety of workers. CVR Energy is also subject to OSHA Process Safety Management regulations, which are designed to prevent or minimize the consequences of catastrophic releases of toxic, reactive, flammable or explosive chemicals.</w:t>
      </w:r>
    </w:p>
    <w:p>
      <w:pPr>
        <w:spacing w:after="0" w:line="7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CVR Energy operates a comprehensive safety, health and security program, with participation by employees at all levels of the organization. They have developed comprehensive safety programs aimed at preventing OSHA recordable incidents. Despite CVR Energy's efforts to achieve excellence in its safety and health performance, there can be no assurances that there will not be accidents resulting in injuries or even fatalities. CVR Energy routinely audits its programs and considers improvements in its management systems.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60" w:firstLine="378"/>
        <w:spacing w:after="0" w:line="259" w:lineRule="auto"/>
        <w:rPr>
          <w:sz w:val="20"/>
          <w:szCs w:val="20"/>
          <w:color w:val="auto"/>
        </w:rPr>
      </w:pPr>
      <w:r>
        <w:rPr>
          <w:rFonts w:ascii="Arial" w:cs="Arial" w:eastAsia="Arial" w:hAnsi="Arial"/>
          <w:sz w:val="18"/>
          <w:szCs w:val="18"/>
          <w:color w:val="auto"/>
        </w:rPr>
        <w:t>We conduct our Railcar segment through our majority ownership interest in American Railcar Industries, Inc. ("ARI") and, prior to June 1, 2017, our wholly owned subsidiary American Railcar Leasing, LLC ("ARL"). As of December 31, 2017, we owned approximately 62.2% of the total outstanding common stock of ARI. ARI is a reporting company under the Exchange Act and files annual, quarterly and current reports, proxy statements and other information with the SEC that is publicly available. As discussed below, we sold ARL during 2017.</w:t>
      </w:r>
    </w:p>
    <w:p>
      <w:pPr>
        <w:spacing w:after="0" w:line="79" w:lineRule="exact"/>
        <w:rPr>
          <w:sz w:val="20"/>
          <w:szCs w:val="20"/>
          <w:color w:val="auto"/>
        </w:rPr>
      </w:pPr>
    </w:p>
    <w:p>
      <w:pPr>
        <w:ind w:right="160" w:firstLine="378"/>
        <w:spacing w:after="0" w:line="342" w:lineRule="auto"/>
        <w:rPr>
          <w:sz w:val="20"/>
          <w:szCs w:val="20"/>
          <w:color w:val="auto"/>
        </w:rPr>
      </w:pPr>
      <w:r>
        <w:rPr>
          <w:rFonts w:ascii="Arial" w:cs="Arial" w:eastAsia="Arial" w:hAnsi="Arial"/>
          <w:sz w:val="16"/>
          <w:szCs w:val="16"/>
          <w:color w:val="auto"/>
        </w:rPr>
        <w:t>ARI is a prominent North American designer and manufacturer of hopper and tank railcars that provides its railcar customers with integrated solutions through a comprehensive set of high-quality products and related services through its railcar manufacturing, railcar leasing and railcar repair operations.</w:t>
      </w:r>
    </w:p>
    <w:p>
      <w:pPr>
        <w:spacing w:after="0" w:line="16" w:lineRule="exact"/>
        <w:rPr>
          <w:sz w:val="20"/>
          <w:szCs w:val="20"/>
          <w:color w:val="auto"/>
        </w:rPr>
      </w:pPr>
    </w:p>
    <w:p>
      <w:pPr>
        <w:ind w:right="200" w:firstLine="378"/>
        <w:spacing w:after="0" w:line="312" w:lineRule="auto"/>
        <w:rPr>
          <w:sz w:val="20"/>
          <w:szCs w:val="20"/>
          <w:color w:val="auto"/>
        </w:rPr>
      </w:pPr>
      <w:r>
        <w:rPr>
          <w:rFonts w:ascii="Arial" w:cs="Arial" w:eastAsia="Arial" w:hAnsi="Arial"/>
          <w:sz w:val="16"/>
          <w:szCs w:val="16"/>
          <w:color w:val="auto"/>
        </w:rPr>
        <w:t>ARI sells and markets its products and services in North America. ARI's primary customers include those that use railcars for freight transport, or shippers, leasing companies, industrial companies and Class I railroads. For the year ended December 31, 2017, one customer accounted for approximately 15% of ARI's net sales and other revenues from operations and ARI's top ten customers accounted for approximately 59% of such revenues.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76" w:right="279" w:bottom="1440" w:gutter="0" w:footer="0" w:header="0"/>
        </w:sectPr>
      </w:pPr>
    </w:p>
    <w:bookmarkStart w:id="10" w:name="page11"/>
    <w:bookmarkEnd w:id="10"/>
    <w:p>
      <w:pPr>
        <w:ind w:right="680" w:firstLine="405"/>
        <w:spacing w:after="0" w:line="277" w:lineRule="auto"/>
        <w:rPr>
          <w:sz w:val="20"/>
          <w:szCs w:val="20"/>
          <w:color w:val="auto"/>
        </w:rPr>
      </w:pPr>
      <w:r>
        <w:rPr>
          <w:rFonts w:ascii="Arial" w:cs="Arial" w:eastAsia="Arial" w:hAnsi="Arial"/>
          <w:sz w:val="18"/>
          <w:szCs w:val="18"/>
          <w:color w:val="auto"/>
        </w:rPr>
        <w:t>During 2017, we sold ARL and its fleet of more than 34,000 railcars to SMBC Rail Services, LLC ("SMBC Rail") for cash based on a value of approximately $3.3 billion, prior to repaying, or assigning to SMBC Rail, applicable indebtedness of ARL.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industries in which ARI operates are subject to extensive regulation by various governmental, regulatory and industry authorities and by federal, state, local and foreign authorities. The primary regulatory and industry authorities involved in the regulation of the railcar industry in the U.S. and Canada are the Federal Railroad Administration ("FRA"), the Association of American Railroads ("AAR"), U.S. Department of Transportation ("USDOT") and Transport Canada ("TC"). The FRA administers and enforces U.S. Federal laws and regulations relating to railroad safety. These regulations govern equipment and safety compliance standards for railcars and other rail equipment used in interstate commerce. The AAR promulgates a wide variety of rules and regulations governing safety and design of equipment, relationships among railroads with respect to railcars in interchange and other matters. The AAR also certifies railcar manufacturers and component manufacturers that provide equipment for use on railroads in North America. New products must generally undergo AAR testing and approval processes. In addition, their railcar and railcar component manufacturing facilities must be certified annually by the AAR, and products that they sell must meet AAR and FRA standards. ARI must comply with the rules of the USDOT and they are subject to oversight by TC that also requires compliance.</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Future regulatory developments, such as ARI’s failure to achieve, maintain or renew required certifications, new regulations or changes to existing regulations, modified interpretations of existing regulations, enhanced regulatory investigation, stricter regulatory enforcement, or any determination that our processes or products are not in compliance with applicable regulations, could result in increased compliance and other costs, governmental or administrative fines, penalties, or proceedings, private litigation, product recalls, or plant shut-downs, any of which could have a material adverse effect on ARI’s operations, reputation,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We conduct our Gaming segment through our majority ownership in Tropicana Entertainment Inc. ("Tropicana"), and our wholly owned subsidiary, Trump Entertainment Resorts Inc. ("TER") which we acquired out of bankruptcy in 2016. Tropicana is a reporting company under the Exchange Act and files annual, quarterly and current reports, proxy statements and other information with the SEC that are publicly available. During August 2017, we increased our ownership in Tropicana from 72.5% to 83.9% through a tender offer for additional shares of Tropicana common stock not already owned by us.</w:t>
      </w:r>
    </w:p>
    <w:p>
      <w:pPr>
        <w:spacing w:after="0" w:line="46"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Tropicana is an owner and operator of regional casino and entertainment properties located in the United States and one hotel, timeshare and casino resort located on the island of Aruba. TER owned the Trump Taj Mahal Casino Resort, which closed and ceased its casino and hotel operations in October 2016, and was subsequently sold on March 31, 2017. TER also owns Trump Plaza Hotel and Casino, which ceased operations in September 2014, prior to our obtaining a controlling interest in 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and Gaming Regulations</w:t>
      </w:r>
    </w:p>
    <w:p>
      <w:pPr>
        <w:spacing w:after="0" w:line="117"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ownership and operation of our Gaming segment's facilities are subject to the laws and regulations of each of the six states in which it operates as well as in Aruba where Tropicana operates a small casino. Gaming laws generally are based upon declarations of public policy designed to protect gaming consumers and the viability and integrity of the gaming industry. Gaming laws also may be designed to protect and maximize state and local revenues derived through taxes and licensing fees imposed on the gaming industry participants as well as to enhance economic development and tourism. To accomplish these public policy goals, gaming laws establish procedures to ensure that participants in the gaming industry meet certain standards of character and fitness. Typically, a jurisdiction's regulatory environment is established by statute and is administered by a regulatory agency with broad discretion to regulate, among other things, the affairs of owners, managers and persons with financial interests in gaming operations.</w:t>
      </w:r>
    </w:p>
    <w:p>
      <w:pPr>
        <w:spacing w:after="0" w:line="70" w:lineRule="exact"/>
        <w:rPr>
          <w:sz w:val="20"/>
          <w:szCs w:val="20"/>
          <w:color w:val="auto"/>
        </w:rPr>
      </w:pPr>
    </w:p>
    <w:p>
      <w:pPr>
        <w:ind w:right="360" w:firstLine="378"/>
        <w:spacing w:after="0" w:line="286" w:lineRule="auto"/>
        <w:rPr>
          <w:sz w:val="20"/>
          <w:szCs w:val="20"/>
          <w:color w:val="auto"/>
        </w:rPr>
      </w:pPr>
      <w:r>
        <w:rPr>
          <w:rFonts w:ascii="Arial" w:cs="Arial" w:eastAsia="Arial" w:hAnsi="Arial"/>
          <w:sz w:val="17"/>
          <w:szCs w:val="17"/>
          <w:color w:val="auto"/>
        </w:rPr>
        <w:t>Our Gaming segment is also subject to other laws and regulations including, but not limited to, various licensing requirements, reporting and record keeping requirements, findings of suitability, permits and review and approval of certain transactions by appropriate authorities. Changes to laws or regulations, or changes to how laws or regulations are interpreted, may have a material adverse effect on our gaming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20" w:firstLine="378"/>
        <w:spacing w:after="0" w:line="312"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76"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460" w:firstLine="378"/>
        <w:spacing w:after="0" w:line="279" w:lineRule="auto"/>
        <w:rPr>
          <w:sz w:val="20"/>
          <w:szCs w:val="20"/>
          <w:color w:val="auto"/>
        </w:rPr>
      </w:pPr>
      <w:r>
        <w:rPr>
          <w:rFonts w:ascii="Arial" w:cs="Arial" w:eastAsia="Arial" w:hAnsi="Arial"/>
          <w:sz w:val="17"/>
          <w:szCs w:val="17"/>
          <w:color w:val="auto"/>
        </w:rPr>
        <w:t>We conduct our Mining segment through our majority ownership in Ferrous Resources Ltd ("Ferrous Resources"). We obtained control of and consolidated the results of Ferrous Resources during the second quarter of 2015. As of December 31, 2017,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As of December 31, 2017, we owned approximately 74.6% of the total outstanding common stock of Viskase. Viskase is a worldwide leader in the production and sale of cellulosic, fibrous and plastic casings for the processed meat and poultry industry.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Our Real Estate operations consist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as well.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firstLine="378"/>
        <w:spacing w:after="0" w:line="312" w:lineRule="auto"/>
        <w:rPr>
          <w:sz w:val="20"/>
          <w:szCs w:val="20"/>
          <w:color w:val="auto"/>
        </w:rPr>
      </w:pPr>
      <w:r>
        <w:rPr>
          <w:rFonts w:ascii="Arial" w:cs="Arial" w:eastAsia="Arial" w:hAnsi="Arial"/>
          <w:sz w:val="16"/>
          <w:szCs w:val="16"/>
          <w:color w:val="auto"/>
        </w:rPr>
        <w:t>We conduct our Home Fashion segment through our wholly owned subsidiary, WestPoint Home LLC (“WPH”). We acquired a controlling interest in WPH, previously known as WestPoint International, Inc., out of bankruptcy during 2005 and became sole owner of WPH in 2011. WPH's business consists of manufacturing, sourcing, marketing, distributing and selling home fashion consumer products, which primarily include bedding products and towels.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firstLine="378"/>
        <w:spacing w:after="0" w:line="312" w:lineRule="auto"/>
        <w:rPr>
          <w:sz w:val="20"/>
          <w:szCs w:val="20"/>
          <w:color w:val="auto"/>
        </w:rPr>
      </w:pPr>
      <w:r>
        <w:rPr>
          <w:rFonts w:ascii="Arial" w:cs="Arial" w:eastAsia="Arial" w:hAnsi="Arial"/>
          <w:sz w:val="16"/>
          <w:szCs w:val="16"/>
          <w:color w:val="auto"/>
        </w:rPr>
        <w:t>We seek to invest our available cash and cash equivalents in liquid investments with a view to enhancing returns as we continue to assess further acquisitions of, or investments in, operating businesses. As of December 31, 2017, we had investments with a fair market value of approximately $3.0 billion in the Investment Funds. In addition, as of December 31, 2017, our Holding Company had various other investments with a fair market value of $384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We have an aggregate of 34 employees at our Holding Company and Investment segment. Our other reporting segments employ an aggregate of approximately 89,000 employees, of which approximately 81% are employed within our Automotive segment. Approximately 51% of our employees are employed internationally, primarily within our Automotive segment.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 xml:space="preserve">Icahn Enterprises maintains a website at </w:t>
      </w:r>
      <w:r>
        <w:rPr>
          <w:rFonts w:ascii="Arial" w:cs="Arial" w:eastAsia="Arial" w:hAnsi="Arial"/>
          <w:sz w:val="16"/>
          <w:szCs w:val="16"/>
          <w:i w:val="1"/>
          <w:iCs w:val="1"/>
          <w:color w:val="auto"/>
        </w:rPr>
        <w:t>www.ielp.com</w:t>
      </w:r>
      <w:r>
        <w:rPr>
          <w:rFonts w:ascii="Arial" w:cs="Arial" w:eastAsia="Arial" w:hAnsi="Arial"/>
          <w:sz w:val="16"/>
          <w:szCs w:val="16"/>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Investor Relations on our website. In addition, our corporate governance guidelines, including Code of Business Conduct and Ethics and Audit Committee Charter, are available on our website (under Corporate Governance) and are available in print without charge to any stockholder requesting them. You may obtain and copy any document we furnish or file with the SEC at the SEC's public reference room at 100 F Street, NE, Room 1580, Washington, D.C. 20549. You may obtain information on the operation of the SEC's public reference facilities by calling the SEC at 1-800-SEC-0330. The SEC maintains a website that contains reports, information statements, and other information regarding issuers like us who file electronically with the SEC. The SEC's website is located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3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We and our subsidiaries are subject to certain risks and uncertainties which are described below. The risks and uncertainties described below are not the only risks that affect our businesses. Additional risks and uncertainties that are unknown or not deemed significant may also have a negative impact on our businesses.</w:t>
      </w:r>
    </w:p>
    <w:p>
      <w:pPr>
        <w:spacing w:after="0" w:line="1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Relating to Our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and its control person, has significant influence over us.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Icahn Enterprises Holdings, and approximately 91.0% of Icahn Enterprises' outstanding depositary units as of December 31, 2017, and, as a result, has the ability to influence many aspects of our operations and affairs.</w:t>
      </w:r>
    </w:p>
    <w:p>
      <w:pPr>
        <w:spacing w:after="0" w:line="73" w:lineRule="exact"/>
        <w:rPr>
          <w:sz w:val="20"/>
          <w:szCs w:val="20"/>
          <w:color w:val="auto"/>
        </w:rPr>
      </w:pPr>
    </w:p>
    <w:p>
      <w:pPr>
        <w:jc w:val="both"/>
        <w:ind w:right="140" w:firstLine="378"/>
        <w:spacing w:after="0" w:line="259"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Icahn family members. However, there can be no assurance that such planning will be effective.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in the future may engage, in transactions with our affiliates.</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becoming an investment company.</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In addition,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w:t>
      </w:r>
    </w:p>
    <w:p>
      <w:pPr>
        <w:spacing w:after="0" w:line="80"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Registered investment companies are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operate our business, nor are registered investment companies permitted to have many of the relationships that we have with our affiliated companies.</w:t>
      </w:r>
    </w:p>
    <w:p>
      <w:pPr>
        <w:spacing w:after="0" w:line="79"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If it were established that we were an investment company,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structure transactions in a less advantageous manner to avoid becoming subject to the Investment Company Act.</w:t>
      </w:r>
    </w:p>
    <w:p>
      <w:pPr>
        <w:spacing w:after="0" w:line="117" w:lineRule="exact"/>
        <w:rPr>
          <w:sz w:val="20"/>
          <w:szCs w:val="20"/>
          <w:color w:val="auto"/>
        </w:rPr>
      </w:pPr>
    </w:p>
    <w:p>
      <w:pPr>
        <w:ind w:right="180" w:firstLine="378"/>
        <w:spacing w:after="0" w:line="312" w:lineRule="auto"/>
        <w:rPr>
          <w:sz w:val="20"/>
          <w:szCs w:val="20"/>
          <w:color w:val="auto"/>
        </w:rPr>
      </w:pPr>
      <w:r>
        <w:rPr>
          <w:rFonts w:ascii="Arial" w:cs="Arial" w:eastAsia="Arial" w:hAnsi="Arial"/>
          <w:sz w:val="16"/>
          <w:szCs w:val="16"/>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as a corporation if we are no longer treated as a partnership for federal income tax purposes.</w:t>
      </w:r>
    </w:p>
    <w:p>
      <w:pPr>
        <w:spacing w:after="0" w:line="117"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We believe that we have been and are properly treated as a partnership for federal income tax purposes. This allows us to pass through our income and deductions to our partners. However, the Internal Revenue Service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64" w:right="259" w:bottom="1440" w:gutter="0" w:footer="0" w:header="0"/>
        </w:sectPr>
      </w:pPr>
    </w:p>
    <w:bookmarkStart w:id="13" w:name="page14"/>
    <w:bookmarkEnd w:id="13"/>
    <w:p>
      <w:pPr>
        <w:spacing w:after="0" w:line="271" w:lineRule="auto"/>
        <w:rPr>
          <w:sz w:val="20"/>
          <w:szCs w:val="20"/>
          <w:color w:val="auto"/>
        </w:rPr>
      </w:pPr>
      <w:r>
        <w:rPr>
          <w:rFonts w:ascii="Arial" w:cs="Arial" w:eastAsia="Arial" w:hAnsi="Arial"/>
          <w:sz w:val="17"/>
          <w:szCs w:val="17"/>
          <w:color w:val="auto"/>
        </w:rPr>
        <w:t>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the potential for changes in tax laws.</w:t>
      </w:r>
    </w:p>
    <w:p>
      <w:pPr>
        <w:spacing w:after="0" w:line="117"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We currently cannot predict the outcome of such legislative proposals, including, if enacted, their impact on our operations and financial position.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Comprehensive Tax Reform.</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On December 22, 2017, the Tax Cuts and Jobs Act (the “Tax Legislation) was signed into law. The Tax Legislation contains significant changes to corporate taxation, including reduction of the corporate tax rate from 35% to 21%, additional limitations on the tax deductibility of interest, substantial changes to the taxation of foreign earnings, a one-time transition tax on the mandatory deemed repatriation of cumulative foreign earnings, immediate deductions for certain new investments instead of deductions for depreciation expense over time, and modification or repeal of many business deductions and credits. Notwithstanding the reduction in the corporate income tax rate, the overall impact of the Tax Legislation is uncertain, and our results of operations, cash flows and financial conditions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depositary units may be required to pay tax on their share of our income even if they did not receive cash distributions from us.</w:t>
      </w:r>
    </w:p>
    <w:p>
      <w:pPr>
        <w:spacing w:after="0" w:line="129"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Because we are treated as a partnership for income tax purposes, holders of units are generally required to pay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117"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91.0% of Icahn Enterprises' outstanding depositary units as of December 31, 2017.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As a result of the more than 80% ownership interest in us by Mr. Icahn’s affiliates and our ownership of more than 80% in certain of our subsidiaries, we and certain of our subsidiaries are subject to the pension liabilities of entities in which Mr. Icahn has a direct or indirect ownership interest of at least 80%. ACF Industries LLC ("ACF"), a related party in which Mr. Icahn has a direct ownership interest exceeding 80%, and Federal-Mogul are the sponsors of several pension plans in our controlled group. All the minimum funding requirements of the Internal Revenue Code, as amended, and the Employee Retirement Income Security Act of 1974, as amended by the Pension Protection Act of 2006, for these plans have been met as of December 31, 2017 and 2016. If the plans were voluntarily terminated, they would be underfunded by approximately $424 million and $613 million as of December 31, 2017 and 2016,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76" w:right="259" w:bottom="1440" w:gutter="0" w:footer="0" w:header="0"/>
        </w:sectPr>
      </w:pPr>
    </w:p>
    <w:bookmarkStart w:id="14" w:name="page15"/>
    <w:bookmarkEnd w:id="14"/>
    <w:p>
      <w:pPr>
        <w:ind w:right="440"/>
        <w:spacing w:after="0" w:line="277" w:lineRule="auto"/>
        <w:rPr>
          <w:sz w:val="20"/>
          <w:szCs w:val="20"/>
          <w:color w:val="auto"/>
        </w:rPr>
      </w:pPr>
      <w:r>
        <w:rPr>
          <w:rFonts w:ascii="Arial" w:cs="Arial" w:eastAsia="Arial" w:hAnsi="Arial"/>
          <w:sz w:val="18"/>
          <w:szCs w:val="18"/>
          <w:color w:val="auto"/>
        </w:rPr>
        <w:t>and we would be liable for any failure of such entities to make ongoing pension contributions or to pay the unfunded liabilities upon termination of such plans.</w:t>
      </w:r>
    </w:p>
    <w:p>
      <w:pPr>
        <w:spacing w:after="0" w:line="62"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a limited partnership and a ‘‘controlled company’’ within the meaning of the NASDAQ rules and as such are exempt from certain corporate governance requirements.</w:t>
      </w:r>
    </w:p>
    <w:p>
      <w:pPr>
        <w:spacing w:after="0" w:line="62"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color w:val="auto"/>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members of our management team may be involved in other business activities that may involve conflicts of interest.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Icahn Enterprises' depositary units have limited voting rights, including rights to participate in our management.</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spacing w:after="0" w:line="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62"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74"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Holders of Icahn Enterprises' depositary units may also be required to repay Icahn Enterprises amounts wrongfully distributed to them. Under Delaware law, we may not make a distribution to holders of our depositary units if the distribution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5" w:name="page16"/>
    <w:bookmarkEnd w:id="15"/>
    <w:p>
      <w:pPr>
        <w:jc w:val="both"/>
        <w:ind w:right="200"/>
        <w:spacing w:after="0" w:line="259" w:lineRule="auto"/>
        <w:rPr>
          <w:sz w:val="20"/>
          <w:szCs w:val="20"/>
          <w:color w:val="auto"/>
        </w:rPr>
      </w:pPr>
      <w:r>
        <w:rPr>
          <w:rFonts w:ascii="Arial" w:cs="Arial" w:eastAsia="Arial" w:hAnsi="Arial"/>
          <w:sz w:val="18"/>
          <w:szCs w:val="18"/>
          <w:color w:val="auto"/>
        </w:rPr>
        <w:t>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79"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Since we are a limited partnership, you may not be able to pursue legal claims against us in U.S. federal courts.</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spacing w:after="0" w:line="400" w:lineRule="exact"/>
        <w:rPr>
          <w:sz w:val="20"/>
          <w:szCs w:val="20"/>
          <w:color w:val="auto"/>
        </w:rPr>
      </w:pPr>
    </w:p>
    <w:p>
      <w:pPr>
        <w:ind w:right="3580" w:firstLine="3632"/>
        <w:spacing w:after="0" w:line="453" w:lineRule="auto"/>
        <w:rPr>
          <w:sz w:val="20"/>
          <w:szCs w:val="20"/>
          <w:color w:val="auto"/>
        </w:rPr>
      </w:pPr>
      <w:r>
        <w:rPr>
          <w:rFonts w:ascii="Arial" w:cs="Arial" w:eastAsia="Arial" w:hAnsi="Arial"/>
          <w:sz w:val="15"/>
          <w:szCs w:val="15"/>
          <w:b w:val="1"/>
          <w:bCs w:val="1"/>
          <w:color w:val="auto"/>
        </w:rPr>
        <w:t xml:space="preserve">Risks Relating to Liquidity and Capital Requirements </w:t>
      </w:r>
      <w:r>
        <w:rPr>
          <w:rFonts w:ascii="Arial" w:cs="Arial" w:eastAsia="Arial" w:hAnsi="Arial"/>
          <w:sz w:val="15"/>
          <w:szCs w:val="15"/>
          <w:b w:val="1"/>
          <w:bCs w:val="1"/>
          <w:i w:val="1"/>
          <w:iCs w:val="1"/>
          <w:color w:val="auto"/>
        </w:rPr>
        <w:t>We are a holding company and depend on the businesses of our subsidiaries to satisfy our obligations.</w:t>
      </w:r>
    </w:p>
    <w:p>
      <w:pPr>
        <w:spacing w:after="0" w:line="1"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and those of Icahn Enterprises Holdings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spacing w:after="0" w:line="85"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spacing w:after="0" w:line="73"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Our ability to maintain our current cash position or generate cash depends on many factors beyond our control.</w:t>
      </w:r>
    </w:p>
    <w:p>
      <w:pPr>
        <w:spacing w:after="0" w:line="62" w:lineRule="exact"/>
        <w:rPr>
          <w:sz w:val="20"/>
          <w:szCs w:val="20"/>
          <w:color w:val="auto"/>
        </w:rPr>
      </w:pPr>
    </w:p>
    <w:p>
      <w:pPr>
        <w:ind w:right="80" w:firstLine="378"/>
        <w:spacing w:after="0" w:line="293" w:lineRule="auto"/>
        <w:rPr>
          <w:sz w:val="20"/>
          <w:szCs w:val="20"/>
          <w:color w:val="auto"/>
        </w:rPr>
      </w:pPr>
      <w:r>
        <w:rPr>
          <w:rFonts w:ascii="Arial" w:cs="Arial" w:eastAsia="Arial" w:hAnsi="Arial"/>
          <w:sz w:val="16"/>
          <w:szCs w:val="16"/>
          <w:color w:val="auto"/>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spacing w:after="0" w:line="5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Our failure to comply with the covenants contained under any of our debt instruments, including the Indentures (including our failure to comply as a result of events beyond our control), could result in an event of default that would materially and adversely affect our financial condition.</w:t>
      </w:r>
    </w:p>
    <w:p>
      <w:pPr>
        <w:spacing w:after="0" w:line="16" w:lineRule="exact"/>
        <w:rPr>
          <w:sz w:val="20"/>
          <w:szCs w:val="20"/>
          <w:color w:val="auto"/>
        </w:rPr>
      </w:pPr>
    </w:p>
    <w:p>
      <w:pPr>
        <w:ind w:right="180" w:firstLine="378"/>
        <w:spacing w:after="0" w:line="297" w:lineRule="auto"/>
        <w:rPr>
          <w:sz w:val="20"/>
          <w:szCs w:val="20"/>
          <w:color w:val="auto"/>
        </w:rPr>
      </w:pPr>
      <w:r>
        <w:rPr>
          <w:rFonts w:ascii="Arial" w:cs="Arial" w:eastAsia="Arial" w:hAnsi="Arial"/>
          <w:sz w:val="16"/>
          <w:szCs w:val="16"/>
          <w:color w:val="auto"/>
        </w:rPr>
        <w:t>Our failure to comply with the covenants under any of our debt instruments (including our failure to comply as a result of events beyond our control) may trigger a default or event of default under such instruments. 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and declaration of acceleration under one or more of our other debt instruments, including the exchange notes. It is possible that, if the defaulted debt is accelerated, our assets and cash flow may not be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76" w:right="299" w:bottom="1440" w:gutter="0" w:footer="0" w:header="0"/>
        </w:sectPr>
      </w:pPr>
    </w:p>
    <w:bookmarkStart w:id="16" w:name="page17"/>
    <w:bookmarkEnd w:id="16"/>
    <w:p>
      <w:pPr>
        <w:ind w:right="260"/>
        <w:spacing w:after="0" w:line="277" w:lineRule="auto"/>
        <w:rPr>
          <w:sz w:val="20"/>
          <w:szCs w:val="20"/>
          <w:color w:val="auto"/>
        </w:rPr>
      </w:pPr>
      <w:r>
        <w:rPr>
          <w:rFonts w:ascii="Arial" w:cs="Arial" w:eastAsia="Arial" w:hAnsi="Arial"/>
          <w:sz w:val="18"/>
          <w:szCs w:val="18"/>
          <w:color w:val="auto"/>
        </w:rPr>
        <w:t>sufficient to fully repay borrowings under our outstanding debt instruments and we cannot assure you that we would be able to refinance or restructure the payments on those debt securities.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sufficient funds necessary to finance a change of control offer that may be required by the indentures governing our senior notes.</w:t>
      </w:r>
    </w:p>
    <w:p>
      <w:pPr>
        <w:spacing w:after="0" w:line="140"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If Mr. Icahn were to sell, or otherwise transfer, some or all of his interests in us to an unrelated party or group, a change of control could be deemed to have occurred under the terms of the indentures governing our senior notes, which would require us to offer to repurchase all outstanding senior notes at 101% of their principal amount plus accrued and unpaid interest and liquidated damages, if any, to the date of repurchase. However, it is possible that we will not have sufficient funds at the time of the change of control to make the required repurchase of notes.</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62" w:lineRule="exact"/>
        <w:rPr>
          <w:sz w:val="20"/>
          <w:szCs w:val="20"/>
          <w:color w:val="auto"/>
        </w:rPr>
      </w:pPr>
    </w:p>
    <w:p>
      <w:pPr>
        <w:ind w:right="160" w:firstLine="378"/>
        <w:spacing w:after="0" w:line="286" w:lineRule="auto"/>
        <w:rPr>
          <w:sz w:val="20"/>
          <w:szCs w:val="20"/>
          <w:color w:val="auto"/>
        </w:rPr>
      </w:pPr>
      <w:r>
        <w:rPr>
          <w:rFonts w:ascii="Arial" w:cs="Arial" w:eastAsia="Arial" w:hAnsi="Arial"/>
          <w:sz w:val="17"/>
          <w:szCs w:val="17"/>
          <w:color w:val="auto"/>
        </w:rPr>
        <w:t>As of December 31, 2017, we had investments in the Investment Funds with a fair market value of approximately $3.0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cash distributions to Icahn Enterprises' unitholders, if any, can be affected by numerous factors.</w:t>
      </w:r>
    </w:p>
    <w:p>
      <w:pPr>
        <w:spacing w:after="0" w:line="117" w:lineRule="exact"/>
        <w:rPr>
          <w:sz w:val="20"/>
          <w:szCs w:val="20"/>
          <w:color w:val="auto"/>
        </w:rPr>
      </w:pPr>
    </w:p>
    <w:p>
      <w:pPr>
        <w:ind w:right="460" w:firstLine="378"/>
        <w:spacing w:after="0" w:line="286" w:lineRule="auto"/>
        <w:rPr>
          <w:sz w:val="20"/>
          <w:szCs w:val="20"/>
          <w:color w:val="auto"/>
        </w:rPr>
      </w:pPr>
      <w:r>
        <w:rPr>
          <w:rFonts w:ascii="Arial" w:cs="Arial" w:eastAsia="Arial" w:hAnsi="Arial"/>
          <w:sz w:val="17"/>
          <w:szCs w:val="17"/>
          <w:color w:val="auto"/>
        </w:rPr>
        <w:t>While we made cash distributions to Icahn Enterprises' unitholders in each of the four quarters of 2017,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5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Relating to All of Our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of our businesses are subject to the effects of the following:</w:t>
      </w:r>
    </w:p>
    <w:p>
      <w:pPr>
        <w:spacing w:after="0" w:line="23" w:lineRule="exact"/>
        <w:rPr>
          <w:sz w:val="20"/>
          <w:szCs w:val="20"/>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threat of terrorism or war;</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any of our or our subsidiaries' key personnel;</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unavailability, as needed, of additional financing;</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unavailability of insurance at acceptable rates;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not in the ordinary course of business (see Item 3, "Legal Proceedings," of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117" w:lineRule="exact"/>
        <w:rPr>
          <w:sz w:val="20"/>
          <w:szCs w:val="20"/>
          <w:color w:val="auto"/>
        </w:rPr>
      </w:pPr>
    </w:p>
    <w:p>
      <w:pPr>
        <w:ind w:right="40" w:firstLine="378"/>
        <w:spacing w:after="0" w:line="286"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w:t>
      </w:r>
    </w:p>
    <w:p>
      <w:pPr>
        <w:spacing w:after="0" w:line="2"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82"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62"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76" w:right="279" w:bottom="1440" w:gutter="0" w:footer="0" w:header="0"/>
        </w:sectPr>
      </w:pPr>
    </w:p>
    <w:bookmarkStart w:id="17" w:name="page18"/>
    <w:bookmarkEnd w:id="17"/>
    <w:p>
      <w:pPr>
        <w:ind w:right="60"/>
        <w:spacing w:after="0" w:line="253" w:lineRule="auto"/>
        <w:rPr>
          <w:sz w:val="20"/>
          <w:szCs w:val="20"/>
          <w:color w:val="auto"/>
        </w:rPr>
      </w:pPr>
      <w:r>
        <w:rPr>
          <w:rFonts w:ascii="Arial" w:cs="Arial" w:eastAsia="Arial" w:hAnsi="Arial"/>
          <w:sz w:val="18"/>
          <w:szCs w:val="18"/>
          <w:color w:val="auto"/>
        </w:rPr>
        <w:t>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its operations.</w:t>
      </w:r>
    </w:p>
    <w:p>
      <w:pPr>
        <w:spacing w:after="0" w:line="16"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not realize the anticipated benefits of any such acquisition.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discover material weaknesses or significant deficiencies in our internal controls over financial reporting or at any recently acquired entity, it may adversely affect our ability to provide timely and reliable financial information and satisfy our reporting obligations under federal securities laws, which also could affect the market price of our depositary units or our ability to remain listed on the NASDAQ Global Select Market, or NASDAQ.</w:t>
      </w:r>
    </w:p>
    <w:p>
      <w:pPr>
        <w:spacing w:after="0" w:line="39" w:lineRule="exact"/>
        <w:rPr>
          <w:sz w:val="20"/>
          <w:szCs w:val="20"/>
          <w:color w:val="auto"/>
        </w:rPr>
      </w:pPr>
    </w:p>
    <w:p>
      <w:pPr>
        <w:ind w:right="180" w:firstLine="378"/>
        <w:spacing w:after="0" w:line="273" w:lineRule="auto"/>
        <w:rPr>
          <w:sz w:val="20"/>
          <w:szCs w:val="20"/>
          <w:color w:val="auto"/>
        </w:rPr>
      </w:pPr>
      <w:r>
        <w:rPr>
          <w:rFonts w:ascii="Arial" w:cs="Arial" w:eastAsia="Arial" w:hAnsi="Arial"/>
          <w:sz w:val="17"/>
          <w:szCs w:val="17"/>
          <w:color w:val="auto"/>
        </w:rPr>
        <w:t>Effective internal and disclosure controls are necessary for us to provide reliable financial reports and effectively prevent fraud and to operate successfully as a public company. If we cannot provide reliable financial reports or prevent fraud, our reputation and operating results would be harmed. A “material weakness” is a significant deficiency or combination of significant deficiencies in internal control over financial reporting that results in a reasonable possibility that a material misstatement of the annual or interim financial statements will not be prevented or detected and corrected on a timely basis. A “significant deficiency” is a deficiency, or combination of deficiencies, in internal control over financial reporting that is less severe than a material weakness, yet important enough to merit attention of those responsible for oversight of our financial reporting.</w:t>
      </w:r>
    </w:p>
    <w:p>
      <w:pPr>
        <w:spacing w:after="0" w:line="70"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To the extent that any material weakness or significant deficiency exists in our consolidated subsidiaries' internal control over financial reporting, such material weakness or significant deficiency may adversely affect our ability to provide timely and reliable financial information necessary for the conduct of our business and satisfaction of our reporting obligations under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200" w:lineRule="exact"/>
        <w:rPr>
          <w:sz w:val="20"/>
          <w:szCs w:val="20"/>
          <w:color w:val="auto"/>
        </w:rPr>
      </w:pPr>
    </w:p>
    <w:p>
      <w:pPr>
        <w:spacing w:after="0" w:line="30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Risks Relating to the Investment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may be subject to significant uncertainties.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investments may not be successful for many reasons, including, but not limited to:</w:t>
      </w:r>
    </w:p>
    <w:p>
      <w:pPr>
        <w:spacing w:after="0" w:line="23" w:lineRule="exact"/>
        <w:rPr>
          <w:sz w:val="20"/>
          <w:szCs w:val="20"/>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interest rates;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control in minority investments;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worsening of general economic and market conditions;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diversification;</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success of the Investment Funds' activist strategies;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U.S. dollar exchange rates;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legal and regulatory developments that may affect particular businesses.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The historical financial information for the Investment Funds is not necessarily indicative of its future performance.</w:t>
      </w:r>
    </w:p>
    <w:p>
      <w:pPr>
        <w:spacing w:after="0" w:line="117" w:lineRule="exact"/>
        <w:rPr>
          <w:sz w:val="20"/>
          <w:szCs w:val="20"/>
          <w:color w:val="auto"/>
        </w:rPr>
      </w:pPr>
    </w:p>
    <w:p>
      <w:pPr>
        <w:ind w:right="20" w:firstLine="378"/>
        <w:spacing w:after="0" w:line="254" w:lineRule="auto"/>
        <w:rPr>
          <w:sz w:val="20"/>
          <w:szCs w:val="20"/>
          <w:color w:val="auto"/>
        </w:rPr>
      </w:pPr>
      <w:r>
        <w:rPr>
          <w:rFonts w:ascii="Arial" w:cs="Arial" w:eastAsia="Arial" w:hAnsi="Arial"/>
          <w:sz w:val="18"/>
          <w:szCs w:val="18"/>
          <w:color w:val="auto"/>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suitable investments, and our investments may not result in favorable returns or may result in losses.</w:t>
      </w:r>
    </w:p>
    <w:p>
      <w:pPr>
        <w:spacing w:after="0" w:line="117" w:lineRule="exact"/>
        <w:rPr>
          <w:sz w:val="20"/>
          <w:szCs w:val="20"/>
          <w:color w:val="auto"/>
        </w:rPr>
      </w:pPr>
    </w:p>
    <w:p>
      <w:pPr>
        <w:ind w:right="60" w:firstLine="378"/>
        <w:spacing w:after="0" w:line="290" w:lineRule="auto"/>
        <w:rPr>
          <w:sz w:val="20"/>
          <w:szCs w:val="20"/>
          <w:color w:val="auto"/>
        </w:rPr>
      </w:pPr>
      <w:r>
        <w:rPr>
          <w:rFonts w:ascii="Arial" w:cs="Arial" w:eastAsia="Arial" w:hAnsi="Arial"/>
          <w:sz w:val="16"/>
          <w:szCs w:val="16"/>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 in certain investments. We may not be successful in finding suitable opportunities to invest our cash and our strategy of investing in undervalued assets may expose us to numerous risks.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execution of our activist investment activities involves many risks, certain of which are outside of our control.</w:t>
      </w:r>
    </w:p>
    <w:p>
      <w:pPr>
        <w:spacing w:after="0" w:line="117"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spacing w:after="0" w:line="64"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make investments in companies we do not control.</w:t>
      </w:r>
    </w:p>
    <w:p>
      <w:pPr>
        <w:spacing w:after="0" w:line="117"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5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6"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76" w:right="259" w:bottom="1440" w:gutter="0" w:footer="0" w:header="0"/>
        </w:sectPr>
      </w:pPr>
    </w:p>
    <w:bookmarkStart w:id="19" w:name="page20"/>
    <w:bookmarkEnd w:id="19"/>
    <w:p>
      <w:pPr>
        <w:ind w:right="140" w:firstLine="378"/>
        <w:spacing w:after="0" w:line="264" w:lineRule="auto"/>
        <w:rPr>
          <w:sz w:val="20"/>
          <w:szCs w:val="20"/>
          <w:color w:val="auto"/>
        </w:rPr>
      </w:pPr>
      <w:r>
        <w:rPr>
          <w:rFonts w:ascii="Arial" w:cs="Arial" w:eastAsia="Arial" w:hAnsi="Arial"/>
          <w:sz w:val="18"/>
          <w:szCs w:val="18"/>
          <w:color w:val="auto"/>
        </w:rPr>
        <w:t>Certain investment positions held by the Investment Funds may be illiquid. The Investment Funds may own restricted or non-publicly traded securities and securities traded on foreign exchanges. These investments could prevent the Investment Funds from liquidating unfavorable positions promptly and subject the Investment Funds to substantial losses.</w:t>
      </w:r>
    </w:p>
    <w:p>
      <w:pPr>
        <w:spacing w:after="0" w:line="73"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economic conditions affecting the performance of that particular company, industry, asset category, trading style or economic market than a less concentrated portfolio would be. As a result, the Investment Funds' investment portfolio could become concentrated and its aggregate return may be volatile and may be affected substantially by the performance of only one or a few holdings.</w:t>
      </w:r>
    </w:p>
    <w:p>
      <w:pPr>
        <w:spacing w:after="0" w:line="80" w:lineRule="exact"/>
        <w:rPr>
          <w:sz w:val="20"/>
          <w:szCs w:val="20"/>
          <w:color w:val="auto"/>
        </w:rPr>
      </w:pPr>
    </w:p>
    <w:p>
      <w:pPr>
        <w:ind w:right="380" w:firstLine="378"/>
        <w:spacing w:after="0" w:line="302"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46" w:lineRule="exact"/>
        <w:rPr>
          <w:sz w:val="20"/>
          <w:szCs w:val="20"/>
          <w:color w:val="auto"/>
        </w:rPr>
      </w:pPr>
    </w:p>
    <w:p>
      <w:pPr>
        <w:ind w:right="440" w:firstLine="378"/>
        <w:spacing w:after="0" w:line="302"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46" w:lineRule="exact"/>
        <w:rPr>
          <w:sz w:val="20"/>
          <w:szCs w:val="20"/>
          <w:color w:val="auto"/>
        </w:rPr>
      </w:pPr>
    </w:p>
    <w:p>
      <w:pPr>
        <w:jc w:val="both"/>
        <w:ind w:right="100" w:firstLine="378"/>
        <w:spacing w:after="0" w:line="312" w:lineRule="auto"/>
        <w:rPr>
          <w:sz w:val="20"/>
          <w:szCs w:val="20"/>
          <w:color w:val="auto"/>
        </w:rPr>
      </w:pPr>
      <w:r>
        <w:rPr>
          <w:rFonts w:ascii="Arial" w:cs="Arial" w:eastAsia="Arial" w:hAnsi="Arial"/>
          <w:sz w:val="16"/>
          <w:szCs w:val="16"/>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39"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62"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The Investment Funds may leverage their capital if their general partners believe that the use of leverage may enable the Investment Funds to achieve a higher rate of return. Accordingly, the Investment Funds may pledge its securities in order to borrow additional funds for investment purposes. The Investment Funds may also leverage its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58"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80"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76" w:right="259" w:bottom="1440" w:gutter="0" w:footer="0" w:header="0"/>
        </w:sectPr>
      </w:pPr>
    </w:p>
    <w:bookmarkStart w:id="20" w:name="page21"/>
    <w:bookmarkEnd w:id="20"/>
    <w:p>
      <w:pPr>
        <w:ind w:right="200"/>
        <w:spacing w:after="0" w:line="297" w:lineRule="auto"/>
        <w:rPr>
          <w:sz w:val="20"/>
          <w:szCs w:val="20"/>
          <w:color w:val="auto"/>
        </w:rPr>
      </w:pPr>
      <w:r>
        <w:rPr>
          <w:rFonts w:ascii="Arial" w:cs="Arial" w:eastAsia="Arial" w:hAnsi="Arial"/>
          <w:sz w:val="16"/>
          <w:szCs w:val="16"/>
          <w:color w:val="auto"/>
        </w:rPr>
        <w:t>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50"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possibility of increased regulation could result in additional burdens on our Investment segment.</w:t>
      </w:r>
    </w:p>
    <w:p>
      <w:pPr>
        <w:spacing w:after="0" w:line="117"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The Dodd-Frank Wall Street Reform and Consumer Protection Act (the "Reform Act"), enacted into law in July 2010, resulted in regulations affecting almost every part of the financial services industry.</w:t>
      </w:r>
    </w:p>
    <w:p>
      <w:pPr>
        <w:spacing w:after="0" w:line="62"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hedge investments successfully is subject to numerous risks.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70"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Investment Funds invest in distressed securities, as well as bank loans, asset backed securities and mortgage backed securities.</w:t>
      </w:r>
    </w:p>
    <w:p>
      <w:pPr>
        <w:spacing w:after="0" w:line="129" w:lineRule="exact"/>
        <w:rPr>
          <w:sz w:val="20"/>
          <w:szCs w:val="20"/>
          <w:color w:val="auto"/>
        </w:rPr>
      </w:pPr>
    </w:p>
    <w:p>
      <w:pPr>
        <w:ind w:right="340" w:firstLine="378"/>
        <w:spacing w:after="0" w:line="277" w:lineRule="auto"/>
        <w:rPr>
          <w:sz w:val="20"/>
          <w:szCs w:val="20"/>
          <w:color w:val="auto"/>
        </w:rPr>
      </w:pPr>
      <w:r>
        <w:rPr>
          <w:rFonts w:ascii="Arial" w:cs="Arial" w:eastAsia="Arial" w:hAnsi="Arial"/>
          <w:sz w:val="18"/>
          <w:szCs w:val="18"/>
          <w:color w:val="auto"/>
        </w:rPr>
        <w:t>The Investment Funds may invest in securities of U.S. and non-U.S. issuers in weak financial condition, experiencing poor operating results, having substantial capital needs or negative net worth, facing special competitive or product obsolescence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21" w:name="page22"/>
    <w:bookmarkEnd w:id="21"/>
    <w:p>
      <w:pPr>
        <w:ind w:right="60"/>
        <w:spacing w:after="0" w:line="272" w:lineRule="auto"/>
        <w:rPr>
          <w:sz w:val="20"/>
          <w:szCs w:val="20"/>
          <w:color w:val="auto"/>
        </w:rPr>
      </w:pPr>
      <w:r>
        <w:rPr>
          <w:rFonts w:ascii="Arial" w:cs="Arial" w:eastAsia="Arial" w:hAnsi="Arial"/>
          <w:sz w:val="17"/>
          <w:szCs w:val="17"/>
          <w:color w:val="auto"/>
        </w:rPr>
        <w:t>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62" w:lineRule="exact"/>
        <w:rPr>
          <w:sz w:val="20"/>
          <w:szCs w:val="20"/>
          <w:color w:val="auto"/>
        </w:rPr>
      </w:pPr>
    </w:p>
    <w:p>
      <w:pPr>
        <w:ind w:right="20" w:firstLine="378"/>
        <w:spacing w:after="0" w:line="287" w:lineRule="auto"/>
        <w:rPr>
          <w:sz w:val="20"/>
          <w:szCs w:val="20"/>
          <w:color w:val="auto"/>
        </w:rPr>
      </w:pPr>
      <w:r>
        <w:rPr>
          <w:rFonts w:ascii="Arial" w:cs="Arial" w:eastAsia="Arial" w:hAnsi="Arial"/>
          <w:sz w:val="16"/>
          <w:szCs w:val="16"/>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investments are subject to numerous additional risks including those described below.</w:t>
      </w:r>
    </w:p>
    <w:p>
      <w:pPr>
        <w:spacing w:after="0" w:line="23" w:lineRule="exact"/>
        <w:rPr>
          <w:sz w:val="20"/>
          <w:szCs w:val="20"/>
          <w:color w:val="auto"/>
        </w:rPr>
      </w:pPr>
    </w:p>
    <w:p>
      <w:pPr>
        <w:ind w:left="660" w:right="360" w:hanging="260"/>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there are few limitations set forth in the governing documents of the Investment Funds on the execution of their investment activities, which are subject to the sole discretion of our Investment segment.</w:t>
      </w:r>
    </w:p>
    <w:p>
      <w:pPr>
        <w:ind w:left="660" w:hanging="260"/>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3" w:lineRule="exact"/>
        <w:rPr>
          <w:rFonts w:ascii="Arial" w:cs="Arial" w:eastAsia="Arial" w:hAnsi="Arial"/>
          <w:sz w:val="18"/>
          <w:szCs w:val="18"/>
          <w:color w:val="auto"/>
        </w:rPr>
      </w:pPr>
    </w:p>
    <w:p>
      <w:pPr>
        <w:ind w:left="660" w:right="20" w:hanging="260"/>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2" w:lineRule="exact"/>
        <w:rPr>
          <w:rFonts w:ascii="Arial" w:cs="Arial" w:eastAsia="Arial" w:hAnsi="Arial"/>
          <w:sz w:val="18"/>
          <w:szCs w:val="18"/>
          <w:color w:val="auto"/>
        </w:rPr>
      </w:pPr>
    </w:p>
    <w:p>
      <w:pPr>
        <w:ind w:left="660" w:right="300" w:hanging="260"/>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3" w:lineRule="exact"/>
        <w:rPr>
          <w:rFonts w:ascii="Arial" w:cs="Arial" w:eastAsia="Arial" w:hAnsi="Arial"/>
          <w:sz w:val="16"/>
          <w:szCs w:val="16"/>
          <w:color w:val="auto"/>
        </w:rPr>
      </w:pPr>
    </w:p>
    <w:p>
      <w:pPr>
        <w:ind w:left="660" w:right="20" w:hanging="260"/>
        <w:spacing w:after="0" w:line="27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2" w:name="page23"/>
    <w:bookmarkEnd w:id="22"/>
    <w:p>
      <w:pPr>
        <w:ind w:left="660"/>
        <w:spacing w:after="0" w:line="282" w:lineRule="auto"/>
        <w:rPr>
          <w:sz w:val="20"/>
          <w:szCs w:val="20"/>
          <w:color w:val="auto"/>
        </w:rPr>
      </w:pPr>
      <w:r>
        <w:rPr>
          <w:rFonts w:ascii="Arial" w:cs="Arial" w:eastAsia="Arial" w:hAnsi="Arial"/>
          <w:sz w:val="18"/>
          <w:szCs w:val="18"/>
          <w:color w:val="auto"/>
        </w:rPr>
        <w:t>Funds are not restricted from dealing with any particular counterparty or from concentrating any or all of the Investment Funds' transactions with one counterparty.</w:t>
      </w:r>
    </w:p>
    <w:p>
      <w:pPr>
        <w:spacing w:after="0" w:line="1" w:lineRule="exact"/>
        <w:rPr>
          <w:sz w:val="20"/>
          <w:szCs w:val="20"/>
          <w:color w:val="auto"/>
        </w:rPr>
      </w:pPr>
    </w:p>
    <w:p>
      <w:pPr>
        <w:ind w:left="660" w:right="20" w:hanging="260"/>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1" w:lineRule="exact"/>
        <w:rPr>
          <w:rFonts w:ascii="Arial" w:cs="Arial" w:eastAsia="Arial" w:hAnsi="Arial"/>
          <w:sz w:val="18"/>
          <w:szCs w:val="18"/>
          <w:color w:val="auto"/>
        </w:rPr>
      </w:pPr>
    </w:p>
    <w:p>
      <w:pPr>
        <w:ind w:left="660" w:right="60" w:hanging="260"/>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2" w:lineRule="exact"/>
        <w:rPr>
          <w:rFonts w:ascii="Arial" w:cs="Arial" w:eastAsia="Arial" w:hAnsi="Arial"/>
          <w:sz w:val="18"/>
          <w:szCs w:val="18"/>
          <w:color w:val="auto"/>
        </w:rPr>
      </w:pPr>
    </w:p>
    <w:p>
      <w:pPr>
        <w:ind w:left="660" w:right="60" w:hanging="260"/>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4" w:lineRule="exact"/>
        <w:rPr>
          <w:rFonts w:ascii="Arial" w:cs="Arial" w:eastAsia="Arial" w:hAnsi="Arial"/>
          <w:sz w:val="16"/>
          <w:szCs w:val="16"/>
          <w:color w:val="auto"/>
        </w:rPr>
      </w:pPr>
    </w:p>
    <w:p>
      <w:pPr>
        <w:ind w:left="660" w:right="80" w:hanging="260"/>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200" w:lineRule="exact"/>
        <w:rPr>
          <w:sz w:val="20"/>
          <w:szCs w:val="20"/>
          <w:color w:val="auto"/>
        </w:rPr>
      </w:pPr>
    </w:p>
    <w:p>
      <w:pPr>
        <w:spacing w:after="0" w:line="314" w:lineRule="exact"/>
        <w:rPr>
          <w:sz w:val="20"/>
          <w:szCs w:val="20"/>
          <w:color w:val="auto"/>
        </w:rPr>
      </w:pPr>
    </w:p>
    <w:p>
      <w:pPr>
        <w:ind w:right="3260" w:firstLine="3652"/>
        <w:spacing w:after="0" w:line="378" w:lineRule="auto"/>
        <w:rPr>
          <w:sz w:val="20"/>
          <w:szCs w:val="20"/>
          <w:color w:val="auto"/>
        </w:rPr>
      </w:pPr>
      <w:r>
        <w:rPr>
          <w:rFonts w:ascii="Arial" w:cs="Arial" w:eastAsia="Arial" w:hAnsi="Arial"/>
          <w:sz w:val="18"/>
          <w:szCs w:val="18"/>
          <w:b w:val="1"/>
          <w:bCs w:val="1"/>
          <w:color w:val="auto"/>
        </w:rPr>
        <w:t xml:space="preserve">Risks Relating to our Consolidated Operating Subsidiaries </w:t>
      </w:r>
      <w:r>
        <w:rPr>
          <w:rFonts w:ascii="Arial" w:cs="Arial" w:eastAsia="Arial" w:hAnsi="Arial"/>
          <w:sz w:val="18"/>
          <w:szCs w:val="18"/>
          <w:b w:val="1"/>
          <w:bCs w:val="1"/>
          <w:i w:val="1"/>
          <w:iCs w:val="1"/>
          <w:color w:val="auto"/>
        </w:rPr>
        <w:t>We need qualified personnel to manage and operate our various businesses.</w:t>
      </w:r>
    </w:p>
    <w:p>
      <w:pPr>
        <w:ind w:right="60" w:firstLine="378"/>
        <w:spacing w:after="0" w:line="255" w:lineRule="auto"/>
        <w:rPr>
          <w:sz w:val="20"/>
          <w:szCs w:val="20"/>
          <w:color w:val="auto"/>
        </w:rPr>
      </w:pPr>
      <w:r>
        <w:rPr>
          <w:rFonts w:ascii="Arial" w:cs="Arial" w:eastAsia="Arial" w:hAnsi="Arial"/>
          <w:sz w:val="18"/>
          <w:szCs w:val="18"/>
          <w:color w:val="auto"/>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operating results, financial condition and liquidity.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regulations and regulatory actions can adversely affect our operating results and our ability to allocate capital.</w:t>
      </w:r>
    </w:p>
    <w:p>
      <w:pPr>
        <w:spacing w:after="0" w:line="117" w:lineRule="exact"/>
        <w:rPr>
          <w:sz w:val="20"/>
          <w:szCs w:val="20"/>
          <w:color w:val="auto"/>
        </w:rPr>
      </w:pPr>
    </w:p>
    <w:p>
      <w:pPr>
        <w:ind w:right="160" w:firstLine="378"/>
        <w:spacing w:after="0" w:line="253" w:lineRule="auto"/>
        <w:rPr>
          <w:sz w:val="20"/>
          <w:szCs w:val="20"/>
          <w:color w:val="auto"/>
        </w:rPr>
      </w:pPr>
      <w:r>
        <w:rPr>
          <w:rFonts w:ascii="Arial" w:cs="Arial" w:eastAsia="Arial" w:hAnsi="Arial"/>
          <w:sz w:val="18"/>
          <w:szCs w:val="18"/>
          <w:color w:val="auto"/>
        </w:rPr>
        <w:t>In recent years, partially in response to financial markets crises, global economic recessions, and social and environmental issues, regulatory initiatives have accelerated in the United States and abroad. Such initiatives address for example, the regulation of banks and other major financial institutions, environmental and global-warming matters and health care reform. These initiatives impact our operating subsidiaries, particularly those within our Automotive, Energy and Railcar segments. Increased regulatory compliance costs could have a significant negative impact on our financial results however, we cannot predict whether such initiatives will have a material adverse impact on our consolidated financial position, results of operations or cash flows. Additionally, our Gaming segment is also subject to potential changes in legislation and regulations that may negatively impact its business. From time to time, legislators and special interest groups propose legislation that would expand, restrict, or prevent gaming operations in the jurisdictions in which we operate and in neighboring jurisdictions. Such changes may have a material adverse impact on our consolidated financial position, results of operations or cash flows.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3" w:name="page24"/>
    <w:bookmarkEnd w:id="23"/>
    <w:p>
      <w:pPr>
        <w:ind w:right="420"/>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could require our operating subsidiaries to make substantial capital expenditures to remain in compliance or to remediate current or future contamination that could give rise to material liabilities.</w:t>
      </w:r>
    </w:p>
    <w:p>
      <w:pPr>
        <w:spacing w:after="0" w:line="62" w:lineRule="exact"/>
        <w:rPr>
          <w:sz w:val="20"/>
          <w:szCs w:val="20"/>
          <w:color w:val="auto"/>
        </w:rPr>
      </w:pPr>
    </w:p>
    <w:p>
      <w:pPr>
        <w:ind w:right="300" w:firstLine="378"/>
        <w:spacing w:after="0" w:line="257" w:lineRule="auto"/>
        <w:rPr>
          <w:sz w:val="20"/>
          <w:szCs w:val="20"/>
          <w:color w:val="auto"/>
        </w:rPr>
      </w:pPr>
      <w:r>
        <w:rPr>
          <w:rFonts w:ascii="Arial" w:cs="Arial" w:eastAsia="Arial" w:hAnsi="Arial"/>
          <w:sz w:val="18"/>
          <w:szCs w:val="18"/>
          <w:color w:val="auto"/>
        </w:rPr>
        <w:t>Several of our subsidiaries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80"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In addition, new environmental laws and regulations, new interpretations of existing laws and regulations, increased governmental enforcement of laws and regulations or other developments could require our businesses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permits, licenses and approvals with terms and conditions containing a significant number of prescriptive limits and performance standards in order to operate. These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17, "Commitments and Contingencies," to the consolidated financial statements for additional discussion of environmental matters affecting our businesses.</w:t>
      </w:r>
    </w:p>
    <w:p>
      <w:pPr>
        <w:spacing w:after="0" w:line="7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sufficient Renewable Identification Numbers (RINs) are unavailable for purchase or if our Energy segment’s petroleum business has to pay a significantly higher price for RINs, or if its petroleum business is otherwise unable to meet Renewable Fuel Standard mandates, our financial condition and results of operations could be materially adversely affected.</w:t>
      </w:r>
    </w:p>
    <w:p>
      <w:pPr>
        <w:spacing w:after="0" w:line="73"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The Environmental Protection Agency ("EPA") has promulgated the Renewable Fuel Standards ("RFS"), which requires refiners to either blend "renewable fuels," such as ethanol and biodiesel, into their transportation fuels or purchase renewable fuel credits, known as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in order to comply with the RFS. The price of RINs has been extremely volatile as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pacing w:after="0" w:line="58"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In December 2015, 2016, and 2017, the EPA published in the Federal Register final rules establishing the renewable fuel volume mandates for 2016, 2017, and 2018, and the biomass-based diesel volume mandates for 2017, 2018, and 2019, respectively. The volumes included in the EPA's final rules increased each year, but were lower, with the exception of the volumes for biomass-based diesel, than the volumes required by the Clean Air Act. The EPA used its waiver authorities to lower the volumes, but its decision to do so for the 2014-2016 compliance years was challenged in the U.S. Court of Appeals for the District of Columbia Circuit. In July 2017, the court vacated the EPA’s decision to reduce the renewable volume obligation for 2016 under one of its waiver authorities, and remanded the rule to the EPA for further reconsideration. The EPA has not yet reproposed the 2016 renewable volume obligations. The EPA also has articulated a policy that high RINs prices incentivize additional investments in renewable fuel blending and distribution infrastructure.</w:t>
      </w:r>
    </w:p>
    <w:p>
      <w:pPr>
        <w:spacing w:after="0" w:line="59"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color w:val="auto"/>
        </w:rPr>
        <w:t>The petroleum business cannot predict the future prices of RINs or waiver credits. The price of RINs has been extremely volatile over the last year.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could be material, if the price for RINs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its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6" w:right="239" w:bottom="1440" w:gutter="0" w:footer="0" w:header="0"/>
        </w:sectPr>
      </w:pPr>
    </w:p>
    <w:bookmarkStart w:id="24" w:name="page25"/>
    <w:bookmarkEnd w:id="24"/>
    <w:p>
      <w:pPr>
        <w:ind w:right="100"/>
        <w:spacing w:after="0" w:line="264" w:lineRule="auto"/>
        <w:rPr>
          <w:sz w:val="20"/>
          <w:szCs w:val="20"/>
          <w:color w:val="auto"/>
        </w:rPr>
      </w:pPr>
      <w:r>
        <w:rPr>
          <w:rFonts w:ascii="Arial" w:cs="Arial" w:eastAsia="Arial" w:hAnsi="Arial"/>
          <w:sz w:val="18"/>
          <w:szCs w:val="18"/>
          <w:color w:val="auto"/>
        </w:rPr>
        <w:t>business could be material. If sufficient RINs are unavailable for purchase,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volatility of crude oil and other feedstocks, refined products and utility services may have a material adverse effect on our financial results.</w:t>
      </w:r>
    </w:p>
    <w:p>
      <w:pPr>
        <w:spacing w:after="0" w:line="140" w:lineRule="exact"/>
        <w:rPr>
          <w:sz w:val="20"/>
          <w:szCs w:val="20"/>
          <w:color w:val="auto"/>
        </w:rPr>
      </w:pPr>
    </w:p>
    <w:p>
      <w:pPr>
        <w:ind w:right="120" w:firstLine="378"/>
        <w:spacing w:after="0" w:line="270" w:lineRule="auto"/>
        <w:rPr>
          <w:sz w:val="20"/>
          <w:szCs w:val="20"/>
          <w:color w:val="auto"/>
        </w:rPr>
      </w:pPr>
      <w:r>
        <w:rPr>
          <w:rFonts w:ascii="Arial" w:cs="Arial" w:eastAsia="Arial" w:hAnsi="Arial"/>
          <w:sz w:val="17"/>
          <w:szCs w:val="17"/>
          <w:color w:val="auto"/>
        </w:rPr>
        <w:t>Our Energy segment's petroleum business' financial results are primarily affected by the relationship, or margin, between refined product prices and the prices for crude oil and other feedstocks. When the margin between refined product prices and crude oil and other feedstock prices tightens, the petroleum business' earnings, profitability and cash flows are negatively affected. Refining margins historically have been volatile and are likely to continue to be volatile, as a result of a variety of factors including fluctuations in prices of crude oil, other feedstocks and refined products. Continued future volatility in refining industry margins may cause a decline in the petroleum business' results of operations, since the margin between refined product prices and crude oil and other feedstock prices may decrease below the amount needed for the petroleum business to generate net cash flow sufficient for its needs. The effect of changes in crude oil prices on the petroleum business' results of operations therefore depends in part on how quickly and how fully refined product prices adjust to reflect these changes. A substantial or prolonged increase in crude oil prices without a corresponding increase in refined product prices, or a substantial or prolonged decrease in refined product prices without a corresponding decrease in crude oil prices, could have a significant negative impact on our Energy segment's earnings, results of operations and cash flows.</w:t>
      </w:r>
    </w:p>
    <w:p>
      <w:pPr>
        <w:spacing w:after="0" w:line="70"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Profitability is also impacted by the ability to purchase crude oil at a discount to benchmark crude oils, such as WTI, as the petroleum business does not produce any crude oil and must purchase all of the crude oil it refines.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 in the sources of crude oil, infrastructure or logistical improvements or quality differences could result in a reduction of the petroleum business' historical discount to WTI and may result in a reduction of our Energy segment's cost advantage.</w:t>
      </w:r>
    </w:p>
    <w:p>
      <w:pPr>
        <w:spacing w:after="0" w:line="81"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Refining margins are also impacted by domestic and global refining capacity. Downturns in the economy reduce the demand for refined fuels and, in turn, generate excess capacity. In addition, the expansion and construction of refineries domestically and globally can increase refined fuel production capacity. Excess capacity can adversely impact refining margins, earnings and cash flows. The Arabian Gulf and Far East regions added refining capacity in 2015, 2016 and 2017.</w:t>
      </w:r>
    </w:p>
    <w:p>
      <w:pPr>
        <w:spacing w:after="0" w:line="79" w:lineRule="exact"/>
        <w:rPr>
          <w:sz w:val="20"/>
          <w:szCs w:val="20"/>
          <w:color w:val="auto"/>
        </w:rPr>
      </w:pPr>
    </w:p>
    <w:p>
      <w:pPr>
        <w:ind w:right="160" w:firstLine="378"/>
        <w:spacing w:after="0" w:line="342" w:lineRule="auto"/>
        <w:rPr>
          <w:sz w:val="20"/>
          <w:szCs w:val="20"/>
          <w:color w:val="auto"/>
        </w:rPr>
      </w:pPr>
      <w:r>
        <w:rPr>
          <w:rFonts w:ascii="Arial" w:cs="Arial" w:eastAsia="Arial" w:hAnsi="Arial"/>
          <w:sz w:val="16"/>
          <w:szCs w:val="16"/>
          <w:color w:val="auto"/>
        </w:rPr>
        <w:t>The petroleum business is significantly affected by developments in the markets in which it operates. For example, numerous pipeline projects in 2014 expanded the connectivity of the Cushing and Permian Basin markets to the gulf coast, resulting in a decrease in the domestic crude advantage.</w:t>
      </w:r>
    </w:p>
    <w:p>
      <w:pPr>
        <w:spacing w:after="0" w:line="16" w:lineRule="exact"/>
        <w:rPr>
          <w:sz w:val="20"/>
          <w:szCs w:val="20"/>
          <w:color w:val="auto"/>
        </w:rPr>
      </w:pPr>
    </w:p>
    <w:p>
      <w:pPr>
        <w:ind w:right="320" w:firstLine="378"/>
        <w:spacing w:after="0" w:line="308" w:lineRule="auto"/>
        <w:rPr>
          <w:sz w:val="20"/>
          <w:szCs w:val="20"/>
          <w:color w:val="auto"/>
        </w:rPr>
      </w:pPr>
      <w:r>
        <w:rPr>
          <w:rFonts w:ascii="Arial" w:cs="Arial" w:eastAsia="Arial" w:hAnsi="Arial"/>
          <w:sz w:val="17"/>
          <w:szCs w:val="17"/>
          <w:color w:val="auto"/>
        </w:rPr>
        <w:t>Volatile prices for natural gas and electricity also affect the petroleum business' manufacturing and operating costs. Natural gas and electricity prices have been, and will continue to be, affected by supply and demand for fuel and utility services in both local and regional markets.</w:t>
      </w:r>
    </w:p>
    <w:p>
      <w:pPr>
        <w:spacing w:after="0" w:line="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Commodity derivative contracts, particularly with respect to our Energy segment, may limit our potential gains, exacerbate potential losses and involve other risks.</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Energy segment’s petroleum business may enter into commodity derivatives contracts to mitigate crack spread risk with respect to a portion of its expected refined products production.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93" w:lineRule="exact"/>
        <w:rPr>
          <w:sz w:val="20"/>
          <w:szCs w:val="20"/>
          <w:color w:val="auto"/>
        </w:rPr>
      </w:pPr>
    </w:p>
    <w:p>
      <w:pPr>
        <w:ind w:left="660" w:right="960" w:hanging="260"/>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volumes of its actual use of crude oil or production of the applicable refined products is less than the volumes subject to the hedging arrangement;</w:t>
      </w:r>
    </w:p>
    <w:p>
      <w:pPr>
        <w:spacing w:after="0" w:line="1" w:lineRule="exact"/>
        <w:rPr>
          <w:rFonts w:ascii="Arial" w:cs="Arial" w:eastAsia="Arial" w:hAnsi="Arial"/>
          <w:sz w:val="18"/>
          <w:szCs w:val="18"/>
          <w:color w:val="auto"/>
        </w:rPr>
      </w:pPr>
    </w:p>
    <w:p>
      <w:pPr>
        <w:ind w:left="660" w:right="140" w:hanging="260"/>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accidents, interruptions in transportation, inclement weather or other events cause unscheduled shutdowns or otherwise adversely affect its refinery or suppliers or customers;</w:t>
      </w:r>
    </w:p>
    <w:p>
      <w:pPr>
        <w:ind w:left="660" w:hanging="26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counterparties to its futures contracts fail to perform under the contracts; or</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sudden, unexpected event materially impacts the commodity or crack spread subject to the hedging arrangement.</w:t>
      </w:r>
    </w:p>
    <w:p>
      <w:pPr>
        <w:spacing w:after="0" w:line="103"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As a result, the effectiveness of CVR Energy's risk mitigation strategy could have a material adverse impact on our Energy segment's financial results and cash flows.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76" w:right="25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Climate change laws and regulations could have a material adverse effect on our results of operations, financial condition, and cash flows.</w:t>
      </w:r>
    </w:p>
    <w:p>
      <w:pPr>
        <w:spacing w:after="0" w:line="12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Climate change is continuing to receive ever increasing attention worldwide. Many scientists, legislators and others attribute climate change to increased levels of greenhouse gases, including carbon dioxide, which could lead to additional legislative and regulatory efforts to limit greenhouse gas emissions. For example, the focus on emissions could increase costs associated with our Automotive segment's operations, including costs for raw materials and transportation.</w:t>
      </w:r>
    </w:p>
    <w:p>
      <w:pPr>
        <w:spacing w:after="0" w:line="79" w:lineRule="exact"/>
        <w:rPr>
          <w:sz w:val="20"/>
          <w:szCs w:val="20"/>
          <w:color w:val="auto"/>
        </w:rPr>
      </w:pPr>
    </w:p>
    <w:p>
      <w:pPr>
        <w:ind w:right="100" w:firstLine="378"/>
        <w:spacing w:after="0" w:line="272" w:lineRule="auto"/>
        <w:rPr>
          <w:sz w:val="20"/>
          <w:szCs w:val="20"/>
          <w:color w:val="auto"/>
        </w:rPr>
      </w:pPr>
      <w:r>
        <w:rPr>
          <w:rFonts w:ascii="Arial" w:cs="Arial" w:eastAsia="Arial" w:hAnsi="Arial"/>
          <w:sz w:val="17"/>
          <w:szCs w:val="17"/>
          <w:color w:val="auto"/>
        </w:rPr>
        <w:t>The EPA regulates greenhouse gas ("GHG") emissions under the Clean Air Act. In October 2009, the EPA finalized a rule requiring certain large emitters of GHGs to inventory and report their GHG emissions to the EPA. In accordance with the rule, CVR Energy has begun monitoring and reporting its GHG emissions to the EPA. In May 2010, the EPA finalized the "Greenhouse Gas Tailoring Rule," which established new GHG emissions thresholds that determine when stationary sources, such as the refineries and the nitrogen fertilizer plant, must obtain permits under the New Source Review/Prevention of Significant Deterioration ("PSD") and Title V programs of the federal Clean Air Act. Under the rule, facilities already subject to PSD and Title V programs that increase their emissions of GHGs by a significant amount are required to undergo PSD review and to evaluate and implement air pollution control technology, known as "best available control technology," to reduce GHG emissions.</w:t>
      </w:r>
    </w:p>
    <w:p>
      <w:pPr>
        <w:spacing w:after="0" w:line="70"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In the meantime, in December 2010, the EPA reached a settlement agreement with numerous parties under which it agreed to promulgate NSPS to regulate GHG emissions from petroleum refineries and electric utilities by November 2012. In September 2014, the EPA indicated that the petroleum refining sector risk rule, proposed in June 2014 to address air toxics and volatile organic compounds from refineries, may make it unnecessary for the EPA to regulate GHG emissions from petroleum refineries at this time. The final rule, which was published in the Federal Register on December 1, 2015, places additional emission control requirements and work practice standards on FCCUs, storage tanks, flares, coking units and other equipment at petroleum refineries. Therefore, we expect that the EPA will not be issuing NSPS standards to regulate GHG from the refineries at this time but that it may do so in the future.</w:t>
      </w:r>
    </w:p>
    <w:p>
      <w:pPr>
        <w:spacing w:after="0" w:line="5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current administration has sought to implement a new or modified policy with respect to climate change. For example, the administration announced its intention to withdraw the United States from the Paris Climate Agreement, though the earliest possible effective date of withdrawal for the United States is November 2020. If efforts to address climate change resume, at the federal legislative level, this could mean Congressional passage of legislation adopting some form of federal mandatory GHG emission reduction, such as a nationwide cap-and-trade program. It is also possible that Congress may pass alternative climate change bills that do not mandate a nationwide cap-and-trade program and instead focus on promoting renewable energy and energy efficiency.</w:t>
      </w:r>
    </w:p>
    <w:p>
      <w:pPr>
        <w:spacing w:after="0" w:line="5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addition to potential federal legislation, a number of states have adopted regional greenhouse gas initiatives to reduce carbon dioxide and other GHG emissions. In 2007, a group of Midwest states, including Kansas (where CVR Energy has a refinery and nitrogen fertilizer facility), formed the Midwestern Greenhouse Gas Reduction Accord, which calls for the development of a cap-and-trade system to control GHG emissions and for the inventory of such emissions. However, the individual states that have signed on to the accord must adopt laws or regulations that implement the trading scheme before it becomes effective. To date, Kansas has taken no meaningful action to implement the accord, and it's unclear whether Kansas intends to do so in the future.</w:t>
      </w:r>
    </w:p>
    <w:p>
      <w:pPr>
        <w:spacing w:after="0" w:line="50"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Alternatively, the EPA may take further steps to regulate GHG emissions, although at this time it is unclear to what extent the EPA will pursue climate change regulation. The implementation of EPA regulations and/or the passage of federal or state climate change legislation may result in increased costs to</w:t>
      </w:r>
    </w:p>
    <w:p>
      <w:pPr>
        <w:jc w:val="both"/>
        <w:ind w:right="40" w:firstLine="8"/>
        <w:spacing w:after="0" w:line="255"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and maintain certain of our subsidiaries' facilities, (ii) install new emission controls on certain of our subsidiaries' facilities and (iii) administer and manage any GHG emissions program. Increased costs associated with compliance with any current or future legislation or regulation of GHG emissions, if it occurs, may have a material adverse effect on our results of operations, financial condition and cash flows.</w:t>
      </w:r>
    </w:p>
    <w:p>
      <w:pPr>
        <w:spacing w:after="0" w:line="8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climate change legislation and regulations may result in increased costs not only for our business but also users of our refined and fertilizer products, thereby potentially decreasing demand for our products. Decreased demand for our products may have a material adverse effect on our consolidated financial position, results of operations or cash flows.</w:t>
      </w:r>
    </w:p>
    <w:p>
      <w:pPr>
        <w:spacing w:after="0" w:line="73"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Because the scope of future laws in this area is uncertain, we cannot predict the potential effect of such laws on our future financial condition, results of operations or cash flows.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76" w:right="27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b w:val="1"/>
          <w:bCs w:val="1"/>
          <w:i w:val="1"/>
          <w:iCs w:val="1"/>
          <w:color w:val="auto"/>
        </w:rPr>
        <w:t>Certain of our subsidiaries, primarily Federal-Mogul and Viskase, have operations in foreign countries which expose them to risks related to economic and political conditions, currency fluctuations, import/export restrictions, regulatory and other risks.</w:t>
      </w:r>
    </w:p>
    <w:p>
      <w:pPr>
        <w:spacing w:after="0" w:line="62" w:lineRule="exact"/>
        <w:rPr>
          <w:sz w:val="20"/>
          <w:szCs w:val="20"/>
          <w:color w:val="auto"/>
        </w:rPr>
      </w:pPr>
    </w:p>
    <w:p>
      <w:pPr>
        <w:ind w:right="520" w:firstLine="378"/>
        <w:spacing w:after="0" w:line="258" w:lineRule="auto"/>
        <w:rPr>
          <w:sz w:val="20"/>
          <w:szCs w:val="20"/>
          <w:color w:val="auto"/>
        </w:rPr>
      </w:pPr>
      <w:r>
        <w:rPr>
          <w:rFonts w:ascii="Arial" w:cs="Arial" w:eastAsia="Arial" w:hAnsi="Arial"/>
          <w:sz w:val="18"/>
          <w:szCs w:val="18"/>
          <w:color w:val="auto"/>
        </w:rPr>
        <w:t>Certain of our subsidiaries are global businesses and have manufacturing and distribution facilities in many countries. International operations are subject to certain risks including:</w:t>
      </w:r>
    </w:p>
    <w:p>
      <w:pPr>
        <w:spacing w:after="0" w:line="1" w:lineRule="exact"/>
        <w:rPr>
          <w:sz w:val="20"/>
          <w:szCs w:val="20"/>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local political conditions (including the risk of seizure of assets by foreign governments);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currency exchange rate fluctuations (including, but not limited to, material exchange rate fluctuations, such as devaluations) and currency controls;</w:t>
      </w:r>
    </w:p>
    <w:p>
      <w:pPr>
        <w:spacing w:after="0" w:line="32" w:lineRule="exact"/>
        <w:rPr>
          <w:rFonts w:ascii="Arial" w:cs="Arial" w:eastAsia="Arial" w:hAnsi="Arial"/>
          <w:sz w:val="16"/>
          <w:szCs w:val="16"/>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ability to repatriate foreign earnings;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unrest;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local laws prohibiting inappropriate payments.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likelihood of such occurrences and their potential effect on our businesses are unpredictable and vary from country-to-country.</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Certain of our businesses have substantial indebtedness, which could restrict their business activities and/or could subject them to significant interest rate risk.</w:t>
      </w:r>
    </w:p>
    <w:p>
      <w:pPr>
        <w:spacing w:after="0" w:line="62" w:lineRule="exact"/>
        <w:rPr>
          <w:sz w:val="20"/>
          <w:szCs w:val="20"/>
          <w:color w:val="auto"/>
        </w:rPr>
      </w:pPr>
    </w:p>
    <w:p>
      <w:pPr>
        <w:ind w:right="520" w:firstLine="378"/>
        <w:spacing w:after="0" w:line="312" w:lineRule="auto"/>
        <w:rPr>
          <w:sz w:val="20"/>
          <w:szCs w:val="20"/>
          <w:color w:val="auto"/>
        </w:rPr>
      </w:pPr>
      <w:r>
        <w:rPr>
          <w:rFonts w:ascii="Arial" w:cs="Arial" w:eastAsia="Arial" w:hAnsi="Arial"/>
          <w:sz w:val="16"/>
          <w:szCs w:val="16"/>
          <w:color w:val="auto"/>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subsidiaries' indebtedness could:</w:t>
      </w:r>
    </w:p>
    <w:p>
      <w:pPr>
        <w:spacing w:after="0" w:line="23" w:lineRule="exact"/>
        <w:rPr>
          <w:sz w:val="20"/>
          <w:szCs w:val="20"/>
          <w:color w:val="auto"/>
        </w:rPr>
      </w:pPr>
    </w:p>
    <w:p>
      <w:pPr>
        <w:ind w:left="660" w:right="540" w:hanging="260"/>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their ability to borrow money for working capital, capital expenditures, debt service requirements or other corporate purposes, guarantee additional debt or issue redeemable, convertible of preferred equity;</w:t>
      </w:r>
    </w:p>
    <w:p>
      <w:pPr>
        <w:ind w:left="660" w:right="20" w:hanging="260"/>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their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spacing w:after="0" w:line="1" w:lineRule="exact"/>
        <w:rPr>
          <w:rFonts w:ascii="Arial" w:cs="Arial" w:eastAsia="Arial" w:hAnsi="Arial"/>
          <w:sz w:val="18"/>
          <w:szCs w:val="18"/>
          <w:color w:val="auto"/>
        </w:rPr>
      </w:pPr>
    </w:p>
    <w:p>
      <w:pPr>
        <w:ind w:left="660" w:right="20" w:hanging="260"/>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them to dedicate a substantial portion of its cash flow to payments on indebtedness, which would reduce the amount of cash flow available to fund working capital, capital expenditures, product development, and other corporate requirements;</w:t>
      </w:r>
    </w:p>
    <w:p>
      <w:pPr>
        <w:ind w:left="660" w:hanging="26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their vulnerability to general adverse economic and industry conditions;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their ability to respond to business opportunities.</w:t>
      </w:r>
    </w:p>
    <w:p>
      <w:pPr>
        <w:spacing w:after="0" w:line="103"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Certain of our subsidiaries' indebtedness accrue interest at variable rates. To the extent market interest rates rise, the cost of their debt would increase, adversely affecting their financial condition, results of operations and cash flows.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Certain disruptions in supply of and changes in the competitive environment for raw materials could adversely affect the operating margins and cash flows of certain of our businesses.</w:t>
      </w:r>
    </w:p>
    <w:p>
      <w:pPr>
        <w:spacing w:after="0" w:line="62"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Certain of our subsidiaries purchase a broad range of materials, components, and finished parts and may also use a significant amount of energy, both electricity and natural gas, in the production of its products. A significant disruption in the supply of these materials, supplies, and energy or the failure of a supplier with whom our businesses have established a single source supply relationship could decrease production and shipping levels, materially increase operating costs and materially adversely affect profit margins. Shortages of materials or interruptions in transportation systems, labor strikes, work stoppages, or other interruptions, or difficulties in the employment of labor or transportation in the markets where our businesses purchase material, components, and supplies for the production of products or where the products are produced, distributed or sold, whether as a result of labor strife, war, further acts of terrorism or otherwise, in each case may adversely affect profitability.</w:t>
      </w:r>
    </w:p>
    <w:p>
      <w:pPr>
        <w:spacing w:after="0" w:line="70"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In recent periods there have been significant fluctuations in the prices of aluminum, copper, lead, nickel, platinum, resins, steel, other base metals and energy which have had and may continue to have an unfavorable effect on certain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76" w:right="259" w:bottom="1440" w:gutter="0" w:footer="0" w:header="0"/>
        </w:sectPr>
      </w:pPr>
    </w:p>
    <w:bookmarkStart w:id="27" w:name="page28"/>
    <w:bookmarkEnd w:id="27"/>
    <w:p>
      <w:pPr>
        <w:ind w:right="60"/>
        <w:spacing w:after="0" w:line="272" w:lineRule="auto"/>
        <w:rPr>
          <w:sz w:val="20"/>
          <w:szCs w:val="20"/>
          <w:color w:val="auto"/>
        </w:rPr>
      </w:pPr>
      <w:r>
        <w:rPr>
          <w:rFonts w:ascii="Arial" w:cs="Arial" w:eastAsia="Arial" w:hAnsi="Arial"/>
          <w:sz w:val="17"/>
          <w:szCs w:val="17"/>
          <w:color w:val="auto"/>
        </w:rPr>
        <w:t>businesses. Any continued fluctuations in the price or availability of energy and materials may have an adverse effect on the results of operations or financial condition. To address increased costs associated with these market forces, a number of suppliers have implemented surcharges on existing fixed price contracts. Without the surcharge, some suppliers claim they will be unable to provide adequate supply. Competitive and marketing pressures may limit our subsidiaries' ability to pass some of the supply and material cost increases on to their customers and may prevent them from doing so in the future. Furthermore, the customers are generally not obligated to accept price increases passed on to them. This inability to pass on price increases to customers when material prices increase rapidly or to significantly higher than historic levels could adversely affect operating margins and cash flow, possibly resulting in lower operating income and profitability.</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significant labor dispute involving any of our businesses or one or more of their customers or suppliers or that could otherwise affect our operations could adversely affect our financial performance.</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Automotive and Energy segments,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Federal-Mogul has pension obligations and other post-employment benefits that could adversely affect its operating margins and cash flows.</w:t>
      </w:r>
    </w:p>
    <w:p>
      <w:pPr>
        <w:spacing w:after="0" w:line="14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automotive industry, like other industries, continues to be affected by the rising cost of providing pension and other post-employment benefits. In addition, Federal-Mogul sponsors certain defined benefit plans worldwide that are underfunded and will require cash payments. If the performance of the assets in the pension plans does not meet our expectations, or other actuarial assumptions are modified, Federal-Mogul's required contributions may be higher than it expects.</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highly cyclical nature of certain industries in which we operate, in particular the railcar industry, may result in lower revenues during economic downturns or due to other factors.</w:t>
      </w:r>
    </w:p>
    <w:p>
      <w:pPr>
        <w:spacing w:after="0" w:line="62"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The North American railcar market has been, and our Railcar segment expects it to continue to be, highly cyclical, resulting in volatility in demand for its products and services. Many of our Railcar segment's customers operate in cyclical markets, such as the energy, chemical agricultural, food and construction industries, which are susceptible to macroeconomic downturns. Weakness in certain sectors of the U.S. economy may make it more difficult for our Railcar segment to sell or lease certain types of railcars. The cyclical nature of the railcar industry may result in lower revenues during economic or industry downturns due to decreased demand for both new and replacement railcars and railcar products and lower demand for railcars on lease. Decreased demand could result in lower new railcar volumes for sale and lease, increased downtime, reduced sale prices and/or lease rates, fewer lease renewals and decreased cash flow for our Railcar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76"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and Investment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Enterprises, Icahn Enterprises Holdings and our Investment segment operations are headquartered in New York, New York.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Federal-Mogul's world headquarters is located in Southfield, Michigan, which is leased office space. Federal-Mogul's operations include 256 manufacturing facilities, technical centers, distribution and warehouse centers, and sales and administration office facilities worldwide. Approximately 58% of the facilities are leased; the majority of which are distribution centers and sales and administration offices. Federal-Mogul owns the remainder of the facilities. Federal-Mogul has also invested globally in multiple joint ventures, which have manufacturing locations in Turkey and China. Federal-Mogul believes that substantially all of its facilities are in good condition and have sufficient capacity to meet its current and expected manufacturing and distribution needs.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Automotive</w:t>
      </w:r>
    </w:p>
    <w:p>
      <w:pPr>
        <w:spacing w:after="0" w:line="117"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Icahn Automotive is headquartered in Kennesaw, Georgia, which is leased office space. Icahn Automotive's operations include 2,183 store locations and 27 distributions centers throughout the United States, of which approximately 50% are leased and 40% are franchised. Icahn Automotive owns the remainder of its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21"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CVR Energy is headquartered in Sugar Land, Texas, which is leased office space. Additionally, other administrative office space is leased in Kansas City, Kansas. CVR Energy's operations include owned principal properties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w:t>
            </w: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Acres</w:t>
            </w:r>
          </w:p>
        </w:tc>
        <w:tc>
          <w:tcPr>
            <w:tcW w:w="4780" w:type="dxa"/>
            <w:vAlign w:val="bottom"/>
          </w:tcPr>
          <w:p>
            <w:pPr>
              <w:ind w:left="2240"/>
              <w:spacing w:after="0"/>
              <w:rPr>
                <w:sz w:val="20"/>
                <w:szCs w:val="20"/>
                <w:color w:val="auto"/>
              </w:rPr>
            </w:pPr>
            <w:r>
              <w:rPr>
                <w:rFonts w:ascii="Arial" w:cs="Arial" w:eastAsia="Arial" w:hAnsi="Arial"/>
                <w:sz w:val="18"/>
                <w:szCs w:val="18"/>
                <w:b w:val="1"/>
                <w:bCs w:val="1"/>
                <w:color w:val="auto"/>
              </w:rPr>
              <w:t>Use</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Coffeyville, KS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refinery, fertilizer plant and office buildings</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Wynnewood, OK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400</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Oil refinery, refined oil storage and office buildings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 Dubuque, IL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Fertilizer plant and fertilizer storage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Cushing, OK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138</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Crude oil storage</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Cowley County, KS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storage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Montgomery County, KS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Crude oil storage</w:t>
            </w: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CVR Energy also leases additional crude oil storage facilities in Oklahoma.</w:t>
      </w:r>
    </w:p>
    <w:p>
      <w:pPr>
        <w:spacing w:after="0" w:line="117"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CVR Energy's crude oil storage facilities have a combined capacity of approximately 6.4 million barrels of crude oil. In addition to crude oil storage, CVR Energy owned over 4.6 million barrels of combined refined products and feedstocks storage capacity. CVR Energy's nitrogen fertilizer business has the capacity to store approximately 160,000 tons of UAN and 80,000 tons of ammonia.</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CVR Energy believes that its owned and leased facilities are sufficient for its operating needs.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ARI is headquartered in St. Charles, Missouri, which is leased office space. ARI's operations include owned manufacturing facilities in Paragould Arkansas; Marmaduke, Arkansas; Jackson, Missouri; Kennett, Missouri; and Longview, Texas. ARI's operations also include eight railcar services facilities and eleven mobile repair and mini repair shop facilities where it provides railcar repair and field services. Six of the railcar services facilities are owned and the remaining two are leased.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21"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Tropicana is headquartered in Las Vegas, Nevada, which is leased office space. Tropicana's operations include a diversified, multi-jurisdictional collection of casino gaming properties consisting of eight casino facilities featuring approximately 399,000 square feet of gaming space and 5,800 hotel rooms. The eight casino facilities Tropicana operates include two casinos in Nevada and one in each of Indiana, Louisiana, Mississippi, Missouri, New Jersey and Aruba. In addition, TER owns an idled casino property in Atlantic City, New Jersey.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PSC Metals is headquartered in Mayfield Heights, Ohio, which is leased office space. PSC Metals has additional administrative offices located in Nashville, Tennessee and North Olmsted, Ohio. PSC Metals' operations consist of 31 recycling yards, three secondary plate storage and distribution centers, two secondary pipe storage and distribution centers and two auto parts recycling warehouses located throughout the Midwestern and Southeastern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w:t>
      </w:r>
    </w:p>
    <w:p>
      <w:pPr>
        <w:spacing w:after="0" w:line="121"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Ferrous Resources is headquartered in Belo Horizonte, Brazil, which is a leased office space. Ferrous Resources' operations consist of six iron mineral resource properties in Brazil.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Viskase is headquartered in Lombard, Illinois. Viskase's operations include eleven manufacturing facilities, six distribution centers and three service centers throughout North America, Europe, South America and Asia.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jc w:val="both"/>
        <w:ind w:right="240" w:firstLine="378"/>
        <w:spacing w:after="0" w:line="264" w:lineRule="auto"/>
        <w:rPr>
          <w:sz w:val="20"/>
          <w:szCs w:val="20"/>
          <w:color w:val="auto"/>
        </w:rPr>
      </w:pPr>
      <w:r>
        <w:rPr>
          <w:rFonts w:ascii="Arial" w:cs="Arial" w:eastAsia="Arial" w:hAnsi="Arial"/>
          <w:sz w:val="18"/>
          <w:szCs w:val="18"/>
          <w:color w:val="auto"/>
        </w:rPr>
        <w:t>Our Real Estate segment is headquartered in New York, New York. Our Real Estate segment's operations consist of 12 commercial rental real estate properties in the United States. Our Real Estate segment's operations also include development properties as well as golf and club operations in Cape Cod, Massachusetts and Vero Beach, Florida.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ind w:right="500" w:firstLine="378"/>
        <w:spacing w:after="0" w:line="312" w:lineRule="auto"/>
        <w:rPr>
          <w:sz w:val="20"/>
          <w:szCs w:val="20"/>
          <w:color w:val="auto"/>
        </w:rPr>
      </w:pPr>
      <w:r>
        <w:rPr>
          <w:rFonts w:ascii="Arial" w:cs="Arial" w:eastAsia="Arial" w:hAnsi="Arial"/>
          <w:sz w:val="16"/>
          <w:szCs w:val="16"/>
          <w:color w:val="auto"/>
        </w:rPr>
        <w:t>WPH is headquartered in New York, New York. WPH's operations include a manufacturing and distribution facility in Chipley, Florida and a manufacturing facility in Bahrain, both of which are owned facilities. WPH also owns office and store space in Valley, Alabama and Lumberton, North Carolina where it operates two outlet stores, and leases additional space for stores and office space primarily throughout the southern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our business. We also incorporate by reference into this Part I, Item 3 of this Report, the information regarding the lawsuits and proceedings described and referenced in Note 17, "Commitments and Contingencies," to the consolidated financial statements as set forth in Item 8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26"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20"/>
        <w:spacing w:after="0" w:line="409" w:lineRule="auto"/>
        <w:rPr>
          <w:sz w:val="20"/>
          <w:szCs w:val="20"/>
          <w:color w:val="auto"/>
        </w:rPr>
      </w:pPr>
      <w:r>
        <w:rPr>
          <w:rFonts w:ascii="Arial" w:cs="Arial" w:eastAsia="Arial" w:hAnsi="Arial"/>
          <w:sz w:val="18"/>
          <w:szCs w:val="18"/>
          <w:b w:val="1"/>
          <w:bCs w:val="1"/>
          <w:color w:val="auto"/>
        </w:rPr>
        <w:t xml:space="preserve">Item 5. Market for Registrant's Common Equity, Related Security 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Icahn Enterprises' depositary units are traded on the NASDAQ Global Select Market ("NASDAQ") under the symbol “IEP.” The range of high and low sales prices for our depositary units for each quarter during 2017 and 2016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50.17</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47.06</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51.01</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24"/>
        </w:trPr>
        <w:tc>
          <w:tcPr>
            <w:tcW w:w="9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51.01</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45.42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ind w:right="120" w:firstLine="378"/>
        <w:spacing w:after="0" w:line="308" w:lineRule="auto"/>
        <w:rPr>
          <w:sz w:val="20"/>
          <w:szCs w:val="20"/>
          <w:color w:val="auto"/>
        </w:rPr>
      </w:pPr>
      <w:r>
        <w:rPr>
          <w:rFonts w:ascii="Arial" w:cs="Arial" w:eastAsia="Arial" w:hAnsi="Arial"/>
          <w:sz w:val="17"/>
          <w:szCs w:val="17"/>
          <w:color w:val="auto"/>
        </w:rPr>
        <w:t>As of December 31, 2017, there were approximately 2,094 record holders of Icahn Enterprises' depositary units including multiple beneficial holders at depositories, banks and brokers listed as a single record holder in the street name of each respective depository, bank or broker.</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repurchases of Icahn Enterprises' depositary units during 2017 or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378"/>
        <w:spacing w:after="0" w:line="254" w:lineRule="auto"/>
        <w:rPr>
          <w:sz w:val="20"/>
          <w:szCs w:val="20"/>
          <w:color w:val="auto"/>
        </w:rPr>
      </w:pPr>
      <w:r>
        <w:rPr>
          <w:rFonts w:ascii="Arial" w:cs="Arial" w:eastAsia="Arial" w:hAnsi="Arial"/>
          <w:sz w:val="18"/>
          <w:szCs w:val="18"/>
          <w:color w:val="auto"/>
        </w:rPr>
        <w:t>On February 27, 2018, the Board of Directors of the general partner of Icahn Enterprises declared a quarterly distribution in the amount of $1.75 per depositary unit, which will be paid on or about April 16, 2018 to depositary unitholders of record at the close of business on March 12, 2018. Depositary unitholders will have until April 5, 2018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5 consecutive trading days ending April 12, 2018.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During each of 2017 and 2016,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w:t>
      </w:r>
    </w:p>
    <w:p>
      <w:pPr>
        <w:spacing w:after="0" w:line="73" w:lineRule="exact"/>
        <w:rPr>
          <w:sz w:val="20"/>
          <w:szCs w:val="20"/>
          <w:color w:val="auto"/>
        </w:rPr>
      </w:pPr>
    </w:p>
    <w:p>
      <w:pPr>
        <w:ind w:right="240" w:firstLine="378"/>
        <w:spacing w:after="0" w:line="312" w:lineRule="auto"/>
        <w:rPr>
          <w:sz w:val="20"/>
          <w:szCs w:val="20"/>
          <w:color w:val="auto"/>
        </w:rPr>
      </w:pPr>
      <w:r>
        <w:rPr>
          <w:rFonts w:ascii="Arial" w:cs="Arial" w:eastAsia="Arial" w:hAnsi="Arial"/>
          <w:sz w:val="16"/>
          <w:szCs w:val="16"/>
          <w:color w:val="auto"/>
        </w:rPr>
        <w:t>During 2017 and 2016, Mr. Icahn and his affiliates elected to receive their proportionate share of these distributions in depositary units. Mr. Icahn and his affiliates owned approximately 91.0% of Icahn Enterprises' outstanding depositary units as of December 31, 2017. Mr. Icahn and his affiliates have indicated that it is their present intention to elect to receive a majority of their proportionate share of future distributions in depositary units.</w:t>
      </w:r>
    </w:p>
    <w:p>
      <w:pPr>
        <w:spacing w:after="0" w:line="39"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the ratio of current assets to current liabilities, our expected capital and liquidity requirements, the provisions of our partnership agreement and provisions in our financing arrangements governing distributions, including the indentures governing the senior notes,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Rights Offering</w:t>
      </w:r>
    </w:p>
    <w:p>
      <w:pPr>
        <w:spacing w:after="0" w:line="117"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color w:val="auto"/>
        </w:rPr>
        <w:t>In January 2017, Icahn Enterprises commenced a rights offering entitling holders of the rights to acquire newly issued depository units of Icahn Enterprises. The rights offering, which expired on February 22, 2017, was fully subscribed with total basic subscription rights and over-subscription rights being exercised resulting in a total of 11,171,104 depositary units issued on March 1, 2017 for aggregate proceeds of $600 million. Affiliates of Mr. Icahn fully exercised all of the basic subscription rights and over-subscription rights allocated to them in the rights offering aggregating 10,525,105 additional depositary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During the first quarter of 2017, the board of directors of the general partner of Icahn Enterprises unanimously approved and adopted the Icahn Enterprises L.P. 2017 Long Term Incentive Plan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are initially available under the 2017 Incentive Plan. During the year ended December 31, 2017, Icahn Enterprises distributed 7,902 depositary units with respect to the 2017 Incentive Plan.</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7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firstLine="378"/>
        <w:spacing w:after="0" w:line="284" w:lineRule="auto"/>
        <w:rPr>
          <w:sz w:val="20"/>
          <w:szCs w:val="20"/>
          <w:color w:val="auto"/>
        </w:rPr>
      </w:pPr>
      <w:r>
        <w:rPr>
          <w:rFonts w:ascii="Arial" w:cs="Arial" w:eastAsia="Arial" w:hAnsi="Arial"/>
          <w:sz w:val="16"/>
          <w:szCs w:val="16"/>
          <w:color w:val="auto"/>
        </w:rPr>
        <w:t>The following tables contain our selected historical consolidated financial data, which should be read in conjunction with our consolidated financial statements and the related notes thereto, and Management's Discussion and Analysis of Financial Condition and Results of Operations contained in this Report. The selected financial data as of December 31, 2017 and 2016 and for the years ended December 31, 2017, 2016 and 2015 have been derived from our audited consolidated financial statements at those dates and for those periods, contained elsewhere in this Report. The historical selected financial data as of December 31, 2015, 2014 and 2013 and for the years ended December 31, 2014 and 2013 have been derived from our audited consolidated financial statements at those dates and for those periods, not contained in this Report. The comparability of our selected financial data presented below is affected by, among other factors, (i) the performance of the Investment Funds, (ii) various acquisitions, primarily in our Automotive segment during 2017, 2016 and 2015,</w:t>
      </w:r>
    </w:p>
    <w:p>
      <w:pPr>
        <w:spacing w:after="0" w:line="3" w:lineRule="exact"/>
        <w:rPr>
          <w:sz w:val="20"/>
          <w:szCs w:val="20"/>
          <w:color w:val="auto"/>
        </w:rPr>
      </w:pPr>
    </w:p>
    <w:p>
      <w:pPr>
        <w:ind w:right="220" w:firstLine="8"/>
        <w:spacing w:after="0" w:line="261"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primarily in our Railcar, Gaming and Real Estate segments in 2017 (iv) impairment charges and (v) the enactment of tax legislation in the United States in 2017.</w:t>
      </w:r>
    </w:p>
    <w:p>
      <w:pPr>
        <w:sectPr>
          <w:pgSz w:w="11900" w:h="16838" w:orient="portrait"/>
          <w:cols w:equalWidth="0" w:num="1">
            <w:col w:w="11420"/>
          </w:cols>
          <w:pgMar w:left="240" w:top="364" w:right="239" w:bottom="1440" w:gutter="0" w:footer="0" w:header="0"/>
        </w:sectPr>
      </w:pPr>
    </w:p>
    <w:p>
      <w:pPr>
        <w:spacing w:after="0" w:line="297"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23495</wp:posOffset>
            </wp:positionV>
            <wp:extent cx="2830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9" w:lineRule="exact"/>
        <w:rPr>
          <w:sz w:val="20"/>
          <w:szCs w:val="20"/>
          <w:color w:val="auto"/>
        </w:rPr>
      </w:pPr>
    </w:p>
    <w:p>
      <w:pPr>
        <w:jc w:val="center"/>
        <w:ind w:left="17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31115</wp:posOffset>
            </wp:positionV>
            <wp:extent cx="28301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31115</wp:posOffset>
            </wp:positionV>
            <wp:extent cx="2718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31115</wp:posOffset>
            </wp:positionV>
            <wp:extent cx="2718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7520" w:space="720"/>
            <w:col w:w="318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8"/>
          </w:tcPr>
          <w:p>
            <w:pPr>
              <w:ind w:left="180"/>
              <w:spacing w:after="0"/>
              <w:rPr>
                <w:sz w:val="20"/>
                <w:szCs w:val="20"/>
                <w:color w:val="auto"/>
              </w:rPr>
            </w:pPr>
            <w:r>
              <w:rPr>
                <w:rFonts w:ascii="Arial" w:cs="Arial" w:eastAsia="Arial" w:hAnsi="Arial"/>
                <w:sz w:val="14"/>
                <w:szCs w:val="14"/>
                <w:color w:val="auto"/>
              </w:rPr>
              <w:t>(in millions, except per unit data)</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17,785</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Other revenues from operations</w:t>
            </w: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 (loss) from investment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Gain (loss) on disposition of assets</w:t>
            </w: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2,444</w:t>
            </w:r>
          </w:p>
        </w:tc>
        <w:tc>
          <w:tcPr>
            <w:tcW w:w="0" w:type="dxa"/>
            <w:vAlign w:val="bottom"/>
          </w:tcPr>
          <w:p>
            <w:pPr>
              <w:spacing w:after="0"/>
              <w:rPr>
                <w:sz w:val="1"/>
                <w:szCs w:val="1"/>
                <w:color w:val="auto"/>
              </w:rPr>
            </w:pPr>
          </w:p>
        </w:tc>
      </w:tr>
      <w:tr>
        <w:trPr>
          <w:trHeight w:val="157"/>
        </w:trPr>
        <w:tc>
          <w:tcPr>
            <w:tcW w:w="2380" w:type="dxa"/>
            <w:vAlign w:val="bottom"/>
          </w:tcPr>
          <w:p>
            <w:pPr>
              <w:ind w:left="40"/>
              <w:spacing w:after="0" w:line="157" w:lineRule="exact"/>
              <w:rPr>
                <w:sz w:val="20"/>
                <w:szCs w:val="20"/>
                <w:color w:val="auto"/>
              </w:rPr>
            </w:pPr>
            <w:r>
              <w:rPr>
                <w:rFonts w:ascii="Arial" w:cs="Arial" w:eastAsia="Arial" w:hAnsi="Arial"/>
                <w:sz w:val="14"/>
                <w:szCs w:val="14"/>
                <w:color w:val="auto"/>
                <w:w w:val="98"/>
              </w:rPr>
              <w:t>Less: Net income (loss) attributable to</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Net income (loss) attributable to Icahn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Enterprises/Icahn Enterprises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2,430</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1,025</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Holdings</w:t>
            </w: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40"/>
              <w:spacing w:after="0" w:line="151" w:lineRule="exact"/>
              <w:rPr>
                <w:sz w:val="20"/>
                <w:szCs w:val="20"/>
                <w:color w:val="auto"/>
              </w:rPr>
            </w:pPr>
            <w:r>
              <w:rPr>
                <w:rFonts w:ascii="Arial" w:cs="Arial" w:eastAsia="Arial" w:hAnsi="Arial"/>
                <w:sz w:val="14"/>
                <w:szCs w:val="14"/>
                <w:color w:val="auto"/>
                <w:w w:val="98"/>
              </w:rPr>
              <w:t>Net income (loss) attributable to Icahn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Enterprises/Icahn Enterprises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120"/>
              <w:spacing w:after="0"/>
              <w:rPr>
                <w:sz w:val="20"/>
                <w:szCs w:val="20"/>
                <w:color w:val="auto"/>
              </w:rPr>
            </w:pPr>
            <w:r>
              <w:rPr>
                <w:rFonts w:ascii="Arial" w:cs="Arial" w:eastAsia="Arial" w:hAnsi="Arial"/>
                <w:sz w:val="14"/>
                <w:szCs w:val="14"/>
                <w:color w:val="auto"/>
              </w:rPr>
              <w:t>Holdings allocable to:</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Limited partners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General partner</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income (loss) per LP unit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8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Basic weighted average LP units</w:t>
            </w: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income (loss) per LP unit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38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Diluted weighted average LP units</w:t>
            </w: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6"/>
              </w:rPr>
              <w:t>Cash distributions declared per LP unit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23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center"/>
              <w:ind w:right="188"/>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2013</w:t>
            </w:r>
          </w:p>
        </w:tc>
      </w:tr>
      <w:tr>
        <w:trPr>
          <w:trHeight w:val="250"/>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1,682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2,078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3,257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1,682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2,078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2,908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3,257</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10,369</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9,881</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15,351</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14,480</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10,369</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9,881</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15,351</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14,480</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12,261</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9,701</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10,122</w:t>
            </w:r>
          </w:p>
        </w:tc>
        <w:tc>
          <w:tcPr>
            <w:tcW w:w="320" w:type="dxa"/>
            <w:vAlign w:val="bottom"/>
          </w:tcPr>
          <w:p>
            <w:pPr>
              <w:spacing w:after="0"/>
              <w:rPr>
                <w:sz w:val="22"/>
                <w:szCs w:val="22"/>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9,535</w:t>
            </w:r>
          </w:p>
        </w:tc>
        <w:tc>
          <w:tcPr>
            <w:tcW w:w="22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8,955</w:t>
            </w:r>
          </w:p>
        </w:tc>
        <w:tc>
          <w:tcPr>
            <w:tcW w:w="2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8,077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9,701</w:t>
            </w:r>
          </w:p>
        </w:tc>
        <w:tc>
          <w:tcPr>
            <w:tcW w:w="2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10,122</w:t>
            </w:r>
          </w:p>
        </w:tc>
        <w:tc>
          <w:tcPr>
            <w:tcW w:w="280" w:type="dxa"/>
            <w:vAlign w:val="bottom"/>
          </w:tcPr>
          <w:p>
            <w:pPr>
              <w:spacing w:after="0"/>
              <w:rPr>
                <w:sz w:val="22"/>
                <w:szCs w:val="22"/>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9,535</w:t>
            </w: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8,955</w:t>
            </w:r>
          </w:p>
        </w:tc>
        <w:tc>
          <w:tcPr>
            <w:tcW w:w="2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8,077</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31,801</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33,371</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36,407</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35,743</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31,833</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33,399</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36,434</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35,769</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31,723</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Deferred tax liability</w:t>
            </w: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924</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1,613</w:t>
            </w:r>
          </w:p>
        </w:tc>
        <w:tc>
          <w:tcPr>
            <w:tcW w:w="320" w:type="dxa"/>
            <w:vAlign w:val="bottom"/>
          </w:tcPr>
          <w:p>
            <w:pPr>
              <w:spacing w:after="0"/>
              <w:rPr>
                <w:sz w:val="22"/>
                <w:szCs w:val="22"/>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1,201</w:t>
            </w:r>
          </w:p>
        </w:tc>
        <w:tc>
          <w:tcPr>
            <w:tcW w:w="22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1,255</w:t>
            </w:r>
          </w:p>
        </w:tc>
        <w:tc>
          <w:tcPr>
            <w:tcW w:w="2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924</w:t>
            </w:r>
          </w:p>
        </w:tc>
        <w:tc>
          <w:tcPr>
            <w:tcW w:w="2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1,613</w:t>
            </w:r>
          </w:p>
        </w:tc>
        <w:tc>
          <w:tcPr>
            <w:tcW w:w="280" w:type="dxa"/>
            <w:vAlign w:val="bottom"/>
          </w:tcPr>
          <w:p>
            <w:pPr>
              <w:spacing w:after="0"/>
              <w:rPr>
                <w:sz w:val="22"/>
                <w:szCs w:val="22"/>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1,201</w:t>
            </w: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1,255</w:t>
            </w:r>
          </w:p>
        </w:tc>
        <w:tc>
          <w:tcPr>
            <w:tcW w:w="2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1,394</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to brokers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1,057</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3,725</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7,317</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5,197</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3,725</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7,317</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5,197</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2,203</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Post-employment benefit liability</w:t>
            </w: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1,159</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1,180</w:t>
            </w:r>
          </w:p>
        </w:tc>
        <w:tc>
          <w:tcPr>
            <w:tcW w:w="320" w:type="dxa"/>
            <w:vAlign w:val="bottom"/>
          </w:tcPr>
          <w:p>
            <w:pPr>
              <w:spacing w:after="0"/>
              <w:rPr>
                <w:sz w:val="22"/>
                <w:szCs w:val="22"/>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1,224</w:t>
            </w:r>
          </w:p>
        </w:tc>
        <w:tc>
          <w:tcPr>
            <w:tcW w:w="22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1,391</w:t>
            </w:r>
          </w:p>
        </w:tc>
        <w:tc>
          <w:tcPr>
            <w:tcW w:w="2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2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1,180</w:t>
            </w:r>
          </w:p>
        </w:tc>
        <w:tc>
          <w:tcPr>
            <w:tcW w:w="280" w:type="dxa"/>
            <w:vAlign w:val="bottom"/>
          </w:tcPr>
          <w:p>
            <w:pPr>
              <w:spacing w:after="0"/>
              <w:rPr>
                <w:sz w:val="22"/>
                <w:szCs w:val="22"/>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1,224</w:t>
            </w: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1,391</w:t>
            </w:r>
          </w:p>
        </w:tc>
        <w:tc>
          <w:tcPr>
            <w:tcW w:w="2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1,111</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11,185</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11,119</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12,594</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11,541</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11,190</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11,122</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12,597</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11,544</w:t>
            </w: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9,251</w:t>
            </w:r>
          </w:p>
        </w:tc>
      </w:tr>
      <w:tr>
        <w:trPr>
          <w:trHeight w:val="157"/>
        </w:trPr>
        <w:tc>
          <w:tcPr>
            <w:tcW w:w="2380" w:type="dxa"/>
            <w:vAlign w:val="bottom"/>
          </w:tcPr>
          <w:p>
            <w:pPr>
              <w:ind w:left="40"/>
              <w:spacing w:after="0" w:line="157" w:lineRule="exact"/>
              <w:rPr>
                <w:sz w:val="20"/>
                <w:szCs w:val="20"/>
                <w:color w:val="auto"/>
              </w:rPr>
            </w:pPr>
            <w:r>
              <w:rPr>
                <w:rFonts w:ascii="Arial" w:cs="Arial" w:eastAsia="Arial" w:hAnsi="Arial"/>
                <w:sz w:val="14"/>
                <w:szCs w:val="14"/>
                <w:color w:val="auto"/>
              </w:rPr>
              <w:t>Equity attributable to Icahn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Enterprises/Icahn Enterprises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2"/>
        </w:trPr>
        <w:tc>
          <w:tcPr>
            <w:tcW w:w="2380" w:type="dxa"/>
            <w:vAlign w:val="bottom"/>
          </w:tcPr>
          <w:p>
            <w:pPr>
              <w:ind w:left="12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5,106</w:t>
            </w:r>
          </w:p>
        </w:tc>
        <w:tc>
          <w:tcPr>
            <w:tcW w:w="28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2,154</w:t>
            </w:r>
          </w:p>
        </w:tc>
        <w:tc>
          <w:tcPr>
            <w:tcW w:w="32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3,987</w:t>
            </w:r>
          </w:p>
        </w:tc>
        <w:tc>
          <w:tcPr>
            <w:tcW w:w="2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5,443</w:t>
            </w:r>
          </w:p>
        </w:tc>
        <w:tc>
          <w:tcPr>
            <w:tcW w:w="26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5,133</w:t>
            </w:r>
          </w:p>
        </w:tc>
        <w:tc>
          <w:tcPr>
            <w:tcW w:w="26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2,179</w:t>
            </w:r>
          </w:p>
        </w:tc>
        <w:tc>
          <w:tcPr>
            <w:tcW w:w="28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4,011</w:t>
            </w:r>
          </w:p>
        </w:tc>
        <w:tc>
          <w:tcPr>
            <w:tcW w:w="1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5,466</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6,114</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6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Railcar, Gaming,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Significant transactions and developments affecting our results of operations and liquidity for the year ended December 31, 2017 are summarized as follows:</w:t>
      </w:r>
    </w:p>
    <w:p>
      <w:pPr>
        <w:spacing w:after="0" w:line="6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Dispositions of Assets. </w:t>
      </w:r>
      <w:r>
        <w:rPr>
          <w:rFonts w:ascii="Arial" w:cs="Arial" w:eastAsia="Arial" w:hAnsi="Arial"/>
          <w:sz w:val="16"/>
          <w:szCs w:val="16"/>
          <w:color w:val="auto"/>
        </w:rPr>
        <w:t>During the year ended December 31, 2017, we sold American Railcar Leasing, LLC ("ARL") and its lease fleet of more than 34,000</w:t>
      </w:r>
      <w:r>
        <w:rPr>
          <w:rFonts w:ascii="Arial" w:cs="Arial" w:eastAsia="Arial" w:hAnsi="Arial"/>
          <w:sz w:val="16"/>
          <w:szCs w:val="16"/>
          <w:i w:val="1"/>
          <w:iCs w:val="1"/>
          <w:color w:val="auto"/>
        </w:rPr>
        <w:t xml:space="preserve"> </w:t>
      </w:r>
      <w:r>
        <w:rPr>
          <w:rFonts w:ascii="Arial" w:cs="Arial" w:eastAsia="Arial" w:hAnsi="Arial"/>
          <w:sz w:val="16"/>
          <w:szCs w:val="16"/>
          <w:color w:val="auto"/>
        </w:rPr>
        <w:t>railcars. Aggregate net proceeds from these transactions were approximately $1.8 billion, resulting in an aggregate pretax gain on disposition of assets of approximately $1.7 billion recorded by our Railcar segment. Additionally, during 2017, our Real Estate segment sold a development property in Las Vegas Nevada for $600 million, including cash proceeds from the sale of $225 million and two tranches of seller financing totaling $375 million, and resulting in a pretax gain on disposition of assets of $456 million recorded by our Real Estate segment. Our Real Estate segment also sold additional properties during 2017, primarily within its rental operations, resulting in an additional pretax gain on disposition of assets aggregating $40 million.</w:t>
      </w:r>
    </w:p>
    <w:p>
      <w:pPr>
        <w:spacing w:after="0" w:line="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Enactment of Tax Legislation. </w:t>
      </w:r>
      <w:r>
        <w:rPr>
          <w:rFonts w:ascii="Arial" w:cs="Arial" w:eastAsia="Arial" w:hAnsi="Arial"/>
          <w:sz w:val="18"/>
          <w:szCs w:val="18"/>
          <w:color w:val="auto"/>
        </w:rPr>
        <w:t>In December 2017, tax legislation was enacted in the United States, significantly revising certain U.S. corporate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including a reduction of the U.S. corporate tax rate from 35% to 21% and the imposition of a deemed repatriation tax on unremitted foreign earnings, among other items.</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Icahn Enterprises Rights Offering. </w:t>
      </w:r>
      <w:r>
        <w:rPr>
          <w:rFonts w:ascii="Arial" w:cs="Arial" w:eastAsia="Arial" w:hAnsi="Arial"/>
          <w:sz w:val="18"/>
          <w:szCs w:val="18"/>
          <w:color w:val="auto"/>
        </w:rPr>
        <w:t>In January 2017, Icahn Enterprises commenced a rights offering entitling holders of the rights to acquire newly issued</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units of Icahn Enterprises, resulting in aggregate proceeds of $600 million.</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Investment in Investment Funds. </w:t>
      </w:r>
      <w:r>
        <w:rPr>
          <w:rFonts w:ascii="Arial" w:cs="Arial" w:eastAsia="Arial" w:hAnsi="Arial"/>
          <w:sz w:val="18"/>
          <w:szCs w:val="18"/>
          <w:color w:val="auto"/>
        </w:rPr>
        <w:t>During the year ended December 31, 2017, our Holding Company invested an additional $1.3 billion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Funds, net of redemptions.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Refinancing of Senior Unsecured Notes. </w:t>
      </w:r>
      <w:r>
        <w:rPr>
          <w:rFonts w:ascii="Arial" w:cs="Arial" w:eastAsia="Arial" w:hAnsi="Arial"/>
          <w:sz w:val="18"/>
          <w:szCs w:val="18"/>
          <w:color w:val="auto"/>
        </w:rPr>
        <w:t>During the year ended December 31, 2017, we issued approximately $2.5 billion in aggregate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senior unsecured notes to refinance our existing senior unsecured notes due 2017 and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Results of operations for our operating businesses primarily consist of net sales of various products, services revenue, casino related operations and leasing of certain assets.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 addition to the summarized financial results below, refer to Note 13, "Segment and Geographic Reporting," to the consolidated financial statements for a reconciliation of each of our reporting segment's results of operations to our consolidated results.</w:t>
      </w:r>
    </w:p>
    <w:p>
      <w:pPr>
        <w:spacing w:after="0" w:line="57" w:lineRule="exact"/>
        <w:rPr>
          <w:sz w:val="20"/>
          <w:szCs w:val="20"/>
          <w:color w:val="auto"/>
        </w:rPr>
      </w:pPr>
    </w:p>
    <w:p>
      <w:pPr>
        <w:ind w:right="80" w:firstLine="378"/>
        <w:spacing w:after="0" w:line="279" w:lineRule="auto"/>
        <w:rPr>
          <w:sz w:val="20"/>
          <w:szCs w:val="20"/>
          <w:color w:val="auto"/>
        </w:rPr>
      </w:pPr>
      <w:r>
        <w:rPr>
          <w:rFonts w:ascii="Arial" w:cs="Arial" w:eastAsia="Arial" w:hAnsi="Arial"/>
          <w:sz w:val="17"/>
          <w:szCs w:val="17"/>
          <w:color w:val="auto"/>
        </w:rPr>
        <w:t>The comparability of our summarized consolidated financial results presented below is affected by, among other factors, (i) the performance of the Investment Funds, (ii) various acquisitions, primarily in our Automotive segment during 2017, 2016 and 2015, (iii) dispositions of assets, primarily in our Railcar, Gaming and Real Estate segments in 2017, (iv) impairment charges and (v) the enactment of tax legislation in the United States in 2017. Refer to our respective segment discussions and "Other Consolidated Results of Operations," below for further discussion.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1"/>
              </w:rPr>
              <w:t>Net Income (Loss) Attributable to</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89"/>
              </w:rPr>
              <w:t>Net Income (Loss)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1"/>
              </w:rPr>
              <w:t>Icahn Enterprises</w:t>
            </w:r>
          </w:p>
        </w:tc>
        <w:tc>
          <w:tcPr>
            <w:tcW w:w="76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10,528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Railcar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Gaming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7"/>
        </w:trPr>
        <w:tc>
          <w:tcPr>
            <w:tcW w:w="2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16,348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(the "Investment Funds"). As of December 31, 2017 and 2016, we had investments with a fair market value of approximately $3.0 billion and $1.7 billion, respectively, in the Investment Funds. As of December 31, 2017 and 2016, the total fair market value of investments in the Investment Funds made by Mr. Icahn and his affiliates (excluding us) was approximately $4.4 billion and $3.7 billion, respectively.</w:t>
      </w:r>
    </w:p>
    <w:p>
      <w:pPr>
        <w:spacing w:after="0" w:line="79"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Our Investment segment's results of operations are reflected in net income (loss) on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5" w:name="page36"/>
    <w:bookmarkEnd w:id="35"/>
    <w:p>
      <w:pPr>
        <w:jc w:val="both"/>
        <w:ind w:right="160" w:firstLine="378"/>
        <w:spacing w:after="0" w:line="264" w:lineRule="auto"/>
        <w:rPr>
          <w:sz w:val="20"/>
          <w:szCs w:val="20"/>
          <w:color w:val="auto"/>
        </w:rPr>
      </w:pPr>
      <w:r>
        <w:rPr>
          <w:rFonts w:ascii="Arial" w:cs="Arial" w:eastAsia="Arial" w:hAnsi="Arial"/>
          <w:sz w:val="18"/>
          <w:szCs w:val="18"/>
          <w:color w:val="auto"/>
        </w:rPr>
        <w:t>For the years ended December 31, 2017, 2016 and 2015, our Investment Funds' returns were 2.1%, (20.3)% and (18.0)%, respectively. Our Investment Funds' returns represent a weighted-average composite of the average returns, net of expenses. The following table sets forth the performance attribution for the Investment Funds' returns: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500" w:type="dxa"/>
            <w:vAlign w:val="bottom"/>
            <w:gridSpan w:val="5"/>
          </w:tcPr>
          <w:p>
            <w:pPr>
              <w:ind w:left="1320"/>
              <w:spacing w:after="0"/>
              <w:rPr>
                <w:sz w:val="20"/>
                <w:szCs w:val="20"/>
                <w:color w:val="auto"/>
              </w:rPr>
            </w:pPr>
            <w:r>
              <w:rPr>
                <w:rFonts w:ascii="Arial" w:cs="Arial" w:eastAsia="Arial" w:hAnsi="Arial"/>
                <w:sz w:val="18"/>
                <w:szCs w:val="18"/>
                <w:b w:val="1"/>
                <w:bCs w:val="1"/>
                <w:color w:val="auto"/>
                <w:w w:val="97"/>
              </w:rPr>
              <w:t>Year Ended December 31,</w:t>
            </w:r>
          </w:p>
        </w:tc>
        <w:tc>
          <w:tcPr>
            <w:tcW w:w="11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6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6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8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8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net income (loss) for our Investment segment for the years ended December 31, 2017, 2016 and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 2017, the Investment Funds' positive performance was driven by net gains in their long positions, offset in part by net losses in their short positions. The positive performance of our Investment segment's long positions was driven by gains from two consumer, non-cyclical sector investments, a basic materials sector investment and an energy sector investment aggregating approximately $1.5 billion. The aggregate performance of investments with gains across various other sectors accounted for the additional positive performance of our Investment segment's long positions, offset in part by the aggregate performance of investments with losses in the financial sector. Losses in short positions were attributable to the negative performance of broad market hedges of approximately $2.1 billion and the negative performance of various other short positions across multiple sectors. Losses in short positions were offset in part by the positive performance of three short positions in the consumer, cyclical sector aggregating $620 million.</w:t>
      </w:r>
    </w:p>
    <w:p>
      <w:pPr>
        <w:spacing w:after="0" w:line="59" w:lineRule="exact"/>
        <w:rPr>
          <w:sz w:val="20"/>
          <w:szCs w:val="20"/>
          <w:color w:val="auto"/>
        </w:rPr>
      </w:pPr>
    </w:p>
    <w:p>
      <w:pPr>
        <w:ind w:right="2220" w:firstLine="378"/>
        <w:spacing w:after="0" w:line="291" w:lineRule="auto"/>
        <w:rPr>
          <w:sz w:val="20"/>
          <w:szCs w:val="20"/>
          <w:color w:val="auto"/>
        </w:rPr>
      </w:pPr>
      <w:r>
        <w:rPr>
          <w:rFonts w:ascii="Arial" w:cs="Arial" w:eastAsia="Arial" w:hAnsi="Arial"/>
          <w:sz w:val="16"/>
          <w:szCs w:val="16"/>
          <w:color w:val="auto"/>
        </w:rPr>
        <w:t>For 2016, the Investment Funds' negative performance was driven by net losses in their short positions, offset in part by net gains in their long positions. Losses in short positions were attributable to the negative performance of broad market hedges</w:t>
      </w:r>
    </w:p>
    <w:p>
      <w:pPr>
        <w:ind w:right="120"/>
        <w:spacing w:after="0" w:line="254" w:lineRule="auto"/>
        <w:rPr>
          <w:sz w:val="20"/>
          <w:szCs w:val="20"/>
          <w:color w:val="auto"/>
        </w:rPr>
      </w:pPr>
      <w:r>
        <w:rPr>
          <w:rFonts w:ascii="Arial" w:cs="Arial" w:eastAsia="Arial" w:hAnsi="Arial"/>
          <w:sz w:val="18"/>
          <w:szCs w:val="18"/>
          <w:color w:val="auto"/>
        </w:rPr>
        <w:t>of approximately $1.5 billion, as well as the negative performance of other short positions, primarily in the consumer, cyclical sector. The positive performance of our Investment segment's long positions was driven by gains from a certain basic materials sector investment of $561 million. The aggregate performance of investments with gains across various other sectors were offset by the aggregate performance of investments with losses primarily in the technology and consumer non-cyclical sectors.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2220" w:firstLine="378"/>
        <w:spacing w:after="0" w:line="291" w:lineRule="auto"/>
        <w:rPr>
          <w:sz w:val="20"/>
          <w:szCs w:val="20"/>
          <w:color w:val="auto"/>
        </w:rPr>
      </w:pPr>
      <w:r>
        <w:rPr>
          <w:rFonts w:ascii="Arial" w:cs="Arial" w:eastAsia="Arial" w:hAnsi="Arial"/>
          <w:sz w:val="16"/>
          <w:szCs w:val="16"/>
          <w:color w:val="auto"/>
        </w:rPr>
        <w:t>For 2016, the Investment Funds' negative performance was driven by net losses in their short positions, offset in part by net gains in their long positions. Losses in short positions were attributable to the negative performance of broad market hedges</w:t>
      </w:r>
    </w:p>
    <w:p>
      <w:pPr>
        <w:ind w:right="120"/>
        <w:spacing w:after="0" w:line="254" w:lineRule="auto"/>
        <w:rPr>
          <w:sz w:val="20"/>
          <w:szCs w:val="20"/>
          <w:color w:val="auto"/>
        </w:rPr>
      </w:pPr>
      <w:r>
        <w:rPr>
          <w:rFonts w:ascii="Arial" w:cs="Arial" w:eastAsia="Arial" w:hAnsi="Arial"/>
          <w:sz w:val="18"/>
          <w:szCs w:val="18"/>
          <w:color w:val="auto"/>
        </w:rPr>
        <w:t>of approximately $1.5 billion, as well as the negative performance of other short positions, primarily in the consumer, cyclical sector. The positive performance of our Investment segment's long positions was driven by gains from a certain basic materials sector investment of $561 million. The aggregate performance of investments with gains across various other sectors were offset by the aggregate performance of investments with losses primarily in the technology and consumer non-cyclical sectors.</w:t>
      </w:r>
    </w:p>
    <w:p>
      <w:pPr>
        <w:spacing w:after="0" w:line="82" w:lineRule="exact"/>
        <w:rPr>
          <w:sz w:val="20"/>
          <w:szCs w:val="20"/>
          <w:color w:val="auto"/>
        </w:rPr>
      </w:pPr>
    </w:p>
    <w:p>
      <w:pPr>
        <w:ind w:right="120" w:firstLine="378"/>
        <w:spacing w:after="0" w:line="312" w:lineRule="auto"/>
        <w:rPr>
          <w:sz w:val="20"/>
          <w:szCs w:val="20"/>
          <w:color w:val="auto"/>
        </w:rPr>
      </w:pPr>
      <w:r>
        <w:rPr>
          <w:rFonts w:ascii="Arial" w:cs="Arial" w:eastAsia="Arial" w:hAnsi="Arial"/>
          <w:sz w:val="16"/>
          <w:szCs w:val="16"/>
          <w:color w:val="auto"/>
        </w:rPr>
        <w:t>For 2015, the Investment Funds' negative performance was driven by net losses in their long positions. The negative performance of our Investment segment's long positions was driven by losses from two energy sector investments and a certain basic materials sector investment aggregating approximately $2.0 billion. This was offset in part by the performance of investments with gains primarily in the communications and consumer, non-cyclical sectors.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160" w:firstLine="378"/>
        <w:spacing w:after="0" w:line="272" w:lineRule="auto"/>
        <w:rPr>
          <w:sz w:val="20"/>
          <w:szCs w:val="20"/>
          <w:color w:val="auto"/>
        </w:rPr>
      </w:pPr>
      <w:r>
        <w:rPr>
          <w:rFonts w:ascii="Arial" w:cs="Arial" w:eastAsia="Arial" w:hAnsi="Arial"/>
          <w:sz w:val="17"/>
          <w:szCs w:val="17"/>
          <w:color w:val="auto"/>
        </w:rPr>
        <w:t>Our Automotive segment's results of operations are generally driven by the manufacturing and distribution of automotive parts and are affected by the relative strength of global vehicle production levels, global vehicle sales levels, automotive part replacement trends, geopolitical risk and foreign currencies, among other factors. Acquisitions in recent years within our Automotive segment, including our acquisitions of IEH Auto Parts Holding LLC ("IEH Auto") and TRW's valvetrain business in 2015, The Pep Boys - Manny, Moe &amp; Jack ("Pep Boys") in 2016, the franchise businesses of Precision Tune Auto Care ("Precision Tune") and American Driveline Systems, the franchisor of AAMCO and Cottman Transmission service centers ("American Driveline"), in 2017 and various other businesses in recent years, provided operating synergies, added new product lines, strengthened distribution channels and enhanced our Automotive segment's ability to better service its customers.</w:t>
      </w:r>
    </w:p>
    <w:p>
      <w:pPr>
        <w:spacing w:after="0" w:line="70" w:lineRule="exact"/>
        <w:rPr>
          <w:sz w:val="20"/>
          <w:szCs w:val="20"/>
          <w:color w:val="auto"/>
        </w:rPr>
      </w:pPr>
    </w:p>
    <w:p>
      <w:pPr>
        <w:ind w:right="180" w:firstLine="378"/>
        <w:spacing w:after="0" w:line="302" w:lineRule="auto"/>
        <w:rPr>
          <w:sz w:val="20"/>
          <w:szCs w:val="20"/>
          <w:color w:val="auto"/>
        </w:rPr>
      </w:pPr>
      <w:r>
        <w:rPr>
          <w:rFonts w:ascii="Arial" w:cs="Arial" w:eastAsia="Arial" w:hAnsi="Arial"/>
          <w:sz w:val="16"/>
          <w:szCs w:val="16"/>
          <w:color w:val="auto"/>
        </w:rPr>
        <w:t>With our acquisition of Pep Boys in 2016, our Automotive segment's results of operations include automotive services operations, which has been followed by additional acquisitions of automotive services businesses in 2016 and 2017. However, such automotive services operations did not materially impact our Automotive segment's consolidated results of operations. For 2017 and 2016, automotive services revenues were $487 million and $422 million, respectively. The following is a discussion of our Automotive segment's results of operations from its manufacturing and distribution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9,957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8,110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6,577</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Net sales for our Automotive segment for the year ended December 31, 2017 increased by $537 million (6%) as compared to the comparable prior year period. The increase was due to organic sales volume increases of $300 million and sales volume increases due to acquisitions aggregating $226 million. Increases from acquisitions was impacted primarily from the inclusion of the results of Pep Boys for the full twelve months in 2017 compared to eleven months in the comparable prior year period, as well as from various acquisitions by Icahn Automotive during 2017. In addition, increases were impacted by a $58 million favorable effect of foreign currency exchange. The increases in net sales were offset in part by other decreases, including from commercial actions and customer pricing.</w:t>
      </w:r>
    </w:p>
    <w:p>
      <w:pPr>
        <w:spacing w:after="0" w:line="85" w:lineRule="exact"/>
        <w:rPr>
          <w:sz w:val="20"/>
          <w:szCs w:val="20"/>
          <w:color w:val="auto"/>
        </w:rPr>
      </w:pPr>
    </w:p>
    <w:p>
      <w:pPr>
        <w:ind w:right="500" w:firstLine="405"/>
        <w:spacing w:after="0" w:line="286" w:lineRule="auto"/>
        <w:rPr>
          <w:sz w:val="20"/>
          <w:szCs w:val="20"/>
          <w:color w:val="auto"/>
        </w:rPr>
      </w:pPr>
      <w:r>
        <w:rPr>
          <w:rFonts w:ascii="Arial" w:cs="Arial" w:eastAsia="Arial" w:hAnsi="Arial"/>
          <w:sz w:val="17"/>
          <w:szCs w:val="17"/>
          <w:color w:val="auto"/>
        </w:rPr>
        <w:t>Cost of goods sold for the year ended December 31, 2017 increased by $452 million (6%) as compared to the comparable prior year period. The increase was primarily due to volume increases of $363 million attributable to organic sales volume increases and acquisitions, as discussed above, $22 million of additional cost from net performance and $67 million from the unfavorable effect of foreign currency exchange.</w:t>
      </w:r>
    </w:p>
    <w:p>
      <w:pPr>
        <w:spacing w:after="0" w:line="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Gross margin on net sales for the year ended December 31, 2017 increased by $85 million (5%) as compared to the comparable prior year period. Gross margin as a percentage of net sales was flat at 19% for the year ended December 31, 2017 and 2016, respectively. The inclusion of the results of Pep Boys, whose product sales margins are higher than those of Federal-Mogul's, as well as the favorable effects of higher sales volumes, net of changes in product mix, had a positive impact on gross margin as a percentage of net sales. However, this positive impact was offset by unfavorable effects of net performance, foreign currency exchange and other.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Net sales for our Automotive segment for the year ended December 31, 2016 increased by approximately $1.6 billion (21%) as compared to the comparable prior year period. Of the increase, approximately $1.5 billion was attributable to several acquisitions made during 2016, primarily the acquisition of Pep Boys in February 2016, and $305 million pertained to other sales volume increases that was primarily due to the inclusion of Icahn Automotive for the full year 2016 compared to only seven months in 2015. The sales volume increases were offset in part by $128 million decrease, primarily due to an unfavorable effect of foreign currency exchange.</w:t>
      </w:r>
    </w:p>
    <w:p>
      <w:pPr>
        <w:spacing w:after="0" w:line="80"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Cost of goods sold for the year ended December 31, 2016 increased by approximately $1.1 billion (16%) as compared to the comparable prior year period. The increase was primarily due to the inclusion of the results of Pep Boys and IEH Auto, which were acquired in February 2016 and June 2015, respectively, as well as certain other acquisitions within our Automotive segment. These increases were offset in part by savings from improved efficiencies, including benefits of favorable material and service sourcing and productivity, as well as a favorable effect of foreign currency exchange.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7" w:name="page38"/>
    <w:bookmarkEnd w:id="37"/>
    <w:p>
      <w:pPr>
        <w:ind w:right="180" w:firstLine="405"/>
        <w:spacing w:after="0" w:line="279" w:lineRule="auto"/>
        <w:rPr>
          <w:sz w:val="20"/>
          <w:szCs w:val="20"/>
          <w:color w:val="auto"/>
        </w:rPr>
      </w:pPr>
      <w:r>
        <w:rPr>
          <w:rFonts w:ascii="Arial" w:cs="Arial" w:eastAsia="Arial" w:hAnsi="Arial"/>
          <w:sz w:val="17"/>
          <w:szCs w:val="17"/>
          <w:color w:val="auto"/>
        </w:rPr>
        <w:t>Gross margin on net sales for the year ended December 31, 2016 increased by $550 million (45%) as compared to the comparable prior year period. Gross margin as a percentage of net sales was 19% and 16% for the year ended December 31, 2016 and 2015, respectively. The increase over the respective periods was due to the inclusion of the results of Pep Boys and IEH Auto, whose product sales margins are higher than those of Federal-Mogul's, as well as savings from improved efficiencies, including benefits of favorable material and service sourcing and productivity.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620" w:firstLine="405"/>
        <w:spacing w:after="0" w:line="342" w:lineRule="auto"/>
        <w:rPr>
          <w:sz w:val="20"/>
          <w:szCs w:val="20"/>
          <w:color w:val="auto"/>
        </w:rPr>
      </w:pPr>
      <w:r>
        <w:rPr>
          <w:rFonts w:ascii="Arial" w:cs="Arial" w:eastAsia="Arial" w:hAnsi="Arial"/>
          <w:sz w:val="16"/>
          <w:szCs w:val="16"/>
          <w:color w:val="auto"/>
        </w:rPr>
        <w:t>Our Energy segment is primarily engaged in the petroleum refining and nitrogen fertilizer manufacturing. The petroleum business accounted for approximately 95%, 93% and 95% of our Energy segment's net sales for the years ended December 31, 2017, 2016 and 2015, respectively.</w:t>
      </w:r>
    </w:p>
    <w:p>
      <w:pPr>
        <w:spacing w:after="0" w:line="16"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The results of operations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depends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 term because of changes in the value of its unhedged on-hand inventory. The effect of changes in crude oil prices on the petroleum business' results of operations is influenced by the rate at which the prices of refined products adjust to reflect these changes.</w:t>
      </w:r>
    </w:p>
    <w:p>
      <w:pPr>
        <w:spacing w:after="0" w:line="58" w:lineRule="exact"/>
        <w:rPr>
          <w:sz w:val="20"/>
          <w:szCs w:val="20"/>
          <w:color w:val="auto"/>
        </w:rPr>
      </w:pPr>
    </w:p>
    <w:p>
      <w:pPr>
        <w:ind w:right="40" w:firstLine="378"/>
        <w:spacing w:after="0" w:line="253" w:lineRule="auto"/>
        <w:rPr>
          <w:sz w:val="20"/>
          <w:szCs w:val="20"/>
          <w:color w:val="auto"/>
        </w:rPr>
      </w:pPr>
      <w:r>
        <w:rPr>
          <w:rFonts w:ascii="Arial" w:cs="Arial" w:eastAsia="Arial" w:hAnsi="Arial"/>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("EPA"), which requires it to either blend “renewable fuels” in with its transportation fuels or purchase renewable fuel credits, known as renewable identification numbers (“RINs”), in lieu of blending. The price of RINs has been extremely volatile and the future cost of RINs for the petroleum business is difficult to estimate.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consolidated financial statements for further discussion of RINs.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5,988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5,727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4,949</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Net sales for our Energy segment increased by approximately $1.2 billion (25%) for the year ended December 31, 2017 as compared to the comparable prior year period. The increase was primarily due to an increase in our petroleum business as a result of higher sales prices for transportation fuels and byproducts. The petroleum business' average sales prices per gallon for the year ended December 31, 2017 of $1.59 for gasoline and $1.66 for distillate increased by 19% and 22%, respectively, as compared to the comparable prior year period. This increase was offset in part by our nitrogen fertilizer business primarily due to a decrease in sales prices for its products.</w:t>
      </w:r>
    </w:p>
    <w:p>
      <w:pPr>
        <w:spacing w:after="0" w:line="80"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Cost of goods sold for our Energy segment increased by approximately $1.1 billion (24%) for the year ended December 31, 2017 as compared to the comparable prior year period. The increase was primarily due to our petroleum business as a result of higher cost of consumed crude oil, due to higher prices, as well as increased products purchased for resale. This increase was offset in part by our nitrogen fertilizer business primarily due to higher costs in 2016 from inventory and deferred revenue fair value adjustments and decreased current year distribution costs due to the timing of regulatory railcar repairs and maintenance.</w:t>
      </w:r>
    </w:p>
    <w:p>
      <w:pPr>
        <w:spacing w:after="0" w:line="80"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Gross margin for our Energy segment increased by $97 million (59%) for the year ended December 31, 2017 as compared to the comparable prior year period. Gross margin as a percentage of net sales was 4% and 3% for the years ended December 31, 2017 and 2016, respectively, with such increase attributable to our petroleum business, offset in part by a decrease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8" w:name="page39"/>
    <w:bookmarkEnd w:id="38"/>
    <w:p>
      <w:pPr>
        <w:ind w:right="20"/>
        <w:spacing w:after="0" w:line="264" w:lineRule="auto"/>
        <w:rPr>
          <w:sz w:val="20"/>
          <w:szCs w:val="20"/>
          <w:color w:val="auto"/>
        </w:rPr>
      </w:pPr>
      <w:r>
        <w:rPr>
          <w:rFonts w:ascii="Arial" w:cs="Arial" w:eastAsia="Arial" w:hAnsi="Arial"/>
          <w:sz w:val="18"/>
          <w:szCs w:val="18"/>
          <w:color w:val="auto"/>
        </w:rPr>
        <w:t>attributable to our fertilizer business. The increase in gross margin as a percentage of net sales for our petroleum business was primarily due to higher margins per barrel resulting from an increase in the sales price of gasoline and distillates. Cost of consumed oil per barrel for the year ended December 31, 2017 increased by 21% as compared to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Net sales for our Energy segment decreased by $651 million (12%) for the year ended December 31, 2016 as compared to the comparable prior year period. The decrease was primarily due to a decrease in our petroleum business due to significantly lower sales prices. The petroleum business' average sales prices per gallon for the year ended December 31, 2016 of $1.34 for gasoline and $1.36 for distillate decreased by 17% and 16%, respectively, as compared to the prior period. This decrease was offset in part by increased net sales in the nitrogen fertilizer business due to the acquisition of its East Dubuque, IL facility as of April 1, 2016.</w:t>
      </w:r>
    </w:p>
    <w:p>
      <w:pPr>
        <w:spacing w:after="0" w:line="80"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Cost of goods sold for our Energy segment decreased by $331 million (7%) for the year ended December 31, 2016 as compared to the comparable prior year period. The decrease was primarily due to our petroleum business as a result of a decrease in the cost of consumed crude oil as well as products purchased for resale. This decrease was offset in part by our nitrogen fertilizer business due to its inclusion of the results from the acquisition of the East Dubuque facility as of April 1, 2016.</w:t>
      </w:r>
    </w:p>
    <w:p>
      <w:pPr>
        <w:spacing w:after="0" w:line="79"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Gross margin for our Energy segment increased by $320 million (66%) for the year ended December 31, 2016 as compared to the comparable prior year period. Gross margin as a percentage of net sales was 3% and 9% for the years ended December 31, 2016 and 2015, respectively. The decrease in gross margin as a percentage of net sales was primarily due to significantly lower margin from the sale of gasoline for our petroleum business in 2016 compared to 2015. Cost of consumed oil per barrel for the year ended December 31, 2016 decreased by 12% as compared to the prior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Our Railcar segment's results of operations are generally driven by the manufacturing and leasing of railcars. As discussed above and in Note 1, "Description of Business," to the consolidated financial statements, we sold ARL and its fleet of more than 34,000 railcars. Our remaining railcar lease fleet consists primarily of railcars owned by ARI.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2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298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9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9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29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leasing</w:t>
            </w:r>
          </w:p>
        </w:tc>
        <w:tc>
          <w:tcPr>
            <w:tcW w:w="1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Railcar services</w:t>
            </w:r>
          </w:p>
        </w:tc>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298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9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40" w:type="dxa"/>
            <w:vAlign w:val="bottom"/>
            <w:vMerge w:val="restart"/>
          </w:tcPr>
          <w:p>
            <w:pPr>
              <w:jc w:val="right"/>
              <w:ind w:right="850"/>
              <w:spacing w:after="0"/>
              <w:rPr>
                <w:sz w:val="20"/>
                <w:szCs w:val="20"/>
                <w:color w:val="auto"/>
              </w:rPr>
            </w:pPr>
            <w:r>
              <w:rPr>
                <w:rFonts w:ascii="Arial" w:cs="Arial" w:eastAsia="Arial" w:hAnsi="Arial"/>
                <w:sz w:val="18"/>
                <w:szCs w:val="18"/>
                <w:color w:val="auto"/>
              </w:rPr>
              <w:t>37</w:t>
            </w: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39" w:name="page40"/>
    <w:bookmarkEnd w:id="39"/>
    <w:p>
      <w:pPr>
        <w:ind w:left="380"/>
        <w:spacing w:after="0"/>
        <w:rPr>
          <w:sz w:val="20"/>
          <w:szCs w:val="20"/>
          <w:color w:val="auto"/>
        </w:rPr>
      </w:pPr>
      <w:r>
        <w:rPr>
          <w:rFonts w:ascii="Arial" w:cs="Arial" w:eastAsia="Arial" w:hAnsi="Arial"/>
          <w:sz w:val="17"/>
          <w:szCs w:val="17"/>
          <w:color w:val="auto"/>
        </w:rPr>
        <w:t>Summarized shipments of railcars to leasing and non-leasing customers for the years ended December 31, 2017, 2016 and 2015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560" w:type="dxa"/>
            <w:vAlign w:val="bottom"/>
            <w:gridSpan w:val="5"/>
          </w:tcPr>
          <w:p>
            <w:pPr>
              <w:jc w:val="center"/>
              <w:ind w:left="107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color w:val="auto"/>
                <w:w w:val="95"/>
              </w:rPr>
              <w:t>(number of railcars)</w:t>
            </w: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Shipments to leasing customers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Shipments to non-leasing customers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3,840</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As of December 31, 2017, our Railcar segment had a backlog of 1,940 railcars, including 389 railcars for lease customers and 1,551 for non-lease customers. In response to changes in customer demand, our Railcar segment continues to adjust production rates at its railcar manufacturing facilities.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Total manufacturing revenues for the year ended December 31, 2017 decreased by $165 million (38%) as compared to the comparable prior year period. The decrease was due to fewer shipments to non-leasing customers and an overall decrease in average selling prices due to more competitive pricing for both hopper and tank railcars.</w:t>
      </w:r>
    </w:p>
    <w:p>
      <w:pPr>
        <w:spacing w:after="0" w:line="73"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Gross margin from manufacturing operations for the year ended December 31, 2017 decreased by $48 million as compared to the comparable prior year period. Gross margin from manufacturing operations as a percentage of manufacturing revenues decreased to 6% for the year ended December 31, 2017 from 15% for the comparable prior year period. The decrease in gross margin and gross margin as a percentage of revenue was due to higher costs associated with lower production volumes and a more competitive market for both hopper and tank railcars.</w:t>
      </w:r>
    </w:p>
    <w:p>
      <w:pPr>
        <w:spacing w:after="0" w:line="6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Railcar leasing revenues decreased for the year ended December 31, 2017 as compared to the comparable prior year period due to a decrease in leased railcars resulting from the sale of ARL, and subsequent railcar sales, as well as a decrease in weighted average lease rates. The lease fleet decreased to 13,103 railcars at December 31, 2017 from 45,761 railcars at December 31,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240" w:firstLine="378"/>
        <w:spacing w:after="0" w:line="312" w:lineRule="auto"/>
        <w:rPr>
          <w:sz w:val="20"/>
          <w:szCs w:val="20"/>
          <w:color w:val="auto"/>
        </w:rPr>
      </w:pPr>
      <w:r>
        <w:rPr>
          <w:rFonts w:ascii="Arial" w:cs="Arial" w:eastAsia="Arial" w:hAnsi="Arial"/>
          <w:sz w:val="16"/>
          <w:szCs w:val="16"/>
          <w:color w:val="auto"/>
        </w:rPr>
        <w:t>Total manufacturing revenues for the year ended December 31, 2016 decreased by $10 million (2%) as compared to the comparable prior year period. The decrease was primarily due to a higher mix of hopper railcars, which generally sell at lower prices than tank railcars due to less material and labor content, more competitive pricing on both hopper and tank railcars, partially offset by the higher volume of shipments to non-leasing customers.</w:t>
      </w:r>
    </w:p>
    <w:p>
      <w:pPr>
        <w:spacing w:after="0" w:line="39" w:lineRule="exact"/>
        <w:rPr>
          <w:sz w:val="20"/>
          <w:szCs w:val="20"/>
          <w:color w:val="auto"/>
        </w:rPr>
      </w:pPr>
    </w:p>
    <w:p>
      <w:pPr>
        <w:ind w:right="80" w:firstLine="378"/>
        <w:spacing w:after="0" w:line="279" w:lineRule="auto"/>
        <w:rPr>
          <w:sz w:val="20"/>
          <w:szCs w:val="20"/>
          <w:color w:val="auto"/>
        </w:rPr>
      </w:pPr>
      <w:r>
        <w:rPr>
          <w:rFonts w:ascii="Arial" w:cs="Arial" w:eastAsia="Arial" w:hAnsi="Arial"/>
          <w:sz w:val="17"/>
          <w:szCs w:val="17"/>
          <w:color w:val="auto"/>
        </w:rPr>
        <w:t>Gross margin from manufacturing operations for the year ended December 31, 2016 decreased by $38 million as compared to the comparable prior year period. Gross margin from manufacturing operations as a percentage of manufacturing revenues decreased to 15% for the year ended December 31, 2016 from 23% for the comparable prior year period. The decrease in gross margin and gross margin as a percentage of revenue was due to the lower gross margin associated with the higher mix of hopper railcars, which generally sell at lower prices than tank railcars.</w:t>
      </w:r>
    </w:p>
    <w:p>
      <w:pPr>
        <w:spacing w:after="0" w:line="63"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Railcar leasing revenues increased for the year ended December 31, 2016 as compared to the comparable prior year period due to an increase in number of railcars leased to customers and a slight increase in the average lease rate. The lease fleet grew to 45,761 railcars at December 31, 2016 from 45,052 railcars at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Casino revenues represent the difference between wins and losses from gaming activities. Casino revenues can vary because of table games hold percentage and differences in the odds for different table games. In addition, high end play may lead to greater fluctuations in table games hold percentage and, as a result, greater revenue fluctuation between reporting periods may occur.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Our consolidated gaming revenues decreased by $46 million (5%) for the year ended December 31, 2017 as compared to the comparable prior year period due to the closing of the Trump Taj Mahal Casino Resort in October 2016, which accounted for a $100 million decrease in consolidated gaming revenues. Our existing gaming operations' revenues increased by $54 million over the comparable periods primarily due to an increase in casino revenues. The increase in casino revenues for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ind w:right="220"/>
        <w:spacing w:after="0" w:line="375" w:lineRule="auto"/>
        <w:rPr>
          <w:sz w:val="20"/>
          <w:szCs w:val="20"/>
          <w:color w:val="auto"/>
        </w:rPr>
      </w:pPr>
      <w:r>
        <w:rPr>
          <w:rFonts w:ascii="Arial" w:cs="Arial" w:eastAsia="Arial" w:hAnsi="Arial"/>
          <w:sz w:val="18"/>
          <w:szCs w:val="18"/>
          <w:color w:val="auto"/>
        </w:rPr>
        <w:t xml:space="preserve">year ended December 31, 2017 as compared to the comparable prior year period was primarily due to increased casino revenues at Tropicana Atlantic City. </w:t>
      </w:r>
      <w:r>
        <w:rPr>
          <w:rFonts w:ascii="Arial" w:cs="Arial" w:eastAsia="Arial" w:hAnsi="Arial"/>
          <w:sz w:val="18"/>
          <w:szCs w:val="18"/>
          <w:i w:val="1"/>
          <w:iCs w:val="1"/>
          <w:u w:val="single" w:color="auto"/>
          <w:color w:val="auto"/>
        </w:rPr>
        <w:t>Years Ended December 31, 2016 and 2015</w:t>
      </w:r>
    </w:p>
    <w:p>
      <w:pPr>
        <w:spacing w:after="0" w:line="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consolidated gaming revenues increased by $133 million (16%) for the year ended December 31, 2016 as compared to the comparable prior year period, primarily due to the inclusion of results from TER upon its emergence from bankruptcy on February 26, 2016, which accounted for $97 million increased in consolidated gaming revenue. Our existing gaming operations' revenues increase by $36 million over the comparable prior year period due to an increase in casino revenues. The increase in casino revenues for the year ended December 31, 2016 as compared to the comparable prior year period was primarily due to increased casino revenues at Tropicana Atlantic City.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p>
      <w:pPr>
        <w:spacing w:after="0" w:line="122"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Net sales for the year ended December 31, 2017 increased by $142 million (53%) as compared to the comparable prior year period primarily due to higher ferrous, non-ferrous and non-ferrous auto residue shipment volumes and higher average selling prices. Ferrous shipment volumes increased due to improved demand from domestic steel mills and improved flow of raw materials into the recycling yards driven by increased market pricing. Additionally, during 2017, a major new steel mill came on line which increased demand for scrap metal. Domestic mill production has benefited from trade cases and speculation regarding the recent probe into steel imports. Improved consumer market pricing was also driven primarily by the increased demand from domestic steel mills. Non-ferrous shipment volumes increased 46% during the year ended December 31, 2017 as compared to the comparable prior year period primarily due to utilization of the capital investment in aluminum processing capabilities at one of our facilities made in late 2016, while higher pricing reflected higher terminal market prices in 2017 as compared to 2016.</w:t>
      </w:r>
    </w:p>
    <w:p>
      <w:pPr>
        <w:spacing w:after="0" w:line="71"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Cost of goods sold for the year ended December 31, 2017 increased by $105 million (37%) as compared to the comparable prior year period. The increase was primarily due to higher shipment volumes, as discussed above, and to increased material costs due to higher market prices. Gross margin as a percentage of net sales was 5% for the year ended December 31, 2017 as compared to a loss of 6% in the comparable prior year period. The margin percentage improvement was driven by an increased material margin attributed to a continued focus on disciplined buying, higher pricing for non-ferrous auto residue, and by continued efforts to bring processing costs in line with volume and market pricing.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Net sales for the year ended December 31, 2016 decreased by $94 million (26%) compared to the comparable prior year period. The decrease was primarily due to lower ferrous and non-ferrous shipment volumes and lower average selling prices. The lower shipment volumes were due in part to certain idled facilities during much of 2016 as a result of certain environmental remediations at these facilities. Ferrous shipment volumes decreased by 22% and the average selling price decreased by 10% during the year ended December 31, 2016 as compared to the comparable prior year period. Ferrous shipment volumes decreased due to reduced demand from domestic steel mills and the slow flow of raw materials into the recycling yards while low priced iron ore, direct-reduced iron pellets, and reduced demand from steel mills held market prices down throughout 2016. Non-ferrous shipment volumes decreased by 10% and the average selling price decreased by 3% during the year ended December 31, 2016 as compared to the comparable prior year period, reflecting lower market pricing and its unfavorable impact on raw material availability.</w:t>
      </w:r>
    </w:p>
    <w:p>
      <w:pPr>
        <w:spacing w:after="0" w:line="71"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Cost of goods sold for the year ended December 31, 2016 decreased by $122 million (30%) as compared to the comparable prior year period. The decrease was primarily due to lower shipment volumes, lower material costs and lower processing costs. Gross margin as a percentage of net sales was a loss of 6% and 12% for the year ended December 31, 2016 and 2015, respectively. The material margin component of gross margin, as a percentage of net sales, improved during 2016 as compared to the comparable prior year period, reflecting a continued focus on disciplined buying in the face of strong competition for shredder feedstock and lower pricing for non-ferrous auto shredder residue. PSC Metals continues to expend considerable effort to bring costs in line with volumes and market pricing. PSC Metals closed nine feeder yards during 2015 and one feeder yard during 2016 in order to better align its cost structure to the current market environment.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Mining segment's performance is driven by global iron ore prices and demand for raw materials from Chinese steelmakers. Since acquiring Ferrous Resources Ltd in 2015, our Mining segment has been concentrating on sales in its domestic market, Brazil.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Net sales for the year ended December 31, 2017 increased by $23 million as compared to the comparable prior year period primarily due to iron ore price increases, offset in part by volume decreases. Cost of goods sold for the year ended December 31, 2017 increased by $4 million as compared to the comparable prior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Net sales for the year ended December 31, 2016 increased by $41 million as compared to the comparable prior year period. Cost of goods sold for the year ended December 31, 2016 increased by $18 million as compared to the comparable prior year period. As a result of our acquisition of Ferrous Resources in the second quarter of 2015, the comparable prior period results only include results in consolidation for the seven months ended December 31,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sales for the year ended December 31, 2017 increased by $63 million (19%) as compared to the corresponding prior year period. The increase was primarily due to higher sales volume, primarily from acquisitions, offset in part by unfavorable price and product mix and foreign currency exchange. Cost of goods sold for the year ended December 31, 2017 increased by $48 million (19%) as compared to the corresponding prior year period. Gross margin as a percentage of net sales was flat at 24% for the year ended December 31, 2017 and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140" w:firstLine="378"/>
        <w:spacing w:after="0" w:line="279" w:lineRule="auto"/>
        <w:rPr>
          <w:sz w:val="20"/>
          <w:szCs w:val="20"/>
          <w:color w:val="auto"/>
        </w:rPr>
      </w:pPr>
      <w:r>
        <w:rPr>
          <w:rFonts w:ascii="Arial" w:cs="Arial" w:eastAsia="Arial" w:hAnsi="Arial"/>
          <w:sz w:val="17"/>
          <w:szCs w:val="17"/>
          <w:color w:val="auto"/>
        </w:rPr>
        <w:t>Net sales for the year ended December 31, 2016 decreased by $15 million (4%) as compared to the comparable prior year period. The decrease was primarily due to lower sales volume, unfavorable price and product mix and unfavorable foreign currency translation. Cost of goods sold for the year ended December 31, 2016 decreased by $14 million (5%) as compared to the comparable prior year period. Gross margin as a percentage of net sales was flat at 24% for the year ended December 31, 2016 as compared to the comparable prior year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Real Estate revenues and expenses include sales of residential units, results from club operations and rental income and expenses, including income from financing leases. Sales of residential units are included in net sales in our consolidated financial statements. Results from club and rental operations, including financing lease income, are included in other revenues from operations in our consolidated financial statements. Revenue from our real estate operations for the years ended December 31, 2017, 2016 and 2015 were substantially derived from income from club and rental operations. During 2015, our Real Estate segment sold certain assets, primarily within its rental operations, contributing to a decrease in other revenues from operations during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Net sales for the year ended December 31, 2017 decreased by $12 million (6%) as compared to the comparable prior year period. The decrease was primarily due to a decrease in sales volume. Cost of goods sold for the year ended December 31, 2017 decreased by $6 million (4%) as compared to the comparable prior year period, and was primarily due to sales mix. Gross margin as a percentage of net sales was 11% for the year ended December 31, 2017 compared to 14% for the comparable prior year period, with the decrease primarily due to sales mix and inventory obsolescence.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Net sales for the year ended December 31, 2016 increased by $2 million (1%) as compared to the comparable prior year period. The increase was primarily due to an increase in sales volume. Cost of goods sold for the year ended December 31,</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76" w:right="299" w:bottom="1440" w:gutter="0" w:footer="0" w:header="0"/>
        </w:sectPr>
      </w:pPr>
    </w:p>
    <w:bookmarkStart w:id="42" w:name="page43"/>
    <w:bookmarkEnd w:id="42"/>
    <w:p>
      <w:pPr>
        <w:ind w:right="80"/>
        <w:spacing w:after="0" w:line="342" w:lineRule="auto"/>
        <w:rPr>
          <w:sz w:val="20"/>
          <w:szCs w:val="20"/>
          <w:color w:val="auto"/>
        </w:rPr>
      </w:pPr>
      <w:r>
        <w:rPr>
          <w:rFonts w:ascii="Arial" w:cs="Arial" w:eastAsia="Arial" w:hAnsi="Arial"/>
          <w:sz w:val="16"/>
          <w:szCs w:val="16"/>
          <w:color w:val="auto"/>
        </w:rPr>
        <w:t>2016 increased by $5 million (3%) as compared to the comparable prior year period, and was primarily due to sales mix. Gross margin as a percentage of net sales was 14% for the year ended December 31, 2016 compared to 16% for the comparable prior year period, with the decrease primarily due to sales mix.</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660" w:firstLine="378"/>
        <w:spacing w:after="0" w:line="277" w:lineRule="auto"/>
        <w:rPr>
          <w:sz w:val="20"/>
          <w:szCs w:val="20"/>
          <w:color w:val="auto"/>
        </w:rPr>
      </w:pPr>
      <w:r>
        <w:rPr>
          <w:rFonts w:ascii="Arial" w:cs="Arial" w:eastAsia="Arial" w:hAnsi="Arial"/>
          <w:sz w:val="18"/>
          <w:szCs w:val="18"/>
          <w:color w:val="auto"/>
        </w:rPr>
        <w:t>Our Holding Company's results of operations primarily reflect the interest expense on its senior unsecured notes. We discuss interest expense in consolidation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discussed in Note 1, "Description of Business," to the consolidated financial statements, we sold ARL during 2017, resulting in an aggregate pretax gain on disposition of assets of approximately $1.7 billion recorded by our Railcar segment for the year ended December 31, 2017. In August 2017, our Real Estate segment sold a development property in Las Vegas Nevada for $600 million, resulting in a pretax gain on disposition of assets of $456 million for the year ended December 31, 2017. Our Real Estate segment also sold additional properties during 2017, primarily within its rental operations, resulting in an additional pretax gain on disposition of assets aggregating $40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consolidated selling, general and administrative for the year ended December 31, 2017 increased by $223 million (10%) as compared to the comparable prior year period. The increase was primarily attributable to an increase from our Automotive segment of $281 million, primarily due to the inclusion of the full year impact of Pep Boys in 2017, which was acquired in February 2016, and the acquisitions of Precision Tune, American Driveline and various other acquisitions in 2017, as well as personnel costs associated with integration and increased customer services. This increase was offset in part by a decrease of $61 million from our Gaming segment primarily due to the closing and subsequent sale of the Trump Taj Casino Resort in October 2016 and a decrease of $21 million from our Investment segment due to a decrease of compensation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ind w:right="180" w:firstLine="378"/>
        <w:spacing w:after="0" w:line="297" w:lineRule="auto"/>
        <w:rPr>
          <w:sz w:val="20"/>
          <w:szCs w:val="20"/>
          <w:color w:val="auto"/>
        </w:rPr>
      </w:pPr>
      <w:r>
        <w:rPr>
          <w:rFonts w:ascii="Arial" w:cs="Arial" w:eastAsia="Arial" w:hAnsi="Arial"/>
          <w:sz w:val="16"/>
          <w:szCs w:val="16"/>
          <w:color w:val="auto"/>
        </w:rPr>
        <w:t>Our consolidated selling, general and administrative for the year ended December 31, 2016 increased by $434 million (23%) as compared to the comparable prior year period. The increase was primarily attributable to an increase from our Automotive segment of $520 million primarily due to the inclusion of the acquisitions of Pep Boys in February 2016 and IEH Auto in the second quarter of 2015 and an increase of $102 million from our Gaming segment primarily due to the inclusion of TER upon its emergence from bankruptcy on February 26, 2016, offset in part by a decrease of $203 million from our Investment segment due to a decrease of compensation expense related to a certain fund performance over the respective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consolidated restructuring costs, net is primarily attributable to our Automotive segment and consists primarily of employee severance and termination benefits as well as facility closures and other costs. Our Automotive segment's restructuring activities are undertaken as necessary to execute management’s strategy and streamline operations, consolidate and take advantage of available capacity and resources, and ultimately achieve net cost reductions. Restructuring activities include efforts to integrate and rationalize businesses and to relocate manufacturing operations to best cost manufacturing locations. Restructuring, net decreased for the year December 31, 2017 compared to the comparable prior year periods due to lower severance and other charges incurred.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Refer to Note 5, "Fair Value Measurements," and Note 8, "Goodwill and Intangible Assets, Net," to the consolidated financial statements for a discussion of impairments of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Our consolidated interest expense for the year ended December 31, 2017 decreased by $35 million (4%) as compared to the comparable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Energy segment due to a certain debt offering in the second quarter of 2016, as well as higher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76" w:right="259" w:bottom="1440" w:gutter="0" w:footer="0" w:header="0"/>
        </w:sectPr>
      </w:pPr>
    </w:p>
    <w:bookmarkStart w:id="43" w:name="page44"/>
    <w:bookmarkEnd w:id="43"/>
    <w:p>
      <w:pPr>
        <w:ind w:right="240"/>
        <w:spacing w:after="0" w:line="342" w:lineRule="auto"/>
        <w:rPr>
          <w:sz w:val="20"/>
          <w:szCs w:val="20"/>
          <w:color w:val="auto"/>
        </w:rPr>
      </w:pPr>
      <w:r>
        <w:rPr>
          <w:rFonts w:ascii="Arial" w:cs="Arial" w:eastAsia="Arial" w:hAnsi="Arial"/>
          <w:sz w:val="16"/>
          <w:szCs w:val="16"/>
          <w:color w:val="auto"/>
        </w:rPr>
        <w:t>expense from our Holding Company due to our senior unsecured notes refinancing in the first quarter of 2017, which is subject to higher interest rates. Our Automotive segment's interest expense increased due to higher borrowings and interest rates under its revolver and European notes issued in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2016 and 2015</w:t>
      </w:r>
    </w:p>
    <w:p>
      <w:pPr>
        <w:spacing w:after="0" w:line="117" w:lineRule="exact"/>
        <w:rPr>
          <w:sz w:val="20"/>
          <w:szCs w:val="20"/>
          <w:color w:val="auto"/>
        </w:rPr>
      </w:pPr>
    </w:p>
    <w:p>
      <w:pPr>
        <w:jc w:val="both"/>
        <w:ind w:right="200" w:firstLine="378"/>
        <w:spacing w:after="0" w:line="297" w:lineRule="auto"/>
        <w:rPr>
          <w:sz w:val="20"/>
          <w:szCs w:val="20"/>
          <w:color w:val="auto"/>
        </w:rPr>
      </w:pPr>
      <w:r>
        <w:rPr>
          <w:rFonts w:ascii="Arial" w:cs="Arial" w:eastAsia="Arial" w:hAnsi="Arial"/>
          <w:sz w:val="16"/>
          <w:szCs w:val="16"/>
          <w:color w:val="auto"/>
        </w:rPr>
        <w:t>Our consolidated interest expense for the year ended December 31, 2016 decreased by $276 million (24%) as compared to the comparable prior year period. The decrease was primarily due to lower interest expense from our Investment segment attributable to a decrease in due to broker balances over the respective periods, offset in part by higher interest expense from our Automotive segment due to higher interest rates on borrowings under revolving credit facilities over the respective periods and the inclusion of interest from the acquisitions of Pep Boys in February 2016 and IEH Auto in the second quarter of 2015 and higher interest from our Energy segment due to a certain debt offering during the second quarter of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14, "Income Taxes," to the consolidated financial statements for a discussion of income taxes.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addition,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analyze all positive and negative evidence and maintain a valuation allowance on deferred tax assets that are not considered more likely than not to be realized. Based on current analysis, including increased level of income and ability to use losses previously limited, we have determined that it is more likely than not that a significant portion of our U.S. tax loss carryforwards and credits will be realized and have released the valuation allowance on these deferred tax assets.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As of December 31, 2017, our Holding Company had cash and cash equivalents of $526 million and total debt of approximately $5.5 billion. During 2017, our Holding Company invested an additional $1.3 billion in the Investment Funds, net of redemptions. As of December 31, 2017, our Holding Company had investments in the Investment Funds with a total fair market value of approximately $3.0 billion. We may redeem our direct investment in the Investment Funds upon notice. See "Investment Segment Liquidity" below for additional information with respect to our Investment segment liquidity.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ARL</w:t>
      </w:r>
    </w:p>
    <w:p>
      <w:pPr>
        <w:spacing w:after="0" w:line="7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year ended December 31, 2017, we closed on the sale ARL. After repaying, or assigning to SMBC Rail Services LLC, applicable indebtedness of ARL, we received cash consideration of approximately $1.8 billion.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From/Investments In Subsidiaries</w:t>
      </w:r>
    </w:p>
    <w:p>
      <w:pPr>
        <w:spacing w:after="0" w:line="11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the year ended December 31, 2017, we received $148 million in aggregate dividends and distributions from CVR Energy and CVR Refining. Subsequent to December 31, 2017, CVR Energy and CVR Refining declared a quarterly dividend and distribution, respectively, which will result in an additional aggregate $38 million in dividends and distributions paid to us in the first quarter of 2018.</w:t>
      </w:r>
    </w:p>
    <w:p>
      <w:pPr>
        <w:spacing w:after="0" w:line="73"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During the year ended December 31, 2017, we received $66 million in aggregate dividends and distributions from our Railcar segment. Subsequent to December 31, 2017, ARI declared a quarterly dividend, which will result in an additional $5 million in dividends paid to us in the first quarter of 2018.</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December 31, 2017, we received $335 million in net distributions from our Real Estate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4" w:name="page45"/>
    <w:bookmarkEnd w:id="44"/>
    <w:p>
      <w:pPr>
        <w:ind w:right="600" w:firstLine="405"/>
        <w:spacing w:after="0" w:line="277" w:lineRule="auto"/>
        <w:rPr>
          <w:sz w:val="20"/>
          <w:szCs w:val="20"/>
          <w:color w:val="auto"/>
        </w:rPr>
      </w:pPr>
      <w:r>
        <w:rPr>
          <w:rFonts w:ascii="Arial" w:cs="Arial" w:eastAsia="Arial" w:hAnsi="Arial"/>
          <w:sz w:val="18"/>
          <w:szCs w:val="18"/>
          <w:color w:val="auto"/>
        </w:rPr>
        <w:t>During the year ended December 31, 2017, we invested $504 million in our Automotive segment, a portion of which was used to acquire certain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Additional Interests in Consolidated Subsidiaries</w:t>
      </w:r>
    </w:p>
    <w:p>
      <w:pPr>
        <w:spacing w:after="0" w:line="117"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During January 2017, we increased our ownership in Federal-Mogul from 82.0% to 100% through a tender offer for the remaining shares of Federal-Mogul common stock not already owned by us and a subsequent short form merger for an aggregate purchase price of $305 million.</w:t>
      </w:r>
    </w:p>
    <w:p>
      <w:pPr>
        <w:spacing w:after="0" w:line="38"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During August 2017, we increased our ownership in Tropicana from 72.5% to 83.9% through a tender offer for additional shares of Tropicana common stock not already owned by us, for an aggregate purchase price of $95 million, excluding cash paid by Tropicana to repurchase shares in connection with the tender offer and in accordance with Tropicana's stock repurchase program.</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3.500% senior unsecured notes due 2017</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4.875% senior unsecured notes due 2019</w:t>
            </w:r>
          </w:p>
        </w:tc>
        <w:tc>
          <w:tcPr>
            <w:tcW w:w="10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0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1,342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0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5,507</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Holding Company debt consists of various issues of fixed-rate senior unsecured notes issued by Icahn Enterprises and Icahn Enterprises Finance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by Icahn Enterprises Holdings. Interest on each of the senior unsecured notes are payable semi-annually.</w:t>
      </w:r>
    </w:p>
    <w:p>
      <w:pPr>
        <w:spacing w:after="0" w:line="10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December 31, 2017 are subject to optional redemption premiums in the event we redeem any of the notes prior to certain dates as described in the indentures.</w:t>
      </w:r>
    </w:p>
    <w:p>
      <w:pPr>
        <w:spacing w:after="0" w:line="70"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As of December 31, 2017 and 2016, we were in compliance with all covenants, including maintaining certain minimum financial ratios, as defined in the indentures. Additionally, as of December 31, 2017, based on covenants in the indentures governing our senior unsecured notes, we are permitted to incur approximately $346 million of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of Senior Unsecured Notes</w:t>
      </w:r>
    </w:p>
    <w:p>
      <w:pPr>
        <w:spacing w:after="0" w:line="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18, 2017, we issued $695 million in aggregate principal amount of 6.250% senior notes due 2022 and $500 million in aggregate principal amount of 6.750% senior notes due 2024. The proceeds from the issuance of these notes were used to redeem all of our 3.50% senior unsecured notes due 2017 and to pay related accrued and unpaid interest.</w:t>
      </w:r>
    </w:p>
    <w:p>
      <w:pPr>
        <w:spacing w:after="0" w:line="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6, 2017, we issued $750 million in aggregate principal amount of 6.375% senior unsecured notes due 2025 and an additional $510 million in aggregate principal amount of our existing 6.250% senior unsecured notes due 2022. The proceeds from these notes, together with cash on hand, were used to redeem all of the outstanding senior unsecured notes due 2019 and to pay accrued interest, related fees and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Rights Offering</w:t>
      </w:r>
    </w:p>
    <w:p>
      <w:pPr>
        <w:spacing w:after="0" w:line="11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In January 2017, Icahn Enterprises commenced a rights offering entitling holders of the rights to acquire newly issued depositary units of Icahn Enterprises. The purposes of the rights offering were to (i) enhance Icahn Enterprises' depositary unit holder equity; (ii) endeavor to improve Icahn Enterprises' credit ratings; and (iii) raise equity capital to be used for general partnership purposes. Aggregate proceeds from the rights offering was $600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color w:val="auto"/>
        </w:rPr>
        <w:t>On February 27, 2018, the Board of Directors of the general partner of Icahn Enterprises declared a quarterly distribution in the amount of $1.75 per depositary unit. The quarterly distribution is payable in either cash or additional depositary units, at the election of each depositary unit holder and will be paid on or about April 16, 2018 to depositary unitholders of record at the close of business on March 12, 2018.</w:t>
      </w:r>
    </w:p>
    <w:p>
      <w:pPr>
        <w:spacing w:after="0" w:line="57"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During the year ended December 31, 2017, we declared four quarterly distributions aggregating $6.00 per depositary unit. Mr. Icahn and his affiliates elected to receive their proportionate share of these distributions in depositary units. Mr. Icahn and his affiliates owned approximately 91.0% of Icahn Enterprises' outstanding depositary units as of December 31, 2017. In connection with these distributions, aggregate cash distributions to all depositary unitholders was $79 million.</w:t>
      </w:r>
    </w:p>
    <w:p>
      <w:pPr>
        <w:spacing w:after="0" w:line="7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160" w:firstLine="378"/>
        <w:spacing w:after="0" w:line="312" w:lineRule="auto"/>
        <w:rPr>
          <w:sz w:val="20"/>
          <w:szCs w:val="20"/>
          <w:color w:val="auto"/>
        </w:rPr>
      </w:pPr>
      <w:r>
        <w:rPr>
          <w:rFonts w:ascii="Arial" w:cs="Arial" w:eastAsia="Arial" w:hAnsi="Arial"/>
          <w:sz w:val="16"/>
          <w:szCs w:val="16"/>
          <w:color w:val="auto"/>
        </w:rPr>
        <w:t>During the year ended December 31, 2017, we invested $1.3 billion in the Investment Funds, net of redemptions, and affiliates of Mr. Icahn (excluding us and our subsidiaries) invested $600 million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3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December 31, 2017, the Investment Funds' had a net long notional exposure of 14%. The Investment Funds' long exposure was 132% (130% long equity and 2% long credit and other) and its short exposure was 118% (103% short equity and 15% short credit and other). The notional exposure represents the ratio of the notional exposure of the Investment Funds' invested capital to the net asset value of the Investment Funds at December 31, 2017.</w:t>
      </w:r>
    </w:p>
    <w:p>
      <w:pPr>
        <w:spacing w:after="0" w:line="63" w:lineRule="exact"/>
        <w:rPr>
          <w:sz w:val="20"/>
          <w:szCs w:val="20"/>
          <w:color w:val="auto"/>
        </w:rPr>
      </w:pPr>
    </w:p>
    <w:p>
      <w:pPr>
        <w:ind w:right="100" w:firstLine="378"/>
        <w:spacing w:after="0" w:line="312" w:lineRule="auto"/>
        <w:rPr>
          <w:sz w:val="20"/>
          <w:szCs w:val="20"/>
          <w:color w:val="auto"/>
        </w:rPr>
      </w:pPr>
      <w:r>
        <w:rPr>
          <w:rFonts w:ascii="Arial" w:cs="Arial" w:eastAsia="Arial" w:hAnsi="Arial"/>
          <w:sz w:val="16"/>
          <w:szCs w:val="16"/>
          <w:color w:val="auto"/>
        </w:rPr>
        <w:t>Of the Investment Funds' 132% long exposure, 129% was comprised of the fair value of its long positions (with certain adjustments) and 3% was comprised of single name equity forward contracts and credit contracts. Of the Investment Funds' 118% short exposure, 14% was comprised of the fair value of our short positions and 104% was comprised of short credit default swap contracts and short broad market index swap derivative contracts.</w:t>
      </w:r>
    </w:p>
    <w:p>
      <w:pPr>
        <w:spacing w:after="0" w:line="3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(129% long exposure) and our short positions that are not notionalized (14%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(104%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 Refer to Note 6, “Financial Instruments,” to the consolidated financial statements for further discussion.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Segment Cash and Cash Equivalents</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w w:val="98"/>
              </w:rPr>
              <w:t>Segment cash and cash equivalents (excluding our Investment segment) consists of the following:</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gridSpan w:val="3"/>
          </w:tcPr>
          <w:p>
            <w:pPr>
              <w:jc w:val="center"/>
              <w:ind w:left="371"/>
              <w:spacing w:after="0"/>
              <w:rPr>
                <w:sz w:val="20"/>
                <w:szCs w:val="20"/>
                <w:color w:val="auto"/>
              </w:rPr>
            </w:pPr>
            <w:r>
              <w:rPr>
                <w:rFonts w:ascii="Arial" w:cs="Arial" w:eastAsia="Arial" w:hAnsi="Arial"/>
                <w:sz w:val="18"/>
                <w:szCs w:val="18"/>
                <w:b w:val="1"/>
                <w:bCs w:val="1"/>
                <w:color w:val="auto"/>
                <w:w w:val="90"/>
              </w:rPr>
              <w:t>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b w:val="1"/>
                <w:bCs w:val="1"/>
                <w:color w:val="auto"/>
                <w:w w:val="84"/>
              </w:rPr>
              <w:t>2017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40" w:type="dxa"/>
            <w:vAlign w:val="bottom"/>
            <w:gridSpan w:val="3"/>
          </w:tcPr>
          <w:p>
            <w:pPr>
              <w:jc w:val="center"/>
              <w:ind w:left="391"/>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Automotive</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Energy</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Railcar</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Gaming</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Metals</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Mining</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Food Packaging</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Home Fashion</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Segment debt consists of the following:</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gridSpan w:val="3"/>
          </w:tcPr>
          <w:p>
            <w:pPr>
              <w:jc w:val="center"/>
              <w:ind w:left="371"/>
              <w:spacing w:after="0"/>
              <w:rPr>
                <w:sz w:val="20"/>
                <w:szCs w:val="20"/>
                <w:color w:val="auto"/>
              </w:rPr>
            </w:pPr>
            <w:r>
              <w:rPr>
                <w:rFonts w:ascii="Arial" w:cs="Arial" w:eastAsia="Arial" w:hAnsi="Arial"/>
                <w:sz w:val="18"/>
                <w:szCs w:val="18"/>
                <w:b w:val="1"/>
                <w:bCs w:val="1"/>
                <w:color w:val="auto"/>
                <w:w w:val="90"/>
              </w:rPr>
              <w:t>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b w:val="1"/>
                <w:bCs w:val="1"/>
                <w:color w:val="auto"/>
                <w:w w:val="84"/>
              </w:rPr>
              <w:t>2017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40" w:type="dxa"/>
            <w:vAlign w:val="bottom"/>
            <w:gridSpan w:val="3"/>
          </w:tcPr>
          <w:p>
            <w:pPr>
              <w:jc w:val="center"/>
              <w:ind w:left="391"/>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Energy</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Railcar</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Gaming</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Mining</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5,678</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400"/>
              <w:spacing w:after="0"/>
              <w:rPr>
                <w:sz w:val="20"/>
                <w:szCs w:val="20"/>
                <w:color w:val="auto"/>
              </w:rPr>
            </w:pPr>
            <w:r>
              <w:rPr>
                <w:rFonts w:ascii="Arial" w:cs="Arial" w:eastAsia="Arial" w:hAnsi="Arial"/>
                <w:sz w:val="18"/>
                <w:szCs w:val="18"/>
                <w:color w:val="auto"/>
              </w:rPr>
              <w:t>As of December 31, 2017, all of our subsidiaries were in compliance with all debt covenants.</w:t>
            </w: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00" w:type="dxa"/>
            <w:vAlign w:val="bottom"/>
            <w:gridSpan w:val="2"/>
          </w:tcPr>
          <w:p>
            <w:pPr>
              <w:ind w:left="400"/>
              <w:spacing w:after="0"/>
              <w:rPr>
                <w:sz w:val="20"/>
                <w:szCs w:val="20"/>
                <w:color w:val="auto"/>
              </w:rPr>
            </w:pPr>
            <w:r>
              <w:rPr>
                <w:rFonts w:ascii="Arial" w:cs="Arial" w:eastAsia="Arial" w:hAnsi="Arial"/>
                <w:sz w:val="18"/>
                <w:szCs w:val="18"/>
                <w:color w:val="auto"/>
                <w:w w:val="91"/>
              </w:rPr>
              <w:t>Our segments have additional borrowing availability under certain revolving credit facilities as summarized below:</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8"/>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Energy</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Railcar</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above outstanding debt and borrowing availability with respect to each of our segments reflects third-party obligations. See Note 10, "Debt," to the consolidated financial statements for further discussion regarding our segment debt, including information relating to maturities, interest rates and borrowing availabilities.</w:t>
      </w:r>
    </w:p>
    <w:p>
      <w:pPr>
        <w:sectPr>
          <w:pgSz w:w="11900" w:h="16838" w:orient="portrait"/>
          <w:cols w:equalWidth="0" w:num="1">
            <w:col w:w="11400"/>
          </w:cols>
          <w:pgMar w:left="240" w:top="476"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76" w:right="2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Subsidiary Payments to Acquire Businesses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year ended December 31, 2017, our Automotive segment acquired several automotive services businesses, including the franchise businesses of Precision Tune Auto Care ("Precision Tune") and American Driveline Systems, the franchisor of AAMCO and Cottman Transmission service centers ("American Driveline"), for an aggregate purchase price of $226 million, net of cash acquired. Additionally, during 2017, our Food Packaging segment acquired two businesses for an aggregate purchase price of $31 million, net of cash acquired.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Dividends and Distributions to Non-Controlling Interests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year ended December 31, 2017, our Energy, Railcar and Automotive segments had dividends and distributions to non-controlling interests of $75 million, $12 million and $5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Stock Repurchases</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On July 28, 2015, ARI's board of directors authorized the repurchase of up to $250 million of its outstanding common stock (the "ARI Stock Repurchase Program"). ARI did not repurchase shares of its common stock during the year ended December 31, 2017. Prior to 2017, an aggregate of $86 million was repurchased under the ARI Stock Repurchase Program.</w:t>
      </w:r>
    </w:p>
    <w:p>
      <w:pPr>
        <w:spacing w:after="0" w:line="7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July 31, 2015, Tropicana's board of directors authorized the repurchase of up to $50 million of its outstanding common stock and on February 22, 2017, an additional $50 million was authorized for repurchase (the "Tropicana Stock Repurchase Program"). During the year ended December 31, 2017, Tropicana repurchased shares of its common stock aggregating $36 million in connection with a tender offer commenced by Icahn Enterprises and Tropicana. Prior to 2017, an aggregate of $43 million was repurchased under the Tropicana Stock Repurchase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Federal-Mogul's subsidiaries in Brazil, Canada, France, Germany, Italy and the United States are party to accounts receivable factoring and securitization facilities. Refer to Note 2, "Basis of Presentation and Summary of Significant Accounting Policies," to the consolidated financial statements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may include various investment transactions, including acquisitions and dispositions of businesses, including proceeds from the sale of ARL. Our Investment segment's cash flows are primarily driven by investment transactions, which are included in net cash flows from operating activities due to the nature of its business, as well as contributions and distributions from Mr. Icahn and his affiliates (including Icahn Enterprises and Icahn Enterprises Holdings), which are included in net cash flow from financing activities. Our other operating segments' cash flows are driven by the activities and performance of each business, which is included in the discussion below.</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76" w:right="259" w:bottom="1440" w:gutter="0" w:footer="0" w:header="0"/>
        </w:sectPr>
      </w:pPr>
    </w:p>
    <w:bookmarkStart w:id="48" w:name="page49"/>
    <w:bookmarkEnd w:id="48"/>
    <w:p>
      <w:pPr>
        <w:ind w:right="60" w:firstLine="405"/>
        <w:spacing w:after="0" w:line="277" w:lineRule="auto"/>
        <w:rPr>
          <w:sz w:val="20"/>
          <w:szCs w:val="20"/>
          <w:color w:val="auto"/>
        </w:rPr>
      </w:pPr>
      <w:r>
        <w:rPr>
          <w:rFonts w:ascii="Arial" w:cs="Arial" w:eastAsia="Arial" w:hAnsi="Arial"/>
          <w:sz w:val="18"/>
          <w:szCs w:val="18"/>
          <w:color w:val="auto"/>
        </w:rPr>
        <w:t>The following table summarizes cash flow information for the year ended December 31, 2017, 2016 and 2015 for Icahn Enterprises' reporting segments and our Holding Company:</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Year Ended December 31,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Year Ended December 31, 2016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Year Ended December 31, 2015</w:t>
            </w:r>
          </w:p>
        </w:tc>
      </w:tr>
      <w:tr>
        <w:trPr>
          <w:trHeight w:val="250"/>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Net Cash Provided By (Used In)</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4"/>
              </w:rPr>
              <w:t>Net Cash Provided By (Used In)</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Net Cash Provided By (Used In)</w:t>
            </w:r>
          </w:p>
        </w:tc>
      </w:tr>
      <w:tr>
        <w:trPr>
          <w:trHeight w:val="152"/>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Financing</w:t>
            </w:r>
          </w:p>
        </w:tc>
        <w:tc>
          <w:tcPr>
            <w:tcW w:w="140" w:type="dxa"/>
            <w:vAlign w:val="bottom"/>
          </w:tcPr>
          <w:p>
            <w:pPr>
              <w:spacing w:after="0"/>
              <w:rPr>
                <w:sz w:val="13"/>
                <w:szCs w:val="13"/>
                <w:color w:val="auto"/>
              </w:rPr>
            </w:pPr>
          </w:p>
        </w:tc>
        <w:tc>
          <w:tcPr>
            <w:tcW w:w="80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76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0"/>
              </w:rPr>
              <w:t>Financing</w:t>
            </w:r>
          </w:p>
        </w:tc>
      </w:t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Activities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Activities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Activities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Activities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3"/>
              </w:rPr>
              <w:t>Activities</w:t>
            </w:r>
          </w:p>
        </w:tc>
      </w:tr>
      <w:tr>
        <w:trPr>
          <w:trHeight w:val="250"/>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4"/>
          </w:tcPr>
          <w:p>
            <w:pPr>
              <w:ind w:left="1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Holding Company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37"/>
        </w:trPr>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1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140</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Other Operating Segments: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Energy</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Railcar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Gaming</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Metals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Mining</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218</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Real Estate</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Home Fashion</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tcPr>
          <w:p>
            <w:pPr>
              <w:spacing w:after="0"/>
              <w:rPr>
                <w:sz w:val="18"/>
                <w:szCs w:val="18"/>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Other operating segments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1,033</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before eliminations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1,057</w:t>
            </w:r>
          </w:p>
        </w:tc>
      </w:tr>
      <w:tr>
        <w:trPr>
          <w:trHeight w:val="217"/>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1,655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Eliminations in the table above relate to our Holding Company's transactions with our Investment and other operating segments. Our Holding Company's net (investments in) distributions from the Investments Funds were $(1,300) million, $1,050 million and $100 million for the years ended December 31, 2017, 2016 and 2015, which are included in cash flows from investing activities for our Holding Company and cash flows from financing activities for our Investment segment. Our Holding Company's net distributions from (investments in) our other operating segments were $56 million, $(785) million and $(331) million for the years ended December 31, 2017, 2016 and 2015, which are included in cash flows from investing activities for our Holding Company and cash flows from financing activities for our other operating segments. In addition, our Holding Company repaid a loan from our Railcar segment of $120 million in 2017 and received loan proceeds of $125 million in 2016, which were classified as cash flows from financing activities for our Holding Company and cash flows from investing activities for our Railcar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Our Holding Company's cash flows from operating activities for each of the years ended December 31, 2017, 2016 and 2015 were attributable to our semi-annual interest payments on our senior unsecured notes and certain operating expenses of our Holding Company. Our Holding Company cash used in operating activities in 2017 was higher compared to 2016 and 2015 due to higher debt payments resulting from certain debt refinancings in 2017 as well as due to net tax payments in 2017 compared to net tax receipts in 2016 and 2015.</w:t>
      </w:r>
    </w:p>
    <w:p>
      <w:pPr>
        <w:spacing w:after="0" w:line="7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Holding Company's cash flows from investing activities for the year ended December 31, 2017 were due to proceeds of approximately $1.8 billion from the sale of ARL and dividends and distributions from our operating segments aggregating $588 million, offset in part by net investments in the Investment Funds of $1.3 billion, payments to acquire additional outstanding common stock of Federal-Mogul and Tropicana aggregating $349 million and investments in our Automotive segment of $504 million and other operating segments aggregating $28 million. For the year ended December 31, 2016, our Holding Company had distributions from our Investment segment of approximately $1.0 billion and dividends and distributions from our operating segments aggregating $340 million, offset in part by an investment in our Automotive segment of approximately $1.0 billion and our other operating segments of $81 million. For the year ended December 31, 2015, our Holding Company had distributions from our Investment segment of $100 million and dividends and distributions from our other operating segments of $434 million. This was more than offset by purchases of investments aggregating $345 million and investments in our Automotive and Mining segments of $556 million and $209 million, respectively.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76" w:right="259" w:bottom="1440" w:gutter="0" w:footer="0" w:header="0"/>
        </w:sectPr>
      </w:pPr>
    </w:p>
    <w:bookmarkStart w:id="49" w:name="page50"/>
    <w:bookmarkEnd w:id="49"/>
    <w:p>
      <w:pPr>
        <w:ind w:right="20" w:firstLine="405"/>
        <w:spacing w:after="0" w:line="254" w:lineRule="auto"/>
        <w:rPr>
          <w:sz w:val="20"/>
          <w:szCs w:val="20"/>
          <w:color w:val="auto"/>
        </w:rPr>
      </w:pPr>
      <w:r>
        <w:rPr>
          <w:rFonts w:ascii="Arial" w:cs="Arial" w:eastAsia="Arial" w:hAnsi="Arial"/>
          <w:sz w:val="18"/>
          <w:szCs w:val="18"/>
          <w:color w:val="auto"/>
        </w:rPr>
        <w:t>Our Holding Company's cash flows from financing activities for the year ended December 31, 2017 were due to aggregate proceeds from our rights offing of $612 million (which includes a contribution of $12 million from our general partner in order to maintain its aggregate 1.99% general partner interest in us) and net proceeds from our senior unsecured debt refinancings of $20 million, offset in part by repayment of an intercompany loan due to our Railcar segment of $120 million and by cash distributions on our depositary units of $81 million (including $2 million to our general partner) for the year ended December 31, 2017. For the year ended December 31, 2016, our Holding Company received $125 million in proceeds from its intercompany loan from our Railcar segment, which was offset in part by cash distributions on our depositary unitholders of $103 million (including $2 million to our general partner). For the year ended December 31, 2015, our Holding Company had net cash used in financing activities due to distributions on our depositary units of $116 million (including $2 million to our general partner).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Investment segment's cash flows from financing activities for the comparable periods were due to contributions from, and distributions to, our Holding Company and Mr. Icahn and his affiliates. Our Investment segment had net cash provided by financing activities of $1.9 billion for the year ended December 31, 2017, which included our $1.3 billion net investment in the Investment Funds as well as $600 million received from Mr. Icahn and his affiliates (excluding us). For the year ended December 31, 2016, our Investment segment had net cash used in financing activities of $552 million due to distributions paid to our Holding Company of approximately $1.1 billion, offset in part by net contributions from Mr. Icahn and his affiliates (excluding us) of $498 million. For the year ended December 31, 2015, our Investment segment had net cash provided by financing activities of $140 million due to $240 million in net contributions received from Mr. Icahn and his affiliates (excluding us) offset in part by distributions to our Holding Company of $100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Segments</w:t>
      </w:r>
    </w:p>
    <w:p>
      <w:pPr>
        <w:spacing w:after="0" w:line="11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Our other operating segments' cash flows from operating activities were primarily attributable to net income before non-cash charges of approximately $1.2 billion, $1.1 billion and $1.3 billion for the years ended December 31, 2017, 2016 and 2015. Net income before non-cash charges represents net cash flows from operating activities before changes in operating assets and liabilities. The decrease in net cash provided by operating activities from our other operating segments in 2017 compared to 2016 was primarily attributable to changes in operating assets and liabilities, particularly from our Automotive and Energy segments. Changes in operating assets and liabilities in 2017 compared to 2016 for our Automotive and Energy segments were primarily due to purchases of inventory and decreases in biofuel blending obligations, respectively.</w:t>
      </w:r>
    </w:p>
    <w:p>
      <w:pPr>
        <w:spacing w:after="0" w:line="7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Our other operating segments cash flows from investing activities for the years ended December 31, 2017, 2016 and 2015 were primarily due to capital expenditures and acquisitions of businesses, net of cash acquired. For the year ended December 31, 2017, our Automotive segment's capital expenditures were $479 million, primarily related to investing in new facilities, upgrading existing products, continuing new product launches and other infrastructure and equipment costs. Our Railcar segment's capital expenditures were $173 million, primarily for railcars for lease and our Energy and Gaming segments had capital expenditures of $119 million and $112 million, respectively. For the year ended December 31, 2016 our Automotive and Energy segments had capital expenditures of $418 million and $133 million, respectively and our Railcar segment had capital expenditures of $133 million, primarily for railcars for lease. For the year ended December 31, 2015, our Railcar segment had capital expenditures of $522 million, of which $484 million was for railcars for lease, and our Automotive and Energy segments had capital expenditures of $449 million and $219 million, respectively.</w:t>
      </w:r>
    </w:p>
    <w:p>
      <w:pPr>
        <w:spacing w:after="0" w:line="5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Acquisitions of businesses, net of cash acquired, for the years ended December 31, 2017, 2016 and 2015 were primarily within our Automotive segment. Our Automotive segment's acquisitions included Precision Tune, American Driveline and various other businesses aggregating $226 million in 2017, its acquisitions of Pep Boys and certain other businesses aggregating approximately $1.0 billion in 2016 and its acquisitions of IEH Auto, TRW's valvetrain business and certain other businesses aggregating $694 million in 2015. In addition, our Food Packaging segment acquired a casings manufacturer for $31 million in 2017, our Energy segment acquired CVR Nitrogen, LP for common units and $64 million of net cash consideration in 2016 and Ferrous Resources was acquired in 2015 for $161 million.</w:t>
      </w:r>
    </w:p>
    <w:p>
      <w:pPr>
        <w:spacing w:after="0" w:line="8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During the year ended December 31, 2017, our Railcar segment received $120 million from our Holding Company for the repayment of an intercompany loan and during the year ended December 31, 2016 our Railcar segment paid $125 million to our Holding Company for the issuance of the intercompany loan.</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other operating segments cash flows from financing activities for the years ended December 31, 2017, 2016 and 2015 were primarily due to contributions from us, dividends and distributions to us and non-controlling interests and net debt transactions. For 2017, 2016 and 2015, our other operating segments had net cash (distributions to) contributions from our Holding Company of $(56) million, $785 million and $331 million, respectively, as described above. Distributions to non-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76" w:right="259" w:bottom="1440" w:gutter="0" w:footer="0" w:header="0"/>
        </w:sectPr>
      </w:pPr>
    </w:p>
    <w:bookmarkStart w:id="50" w:name="page51"/>
    <w:bookmarkEnd w:id="50"/>
    <w:p>
      <w:pPr>
        <w:ind w:right="60"/>
        <w:spacing w:after="0" w:line="302" w:lineRule="auto"/>
        <w:rPr>
          <w:sz w:val="20"/>
          <w:szCs w:val="20"/>
          <w:color w:val="auto"/>
        </w:rPr>
      </w:pPr>
      <w:r>
        <w:rPr>
          <w:rFonts w:ascii="Arial" w:cs="Arial" w:eastAsia="Arial" w:hAnsi="Arial"/>
          <w:sz w:val="16"/>
          <w:szCs w:val="16"/>
          <w:color w:val="auto"/>
        </w:rPr>
        <w:t>controlling interests were $92 million, $86 million and $252 million for the years ended December 31, 2017, 2016 and 2015, respectively, primarily from our Energy and Railcar segments. In 2015, our Energy segment's distributions to non-controlling interests included $200 million paid by CVR Partners. In addition, for 2017, 2016 and 2015, our other operating segments had net cash (repayments) proceeds from debt transactions of $(283) million, $(153) million and approximately $1.0 billion, respectively. Net proceeds in 2015 are primarily due to refinancing of debt within our Automotive and Railcar segments.</w:t>
      </w:r>
    </w:p>
    <w:p>
      <w:pPr>
        <w:spacing w:after="0" w:line="4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In addition to the above, Federal-Mogul's rights offering in 2015 resulted in $250 million in additional proceeds for our Automotive segment, including $230 million received from us, and Tropicana and ARI had repurchases of treasury stock for the years ended December 31, 2017, 2016 and 2015 aggregating $36 million, $72 million and $57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Refer to Note 13, "Segment and Geographic Reporting," for a reconciliation of our segments' capital expenditures to consolidated capital expenditures for each of the years ended December 31, 2017, 2016 and 2015.</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estimate that our consolidated capital expenditures for our continuing operating businesses to be approximately $950 million to $1.0 billion in 2018. Our Automotive segment estimates its 2018 capital expenditures to be approximately $500 million, primarily for strategic priorities and growth. Our Energy segment estimates its 2018 capital expenditures to be approximately $231 million, a majority of which is planned for maintenance. Our Railcar segment estimates its 2018 capital expenditures to be approximately $100 million, with a majority for its railcar lease fleet. Our Gaming segment estimates its 2018 capital expenditures to be approximately $68 million, primarily for maintenance.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reflects, at December 31, 2017, our contractual cash obligations, subject to certain conditions, due over the indicated periods: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11,188</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420" w:type="dxa"/>
            <w:vAlign w:val="bottom"/>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1,151</w:t>
            </w: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57"/>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378"/>
        <w:spacing w:after="0" w:line="297" w:lineRule="auto"/>
        <w:rPr>
          <w:sz w:val="20"/>
          <w:szCs w:val="20"/>
          <w:color w:val="auto"/>
        </w:rPr>
      </w:pPr>
      <w:r>
        <w:rPr>
          <w:rFonts w:ascii="Arial" w:cs="Arial" w:eastAsia="Arial" w:hAnsi="Arial"/>
          <w:sz w:val="16"/>
          <w:szCs w:val="16"/>
          <w:color w:val="auto"/>
        </w:rPr>
        <w:t>Certain of Federal-Mogul's, CVR Energy's and PSC Metals' facilities are environmentally impaired. As of December 31, 2017, Federal-Mogul, CVR Energy and PSC Metals have recorded environmental liabilities of $16 million, $4 million and $28 million, respectively. Additionally, our Automotive segment has identified sites with contractual obligations and sites that are closed or expected to be closed and sold in connection with its restructuring activities and has accrued $15 million as of December 31, 2017, primarily related to removing hazardous materials in buildings. For further discussion regarding these commitments, among others, see Note 17, “Commitments and Contingencies,” to the consolidated financial statements.</w:t>
      </w:r>
    </w:p>
    <w:p>
      <w:pPr>
        <w:spacing w:after="0" w:line="50" w:lineRule="exact"/>
        <w:rPr>
          <w:sz w:val="20"/>
          <w:szCs w:val="20"/>
          <w:color w:val="auto"/>
        </w:rPr>
      </w:pPr>
    </w:p>
    <w:p>
      <w:pPr>
        <w:jc w:val="both"/>
        <w:ind w:right="300" w:firstLine="378"/>
        <w:spacing w:after="0" w:line="264" w:lineRule="auto"/>
        <w:rPr>
          <w:sz w:val="20"/>
          <w:szCs w:val="20"/>
          <w:color w:val="auto"/>
        </w:rPr>
      </w:pPr>
      <w:r>
        <w:rPr>
          <w:rFonts w:ascii="Arial" w:cs="Arial" w:eastAsia="Arial" w:hAnsi="Arial"/>
          <w:sz w:val="18"/>
          <w:szCs w:val="18"/>
          <w:color w:val="auto"/>
        </w:rPr>
        <w:t>As discussed in Note 4, “Investments and Related Matters,” to the consolidated financial statements, we have contractual liabilities of approximately $1.0 billion related to securities sold, not yet purchased as of December 31, 2017. This amount has not been included in the table above as maturity is not subject to a contract and cannot be properly estimated.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320" w:firstLine="378"/>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6, “Financial Instruments,” to the consolidated financial statements contained elsewhere in this Report.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76"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significant accounting policies are described in Note 2, “Basis of Presentation and Summary of Significant Accounting Policies,” to the consolidated financial statements. 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and pension expense.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70"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We believe the following accounting policies are critical to our business operations and the understanding of results of operations and affect the more significant judgments and estimates used in the preparation of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73"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62" w:lineRule="exact"/>
        <w:rPr>
          <w:sz w:val="20"/>
          <w:szCs w:val="20"/>
          <w:color w:val="auto"/>
        </w:rPr>
      </w:pPr>
    </w:p>
    <w:p>
      <w:pPr>
        <w:ind w:right="440" w:firstLine="378"/>
        <w:spacing w:after="0" w:line="264"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3"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On December 22, 2017, The Tax Cuts and Jobs Act (the "Tax Legislation") was enacted in the United States, significantly revising certain U.S. corporate income tax provisions; including, among other items, a reduction of the U.S. corporate rate from 35% to 21%, effective for tax year beginning after December 31, 2017; the transition of U.S. international taxation from a worldwide tax system to a territorial system; and a one-time transition tax on the mandatory deemed repatriation of cumulative foreign earnings as of December 31, 2017, (or, if greater, November 2, 2017) of a “specified foreign corporation” which includes controlled foreign corporations and other foreign corporations which have at least one U.S. corporate shareholder that owns 10% or more of the value or voting power of such foreign corporation. We estimated the impact of the Tax Legislation on our income tax provision for the year ended December 31, 2017 in accordance with our understanding of the Tax Legislation and guidance available at the date of this filing and as a result have recorded adjustments to the various tax balances, current, long-term and deferred tax assets and liabilities, all during the fourth quarter of 2017, the period in which the Tax Legislation was enacted. The provisional amount related to the remeasurement of certain deferred tax assets and liabilities based on the rates at which they are expected to reverse in the future was $496 million, representing an income tax benefit recorded during the current period. The provisional amount related to the one-time transition tax on the mandatory deemed repatriation of foreign earnings was $2 million.</w:t>
      </w:r>
    </w:p>
    <w:p>
      <w:pPr>
        <w:spacing w:after="0" w:line="65"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Tax Legislation. In accordance with SAB 118, we have determined that the $496 million of income tax benefit recorded in connection with the remeasurement of certain deferred tax assets and liabilities and the $2 million of current tax expense recorded in connection with the transition tax on mandatory deemed repatriation of foreign earnings were each a provisional amount and a reasonable estimate as of the date of this filing. The accounting for these provisional amounts may be adjusted as we gain a better understanding of the new tax laws due to additional guidance and analysis of these estimates, including but not limited to, guidance on application of the one-time transition tax to 10% U.S. shareholders of a specified foreign corporation, state tax treatments and finalizing our foreign affiliate analysis. Any subsequent adjustment to these amounts will be recorded to tax expense in the quarter of 2018 when the analysis is complete and additional guidance and Internal Revenue Service interpretations are issued.</w:t>
      </w:r>
    </w:p>
    <w:p>
      <w:pPr>
        <w:spacing w:after="0" w:line="59"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Federal Mogul, Viskase and ARI have not provided taxes on $784 million, $46 million and $6 million, respectively of undistributed earnings in foreign subsidiaries which are deemed to be indefinitely reinvested. If at some future date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2" w:name="page53"/>
    <w:bookmarkEnd w:id="52"/>
    <w:p>
      <w:pPr>
        <w:ind w:right="80"/>
        <w:spacing w:after="0" w:line="264" w:lineRule="auto"/>
        <w:rPr>
          <w:sz w:val="20"/>
          <w:szCs w:val="20"/>
          <w:color w:val="auto"/>
        </w:rPr>
      </w:pPr>
      <w:r>
        <w:rPr>
          <w:rFonts w:ascii="Arial" w:cs="Arial" w:eastAsia="Arial" w:hAnsi="Arial"/>
          <w:sz w:val="18"/>
          <w:szCs w:val="18"/>
          <w:color w:val="auto"/>
        </w:rPr>
        <w:t>earnings cease to be permanently reinvested, we may be subject to foreign income and withholding taxes upon repatriation of such amounts. Determining the unrecognized deferred tax liability on the potential distribution of these earnings is not practicable as such liability, if any, is dependent on circumstances existing when remittance occurs.</w:t>
      </w:r>
    </w:p>
    <w:p>
      <w:pPr>
        <w:spacing w:after="0" w:line="73" w:lineRule="exact"/>
        <w:rPr>
          <w:sz w:val="20"/>
          <w:szCs w:val="20"/>
          <w:color w:val="auto"/>
        </w:rPr>
      </w:pPr>
    </w:p>
    <w:p>
      <w:pPr>
        <w:ind w:right="140" w:firstLine="378"/>
        <w:spacing w:after="0" w:line="297" w:lineRule="auto"/>
        <w:rPr>
          <w:sz w:val="20"/>
          <w:szCs w:val="20"/>
          <w:color w:val="auto"/>
        </w:rPr>
      </w:pPr>
      <w:r>
        <w:rPr>
          <w:rFonts w:ascii="Arial" w:cs="Arial" w:eastAsia="Arial" w:hAnsi="Arial"/>
          <w:sz w:val="16"/>
          <w:szCs w:val="16"/>
          <w:color w:val="auto"/>
        </w:rPr>
        <w:t>Management periodically evaluates all evidence, both positive and negative, in determining whether a valuation allowance to reduce the carrying value of deferred tax assets is still needed. For each of the three years ended December 31, 2017,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50" w:lineRule="exact"/>
        <w:rPr>
          <w:sz w:val="20"/>
          <w:szCs w:val="20"/>
          <w:color w:val="auto"/>
        </w:rPr>
      </w:pPr>
    </w:p>
    <w:p>
      <w:pPr>
        <w:ind w:right="2280" w:firstLine="378"/>
        <w:spacing w:after="0" w:line="375" w:lineRule="auto"/>
        <w:rPr>
          <w:sz w:val="20"/>
          <w:szCs w:val="20"/>
          <w:color w:val="auto"/>
        </w:rPr>
      </w:pPr>
      <w:r>
        <w:rPr>
          <w:rFonts w:ascii="Arial" w:cs="Arial" w:eastAsia="Arial" w:hAnsi="Arial"/>
          <w:sz w:val="18"/>
          <w:szCs w:val="18"/>
          <w:color w:val="auto"/>
        </w:rPr>
        <w:t xml:space="preserve">See Note 14, "Income Taxes," to the consolidated financial statements for further discussion regarding our incomes taxes. </w:t>
      </w:r>
      <w:r>
        <w:rPr>
          <w:rFonts w:ascii="Arial" w:cs="Arial" w:eastAsia="Arial" w:hAnsi="Arial"/>
          <w:sz w:val="18"/>
          <w:szCs w:val="18"/>
          <w:b w:val="1"/>
          <w:bCs w:val="1"/>
          <w:i w:val="1"/>
          <w:iCs w:val="1"/>
          <w:color w:val="auto"/>
        </w:rPr>
        <w:t>Valuation of Investments</w:t>
      </w:r>
    </w:p>
    <w:p>
      <w:pPr>
        <w:spacing w:after="0" w:line="1"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117"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We calculate depreciation and amortization on a straight-line basis over the estimated useful lives of the various definite-lived assets. When assets are placed in service, we make estimates of what we believe are their reasonable useful lives.</w:t>
      </w:r>
    </w:p>
    <w:p>
      <w:pPr>
        <w:spacing w:after="0" w:line="62"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Long-lived assets held and used by our various operating segments and long-lived assets to be disposed of are reviewed for impairment whenever events or changes in circumstances, such as vacancies and rejected leases and reduced production capacity, indicate that the carrying amount of an asset may not be recoverable. In performing the review for recoverability, we estimate the future cash flows expected to result from the use of the asset and its eventual disposition. If the sum of the expected future cash flows, undiscounted and without interest charges, is less than the carrying amount of the asset an impairment loss is recognized. Measurement of an impairment loss for long-lived assets that we expect to hold and use is based on the fair value of the asset. Long-lived assets to be disposed of are reported at the lower of carrying amount or fair value less cost to sell. Definite-lived assets held by our various segments are periodically reviewed for impairment indicators. If impairment indicators exist, we perform the required analysis and an impairment loss is recognized in accordance with U.S. GAAP.</w:t>
      </w:r>
    </w:p>
    <w:p>
      <w:pPr>
        <w:spacing w:after="0" w:line="71"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Indefinite-lived intangible assets, such as goodwill and trademarks, held by our various segments are reviewed for impairment annually, or more frequently if impairment indicators exist. Goodwill impairment testing involves comparing the fair value of our reporting units to their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2017, five reporting units were allocated goodwill across three reporting segments aggregating $1,275 million. Our Automotive segment's goodwill accounts for $1,261 million of our consolidated goodwill and is allocated to three separate reporting units, Powertrain, Motorparts and Pep Boys, in the amounts of $592 million, $349 million and $320 million, respectively. These reporting units are tested for impairment annually on October 1. As a result of our annual goodwill impairment analysis for our Automotive segment, the fair value of our Automotive segment's Powertrain, Motorparts and Pep Boys reporting units exceeded their carrying values by 25%, 6% and 16%, respectively.</w:t>
      </w:r>
    </w:p>
    <w:p>
      <w:pPr>
        <w:spacing w:after="0" w:line="74"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3" w:name="page54"/>
    <w:bookmarkEnd w:id="53"/>
    <w:p>
      <w:pPr>
        <w:ind w:right="700" w:firstLine="378"/>
        <w:spacing w:after="0" w:line="308" w:lineRule="auto"/>
        <w:rPr>
          <w:sz w:val="20"/>
          <w:szCs w:val="20"/>
          <w:color w:val="auto"/>
        </w:rPr>
      </w:pPr>
      <w:r>
        <w:rPr>
          <w:rFonts w:ascii="Arial" w:cs="Arial" w:eastAsia="Arial" w:hAnsi="Arial"/>
          <w:sz w:val="17"/>
          <w:szCs w:val="17"/>
          <w:color w:val="auto"/>
        </w:rPr>
        <w:t>See Note 5, "Fair Value Measurements," and Note 8, "Goodwill and Intangible Assets, Net," to the consolidated financial statements for further discussion regarding the fair value measurements of our long-live assets as well as goodwill and intangible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and Other Post-Retirement Benefit Plans</w:t>
      </w:r>
    </w:p>
    <w:p>
      <w:pPr>
        <w:spacing w:after="0" w:line="117"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Federal-Mogul sponsors defined benefit pension plans and post-retirement plans for certain employees and retirees around the world. Federal-Mogul's defined benefit plans are accounted for on an actuarial basis, which requires the selection of various assumptions, including an expected long-term rate of return, discount rate, mortality rates of participants, and expectation of mortality improvement.</w:t>
      </w:r>
    </w:p>
    <w:p>
      <w:pPr>
        <w:spacing w:after="0" w:line="73" w:lineRule="exact"/>
        <w:rPr>
          <w:sz w:val="20"/>
          <w:szCs w:val="20"/>
          <w:color w:val="auto"/>
        </w:rPr>
      </w:pPr>
    </w:p>
    <w:p>
      <w:pPr>
        <w:jc w:val="both"/>
        <w:ind w:right="260" w:firstLine="378"/>
        <w:spacing w:after="0" w:line="259" w:lineRule="auto"/>
        <w:rPr>
          <w:sz w:val="20"/>
          <w:szCs w:val="20"/>
          <w:color w:val="auto"/>
        </w:rPr>
      </w:pPr>
      <w:r>
        <w:rPr>
          <w:rFonts w:ascii="Arial" w:cs="Arial" w:eastAsia="Arial" w:hAnsi="Arial"/>
          <w:sz w:val="18"/>
          <w:szCs w:val="18"/>
          <w:color w:val="auto"/>
        </w:rPr>
        <w:t>Differences in actual experience or changes in assumptions may materially affect the pension and post-retirement plan obligations. Actual results that differ from assumptions are accumulated in unamortized net actuarial gains and losses which are subject to amortization and expensed over future periods. The unamortized pre-tax actuarial loss on Federal-Mogul's pension plans was $491 million and $544 million at December 31, 2017 and 2016, respectively. Federal-Mogul expects to recognize amortization expense of $18 million in 2018.</w:t>
      </w:r>
    </w:p>
    <w:p>
      <w:pPr>
        <w:spacing w:after="0" w:line="79"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Assumptions used to calculate benefit obligations as of the end of a fiscal year directly affect the expense to be recognized in future periods. The primary assumptions affecting our accounting for employee benefits as of December 31, 2017 are as follows:</w:t>
      </w:r>
    </w:p>
    <w:p>
      <w:pPr>
        <w:spacing w:after="0" w:line="62" w:lineRule="exact"/>
        <w:rPr>
          <w:sz w:val="20"/>
          <w:szCs w:val="20"/>
          <w:color w:val="auto"/>
        </w:rPr>
      </w:pPr>
    </w:p>
    <w:p>
      <w:pPr>
        <w:ind w:left="660" w:right="100" w:hanging="247"/>
        <w:spacing w:after="0" w:line="27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Long-term rate of return on plan assets</w:t>
      </w:r>
      <w:r>
        <w:rPr>
          <w:rFonts w:ascii="Arial" w:cs="Arial" w:eastAsia="Arial" w:hAnsi="Arial"/>
          <w:sz w:val="17"/>
          <w:szCs w:val="17"/>
          <w:color w:val="auto"/>
        </w:rPr>
        <w:t>: In December 2017, an investment policy study was completed for Federal-Mogul's U.S. pension plans. The</w:t>
      </w:r>
      <w:r>
        <w:rPr>
          <w:rFonts w:ascii="Arial" w:cs="Arial" w:eastAsia="Arial" w:hAnsi="Arial"/>
          <w:sz w:val="17"/>
          <w:szCs w:val="17"/>
          <w:i w:val="1"/>
          <w:iCs w:val="1"/>
          <w:color w:val="auto"/>
        </w:rPr>
        <w:t xml:space="preserve"> </w:t>
      </w:r>
      <w:r>
        <w:rPr>
          <w:rFonts w:ascii="Arial" w:cs="Arial" w:eastAsia="Arial" w:hAnsi="Arial"/>
          <w:sz w:val="17"/>
          <w:szCs w:val="17"/>
          <w:color w:val="auto"/>
        </w:rPr>
        <w:t>study resulted in changes to the expected long-term rate of return on assets and is designed to approximate a long-term prospective rate. The long-term rate of return on assets decreased from 5.55% at December 31, 2016 to 5.50% at December 31, 2017. The expected long-term rate of return on plan assets used in determining pension expense for non-U.S. plans is determined in a similar manner to the U.S. plans and the weighted average return on assets increased from 3.05% at December 31, 2016 to 3.26% at December 31, 2017.</w:t>
      </w:r>
    </w:p>
    <w:p>
      <w:pPr>
        <w:spacing w:after="0" w:line="64" w:lineRule="exact"/>
        <w:rPr>
          <w:rFonts w:ascii="Arial" w:cs="Arial" w:eastAsia="Arial" w:hAnsi="Arial"/>
          <w:sz w:val="17"/>
          <w:szCs w:val="17"/>
          <w:color w:val="auto"/>
        </w:rPr>
      </w:pPr>
    </w:p>
    <w:p>
      <w:pPr>
        <w:ind w:left="660" w:right="100" w:hanging="247"/>
        <w:spacing w:after="0" w:line="25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Discount rate</w:t>
      </w:r>
      <w:r>
        <w:rPr>
          <w:rFonts w:ascii="Arial" w:cs="Arial" w:eastAsia="Arial" w:hAnsi="Arial"/>
          <w:sz w:val="18"/>
          <w:szCs w:val="18"/>
          <w:color w:val="auto"/>
        </w:rPr>
        <w:t>: The discount rate assumption is established at the measurement date. In the U.S., Federal-Mogul uses a cash flow matching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that uses projected cash flows matched to spot rates along a high quality corporate yield curve to determine the present value of cash flows to calculate a single equivalent discount rate. The benefit obligation for pension plans in Belgium, France, and Germany represents 90% of the non-U.S. pension benefit obligation at December 31, 2017. The discount rates for these plans are determined using a cash flow matching approach similar to the U.S. approach.</w:t>
      </w:r>
    </w:p>
    <w:p>
      <w:pPr>
        <w:spacing w:after="0" w:line="80" w:lineRule="exact"/>
        <w:rPr>
          <w:rFonts w:ascii="Arial" w:cs="Arial" w:eastAsia="Arial" w:hAnsi="Arial"/>
          <w:sz w:val="18"/>
          <w:szCs w:val="18"/>
          <w:i w:val="1"/>
          <w:iCs w:val="1"/>
          <w:color w:val="auto"/>
        </w:rPr>
      </w:pPr>
    </w:p>
    <w:p>
      <w:pPr>
        <w:ind w:left="660" w:right="2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weighted-average discount rate used to calculate net periodic pension cost is 3.90% for U.S. pension plans, a weighted average of 2.03% for non-U.S. pension plans and 3.98% for its other post-retirement benefits. In calculating its benefit obligations, Federal-Mogul used a weighted-average discount rate of 3.50% for its U.S. pension plans, a weighted average discount rate of 2.26% for its non-U.S. pension plans and a discount rate of 3.68% for its other post-retirement benefits.</w:t>
      </w:r>
    </w:p>
    <w:p>
      <w:pPr>
        <w:spacing w:after="0" w:line="78" w:lineRule="exact"/>
        <w:rPr>
          <w:rFonts w:ascii="Arial" w:cs="Arial" w:eastAsia="Arial" w:hAnsi="Arial"/>
          <w:sz w:val="18"/>
          <w:szCs w:val="18"/>
          <w:i w:val="1"/>
          <w:iCs w:val="1"/>
          <w:color w:val="auto"/>
        </w:rPr>
      </w:pPr>
    </w:p>
    <w:p>
      <w:pPr>
        <w:ind w:left="660" w:right="160" w:hanging="247"/>
        <w:spacing w:after="0" w:line="342"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Mortality Assumptions: </w:t>
      </w:r>
      <w:r>
        <w:rPr>
          <w:rFonts w:ascii="Arial" w:cs="Arial" w:eastAsia="Arial" w:hAnsi="Arial"/>
          <w:sz w:val="16"/>
          <w:szCs w:val="16"/>
          <w:color w:val="auto"/>
        </w:rPr>
        <w:t>Federal-Mogul has reviewed the mortality improvement tables published by the Society of Actuaries in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and determined that the current assumptions are appropriate to measure its December 31, 2017 U.S. pension plans' obligations.</w:t>
      </w:r>
    </w:p>
    <w:p>
      <w:pPr>
        <w:spacing w:after="0" w:line="15" w:lineRule="exact"/>
        <w:rPr>
          <w:rFonts w:ascii="Arial" w:cs="Arial" w:eastAsia="Arial" w:hAnsi="Arial"/>
          <w:sz w:val="16"/>
          <w:szCs w:val="16"/>
          <w:i w:val="1"/>
          <w:iCs w:val="1"/>
          <w:color w:val="auto"/>
        </w:rPr>
      </w:pPr>
    </w:p>
    <w:p>
      <w:pPr>
        <w:ind w:left="660" w:right="360" w:hanging="247"/>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Health care cost trend: </w:t>
      </w:r>
      <w:r>
        <w:rPr>
          <w:rFonts w:ascii="Arial" w:cs="Arial" w:eastAsia="Arial" w:hAnsi="Arial"/>
          <w:sz w:val="18"/>
          <w:szCs w:val="18"/>
          <w:color w:val="auto"/>
        </w:rPr>
        <w:t>We review external data and our historical trends for health care costs to determine the health care cost trend rate.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health care cost trend rate used to measure next year’s post-retirement health care benefits is 6.41% for health care and drug costs, both declining to an ultimate trend rate of 5.00% in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4" w:name="page55"/>
    <w:bookmarkEnd w:id="54"/>
    <w:p>
      <w:pPr>
        <w:ind w:right="680" w:firstLine="378"/>
        <w:spacing w:after="0" w:line="277" w:lineRule="auto"/>
        <w:rPr>
          <w:sz w:val="20"/>
          <w:szCs w:val="20"/>
          <w:color w:val="auto"/>
        </w:rPr>
      </w:pPr>
      <w:r>
        <w:rPr>
          <w:rFonts w:ascii="Arial" w:cs="Arial" w:eastAsia="Arial" w:hAnsi="Arial"/>
          <w:sz w:val="18"/>
          <w:szCs w:val="18"/>
          <w:color w:val="auto"/>
        </w:rPr>
        <w:t>The following table illustrates the sensitivity to a change in certain assumptions for the pension and post-retirement plans. The changes in these assumptions have no impact on Federal-Mogul's funding requirements.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ind w:right="533"/>
              <w:spacing w:after="0"/>
              <w:rPr>
                <w:sz w:val="20"/>
                <w:szCs w:val="20"/>
                <w:color w:val="auto"/>
              </w:rPr>
            </w:pPr>
            <w:r>
              <w:rPr>
                <w:rFonts w:ascii="Arial" w:cs="Arial" w:eastAsia="Arial" w:hAnsi="Arial"/>
                <w:sz w:val="18"/>
                <w:szCs w:val="18"/>
                <w:b w:val="1"/>
                <w:bCs w:val="1"/>
                <w:color w:val="auto"/>
                <w:w w:val="97"/>
              </w:rPr>
              <w:t>Pension Benefits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9"/>
              </w:rPr>
              <w:t>Other Post-Retirement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4"/>
          </w:tcPr>
          <w:p>
            <w:pPr>
              <w:ind w:left="200"/>
              <w:spacing w:after="0"/>
              <w:rPr>
                <w:sz w:val="20"/>
                <w:szCs w:val="20"/>
                <w:color w:val="auto"/>
              </w:rPr>
            </w:pPr>
            <w:r>
              <w:rPr>
                <w:rFonts w:ascii="Arial" w:cs="Arial" w:eastAsia="Arial" w:hAnsi="Arial"/>
                <w:sz w:val="18"/>
                <w:szCs w:val="18"/>
                <w:b w:val="1"/>
                <w:bCs w:val="1"/>
                <w:color w:val="auto"/>
              </w:rPr>
              <w:t>United States Plans</w:t>
            </w:r>
          </w:p>
        </w:tc>
        <w:tc>
          <w:tcPr>
            <w:tcW w:w="140" w:type="dxa"/>
            <w:vAlign w:val="bottom"/>
          </w:tcPr>
          <w:p>
            <w:pPr>
              <w:spacing w:after="0"/>
              <w:rPr>
                <w:sz w:val="20"/>
                <w:szCs w:val="20"/>
                <w:color w:val="auto"/>
              </w:rPr>
            </w:pPr>
          </w:p>
        </w:tc>
        <w:tc>
          <w:tcPr>
            <w:tcW w:w="20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Non-U.S. Plans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ind w:left="640"/>
              <w:spacing w:after="0"/>
              <w:rPr>
                <w:sz w:val="20"/>
                <w:szCs w:val="20"/>
                <w:color w:val="auto"/>
              </w:rPr>
            </w:pPr>
            <w:r>
              <w:rPr>
                <w:rFonts w:ascii="Arial" w:cs="Arial" w:eastAsia="Arial" w:hAnsi="Arial"/>
                <w:sz w:val="18"/>
                <w:szCs w:val="18"/>
                <w:b w:val="1"/>
                <w:bCs w:val="1"/>
                <w:color w:val="auto"/>
                <w:w w:val="84"/>
              </w:rPr>
              <w:t>Benefits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4"/>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Change in</w:t>
            </w:r>
          </w:p>
        </w:tc>
        <w:tc>
          <w:tcPr>
            <w:tcW w:w="2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b w:val="1"/>
                <w:bCs w:val="1"/>
                <w:color w:val="auto"/>
                <w:w w:val="91"/>
              </w:rPr>
              <w:t>Change in</w:t>
            </w:r>
          </w:p>
        </w:tc>
        <w:tc>
          <w:tcPr>
            <w:tcW w:w="20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Change in</w:t>
            </w: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in</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2018 expense</w:t>
            </w:r>
          </w:p>
        </w:tc>
        <w:tc>
          <w:tcPr>
            <w:tcW w:w="20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PBO</w:t>
            </w:r>
          </w:p>
        </w:tc>
        <w:tc>
          <w:tcPr>
            <w:tcW w:w="118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w w:val="90"/>
              </w:rPr>
              <w:t>2018 expense</w:t>
            </w:r>
          </w:p>
        </w:tc>
        <w:tc>
          <w:tcPr>
            <w:tcW w:w="20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PBO</w:t>
            </w:r>
          </w:p>
        </w:tc>
        <w:tc>
          <w:tcPr>
            <w:tcW w:w="1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2018 expense</w:t>
            </w: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PBO</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bp decrease in discount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25 bp increase in discount rate</w:t>
            </w:r>
          </w:p>
        </w:tc>
        <w:tc>
          <w:tcPr>
            <w:tcW w:w="1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bp decrease in return on assets rate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25 bp increase in return on assets rate</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60" w:firstLine="378"/>
        <w:spacing w:after="0" w:line="277" w:lineRule="auto"/>
        <w:rPr>
          <w:sz w:val="20"/>
          <w:szCs w:val="20"/>
          <w:color w:val="auto"/>
        </w:rPr>
      </w:pPr>
      <w:r>
        <w:rPr>
          <w:rFonts w:ascii="Arial" w:cs="Arial" w:eastAsia="Arial" w:hAnsi="Arial"/>
          <w:sz w:val="18"/>
          <w:szCs w:val="18"/>
          <w:color w:val="auto"/>
        </w:rPr>
        <w:t>The assumed health care trend rate has a significant impact on the amounts reported for the post-retirement benefit plan obligations. The following table illustrates the sensitivity to a change in the assumed health care trend rate: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52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w w:val="93"/>
              </w:rPr>
              <w:t>Total Service and</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b w:val="1"/>
                <w:bCs w:val="1"/>
                <w:color w:val="auto"/>
                <w:w w:val="94"/>
              </w:rPr>
              <w:t>Interest Cost</w:t>
            </w:r>
          </w:p>
        </w:tc>
        <w:tc>
          <w:tcPr>
            <w:tcW w:w="4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APBO</w:t>
            </w:r>
          </w:p>
        </w:tc>
      </w:tr>
      <w:tr>
        <w:trPr>
          <w:trHeight w:val="27"/>
        </w:trPr>
        <w:tc>
          <w:tcPr>
            <w:tcW w:w="8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 bp increase in health care trend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100 bp decrease in health care trend rate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 xml:space="preserve">Our Energy segment's petroleum business uses futures contracts, options, and forward contracts primarily to reduce exposure to changes in crude oil prices and finished goods product prices to provide economic hedges of inventory positions. Although CVR Energy's management considers these derivatives economic hedges, these derivative instruments do not qualify as hedges for hedge accounting purposes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accordingly are recorded at fair value in the consolidated balance sheets. Changes in the fair value of these derivative instruments are recorded into earnings as a component of other income, net in the period of change. The estimated fair values of forward and swap contracts are based on quoted market prices and assumptions for the estimated forward yield curves of related commodities in periods when quoted market prices are unavailable.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See Note 2, "Basis of Presentation and Summary of Significant Accounting Policies," to the consolidated financial statements for a discussion of recent accounting pronouncements applicable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20" w:firstLine="378"/>
        <w:spacing w:after="0" w:line="308" w:lineRule="auto"/>
        <w:rPr>
          <w:sz w:val="20"/>
          <w:szCs w:val="20"/>
          <w:color w:val="auto"/>
        </w:rPr>
      </w:pPr>
      <w:r>
        <w:rPr>
          <w:rFonts w:ascii="Arial" w:cs="Arial" w:eastAsia="Arial" w:hAnsi="Arial"/>
          <w:sz w:val="17"/>
          <w:szCs w:val="17"/>
          <w:color w:val="auto"/>
        </w:rPr>
        <w:t>Our consolidated balance sheets include substantial amounts of assets and liabilities whose fair values are subject to market risks. Our significant market risks are primarily associated with equity prices, interest rates, foreign currency exchange rates and commodity prices, as discussed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Our predominant exposure to equity price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76" w:right="259" w:bottom="1440" w:gutter="0" w:footer="0" w:header="0"/>
        </w:sectPr>
      </w:pPr>
    </w:p>
    <w:bookmarkStart w:id="55" w:name="page56"/>
    <w:bookmarkEnd w:id="55"/>
    <w:p>
      <w:pPr>
        <w:ind w:right="20" w:firstLine="405"/>
        <w:spacing w:after="0" w:line="289" w:lineRule="auto"/>
        <w:rPr>
          <w:sz w:val="20"/>
          <w:szCs w:val="20"/>
          <w:color w:val="auto"/>
        </w:rPr>
      </w:pPr>
      <w:r>
        <w:rPr>
          <w:rFonts w:ascii="Arial" w:cs="Arial" w:eastAsia="Arial" w:hAnsi="Arial"/>
          <w:sz w:val="16"/>
          <w:szCs w:val="16"/>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December 31, 2017, we estimate that in the event of a 10% adverse change in the fair value of these investments, the fair values of securities owned, securities sold, not yet purchased and derivatives would decrease by approximately $953 million, $102 million and $1.0 billion, respectively. However, as of December 31, 2017, we estimate that the impact to our share of the net gain (loss) from investment activities reported in our consolidated statement of operations would be less than the change in fair value since we have an investment of approximately 41% in the Investment Funds, and the non-controlling interests in income would correspondingly offset approximately 59% of the change in fair value. As of December 31, 2016, we estimated that in the event of a 10% adverse change in the fair value of these investments, the fair values of securities owned, securities sold, not yet purchased and derivatives would decrease by approximately $921 million, $114 million and $1.8 billion, respectively and as of December 31, 2016, our investment in the Investment Funds was 39%.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Based on sensitivity analysis for our equity price risks as of December 31, 2017, the effect of a hypothetical 10% adverse change in market prices would result in loss of approximately $38 million for our Holding Company. As of December 31, 2016, such hypothetical loss was approximately $32 million, with the difference primarily reflecting a positive change in the historical price of the investments held by our Holding Company during 2017. The selected hypothetical change does not reflect what could be considered the best or worst case scenarios. Indeed, results could be far worse due to the nature of equity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our Holding Company does not invest in derivative financial instruments, interest rate swaps or other investments that alter interest rate exposure. Our Holding Company has predominately long-term fixed interest rate debt. Generally, the fair market value of debt securities with a fixed interest rate will increase as interest rates fall, and the fair market value will decrease as interest rates rise. At December 31, 2017, all of our Holding Company's debt had fixed rates and therefore would not be subject to fluctuations in interest rates.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Federal-Mogul's exposure to market risk associated with changes in interest rates relate primarily to its debt obligations. At December 31, 2017, Federal-Mogul had approximately $3.1 billion of debt, of which $2.2 billion bear variable interest rates. Based on Federal-Mogul's borrowings as of December 31, 2017, an adverse market change in interest rates of 10% would have a $3 million impact on Federal-Mogul's cash flows.</w:t>
      </w:r>
    </w:p>
    <w:p>
      <w:pPr>
        <w:spacing w:after="0" w:line="57" w:lineRule="exact"/>
        <w:rPr>
          <w:sz w:val="20"/>
          <w:szCs w:val="20"/>
          <w:color w:val="auto"/>
        </w:rPr>
      </w:pPr>
    </w:p>
    <w:p>
      <w:pPr>
        <w:jc w:val="both"/>
        <w:ind w:right="40" w:firstLine="378"/>
        <w:spacing w:after="0" w:line="288" w:lineRule="auto"/>
        <w:rPr>
          <w:sz w:val="20"/>
          <w:szCs w:val="20"/>
          <w:color w:val="auto"/>
        </w:rPr>
      </w:pPr>
      <w:r>
        <w:rPr>
          <w:rFonts w:ascii="Arial" w:cs="Arial" w:eastAsia="Arial" w:hAnsi="Arial"/>
          <w:sz w:val="16"/>
          <w:szCs w:val="16"/>
          <w:color w:val="auto"/>
        </w:rPr>
        <w:t>At December 31, 2016, Federal-Mogul had approximately $3.0 billion of debt, primarily bearing variable interest rates. At December 31, 2016, Federal-Mogul's term loans, which represent approximately $2.5 billion, were not sensitive to changes in market interest rates because the market rate was below the interest rate floor within its credit agreement. Therefore, an adverse market change on interest rates of ten percent would have had no effect on cash flows.</w:t>
      </w:r>
    </w:p>
    <w:p>
      <w:pPr>
        <w:ind w:right="220"/>
        <w:spacing w:after="0" w:line="254" w:lineRule="auto"/>
        <w:rPr>
          <w:sz w:val="20"/>
          <w:szCs w:val="20"/>
          <w:color w:val="auto"/>
        </w:rPr>
      </w:pPr>
      <w:r>
        <w:rPr>
          <w:rFonts w:ascii="Arial" w:cs="Arial" w:eastAsia="Arial" w:hAnsi="Arial"/>
          <w:sz w:val="18"/>
          <w:szCs w:val="18"/>
          <w:color w:val="auto"/>
        </w:rPr>
        <w:t>Federal-Mogul's revolving lines of credit also have variable market interest rates and the effect on cash flow from a 10% adverse change in market rates would be de minimis for the year ended December 31, 2016. Federal-Mogul's remaining debt consists of foreign debt with primarily variable interest rates. An adverse market change in interest rates of 10% with respect to these foreign debts would not materially affect our Automotive segment's consolidated financial position, results of operations or cash flows.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jc w:val="both"/>
        <w:ind w:right="240" w:firstLine="378"/>
        <w:spacing w:after="0" w:line="312" w:lineRule="auto"/>
        <w:rPr>
          <w:sz w:val="20"/>
          <w:szCs w:val="20"/>
          <w:color w:val="auto"/>
        </w:rPr>
      </w:pPr>
      <w:r>
        <w:rPr>
          <w:rFonts w:ascii="Arial" w:cs="Arial" w:eastAsia="Arial" w:hAnsi="Arial"/>
          <w:sz w:val="16"/>
          <w:szCs w:val="16"/>
          <w:color w:val="auto"/>
        </w:rPr>
        <w:t>As of December 31, 2017, ARI has no variable rate debt outstanding and borrowing availability of $200 million under a revolving loan with variable interest rates. In the event ARI were to draw down on this revolving loan, its financial results could be affected by changes in interest rates. If the full $200 million were drawn down, a one percentage point increase in the rate would have an additional $2 million impact on ARI's interest expense.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76"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jc w:val="both"/>
        <w:ind w:right="60" w:firstLine="378"/>
        <w:spacing w:after="0" w:line="286" w:lineRule="auto"/>
        <w:rPr>
          <w:sz w:val="20"/>
          <w:szCs w:val="20"/>
          <w:color w:val="auto"/>
        </w:rPr>
      </w:pPr>
      <w:r>
        <w:rPr>
          <w:rFonts w:ascii="Arial" w:cs="Arial" w:eastAsia="Arial" w:hAnsi="Arial"/>
          <w:sz w:val="17"/>
          <w:szCs w:val="17"/>
          <w:color w:val="auto"/>
        </w:rPr>
        <w:t>Tropicana's primary exposure to market risk is interest rate risk associated with its term loan facility that bears interest based on variable rates, but shall not be less than 4.0%. Based on Tropicana's borrowings as of December 31, 2017, assuming a one percentage point increase in the interest rate, which was in excess of the 4.0% floor as of December 31, 2017, Tropicana's annual interest expense would increase by $1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400" w:firstLine="378"/>
        <w:spacing w:after="0" w:line="286" w:lineRule="auto"/>
        <w:rPr>
          <w:sz w:val="20"/>
          <w:szCs w:val="20"/>
          <w:color w:val="auto"/>
        </w:rPr>
      </w:pPr>
      <w:r>
        <w:rPr>
          <w:rFonts w:ascii="Arial" w:cs="Arial" w:eastAsia="Arial" w:hAnsi="Arial"/>
          <w:sz w:val="17"/>
          <w:szCs w:val="17"/>
          <w:color w:val="auto"/>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Automotive, Mining and Food Packaging segments.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Federal-Mogul has foreign currency exposures related to buying, selling, and financing in currencies other than the local currencies in which they operate. As of December 31, 2017, Federal-Mogul's most significant foreign currency exposures were Brazilian real, British pound, Canadian dollar, Chinese yuan, Czech koruna, euro, Indian rupee, Mexican peso, Polish zloty, Romanian leu, Russian ruble, South Korean won, and Thai baht. Historically, Federal-Mogul has reduced its exposure through financial instruments (hedges) that provide offsets or limits to its exposures, which are opposite to the underlying transactions. Federal-Mogul did not hold any foreign currency price hedge contracts at December 31, 2017 and 2016.</w:t>
      </w:r>
    </w:p>
    <w:p>
      <w:pPr>
        <w:spacing w:after="0" w:line="64"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Federal-Mogul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Federal-Mogul's financial condition.</w:t>
      </w:r>
    </w:p>
    <w:p>
      <w:pPr>
        <w:spacing w:after="0" w:line="73"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Federal-Mogul recorded translation gains (losses) in accumulated other comprehensive loss of $116 million and $(145) million for the years ended December 31, 2017 and 2016, respectively, and recorded translation (losses) gains in earnings of $(12) million and $2 million for the year ended December 31, 2017 and 2016, respectively.</w:t>
      </w:r>
    </w:p>
    <w:p>
      <w:pPr>
        <w:spacing w:after="0" w:line="7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Federal-Mogul issued notes in the amount €1,065 million during the year ended December 31, 2017. Federal-Mogul has designated €736 million of these notes as a net investment hedge in certain foreign subsidiaries and affiliates of Federal-Mogul. As such, an adverse change in foreign currency exchange rates will have no effect on earnings. For the portion of the debt not designated as a net investment hedge, Federal-Mogul has other natural hedges in place that will offset any adverse change in foreign currency exchange rates. A 10% adverse change in foreign currency exchange rates between the Euro and U.S. Dollar as of December 31, 2017 would increase the amount of cash required to settle the Euro Notes by approximately $128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Ferrous Resources' principal objective is to produce iron ore which is typically priced in U.S. dollars. The majority of its funding and cash balances are also denominated in U.S. dollars. A proportion of Ferrous Resources' costs are incurred in Brazilian reals while significant capital expenditures are expected to be incurred in U.S. dollars. Accordingly, our Mining segment's financial results may be impacted by exchange rate fluctuations between the U.S. dollar and the Brazilian real. Our Mining segment estimates that a hypothetical 10% adverse movement of the Brazilian real against the U.S. dollar during the year ended December 31, 2017 would have increased net income attributable to Icahn Enterprises for our Mining segment by $6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Viskase has foreign currency exposures related to buying, selling, and financing in currencies other than the local currencies in which they operate. At December 31, 2017, Viskase's most significant foreign currency exposures were Euro, Mexican peso, Polish zloty, Brazilian real and Philippine peso.</w:t>
      </w:r>
    </w:p>
    <w:p>
      <w:pPr>
        <w:spacing w:after="0" w:line="1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Viskase recorded translation gains (losses) in accumulated other comprehensive loss of $9 million and $(5) million for the years ended December 31,</w:t>
      </w:r>
    </w:p>
    <w:p>
      <w:pPr>
        <w:spacing w:after="0" w:line="4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2017 and 2016, respectively, and recorded translation gains in earnings of $2 million and $4 million for the year ended December 31, 2017 and 2016,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Certain of our subsidiaries use commodities in various ways in production and as such, are subject to price risks related to various commodities.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76"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Commodity rate price forward contracts are executed to offset a portion of our exposure to the potential change in prices mainly for various non-ferrous metals used in the manufacturing of automotive components. The net fair value of Federal-Mogul's contracts was a net asset of $1 million and $4 million at December 31, 2017 and 2016, respectively. At December 31, 2017, Federal-Mogul performed a sensitivity analysis to assess the effects of a 10% adverse change in commodity prices. Based upon the analysis performed, such changes would not be expected to materially affect our Automotive segment's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60" w:firstLine="378"/>
        <w:spacing w:after="0" w:line="302" w:lineRule="auto"/>
        <w:rPr>
          <w:sz w:val="20"/>
          <w:szCs w:val="20"/>
          <w:color w:val="auto"/>
        </w:rPr>
      </w:pPr>
      <w:r>
        <w:rPr>
          <w:rFonts w:ascii="Arial" w:cs="Arial" w:eastAsia="Arial" w:hAnsi="Arial"/>
          <w:sz w:val="16"/>
          <w:szCs w:val="16"/>
          <w:color w:val="auto"/>
        </w:rPr>
        <w:t>CVR Refining, as a manufacturer of refined petroleum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46"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Accordingly, the petroleum business uses commodity derivative contracts to economically hedge future cash flows (i.e., gross margin or crack spreads) and product inventories. With regard to its hedging activities, the petroleum business may enter into, or has entered into, derivative instruments which serve to:</w:t>
      </w:r>
    </w:p>
    <w:p>
      <w:pPr>
        <w:spacing w:after="0" w:line="84" w:lineRule="exact"/>
        <w:rPr>
          <w:sz w:val="20"/>
          <w:szCs w:val="20"/>
          <w:color w:val="auto"/>
        </w:rPr>
      </w:pPr>
    </w:p>
    <w:p>
      <w:pPr>
        <w:ind w:left="660" w:right="300" w:hanging="247"/>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lock in or fix a percentage of the anticipated or planned gross margin in future periods when the derivative market offers commodity spreads that generate positive cash flows;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hedge the value of inventories in excess of minimum required inventories;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existing derivative positions related to change in anticipated operations and market conditions.</w:t>
      </w:r>
    </w:p>
    <w:p>
      <w:pPr>
        <w:spacing w:after="0" w:line="117"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Further, CVR Energy's petroleum business intends to engage only in risk-mitigating activities directly related to its businesses. The nitrogen fertilizer business has not historically hedged for commodity prices.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Risk</w:t>
      </w:r>
    </w:p>
    <w:p>
      <w:pPr>
        <w:spacing w:after="0" w:line="117" w:lineRule="exact"/>
        <w:rPr>
          <w:sz w:val="20"/>
          <w:szCs w:val="20"/>
          <w:color w:val="auto"/>
        </w:rPr>
      </w:pPr>
    </w:p>
    <w:p>
      <w:pPr>
        <w:ind w:right="100" w:firstLine="378"/>
        <w:spacing w:after="0" w:line="302" w:lineRule="auto"/>
        <w:rPr>
          <w:sz w:val="20"/>
          <w:szCs w:val="20"/>
          <w:color w:val="auto"/>
        </w:rPr>
      </w:pPr>
      <w:r>
        <w:rPr>
          <w:rFonts w:ascii="Arial" w:cs="Arial" w:eastAsia="Arial" w:hAnsi="Arial"/>
          <w:sz w:val="16"/>
          <w:szCs w:val="16"/>
          <w:color w:val="auto"/>
        </w:rPr>
        <w:t>The effectiveness of our Energy segment's derivative strategies is dependent upon the correlation of the price index utilized for the hedging activity and the cash or spot price of the physical commodity for which price risk is being mitigated. Basis risk is a term our Energy segment uses to define that relationship. Basis risk can exist due to several factors including time or location differences between the derivative instrument and the underlying physical commodity. The selection of the appropriate index to utilize in a hedging strategy is a prime consideration in our Energy segment's basis risk exposure.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Examples of CVR Energy's basis risk exposure are as follows:</w:t>
      </w:r>
    </w:p>
    <w:p>
      <w:pPr>
        <w:spacing w:after="0" w:line="117" w:lineRule="exact"/>
        <w:rPr>
          <w:sz w:val="20"/>
          <w:szCs w:val="20"/>
          <w:color w:val="auto"/>
        </w:rPr>
      </w:pPr>
    </w:p>
    <w:p>
      <w:pPr>
        <w:ind w:left="660" w:right="360" w:hanging="247"/>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Time Basis </w:t>
      </w:r>
      <w:r>
        <w:rPr>
          <w:rFonts w:ascii="Arial" w:cs="Arial" w:eastAsia="Arial" w:hAnsi="Arial"/>
          <w:sz w:val="18"/>
          <w:szCs w:val="18"/>
          <w:color w:val="auto"/>
        </w:rPr>
        <w:t>- In entering over-the-counter swap agreements, the settlement price of the swap is typically the average price of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for a designated calendar period. This settlement price is based on the assumption that the underlying physical commodity will price ratably over the swap period. If the commodity does not move ratably over the periods, then weighted-average physical prices will be weighted differently than the swap price as the result of timing.</w:t>
      </w:r>
    </w:p>
    <w:p>
      <w:pPr>
        <w:spacing w:after="0" w:line="78" w:lineRule="exact"/>
        <w:rPr>
          <w:rFonts w:ascii="Arial" w:cs="Arial" w:eastAsia="Arial" w:hAnsi="Arial"/>
          <w:sz w:val="18"/>
          <w:szCs w:val="18"/>
          <w:color w:val="auto"/>
        </w:rPr>
      </w:pPr>
    </w:p>
    <w:p>
      <w:pPr>
        <w:ind w:left="660" w:right="360" w:hanging="247"/>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Location Basis </w:t>
      </w:r>
      <w:r>
        <w:rPr>
          <w:rFonts w:ascii="Arial" w:cs="Arial" w:eastAsia="Arial" w:hAnsi="Arial"/>
          <w:sz w:val="18"/>
          <w:szCs w:val="18"/>
          <w:color w:val="auto"/>
        </w:rPr>
        <w:t>- In hedging New York Mercantile Exchange ("NYMEX") crack spreads, CVR Energy may be subject to location basis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NYMEX refined products (related more to New York Harbor cash markets) may differ from the prices of refined products in CVR Energy's Group 3 pricing area.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and Basis Risk Management Activities</w:t>
      </w:r>
    </w:p>
    <w:p>
      <w:pPr>
        <w:spacing w:after="0" w:line="11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In the event CVR Energy's inventories exceed its petroleum business' target base level of inventories, CVR Energy may enter into commodity derivative contracts to manage price exposure to its inventory positions that are in excess of its base level. Excess inventories typically result from plant operations, such as a turnaround or other plant maintenance.</w:t>
      </w:r>
    </w:p>
    <w:p>
      <w:pPr>
        <w:spacing w:after="0" w:line="73" w:lineRule="exact"/>
        <w:rPr>
          <w:sz w:val="20"/>
          <w:szCs w:val="20"/>
          <w:color w:val="auto"/>
        </w:rPr>
      </w:pPr>
    </w:p>
    <w:p>
      <w:pPr>
        <w:ind w:right="460" w:firstLine="378"/>
        <w:spacing w:after="0" w:line="264" w:lineRule="auto"/>
        <w:rPr>
          <w:sz w:val="20"/>
          <w:szCs w:val="20"/>
          <w:color w:val="auto"/>
        </w:rPr>
      </w:pPr>
      <w:r>
        <w:rPr>
          <w:rFonts w:ascii="Arial" w:cs="Arial" w:eastAsia="Arial" w:hAnsi="Arial"/>
          <w:sz w:val="18"/>
          <w:szCs w:val="18"/>
          <w:color w:val="auto"/>
        </w:rPr>
        <w:t>To reduce the basis risk between the price of products for Group 3 and that of the NYMEX associated with selling forward derivative contracts for NYMEX crack spreads, the petroleum business may enter into basis swap positions to lock the price difference. If the difference between the price of products on the NYMEX and Group 3 (or some other price benchmark as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76" w:right="259" w:bottom="1440" w:gutter="0" w:footer="0" w:header="0"/>
        </w:sectPr>
      </w:pPr>
    </w:p>
    <w:bookmarkStart w:id="58" w:name="page59"/>
    <w:bookmarkEnd w:id="58"/>
    <w:p>
      <w:pPr>
        <w:ind w:right="60"/>
        <w:spacing w:after="0" w:line="297" w:lineRule="auto"/>
        <w:rPr>
          <w:sz w:val="20"/>
          <w:szCs w:val="20"/>
          <w:color w:val="auto"/>
        </w:rPr>
      </w:pPr>
      <w:r>
        <w:rPr>
          <w:rFonts w:ascii="Arial" w:cs="Arial" w:eastAsia="Arial" w:hAnsi="Arial"/>
          <w:sz w:val="16"/>
          <w:szCs w:val="16"/>
          <w:color w:val="auto"/>
        </w:rPr>
        <w:t>specified in the swap) is different than the value contracted in the swap, then it will receive from or owe to the counterparty the difference on each unit of product contracted in the swap, thereby completing the locking of its margin. An example of the petroleum business' use of a basis swap is in the winter heating oil season. The risk associated with not hedging the basis when using NYMEX forward contracts to fix future margins is if the crack spread increases based on prices traded on NYMEX while Group 3 pricing remains flat or decreases then our petroleum business would be in a position to lose money on the derivative position while not earning an offsetting additional margin on the physical position based on the Group 3 pricing.</w:t>
      </w:r>
    </w:p>
    <w:p>
      <w:pPr>
        <w:spacing w:after="0" w:line="50"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From time to time, the petroleum business also holds various NYMEX positions through a third-party clearing house. At December 31, 2017, CVR Refining had no open commodity positions. At December 31, 2017, CVR Refining's account balance maintained at the third-party clearing house totaled $1 million, which is reflected on the consolidated balance sheets in cash and cash equivalents. NYMEX transactions conducted for the year ended December 31, 2017 resulted in loss on derivatives, net of less than $1 million.</w:t>
      </w:r>
    </w:p>
    <w:p>
      <w:pPr>
        <w:spacing w:after="0" w:line="79"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consolidated balance sheets with changes in fair value currently recognized in the consolidated statements of operations. As of December 31, 2017, CVR Refining had open commodity swap instruments consisting of 7.1 million barrels of 2-1-1 crack spreads, 3.6 million barrels of distillate crack spreads and 3.6 million barrels of gasoline crack spreads. Additionally, as of December 31, 2017, CVR Refining had open forward purchase and sale commitments for 5.8 million barrels of Canadian crude oil priced at fixed differentials that are not considered probable of physical settlement and are accounted for as derivatives at December 31, 2017. A change of $1.00 per barrel in the fair value of the benchmark would result in an increase or decrease in the related fair values of commodity instruments of $18 million. The fair value of the outstanding contracts as of December 31, 2017 was a net unrealized loss of $64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and the Investment Funds are subject to certain inherent risks through our investments.</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79"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Program Price Risk</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As a producer of transportation fuels from petroleum, CVR Refining is required to blend biofuels into the product it produces or to purchase RINs in the open market in lieu of blending to meet the mandates established by the EPA. CVR Refining is exposed to market risk related to volatility in the price of RINs needed to comply with the Renewable Fuel Standards ("RFS"). To mitigate the impact of this risk on our Energy segment's results of operations and cash flows, CVR Refining purchased RINs when prices are deemed favorable. See Note 17, "Commitments and Contingencies," to the consolidated financial statements for further discussion about compliance with the RFS.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Icahn Enterprises L.P. (a Delaware limited partnership) and subsidiaries (the “Partnership”) as of December 31, 2017 and 2016, the related consolidated statements of operations, comprehensive income, changes in equity, and cash flows for each of the three years in the period ended December 31, 2017, and the related notes and schedule (collectively referred to as the “financial statements”). In our opinion, the financial statements present fairly, in all material respects, the financial position of the Partnership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Partnership’s internal control over financial reporting as of December 31, 2017, based on criteria established in the 2013 Internal Control-Integrated Framework issued by the Committee of Sponsoring Organizations of the Treadway Commission (“COSO”), and our report dated March 1, 2018 expressed an unmodified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0" w:name="page61"/>
    <w:bookmarkEnd w:id="60"/>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Icahn Enterprises Holdings L.P. (a Delaware limited partnership) and subsidiaries (the “Partnership”) as of December 31, 2017 and 2016, the related consolidated statements of operations, comprehensive income, changes in equity, and cash flows for each of the three years in the period ended December 31, 2017, and the related notes and schedule (collectively referred to as the “financial statements”). In our opinion, the financial statements present fairly, in all material respects, the financial position of the Partnership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86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10,369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31,801</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33,371</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Post-employment benefit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held for sale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11,185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20,433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25,354</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0"/>
              <w:spacing w:after="0"/>
              <w:rPr>
                <w:sz w:val="20"/>
                <w:szCs w:val="20"/>
                <w:color w:val="auto"/>
              </w:rPr>
            </w:pPr>
            <w:r>
              <w:rPr>
                <w:rFonts w:ascii="Arial" w:cs="Arial" w:eastAsia="Arial" w:hAnsi="Arial"/>
                <w:sz w:val="18"/>
                <w:szCs w:val="18"/>
                <w:color w:val="auto"/>
                <w:w w:val="99"/>
              </w:rPr>
              <w:t>Limited partners: Depositary units: 173,564,307 and 144,741,149 units issued and outstanding at</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December 31, 2017 and 2016, respectively</w:t>
            </w:r>
          </w:p>
        </w:tc>
        <w:tc>
          <w:tcPr>
            <w:tcW w:w="108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11,368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31,801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33,371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80"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80"/>
          </w:cols>
          <w:pgMar w:left="260" w:top="580" w:right="25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17,303</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Other revenues from operations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 from investment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disposition of assets,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Expenses: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Other expenses from operations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17,331</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Income (loss) before income tax benefit (expense)</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Icahn Enterprises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311"/>
        </w:trPr>
        <w:tc>
          <w:tcPr>
            <w:tcW w:w="6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income (loss) attributable to Icahn Enterprises allocable to:</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Limited partners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General partner</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income (loss) per LP unit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14.80</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declared per LP unit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364"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80"/>
          </w:cols>
          <w:pgMar w:left="260" w:top="364" w:right="25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33"/>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6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7"/>
        </w:trPr>
        <w:tc>
          <w:tcPr>
            <w:tcW w:w="6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Icahn Enterprises</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2,587</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Icahn Enterprises allocable to:</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Limited partners</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2,536</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partner</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6040" w:type="dxa"/>
            <w:vAlign w:val="bottom"/>
          </w:tcPr>
          <w:p>
            <w:pPr>
              <w:spacing w:after="0"/>
              <w:rPr>
                <w:sz w:val="20"/>
                <w:szCs w:val="20"/>
                <w:color w:val="auto"/>
              </w:rPr>
            </w:pPr>
          </w:p>
        </w:tc>
        <w:tc>
          <w:tcPr>
            <w:tcW w:w="1120" w:type="dxa"/>
            <w:vAlign w:val="bottom"/>
            <w:tcBorders>
              <w:top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$1,411 million and $1,584 million at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64" w:right="259" w:bottom="1440" w:gutter="0" w:footer="0" w:header="0"/>
        </w:sectPr>
      </w:pPr>
    </w:p>
    <w:bookmarkStart w:id="64" w:name="page65"/>
    <w:bookmarkEnd w:id="64"/>
    <w:p>
      <w:pPr>
        <w:ind w:left="37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General Partner's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 Equity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Partners' Equity</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2015</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10,033</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LP unit issuance</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8,017</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adjustment from adoption of</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accounting principal</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11,368</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64"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64"/>
        </w:trPr>
        <w:tc>
          <w:tcPr>
            <w:tcW w:w="6060" w:type="dxa"/>
            <w:vAlign w:val="bottom"/>
          </w:tcPr>
          <w:p>
            <w:pPr>
              <w:spacing w:after="0"/>
              <w:rPr>
                <w:sz w:val="22"/>
                <w:szCs w:val="22"/>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140" w:type="dxa"/>
            <w:vAlign w:val="bottom"/>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(gain) loss from securities transactions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1,737</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Purchases of securities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(2,059)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(6,552)</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of securities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4,281</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Purchases to cover securities sold, not yet purchased</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(577)</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securities sold, not yet purchased</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952</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Changes in receivables and payables relating to securities transactions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(4,828)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2,085</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disposition of assets, net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1,034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863</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Impairment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788</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Equity earnings from non-consolidated affiliates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taxes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Other, net</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2"/>
        </w:trPr>
        <w:tc>
          <w:tcPr>
            <w:tcW w:w="6060" w:type="dxa"/>
            <w:vAlign w:val="bottom"/>
          </w:tcPr>
          <w:p>
            <w:pPr>
              <w:ind w:left="200"/>
              <w:spacing w:after="0"/>
              <w:rPr>
                <w:sz w:val="20"/>
                <w:szCs w:val="20"/>
                <w:color w:val="auto"/>
              </w:rPr>
            </w:pPr>
            <w:r>
              <w:rPr>
                <w:rFonts w:ascii="Arial" w:cs="Arial" w:eastAsia="Arial" w:hAnsi="Arial"/>
                <w:sz w:val="13"/>
                <w:szCs w:val="13"/>
                <w:color w:val="auto"/>
              </w:rPr>
              <w:t>Changes in cash held at consolidated affiliated partnerships and restricted cash</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447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168</w:t>
            </w:r>
          </w:p>
        </w:tc>
      </w:tr>
      <w:tr>
        <w:trPr>
          <w:trHeight w:val="278"/>
        </w:trPr>
        <w:tc>
          <w:tcPr>
            <w:tcW w:w="6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receivable, net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w:t>
            </w:r>
          </w:p>
        </w:tc>
      </w:tr>
      <w:tr>
        <w:trPr>
          <w:trHeight w:val="262"/>
        </w:trPr>
        <w:tc>
          <w:tcPr>
            <w:tcW w:w="6060" w:type="dxa"/>
            <w:vAlign w:val="bottom"/>
          </w:tcPr>
          <w:p>
            <w:pPr>
              <w:ind w:left="200"/>
              <w:spacing w:after="0"/>
              <w:rPr>
                <w:sz w:val="20"/>
                <w:szCs w:val="20"/>
                <w:color w:val="auto"/>
              </w:rPr>
            </w:pPr>
            <w:r>
              <w:rPr>
                <w:rFonts w:ascii="Arial" w:cs="Arial" w:eastAsia="Arial" w:hAnsi="Arial"/>
                <w:sz w:val="13"/>
                <w:szCs w:val="13"/>
                <w:color w:val="auto"/>
              </w:rPr>
              <w:t>Inventories, net</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278"/>
        </w:trPr>
        <w:tc>
          <w:tcPr>
            <w:tcW w:w="6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262"/>
        </w:trPr>
        <w:tc>
          <w:tcPr>
            <w:tcW w:w="606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78"/>
        </w:trPr>
        <w:tc>
          <w:tcPr>
            <w:tcW w:w="6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loss on derivative contracts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r>
      <w:tr>
        <w:trPr>
          <w:trHeight w:val="26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Accrued expenses and other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(1,436)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1,655</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748</w:t>
            </w:r>
          </w:p>
        </w:tc>
      </w:tr>
      <w:tr>
        <w:trPr>
          <w:trHeight w:val="256"/>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 expenditures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Acquisition of businesses, net of cash acquired</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(855)</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additional interests in consolidated subsidiaries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Proceeds from disposition of assets</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90</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of investments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net</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84</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(1,854)</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w:t>
            </w:r>
          </w:p>
        </w:tc>
      </w:tr>
      <w:tr>
        <w:trPr>
          <w:trHeight w:val="256"/>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segment contributions from non-controlling interests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276</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Investment segment distributions from non-controlling interests</w:t>
            </w:r>
          </w:p>
        </w:tc>
        <w:tc>
          <w:tcPr>
            <w:tcW w:w="1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Partnership contributions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Partnership distributions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subsidiary equity offerings</w:t>
            </w:r>
          </w:p>
        </w:tc>
        <w:tc>
          <w:tcPr>
            <w:tcW w:w="1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(252)</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Holding Company senior unsecured notes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Repayments of Holding Company senior unsecured notes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(2,450)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subsidiary borrowings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1,972</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Repayments of subsidiary borrowings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(3,035)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(2,352)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(972)</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repurchase of common stock</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net</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financing activities</w:t>
            </w:r>
          </w:p>
        </w:tc>
        <w:tc>
          <w:tcPr>
            <w:tcW w:w="1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826</w:t>
            </w:r>
          </w:p>
        </w:tc>
      </w:tr>
      <w:tr>
        <w:trPr>
          <w:trHeight w:val="249"/>
        </w:trPr>
        <w:tc>
          <w:tcPr>
            <w:tcW w:w="6060" w:type="dxa"/>
            <w:vAlign w:val="bottom"/>
          </w:tcPr>
          <w:p>
            <w:pPr>
              <w:ind w:left="40"/>
              <w:spacing w:after="0"/>
              <w:rPr>
                <w:sz w:val="20"/>
                <w:szCs w:val="20"/>
                <w:color w:val="auto"/>
              </w:rPr>
            </w:pPr>
            <w:r>
              <w:rPr>
                <w:rFonts w:ascii="Arial" w:cs="Arial" w:eastAsia="Arial" w:hAnsi="Arial"/>
                <w:sz w:val="13"/>
                <w:szCs w:val="13"/>
                <w:color w:val="auto"/>
              </w:rPr>
              <w:t>Effect of exchange rate changes on cash and cash equivalents</w:t>
            </w:r>
          </w:p>
        </w:tc>
        <w:tc>
          <w:tcPr>
            <w:tcW w:w="114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change in cash of assets held for sale</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Net decrease in cash and cash equivalents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(830)</w:t>
            </w:r>
          </w:p>
        </w:tc>
      </w:tr>
      <w:tr>
        <w:trPr>
          <w:trHeight w:val="272"/>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1,833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2,078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2,908</w:t>
            </w:r>
          </w:p>
        </w:tc>
      </w:tr>
      <w:tr>
        <w:trPr>
          <w:trHeight w:val="242"/>
        </w:trPr>
        <w:tc>
          <w:tcPr>
            <w:tcW w:w="6060" w:type="dxa"/>
            <w:vAlign w:val="bottom"/>
          </w:tcPr>
          <w:p>
            <w:pPr>
              <w:ind w:left="40"/>
              <w:spacing w:after="0"/>
              <w:rPr>
                <w:sz w:val="20"/>
                <w:szCs w:val="20"/>
                <w:color w:val="auto"/>
              </w:rPr>
            </w:pPr>
            <w:r>
              <w:rPr>
                <w:rFonts w:ascii="Arial" w:cs="Arial" w:eastAsia="Arial" w:hAnsi="Arial"/>
                <w:sz w:val="13"/>
                <w:szCs w:val="13"/>
                <w:color w:val="auto"/>
              </w:rPr>
              <w:t>Cash and cash equivalents, end of period</w:t>
            </w:r>
          </w:p>
        </w:tc>
        <w:tc>
          <w:tcPr>
            <w:tcW w:w="1140" w:type="dxa"/>
            <w:vAlign w:val="bottom"/>
            <w:tcBorders>
              <w:bottom w:val="single" w:sz="8" w:color="auto"/>
            </w:tcBorders>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1,682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1,833</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2,078</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64" w:right="239" w:bottom="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10,369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31,833</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33,399</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Post-employment benefit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held for sale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11,190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20,438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25,357</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11,395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31,833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33,399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80"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17,303</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(loss) from investment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disposition of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expenses from operations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 benefit (expense)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Icahn Enterprises Holdings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attributable to Icahn Enterprises Holdings allocable to:</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 partner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partner</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Icahn Enterprises Holdings</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Icahn Enterprises Holdings allocable</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2,563</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(1,304)</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060" w:type="dxa"/>
            <w:vAlign w:val="bottom"/>
          </w:tcPr>
          <w:p>
            <w:pPr>
              <w:spacing w:after="0"/>
              <w:rPr>
                <w:sz w:val="20"/>
                <w:szCs w:val="20"/>
                <w:color w:val="auto"/>
              </w:rPr>
            </w:pPr>
          </w:p>
        </w:tc>
        <w:tc>
          <w:tcPr>
            <w:tcW w:w="1120" w:type="dxa"/>
            <w:vAlign w:val="bottom"/>
            <w:tcBorders>
              <w:top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w:t>
            </w:r>
          </w:p>
        </w:tc>
      </w:tr>
      <w:tr>
        <w:trPr>
          <w:trHeight w:val="27"/>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$1,411 million and $1,584 million at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9" w:name="page70"/>
    <w:bookmarkEnd w:id="69"/>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General Partner's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Equity (Deficit)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Partner's Equity</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2015</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10,057</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contribution</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LP unit issuance</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8,042</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adjustment from adoption of</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accounting principal</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11,395</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64"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64"/>
        </w:trPr>
        <w:tc>
          <w:tcPr>
            <w:tcW w:w="6060" w:type="dxa"/>
            <w:vAlign w:val="bottom"/>
          </w:tcPr>
          <w:p>
            <w:pPr>
              <w:spacing w:after="0"/>
              <w:rPr>
                <w:sz w:val="22"/>
                <w:szCs w:val="22"/>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140" w:type="dxa"/>
            <w:vAlign w:val="bottom"/>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(gain) loss from securities transactions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1,737</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Purchases of securities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(2,059)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(6,552)</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of securities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4,281</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Purchases to cover securities sold, not yet purchased</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(577)</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securities sold, not yet purchased</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952</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Changes in receivables and payables relating to securities transactions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(4,828)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2,085</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disposition of assets, net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1,033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862</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Impairment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788</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Equity earnings from non-consolidated affiliates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taxes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262"/>
        </w:trPr>
        <w:tc>
          <w:tcPr>
            <w:tcW w:w="6060" w:type="dxa"/>
            <w:vAlign w:val="bottom"/>
          </w:tcPr>
          <w:p>
            <w:pPr>
              <w:ind w:left="120"/>
              <w:spacing w:after="0"/>
              <w:rPr>
                <w:sz w:val="20"/>
                <w:szCs w:val="20"/>
                <w:color w:val="auto"/>
              </w:rPr>
            </w:pPr>
            <w:r>
              <w:rPr>
                <w:rFonts w:ascii="Arial" w:cs="Arial" w:eastAsia="Arial" w:hAnsi="Arial"/>
                <w:sz w:val="13"/>
                <w:szCs w:val="13"/>
                <w:color w:val="auto"/>
              </w:rPr>
              <w:t>Other, net</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w:t>
            </w:r>
          </w:p>
        </w:tc>
      </w:tr>
      <w:tr>
        <w:trPr>
          <w:trHeight w:val="278"/>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2"/>
        </w:trPr>
        <w:tc>
          <w:tcPr>
            <w:tcW w:w="6060" w:type="dxa"/>
            <w:vAlign w:val="bottom"/>
          </w:tcPr>
          <w:p>
            <w:pPr>
              <w:ind w:left="200"/>
              <w:spacing w:after="0"/>
              <w:rPr>
                <w:sz w:val="20"/>
                <w:szCs w:val="20"/>
                <w:color w:val="auto"/>
              </w:rPr>
            </w:pPr>
            <w:r>
              <w:rPr>
                <w:rFonts w:ascii="Arial" w:cs="Arial" w:eastAsia="Arial" w:hAnsi="Arial"/>
                <w:sz w:val="13"/>
                <w:szCs w:val="13"/>
                <w:color w:val="auto"/>
              </w:rPr>
              <w:t>Changes in cash held at consolidated affiliated partnerships and restricted cash</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447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168</w:t>
            </w:r>
          </w:p>
        </w:tc>
      </w:tr>
      <w:tr>
        <w:trPr>
          <w:trHeight w:val="278"/>
        </w:trPr>
        <w:tc>
          <w:tcPr>
            <w:tcW w:w="6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receivable, net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w:t>
            </w:r>
          </w:p>
        </w:tc>
      </w:tr>
      <w:tr>
        <w:trPr>
          <w:trHeight w:val="262"/>
        </w:trPr>
        <w:tc>
          <w:tcPr>
            <w:tcW w:w="6060" w:type="dxa"/>
            <w:vAlign w:val="bottom"/>
          </w:tcPr>
          <w:p>
            <w:pPr>
              <w:ind w:left="200"/>
              <w:spacing w:after="0"/>
              <w:rPr>
                <w:sz w:val="20"/>
                <w:szCs w:val="20"/>
                <w:color w:val="auto"/>
              </w:rPr>
            </w:pPr>
            <w:r>
              <w:rPr>
                <w:rFonts w:ascii="Arial" w:cs="Arial" w:eastAsia="Arial" w:hAnsi="Arial"/>
                <w:sz w:val="13"/>
                <w:szCs w:val="13"/>
                <w:color w:val="auto"/>
              </w:rPr>
              <w:t>Inventories, net</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278"/>
        </w:trPr>
        <w:tc>
          <w:tcPr>
            <w:tcW w:w="6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262"/>
        </w:trPr>
        <w:tc>
          <w:tcPr>
            <w:tcW w:w="606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78"/>
        </w:trPr>
        <w:tc>
          <w:tcPr>
            <w:tcW w:w="6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loss on derivative contracts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r>
      <w:tr>
        <w:trPr>
          <w:trHeight w:val="26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Accrued expenses and other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(1,436)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1,655</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748</w:t>
            </w:r>
          </w:p>
        </w:tc>
      </w:tr>
      <w:tr>
        <w:trPr>
          <w:trHeight w:val="256"/>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 expenditures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Acquisition of businesses, net of cash acquired</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(855)</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additional interests in consolidated subsidiaries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Proceeds from disposition of assets</w:t>
            </w:r>
          </w:p>
        </w:tc>
        <w:tc>
          <w:tcPr>
            <w:tcW w:w="1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90</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of investments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net</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84</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(1,854)</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w:t>
            </w:r>
          </w:p>
        </w:tc>
      </w:tr>
      <w:tr>
        <w:trPr>
          <w:trHeight w:val="256"/>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segment contributions from non-controlling interests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276</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Investment segment distributions from non-controlling interests</w:t>
            </w:r>
          </w:p>
        </w:tc>
        <w:tc>
          <w:tcPr>
            <w:tcW w:w="1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Partnership contributions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Partnership distributions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subsidiary equity offerings</w:t>
            </w:r>
          </w:p>
        </w:tc>
        <w:tc>
          <w:tcPr>
            <w:tcW w:w="1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(252)</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Holding Company senior unsecured notes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Repayments of Holding Company senior unsecured notes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(2,450)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subsidiary borrowings</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1,972</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color w:val="auto"/>
              </w:rPr>
              <w:t>Repayments of subsidiary borrowings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(3,035)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(2,352)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(972)</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repurchase of treasury stock</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net</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financing activities</w:t>
            </w:r>
          </w:p>
        </w:tc>
        <w:tc>
          <w:tcPr>
            <w:tcW w:w="1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826</w:t>
            </w:r>
          </w:p>
        </w:tc>
      </w:tr>
      <w:tr>
        <w:trPr>
          <w:trHeight w:val="249"/>
        </w:trPr>
        <w:tc>
          <w:tcPr>
            <w:tcW w:w="6060" w:type="dxa"/>
            <w:vAlign w:val="bottom"/>
          </w:tcPr>
          <w:p>
            <w:pPr>
              <w:ind w:left="40"/>
              <w:spacing w:after="0"/>
              <w:rPr>
                <w:sz w:val="20"/>
                <w:szCs w:val="20"/>
                <w:color w:val="auto"/>
              </w:rPr>
            </w:pPr>
            <w:r>
              <w:rPr>
                <w:rFonts w:ascii="Arial" w:cs="Arial" w:eastAsia="Arial" w:hAnsi="Arial"/>
                <w:sz w:val="13"/>
                <w:szCs w:val="13"/>
                <w:color w:val="auto"/>
              </w:rPr>
              <w:t>Effect of exchange rate changes on cash and cash equivalents</w:t>
            </w:r>
          </w:p>
        </w:tc>
        <w:tc>
          <w:tcPr>
            <w:tcW w:w="114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change in cash of assets held for sale</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262"/>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Net decrease in cash and cash equivalents</w:t>
            </w:r>
          </w:p>
        </w:tc>
        <w:tc>
          <w:tcPr>
            <w:tcW w:w="114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(830)</w:t>
            </w:r>
          </w:p>
        </w:tc>
      </w:tr>
      <w:tr>
        <w:trPr>
          <w:trHeight w:val="272"/>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1,833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2,078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2,908</w:t>
            </w:r>
          </w:p>
        </w:tc>
      </w:tr>
      <w:tr>
        <w:trPr>
          <w:trHeight w:val="242"/>
        </w:trPr>
        <w:tc>
          <w:tcPr>
            <w:tcW w:w="6060" w:type="dxa"/>
            <w:vAlign w:val="bottom"/>
          </w:tcPr>
          <w:p>
            <w:pPr>
              <w:ind w:left="40"/>
              <w:spacing w:after="0"/>
              <w:rPr>
                <w:sz w:val="20"/>
                <w:szCs w:val="20"/>
                <w:color w:val="auto"/>
              </w:rPr>
            </w:pPr>
            <w:r>
              <w:rPr>
                <w:rFonts w:ascii="Arial" w:cs="Arial" w:eastAsia="Arial" w:hAnsi="Arial"/>
                <w:sz w:val="13"/>
                <w:szCs w:val="13"/>
                <w:color w:val="auto"/>
              </w:rPr>
              <w:t>Cash and cash equivalents, end of period</w:t>
            </w:r>
          </w:p>
        </w:tc>
        <w:tc>
          <w:tcPr>
            <w:tcW w:w="1140" w:type="dxa"/>
            <w:vAlign w:val="bottom"/>
            <w:tcBorders>
              <w:bottom w:val="single" w:sz="8" w:color="auto"/>
            </w:tcBorders>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1,682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1,833</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2,078</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64" w:right="239" w:bottom="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December 31, 2017.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the allocation of the general partner interest, which is reflected as an aggregate 1.99% general partner interest in the financial statements of Icahn Enterprises. In addition to the above, Mr. Icahn and his affiliates owned approximately 91.0% of Icahn Enterprises' outstanding depositary units as of December 31, 2017.</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Operating Businesses</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Automotive, Energy, Railcar, Gaming,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 See Note 13, "Segment and Geographic Reporting," for a reconciliation of each of our reporting segment's results of operations to our consolidated results. Certain additional information with respect to our segments are discussed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(the "Investment Funds") in which we have general partner interests and through which we invest our proprietary capital. We and certain of Mr. Icahn's wholly 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value of approximately $3.0 billion and $1.7 billion as of December 31, 2017 and 2016,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conduct our Automotive segment through our wholly owned subsidiaries Federal-Mogul LLC ("Federal-Mogul") and Icahn Automotive Group LLC ("Icahn Automotive"). Icahn Automotive is the parent company of IEH Auto Parts Holding LLC ("IEH Auto"), The Pep Boys - Manny, Moe &amp; Jack ("Pep Boys") and the franchise businesses of Precision Tune Auto Care ("Precision Tune") and American Driveline Systems, the franchisor of AAMCO and Cottman Transmission service centers ("American Driveline"), among various other businesses. Precision Tune and American Driveline were acquired in 2017 for an aggregate purchase price of $162 million. Pep Boys was acquired in 2016 for aggregate consideration of approximately $1.2 billion. The allocation of the purchase price of Pep Boys was finalized in 2017 and did not change significantly from the amounts reported in our balance sheet as of December 31, 2016. IEH Auto and TRW's valvetrain business were acquired in 2015 for a purchase price of $325 million and $374 million, respectively.</w:t>
      </w:r>
    </w:p>
    <w:p>
      <w:pPr>
        <w:spacing w:after="0" w:line="5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Federal-Mogul is engaged in the manufacture and distribution of automotive parts. Icahn Automotive is engaged in the distribution of automotive parts in the aftermarket as well as providing automotive services to its customers.</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On March 26, 2015, Federal-Mogul received $250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$230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337"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20" w:firstLine="378"/>
        <w:spacing w:after="0" w:line="308" w:lineRule="auto"/>
        <w:rPr>
          <w:sz w:val="20"/>
          <w:szCs w:val="20"/>
          <w:color w:val="auto"/>
        </w:rPr>
      </w:pPr>
      <w:r>
        <w:rPr>
          <w:rFonts w:ascii="Arial" w:cs="Arial" w:eastAsia="Arial" w:hAnsi="Arial"/>
          <w:sz w:val="17"/>
          <w:szCs w:val="17"/>
          <w:color w:val="auto"/>
        </w:rPr>
        <w:t>During January 2017, we increased our ownership in Federal-Mogul from 82% to 100% through a tender offer for the remaining shares of Federal-Mogul common stock not already owned by us and a subsequent short form merger for an aggregate purchase price of $305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conduct our Energy segment through our majority ownership in CVR Energy, Inc. ("CVR Energy"). CVR Energy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As of December 31, 2017, CVR Energy owned 100% of each of the general partners of CVR Refining and CVR Partners and approximately 66% and 34% of the common units of CVR Refining and CVR Partners, respectively.</w:t>
      </w:r>
    </w:p>
    <w:p>
      <w:pPr>
        <w:spacing w:after="0" w:line="8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December 31, 2017, we owned approximately 82.0% of the total outstanding common stock of CVR Energy. In addition, as of December 31, 2017, we directly owned approximately 3.9% of the total outstanding common units of CVR Refining.</w:t>
      </w:r>
    </w:p>
    <w:p>
      <w:pPr>
        <w:spacing w:after="0" w:line="6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2016, CVR Partners acquired a nitrogen fertilizer business for total purchase price consideration which included the issuance of common units of CVR Partners with a fair value of $336 million, cash paid of $99 million and debt assumed with a fair value of $368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conduct our Railcar segment through our majority ownership in American Railcar Industries, Inc. ("ARI") and, prior to June 1, 2017, our wholly owned subsidiary American Railcar Leasing, LLC ("ARL"). As of December 31, 2017, we owned approximately 62.2% of the total outstanding common stock of ARI. As discussed below, we sold ARL during 2017.</w:t>
      </w:r>
    </w:p>
    <w:p>
      <w:pPr>
        <w:spacing w:after="0" w:line="7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ARI is a North American designer and manufacturer of hopper and tank railcars. ARI provides its railcar customers with integrated solutions through a comprehensive set of high-quality products and related services through its manufacturing, leasing and railcar services operations. ARI's manufacturing consists of railcar manufacturing and railcar and industrial component manufacturing. ARI's railcar leasing business consists of railcars built by ARI leased to third parties under operating leases. ARI's railcar services consist of railcar repair, engineering and field services.</w:t>
      </w:r>
    </w:p>
    <w:p>
      <w:pPr>
        <w:spacing w:after="0" w:line="6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2017, we sold ARL and its fleet of more than 34,000 railcars to SMBC Rail Services, LLC ("SMBC Rail") for cash based on a value of approximately $3.3 billion (subject to certain adjustments). After repaying, or assigning to SMBC Rail, applicable indebtedness of ARL, we received cash consideration of approximately $1.8 billion in connection with the sale of ARL and recorded an aggregate pretax gain on disposition of assets for our Railcar segment of approximately $1.7 billion during the year ended December 31,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conduct our Gaming segment through our majority ownership in Tropicana Entertainment Inc. ("Tropicana") and our wholly owned subsidiary Trump Entertainment Resorts Inc. ("TER"), which we acquired out of bankruptcy in 2016. During August 2017, we increased our ownership in Tropicana from 72.5% to 83.9% through a tender offer for additional shares of Tropicana common stock not already owned by us for an aggregate purchase price of $95 million. In addition, Tropicana repurchased and retired shares of its common stock in connection with this tender offer for an aggregate purchase price of $36 million.</w:t>
      </w:r>
    </w:p>
    <w:p>
      <w:pPr>
        <w:spacing w:after="0" w:line="8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Tropicana is an owner and operator of regional casino and entertainment properties located in the United States and one hotel, timeshare and casino resort located on the island of Aruba. TER owned the Trump Taj Mahal Casino Resort, which closed and ceased its casino and hotel operations in October 2016, and was subsequently sold on March 31, 2017. TER also owns Trump Plaza Hotel and Casino, which ceased operations in September 2014, prior to our obtaining a controlling interest in 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337"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We conduct our Mining segment through our majority ownership in Ferrous Resources Ltd. ("Ferrous Resources"). As of December 31, 2017,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 Ferrous Resources was acquired in 2015 for $180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conduct our Food Packaging segment through our majority ownership in Viskase Companies, Inc. ("Viskase"). As of December 31, 2017, we owned approximately 74.6% of the total outstanding common stock of Viskase. Viskase is a producer of cellulosic, fibrous and plastic casings used to prepare and package processed meat products. Subsequent to December 31, 2017, Viskase received $50 million in connection with common stock rights offering. In connection with this rights offering, we fully exercised our subscription rights under our basic and over subscription privileges to purchase additional shares of Viskase common stock, thereby increasing our ownership of Viskase to 78.6%, for an aggregate additional investment of $44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Real Estate operations consist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as well.</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August 2017, our Real Estate segment sold a development property in Las Vegas, Nevada for $600 million, resulting in a pretax gain on disposition of assets of $456 million. The transaction included cash proceeds from the sale of $225 million and two tranches of seller financing totaling $375 million (including a $345 million first-lien mortgage and a $30 million second-lien mortgage), which are included in other assets in our consolidated balance sheet as of December 31, 2017. In addition, our Real Estate segment also sold additional properties during 2017, primarily within its rental operations, resulting in an additional pretax gain on disposition of assets aggregating $40 million.</w:t>
      </w:r>
    </w:p>
    <w:p>
      <w:pPr>
        <w:spacing w:after="0" w:line="80" w:lineRule="exact"/>
        <w:rPr>
          <w:sz w:val="20"/>
          <w:szCs w:val="20"/>
          <w:color w:val="auto"/>
        </w:rPr>
      </w:pPr>
    </w:p>
    <w:p>
      <w:pPr>
        <w:ind w:right="380" w:firstLine="378"/>
        <w:spacing w:after="0" w:line="342" w:lineRule="auto"/>
        <w:rPr>
          <w:sz w:val="20"/>
          <w:szCs w:val="20"/>
          <w:color w:val="auto"/>
        </w:rPr>
      </w:pPr>
      <w:r>
        <w:rPr>
          <w:rFonts w:ascii="Arial" w:cs="Arial" w:eastAsia="Arial" w:hAnsi="Arial"/>
          <w:sz w:val="16"/>
          <w:szCs w:val="16"/>
          <w:color w:val="auto"/>
        </w:rPr>
        <w:t>As of December 31, 2017 and 2016, $21 million and $24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conduct our Home Fashion segment through our indirect wholly owned subsidiary, WestPoint Home LLC (“WPH”). WPH's business consists of manufacturing, sourcing, marketing, distributing and selling home fashion consumer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 xml:space="preserve">CVR Energy, ARI and Tropicana each file annual, quarterly and current reports and proxy and information statements with the Securities and Exchange Commission ("SEC"). Each of these reports is publicly available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6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audited consolidated financial statements have been prepared in accordance with accounting principles generally accepted in the United States (“U.S. GAAP”).</w:t>
      </w:r>
    </w:p>
    <w:p>
      <w:pPr>
        <w:spacing w:after="0" w:line="62"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2017, our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337"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64" w:lineRule="exact"/>
        <w:rPr>
          <w:sz w:val="20"/>
          <w:szCs w:val="20"/>
          <w:color w:val="auto"/>
        </w:rPr>
      </w:pPr>
    </w:p>
    <w:p>
      <w:pPr>
        <w:ind w:right="860" w:firstLine="405"/>
        <w:spacing w:after="0" w:line="308" w:lineRule="auto"/>
        <w:rPr>
          <w:sz w:val="20"/>
          <w:szCs w:val="20"/>
          <w:color w:val="auto"/>
        </w:rPr>
      </w:pPr>
      <w:r>
        <w:rPr>
          <w:rFonts w:ascii="Arial" w:cs="Arial" w:eastAsia="Arial" w:hAnsi="Arial"/>
          <w:sz w:val="17"/>
          <w:szCs w:val="17"/>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consolidated financial statements of Icahn Enterprises Holdings are included in this Report. The balances with respect to Icahn Enterprises Holdings' consolidated VIEs are discussed below, comprising the Investment Funds, CVR Refining, CVR Partners and Viskase.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CVR Refining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and CVR Partners. Based upon this evaluation, CVR Energy continues to consolidate both CVR Refining and CVR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Beginning in 2017, 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37"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includes balances of assets and liabilities of VIE's included in Icahn Enterprises Holdings' consolidated balance sheets.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2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8"/>
              </w:rPr>
              <w:t>(in millions)</w:t>
            </w:r>
          </w:p>
        </w:tc>
        <w:tc>
          <w:tcPr>
            <w:tcW w:w="102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6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752</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9,615</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0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6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1,482</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3,191</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6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349</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1,816</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0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1,023</w:t>
            </w:r>
          </w:p>
        </w:tc>
        <w:tc>
          <w:tcPr>
            <w:tcW w:w="6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1,139</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1,057</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Debt</w:t>
            </w:r>
          </w:p>
        </w:tc>
        <w:tc>
          <w:tcPr>
            <w:tcW w:w="10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1,166</w:t>
            </w:r>
          </w:p>
        </w:tc>
        <w:tc>
          <w:tcPr>
            <w:tcW w:w="6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1,165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debt as of December 31, 2017 was approximately $11.2 billion and $11.5 billion, respectively. The carrying value and estimated fair value of our debt as of December 31, 2016 was approximately $11.1 billion and $11.2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Businesses</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pacing w:after="0" w:line="79"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Investments and Disposition of Entities under Common Control</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Acquisitions or investments of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337" w:right="2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consider short-term investments, which are highly liquid with original maturities of three months or less at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Cash held at consolidated affiliated partnerships primarily consists of cash and cash equivalents held by our Investment Funds (as defined herein) that, although not legally restricted, is not available to fund the general liquidity needs of the Investment segment or Icahn Enterprises. Restricted cash primarily relates to cash pledged and held for margin requirements on derivative transactions.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$594 million and $686 million as of December 31, 2017 and 2016,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i w:val="1"/>
          <w:iCs w:val="1"/>
          <w:color w:val="auto"/>
        </w:rPr>
        <w:t xml:space="preserve">Investment Transactions and Related Investment Income (Loss). </w:t>
      </w:r>
      <w:r>
        <w:rPr>
          <w:rFonts w:ascii="Arial" w:cs="Arial" w:eastAsia="Arial" w:hAnsi="Arial"/>
          <w:sz w:val="16"/>
          <w:szCs w:val="16"/>
          <w:color w:val="auto"/>
        </w:rPr>
        <w:t>Investment transactions of the Investment Funds are recorded on a trade date basis.</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4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Investments held by the Investment segment are accounted for as trading securities. Our Investment segment applies the fair value option to those investments that are otherwise subject to the equity method.</w:t>
      </w:r>
    </w:p>
    <w:p>
      <w:pPr>
        <w:spacing w:after="0" w:line="6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i w:val="1"/>
          <w:iCs w:val="1"/>
          <w:color w:val="auto"/>
        </w:rPr>
        <w:t xml:space="preserve">Valuation of Investments. </w:t>
      </w:r>
      <w:r>
        <w:rPr>
          <w:rFonts w:ascii="Arial" w:cs="Arial" w:eastAsia="Arial" w:hAnsi="Arial"/>
          <w:sz w:val="17"/>
          <w:szCs w:val="17"/>
          <w:color w:val="auto"/>
        </w:rPr>
        <w:t>Securities of the Investment Funds that are listed on a securities exchange are valued at their last sales price on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w:t>
      </w:r>
    </w:p>
    <w:p>
      <w:pPr>
        <w:spacing w:after="0" w:line="63"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The books and records of the Investment Funds are maintained in U.S. dollars. Assets and liabilities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 of operations.</w:t>
      </w:r>
    </w:p>
    <w:p>
      <w:pPr>
        <w:spacing w:after="0" w:line="5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The fair values of the Investment Funds' assets and liabilities that qualify as financial instruments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U.S. GAAP approximate the carrying amounts presented in the consolidated balance sheets.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Securities Sold, Not Yet Purchased. </w:t>
      </w:r>
      <w:r>
        <w:rPr>
          <w:rFonts w:ascii="Arial" w:cs="Arial" w:eastAsia="Arial" w:hAnsi="Arial"/>
          <w:sz w:val="18"/>
          <w:szCs w:val="18"/>
          <w:color w:val="auto"/>
        </w:rPr>
        <w:t>The Investment Funds may sell an investment they do not own in anticipation of a decline in the fair value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Due From Brokers. </w:t>
      </w:r>
      <w:r>
        <w:rPr>
          <w:rFonts w:ascii="Arial" w:cs="Arial" w:eastAsia="Arial" w:hAnsi="Arial"/>
          <w:sz w:val="18"/>
          <w:szCs w:val="18"/>
          <w:color w:val="auto"/>
        </w:rPr>
        <w:t>Due from brokers represents cash balances with the Investment Funds' clearing brokers. These funds as well as fully-paid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marginable securities are essentially restricted to the extent that they serve as collateral against securities sold, not yet purchased. Due from brokers may also include unrestricted balances with derivative counterparties.</w:t>
      </w:r>
    </w:p>
    <w:p>
      <w:pPr>
        <w:spacing w:after="0" w:line="73" w:lineRule="exact"/>
        <w:rPr>
          <w:sz w:val="20"/>
          <w:szCs w:val="20"/>
          <w:color w:val="auto"/>
        </w:rPr>
      </w:pPr>
    </w:p>
    <w:p>
      <w:pPr>
        <w:ind w:right="760" w:firstLine="405"/>
        <w:spacing w:after="0" w:line="375" w:lineRule="auto"/>
        <w:rPr>
          <w:sz w:val="20"/>
          <w:szCs w:val="20"/>
          <w:color w:val="auto"/>
        </w:rPr>
      </w:pPr>
      <w:r>
        <w:rPr>
          <w:rFonts w:ascii="Arial" w:cs="Arial" w:eastAsia="Arial" w:hAnsi="Arial"/>
          <w:sz w:val="18"/>
          <w:szCs w:val="18"/>
          <w:i w:val="1"/>
          <w:iCs w:val="1"/>
          <w:color w:val="auto"/>
        </w:rPr>
        <w:t xml:space="preserve">Due To Brokers. </w:t>
      </w:r>
      <w:r>
        <w:rPr>
          <w:rFonts w:ascii="Arial" w:cs="Arial" w:eastAsia="Arial" w:hAnsi="Arial"/>
          <w:sz w:val="18"/>
          <w:szCs w:val="18"/>
          <w:color w:val="auto"/>
        </w:rPr>
        <w:t>Due to brokers represents margin debit balances collateralized by certain of the Investment Funds' investments in securities.</w:t>
      </w:r>
      <w:r>
        <w:rPr>
          <w:rFonts w:ascii="Arial" w:cs="Arial" w:eastAsia="Arial" w:hAnsi="Arial"/>
          <w:sz w:val="18"/>
          <w:szCs w:val="18"/>
          <w:i w:val="1"/>
          <w:iCs w:val="1"/>
          <w:color w:val="auto"/>
        </w:rPr>
        <w:t xml:space="preserve"> Other Segments and Holding Company</w:t>
      </w:r>
    </w:p>
    <w:p>
      <w:pPr>
        <w:spacing w:after="0" w:line="1"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Investments in equity and debt securities are classified as either trading or available-for-sale based upon whether we intend to hold the investment for the foreseeable future. Trading securities are valued at quoted market value at each balance sheet date with the unrealized gains or losses reflected in the consolidated statements of operations. Available-for-sale securities are carried at fair value on our balance sheet. Unrealized holding gains and losses on available-for-sale securities are excluded from earnings and reported as a separate component of partners' equity and when sold are reclassified out of partners' equity to the consolidated statements of operations. For purposes of determining gains and losses, the cost of securities is based on specific identification.</w:t>
      </w:r>
    </w:p>
    <w:p>
      <w:pPr>
        <w:spacing w:after="0" w:line="85"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 decline in the market value of any available-for-sale security below cost that is deemed to be other than temporary results in an impairment that is charged to earnings and the establishment of a new cost basis for the investment. Dividend income is recorded when declared and interest income is recognized when earned.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for Financial Assets and Financial Liabilities</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FASB Accounting Standards Codification ("ASC") Topic 825, </w:t>
      </w:r>
      <w:r>
        <w:rPr>
          <w:rFonts w:ascii="Arial" w:cs="Arial" w:eastAsia="Arial" w:hAnsi="Arial"/>
          <w:sz w:val="17"/>
          <w:szCs w:val="17"/>
          <w:i w:val="1"/>
          <w:iCs w:val="1"/>
          <w:color w:val="auto"/>
        </w:rPr>
        <w:t>Financial Instrument</w:t>
      </w:r>
      <w:r>
        <w:rPr>
          <w:rFonts w:ascii="Arial" w:cs="Arial" w:eastAsia="Arial" w:hAnsi="Arial"/>
          <w:sz w:val="17"/>
          <w:szCs w:val="17"/>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5, “Fair Value Measurements.” For our Investment segment, we apply the fair value option to our investments that would otherwise be accounted under the equity method.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6, “Financial Instruments,” to the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 Our allowance for doubtful accounts is an estimate based on specifically identified accounts as well as general reserves based on historical experience.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7" w:lineRule="exact"/>
        <w:rPr>
          <w:sz w:val="20"/>
          <w:szCs w:val="20"/>
          <w:color w:val="auto"/>
        </w:rPr>
      </w:pPr>
    </w:p>
    <w:p>
      <w:pPr>
        <w:jc w:val="both"/>
        <w:ind w:right="40" w:firstLine="378"/>
        <w:spacing w:after="0" w:line="264" w:lineRule="auto"/>
        <w:rPr>
          <w:sz w:val="20"/>
          <w:szCs w:val="20"/>
          <w:color w:val="auto"/>
        </w:rPr>
      </w:pPr>
      <w:r>
        <w:rPr>
          <w:rFonts w:ascii="Arial" w:cs="Arial" w:eastAsia="Arial" w:hAnsi="Arial"/>
          <w:sz w:val="18"/>
          <w:szCs w:val="18"/>
          <w:color w:val="auto"/>
        </w:rPr>
        <w:t>Accounts receivable factoring relates primarily to our Automotive segment. Federal-Mogul's subsidiaries in Brazil, Canada, France, Germany, Italy and the United States are party to accounts receivable factoring and securitization facilities. Gross accounts receivable transferred under these facilities were $641 million and $487 million as of December 31, 2017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37" w:right="25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2016, respectively. Of those gross amounts, $635 million and $485 million, respectively, qualify as sales in accordance with U.S. GAAP. The remaining transferred receivables were pledged as collateral and accounted for as secured borrowings and recorded in the consolidated balance sheets within accounts receivable, net and debt. Under the terms of these facilities, Federal-Mogul is not obligated to draw cash immediately upon the transfer of accounts receivable. As of December 31, 2017 and 2016, Federal-Mogul did not have any undrawn cash related to such transferred receivables.</w:t>
      </w:r>
    </w:p>
    <w:p>
      <w:pPr>
        <w:spacing w:after="0" w:line="46"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Proceeds from the transfers of accounts receivable qualifying as sales were approximately $1.8 billion, $1.6 billion and $1.6 billion for the years ended December 31, 2017, 2016 and 2015, respectively. For the years ended December 31, 2017, 2016 and 2015, expenses associated with transfers of receivables were $15 million, $12 million and $9 million, respectively. Such expenses were recorded in the consolidated statements of operations within other income, net. Where Federal-Mogul receives a fee to service and monitor these transferred receivables, such fees are sufficient to offset the costs and as such, a servicing asset or liability is not incurred as a result of such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i w:val="1"/>
          <w:iCs w:val="1"/>
          <w:color w:val="auto"/>
        </w:rPr>
        <w:t xml:space="preserve">Automotive, Railcar, Food Packaging, and Home Fashion Segment Inventories. </w:t>
      </w:r>
      <w:r>
        <w:rPr>
          <w:rFonts w:ascii="Arial" w:cs="Arial" w:eastAsia="Arial" w:hAnsi="Arial"/>
          <w:sz w:val="16"/>
          <w:szCs w:val="16"/>
          <w:color w:val="auto"/>
        </w:rPr>
        <w:t>Our Automotive, Railcar, Food Packaging and Home Fashion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inventories are stated at the lower of cost or market. Cost is determined by using the first-in, first-out basis method ("FIFO"), except for IEH Auto which utilizes weighted-average cost and Pep Boys which utilizes the last-in, first-out method. Inventory recorded using the last-in, first-out method was $900 million and $735 million as of December 31, 2017 and 2016, respectively, all of which relates to finished goods. The cost of manufactured goods includes the cost of direct materials, labor and manufacturing overhead. Our Automotive, Railcar, Food Packaging and Home Fashion segments reserve for estimated excess, slow-moving and obsolete inventory as well as inventory whose carrying value is in excess of net realizable value.</w:t>
      </w:r>
    </w:p>
    <w:p>
      <w:pPr>
        <w:spacing w:after="0" w:line="5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 xml:space="preserve">Energy Segment Inventories. </w:t>
      </w:r>
      <w:r>
        <w:rPr>
          <w:rFonts w:ascii="Arial" w:cs="Arial" w:eastAsia="Arial" w:hAnsi="Arial"/>
          <w:sz w:val="17"/>
          <w:szCs w:val="17"/>
          <w:color w:val="auto"/>
        </w:rPr>
        <w:t>Our Energy segment inventories consist primarily of domestic and foreign crude oil, blending stock and components, work</w:t>
      </w:r>
      <w:r>
        <w:rPr>
          <w:rFonts w:ascii="Arial" w:cs="Arial" w:eastAsia="Arial" w:hAnsi="Arial"/>
          <w:sz w:val="17"/>
          <w:szCs w:val="17"/>
          <w:i w:val="1"/>
          <w:iCs w:val="1"/>
          <w:color w:val="auto"/>
        </w:rPr>
        <w:t xml:space="preserve"> </w:t>
      </w:r>
      <w:r>
        <w:rPr>
          <w:rFonts w:ascii="Arial" w:cs="Arial" w:eastAsia="Arial" w:hAnsi="Arial"/>
          <w:sz w:val="17"/>
          <w:szCs w:val="17"/>
          <w:color w:val="auto"/>
        </w:rPr>
        <w:t>in progress, fertilizer products, and refined fuels and by-products. Inventories are valued at the lower of FIFO cost, or net realizable value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net realizable value. The cost of inventories includes inbound freight costs.</w:t>
      </w:r>
    </w:p>
    <w:p>
      <w:pPr>
        <w:spacing w:after="0" w:line="7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i w:val="1"/>
          <w:iCs w:val="1"/>
          <w:color w:val="auto"/>
        </w:rPr>
        <w:t xml:space="preserve">Metals Segment Inventories. </w:t>
      </w:r>
      <w:r>
        <w:rPr>
          <w:rFonts w:ascii="Arial" w:cs="Arial" w:eastAsia="Arial" w:hAnsi="Arial"/>
          <w:sz w:val="17"/>
          <w:szCs w:val="17"/>
          <w:color w:val="auto"/>
        </w:rPr>
        <w:t>Inventories at our Metals segment are stated at the lower of cost or market. Cost is determined using the average cost</w:t>
      </w:r>
      <w:r>
        <w:rPr>
          <w:rFonts w:ascii="Arial" w:cs="Arial" w:eastAsia="Arial" w:hAnsi="Arial"/>
          <w:sz w:val="17"/>
          <w:szCs w:val="17"/>
          <w:i w:val="1"/>
          <w:iCs w:val="1"/>
          <w:color w:val="auto"/>
        </w:rPr>
        <w:t xml:space="preserve"> </w:t>
      </w:r>
      <w:r>
        <w:rPr>
          <w:rFonts w:ascii="Arial" w:cs="Arial" w:eastAsia="Arial" w:hAnsi="Arial"/>
          <w:sz w:val="17"/>
          <w:szCs w:val="17"/>
          <w:color w:val="auto"/>
        </w:rPr>
        <w:t>method. The production and accounting process utilized by our Metals segment to record recycled metals inventory quantities relies on significant estimates. Our Metals segment relies upon perpetual inventory records that utilize estimated recoveries and yields that are based upon historical trends and periodic tests for certain unprocessed 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7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i w:val="1"/>
          <w:iCs w:val="1"/>
          <w:color w:val="auto"/>
        </w:rPr>
        <w:t xml:space="preserve">Mining Segment Inventories. </w:t>
      </w:r>
      <w:r>
        <w:rPr>
          <w:rFonts w:ascii="Arial" w:cs="Arial" w:eastAsia="Arial" w:hAnsi="Arial"/>
          <w:sz w:val="18"/>
          <w:szCs w:val="18"/>
          <w:color w:val="auto"/>
        </w:rPr>
        <w:t>Our Mining segment's inventories are valued at the lower of cost or market. Cost includes all costs incurred in the normal</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business in bringing each product to its present location and condition, including direct materials and direct labor costs, and an allocation of production overheads based on normal production capacity. Cost is calculated using weighted average unit cost.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 groups are evaluated for impairment when impairment indicators exist. If the carrying value of a long-lived asset group is impaired, an impairment charge is recorded for the amount by which the carrying value of the long-lived asset group exceeds its fair value. Depreciation and amortization are computed principally by the straight-line method for financial reporting purposes.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37"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The direct-expense method of accounting is used for planned major maintenance activities. Maintenance costs are recognized as expense when maintenance services are performed. Planned major maintenance activities for CVR Energy's nitrogen plant generally occur every two to three years. The required frequency of planned major maintenance activities varies by unit for the refineries, but generally is every four to five years.</w:t>
      </w:r>
    </w:p>
    <w:p>
      <w:pPr>
        <w:spacing w:after="0" w:line="3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For the years ended December 31, 2017, 2016, and 2015, our Energy segment recorded an aggregate of $83 million, $38 million and $109 million, respectively, in turnaround expenses related to its refineries and nitrogen fertilizer plants.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costs of acquiring mineral reserves and resources for our Mining segment are capitalized on the consolidated balance sheets as incurred. Capitalized mineral reserves and mine development expenditures are, upon commencement of commercial production, depreciated using a unit of production method based on the estimated economically recoverable reserves to which they relate, or are written off if abandoned.</w:t>
      </w:r>
    </w:p>
    <w:p>
      <w:pPr>
        <w:spacing w:after="0" w:line="5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Exploration and evaluation expenditures relate to costs incurred in the exploration and evaluation of potential mineral reserves and include costs such as exploratory drilling, sample testing and the costs of feasibility studies. For our Mining segment, exploration and evaluation expenditures other than that acquired through the purchase of another mining company, are expensed as incurred. Purchased exploration and evaluation assets are recognized as assets at their cost of acquisition or at fair value if purchased as part of a business combination.</w:t>
      </w:r>
    </w:p>
    <w:p>
      <w:pPr>
        <w:spacing w:after="0" w:line="6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Expenditures are transferred to mine development assets once the work completed supports the future development of the property, provided that technical feasibility and commercial viability studies have been successfully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Goodwill and indefinite lived intangible assets primarily include trademarks and brand names acquired in acquisitions. For a complete discussion of the impairment of goodwill and indefinite-lived intangible assets related to our various segments see Note 8, “Goodwill and Intangible Assets, 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Goodwill is determined as the excess of fair value over amounts attributable to specific tangible and intangible assets. Goodwill is reviewed for impairment annually, or more frequently if impairment indicators exist. An impairment exists when a reporting unit’s carrying value exceeds its fair value. When performing the goodwill impairment testing, a reporting units’ fair value is based on valuation techniques using the best available information, primarily discounted cash flows projections, guideline transaction multiples, and multiples of current and future earnings. The impairment charge, if any, is the excess of the tested reporting unit's carrying value over its fair value, limited to the total amount of goodwill allocated to the tested reporting unit.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The impairment charge, if any, is the excess of the assets carrying value over its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337" w:right="2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December 31, 2017, assets held for sale were not material. As of December 31, 2016, assets held for sale primarily consisted of property plant and equipment of approximately $1.2 billion and liabilities held for sale primarily consisted of debt of approximately $1.7 billion. Such assets and liabilities held for sale related primarily to our pending sale of ARL. During 2017, we closed on the sale of ARL and disposed of such assets and liabilities previously classified as held for sale.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 Plan Obligations</w:t>
      </w:r>
    </w:p>
    <w:p>
      <w:pPr>
        <w:spacing w:after="0" w:line="11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Pension and other post-employment benefit costs are dependent upon assumptions used in calculating such costs. These assumptions include discount rates, health care cost trends, expected returns on plan assets and other factors. In accordance with U.S. GAAP, actual results that differ from the assumptions used are accumulated and amortized over future periods and, accordingly, generally affect recognized expense and the recorded obligation in future periods.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Profits and Losses in Consolidated Affiliated Partnerships</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Partnership Interest of Icahn Enterprises and Icahn Enterprises Holdings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79" w:lineRule="exact"/>
        <w:rPr>
          <w:sz w:val="20"/>
          <w:szCs w:val="20"/>
          <w:color w:val="auto"/>
        </w:rPr>
      </w:pPr>
    </w:p>
    <w:p>
      <w:pPr>
        <w:ind w:right="400" w:firstLine="405"/>
        <w:spacing w:after="0" w:line="276" w:lineRule="auto"/>
        <w:rPr>
          <w:sz w:val="20"/>
          <w:szCs w:val="20"/>
          <w:color w:val="auto"/>
        </w:rPr>
      </w:pPr>
      <w:r>
        <w:rPr>
          <w:rFonts w:ascii="Arial" w:cs="Arial" w:eastAsia="Arial" w:hAnsi="Arial"/>
          <w:sz w:val="17"/>
          <w:szCs w:val="17"/>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(1.00% in the case of Icahn Enterprises Holdings) of the total capital accounts of all partners.</w:t>
      </w:r>
    </w:p>
    <w:p>
      <w:pPr>
        <w:spacing w:after="0" w:line="6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Generally, net earnings for U.S. federal income tax purposes are allocated 1.99% (1.00% in the case of Icahn Enterprises Holdings) and 98.01% (99.00% in the case of Icahn Enterprises Holdings)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4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Per LP Unit</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Icahn Enterprises, basic income (loss) per LP unit is based on net income or loss attributable to Icahn Enterprises allocable to limited partners. Net income or loss allocable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spacing w:after="0" w:line="79"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For accounting purposes, when applicable, earnings prior to dates of acquisitions or investments in joint ventures of entities under common control are excluded from the computation of basic and diluted income per LP unit as such earnings are allocated to our general partner or non-controlling interests.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337"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3"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spacing w:after="0" w:line="3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14, “Income Taxes,”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Our Automotive segment records sales when products are shipped and the risks and rewards of ownership have transferred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the sales price is fixed and determinable, and the collectability of revenue is reasonably assured. Accruals for sales returns and other allowances are provided at point of sale based upon past experience. Adjustments to such returns and allowances are made as new information becomes available. Automotive service revenues are recognized on completion of the service and consist of the labor charged for installing products or maintaining or repairing vehicles. Automotive services revenues are included in other revenues from operations in our consolidated statements of operations however, the sale of any installed parts or materials related to automotive services are included in net sales.</w:t>
      </w:r>
    </w:p>
    <w:p>
      <w:pPr>
        <w:spacing w:after="0" w:line="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Our Automotive segment accrues for rebates pursuant to specific arrangements with certain of its customers, primarily in the aftermarket.</w:t>
      </w:r>
      <w:r>
        <w:rPr>
          <w:rFonts w:ascii="Arial" w:cs="Arial" w:eastAsia="Arial" w:hAnsi="Arial"/>
          <w:sz w:val="18"/>
          <w:szCs w:val="18"/>
          <w:i w:val="1"/>
          <w:iCs w:val="1"/>
          <w:color w:val="auto"/>
        </w:rPr>
        <w:t xml:space="preserve"> </w:t>
      </w:r>
      <w:r>
        <w:rPr>
          <w:rFonts w:ascii="Arial" w:cs="Arial" w:eastAsia="Arial" w:hAnsi="Arial"/>
          <w:sz w:val="18"/>
          <w:szCs w:val="18"/>
          <w:color w:val="auto"/>
        </w:rPr>
        <w:t>Rebates generally provide for price reductions based upon the achievement of specified purchase volumes and are recorded as a reduction of sales as earned by such customers.</w:t>
      </w:r>
    </w:p>
    <w:p>
      <w:pPr>
        <w:spacing w:after="0" w:line="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 xml:space="preserve">Sales and Sales Related Taxes: </w:t>
      </w:r>
      <w:r>
        <w:rPr>
          <w:rFonts w:ascii="Arial" w:cs="Arial" w:eastAsia="Arial" w:hAnsi="Arial"/>
          <w:sz w:val="18"/>
          <w:szCs w:val="18"/>
          <w:color w:val="auto"/>
        </w:rPr>
        <w:t>Our Automotive segment collects and remits taxes assessed by various governmental authorities that are both imposed</w:t>
      </w:r>
      <w:r>
        <w:rPr>
          <w:rFonts w:ascii="Arial" w:cs="Arial" w:eastAsia="Arial" w:hAnsi="Arial"/>
          <w:sz w:val="18"/>
          <w:szCs w:val="18"/>
          <w:i w:val="1"/>
          <w:iCs w:val="1"/>
          <w:color w:val="auto"/>
        </w:rPr>
        <w:t xml:space="preserve"> </w:t>
      </w:r>
      <w:r>
        <w:rPr>
          <w:rFonts w:ascii="Arial" w:cs="Arial" w:eastAsia="Arial" w:hAnsi="Arial"/>
          <w:sz w:val="18"/>
          <w:szCs w:val="18"/>
          <w:color w:val="auto"/>
        </w:rPr>
        <w:t>on and concurrent with revenue-producing transactions with its customers. These taxes may include, but are not limited to, sales, use, value-added, and some excise taxes. The collection of these taxes is reported on a net basis (excluded from revenues).</w:t>
      </w:r>
    </w:p>
    <w:p>
      <w:pPr>
        <w:spacing w:after="0" w:line="7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Our Automotive segment recognizes shipping and handling costs as incurred as a component of cost of products sold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statements of operations.</w:t>
      </w:r>
    </w:p>
    <w:p>
      <w:pPr>
        <w:spacing w:after="0" w:line="62"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i w:val="1"/>
          <w:iCs w:val="1"/>
          <w:color w:val="auto"/>
        </w:rPr>
        <w:t xml:space="preserve">Engineering and Tooling Costs: </w:t>
      </w:r>
      <w:r>
        <w:rPr>
          <w:rFonts w:ascii="Arial" w:cs="Arial" w:eastAsia="Arial" w:hAnsi="Arial"/>
          <w:sz w:val="16"/>
          <w:szCs w:val="16"/>
          <w:color w:val="auto"/>
        </w:rPr>
        <w:t>Pre-production tooling and engineering costs that Federal-Mogul will not own and that will be used in producing</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under long-term supply arrangements are expensed as incurred unless the supply arrangement provides it with the noncancelable right to use the tools, or the reimbursement of such costs is agreed to by the customer. Pre-production tooling costs owned by Federal-Mogul are capitalized as part of machinery and equipment, and are depreciated over the shorter of the tool’s expected life or the duration of the related program.</w:t>
      </w:r>
    </w:p>
    <w:p>
      <w:pPr>
        <w:spacing w:after="0" w:line="46"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Federal-Mogul expenses research and development (“R&amp;D”) costs as incurred. R&amp;D expense, including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and validation costs, was $195 million, $192 million and $189 million for the year ended December 31, 2017, 2016 and 2015, respectively.</w:t>
      </w:r>
    </w:p>
    <w:p>
      <w:pPr>
        <w:spacing w:after="0" w:line="1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Federal-Mogul has restructuring costs comprised of two types: employee costs (contractual termination benefits) and facility 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costs. Termination benefits are accounted for in accordance with FASB ASC Topic 712, </w:t>
      </w:r>
      <w:r>
        <w:rPr>
          <w:rFonts w:ascii="Arial" w:cs="Arial" w:eastAsia="Arial" w:hAnsi="Arial"/>
          <w:sz w:val="17"/>
          <w:szCs w:val="17"/>
          <w:i w:val="1"/>
          <w:iCs w:val="1"/>
          <w:color w:val="auto"/>
        </w:rPr>
        <w:t>Compensation - Nonretirement Postemployment Benefits</w:t>
      </w:r>
      <w:r>
        <w:rPr>
          <w:rFonts w:ascii="Arial" w:cs="Arial" w:eastAsia="Arial" w:hAnsi="Arial"/>
          <w:sz w:val="17"/>
          <w:szCs w:val="17"/>
          <w:color w:val="auto"/>
        </w:rPr>
        <w:t xml:space="preserve">, and are recorded when it is probable that employees will be entitled to benefits and the amounts can be reasonably estimated. Estimates of termination benefits are based on the frequency of past termination benefits, the similarity of benefits under the current plan and prior plans, and the existence of statutory required minimum benefits. Termination benefits are also accounted for in accordance with FASB ASC Topic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for one-time termination benefits and are recorded dependent upon future service requirements. Facility closure and other costs are accounted for in accordance with FASB ASC Topic 420 and are recorded when the liability is incurred.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our Energy segment, revenues for products sold are recorded upon delivery of the products to customers, which is the point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title is transferred, the customer has assumed the risk of loss, and when payment has been received or collection is reasonably assured. Deferred revenue represents customer prepayments under contracts to guarantee a price and supply of nitrogen fertilizer in quantities expected to be delivered in the next 12 months in the normal course of business. Excise and other taxes collected from customers and remitted to governmental authorities are not included in reported revenues.</w:t>
      </w:r>
    </w:p>
    <w:p>
      <w:pPr>
        <w:spacing w:after="0" w:line="8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Non-monetary product exchanges and certain buy/sell crude oil transactions which are entered into in the normal course of business are included on a net cost basis in cost of goods sold in the consolidated statement of operations.</w:t>
      </w:r>
    </w:p>
    <w:p>
      <w:pPr>
        <w:spacing w:after="0" w:line="6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For our Energy segment, pass-through finished goods delivery costs reimbursed by customers are reported in net sales, while an</w:t>
      </w:r>
      <w:r>
        <w:rPr>
          <w:rFonts w:ascii="Arial" w:cs="Arial" w:eastAsia="Arial" w:hAnsi="Arial"/>
          <w:sz w:val="18"/>
          <w:szCs w:val="18"/>
          <w:i w:val="1"/>
          <w:iCs w:val="1"/>
          <w:color w:val="auto"/>
        </w:rPr>
        <w:t xml:space="preserve"> </w:t>
      </w:r>
      <w:r>
        <w:rPr>
          <w:rFonts w:ascii="Arial" w:cs="Arial" w:eastAsia="Arial" w:hAnsi="Arial"/>
          <w:sz w:val="18"/>
          <w:szCs w:val="18"/>
          <w:color w:val="auto"/>
        </w:rPr>
        <w:t>offsetting expense is included in cost of goods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Revenues from manufactured railcar sales are recognized following completion of manufacturing, inspection,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and title transfer, which is when the risk for any damage or loss with respect to the railcars passes to the customer, in accordance with our Railcar segment's contractual terms. Revenues from railcar and industrial components are recorded at the time of product shipment, in accordance with our Railcar segment's contractual terms.</w:t>
      </w:r>
    </w:p>
    <w:p>
      <w:pPr>
        <w:spacing w:after="0" w:line="1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Revenues from railcar leasing are generated from operating leases that are priced as an integrated service that includes amounts related to executory costs, such as certain maintenance, insurance, and ad valorem taxes and are recognized on a straight-line basis per terms of the underlying lease. If railcars are sold under a lease that is less than one year old, the proceeds from the railcars sold that were on lease will be shown on a gross basis in revenues and cost of revenues at the time of sale. Sales of leased railcars that have been on lease for more than one year are recognized as a net gain or loss from the disposal of the long-term asset as a component of earnings from operations.</w:t>
      </w:r>
    </w:p>
    <w:p>
      <w:pPr>
        <w:spacing w:after="0" w:line="134"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Revenues from railcar maintenance services are recognized upon completion and shipment of railcars from our Railcar segment's plants. Our Railcar segment does not currently bundle railcar service contracts with new railcar sales. Revenues from engineering and field services are recognized as performed.</w:t>
      </w:r>
    </w:p>
    <w:p>
      <w:pPr>
        <w:spacing w:after="0" w:line="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Amounts billed prior to meeting revenue recognition criteria are accounted for as deferred revenue and included in accrued expenses and other liabilities on our consolidated balance sheets.</w:t>
      </w:r>
    </w:p>
    <w:p>
      <w:pPr>
        <w:spacing w:after="0" w:line="62"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Our Railcar segment records amounts billed to customers for shipping and handling as part of net sales and other revenues from operations in our consolidated statements of operations and records related costs in cost of goods sold and other expenses from operations.</w:t>
      </w:r>
    </w:p>
    <w:p>
      <w:pPr>
        <w:spacing w:after="0" w:line="3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Railcar segment presents any sales tax assessed by a governmental authority that is directly imposed on a revenue-producing transaction between a seller and a customer on a net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i w:val="1"/>
          <w:iCs w:val="1"/>
          <w:color w:val="auto"/>
        </w:rPr>
        <w:t xml:space="preserve">Revenue Recognition and Promotional Allowances: </w:t>
      </w:r>
      <w:r>
        <w:rPr>
          <w:rFonts w:ascii="Arial" w:cs="Arial" w:eastAsia="Arial" w:hAnsi="Arial"/>
          <w:sz w:val="17"/>
          <w:szCs w:val="17"/>
          <w:color w:val="auto"/>
        </w:rPr>
        <w:t>Casino revenue represents the difference between wins and losses from gaming activities, and 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net of cash and free play incentives redeemed by customers. Room, food and beverage and other operating revenues are recognized at the time the goods or services are provided. Tropicana collects taxes from customers at the point of sale on transactions subject to sales and other taxes. Revenues are recorded net of any taxes collected. The majority of our casino revenue is counted in the form of cash and chips and, therefore, is not subject to any significant or complex estimation. The retail value of rooms, food and beverage and other services provided to customers on a complimentary basis is included in gross revenues and then deducted as promotional allowances.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PSC Metals' primary source of revenue is from the sale of processed ferrous scrap metal, non-ferrous scrap metals, steel pipe</w:t>
      </w:r>
      <w:r>
        <w:rPr>
          <w:rFonts w:ascii="Arial" w:cs="Arial" w:eastAsia="Arial" w:hAnsi="Arial"/>
          <w:sz w:val="18"/>
          <w:szCs w:val="18"/>
          <w:i w:val="1"/>
          <w:iCs w:val="1"/>
          <w:color w:val="auto"/>
        </w:rPr>
        <w:t xml:space="preserve"> </w:t>
      </w:r>
      <w:r>
        <w:rPr>
          <w:rFonts w:ascii="Arial" w:cs="Arial" w:eastAsia="Arial" w:hAnsi="Arial"/>
          <w:sz w:val="18"/>
          <w:szCs w:val="18"/>
          <w:color w:val="auto"/>
        </w:rPr>
        <w:t>and steel plate. PSC Metals also generates revenues from sales of secondary plate and pipe, the brokering of scrap metals and from services performed. All sales are recognized when title passes to the customer. Revenues from services are recognized as the service is performed. Sales adjustments related to price and weight differences are reflected as a reduction of revenues when settled.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Our Mining segment recognizes revenue when title, ownership, and risk of loss pass to the customer, all of which occurs upon</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 or delivery of the product and is based on the applicable shipping terms. Revenue is measured at the fair value of the consideration received or receivable, with any adjustments as a result of provisional pricing recorded against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Revenues are recognized at the time products are shipped to the customer, under F.O.B. shipping point or F.O.B. port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 from real estate sales and related costs are recognized at the time of closing primarily by specific identification.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property comprising our net lease portfolio is leased to others under long-term net leases and we account for these leases in accordance with applicable U.S. GAAP. We account for our leases as follows: (i) under the financing method, (x) minimum lease payments to be received plus the estimated value of the property at the end of the lease are considered the gross investment in the lease and (y) unearned income, representing the difference between gross investment and actual cost of the leased property, is amortized to income over the lease term so as to produce a constant periodic rate of return on the net investment in the lease; and (ii) under the operating method, revenue is recognized as rentals become due, and expenses (including depreciation) are charged to operations as incurred.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WPH records revenue when the following criteria are met: persuasive evidence of an arrangement exists, delivery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price to the customer is fixed and determinable and collectability is reasonably assured.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i w:val="1"/>
          <w:iCs w:val="1"/>
          <w:color w:val="auto"/>
        </w:rPr>
        <w:t xml:space="preserve">Sales Incentives: </w:t>
      </w:r>
      <w:r>
        <w:rPr>
          <w:rFonts w:ascii="Arial" w:cs="Arial" w:eastAsia="Arial" w:hAnsi="Arial"/>
          <w:sz w:val="18"/>
          <w:szCs w:val="18"/>
          <w:color w:val="auto"/>
        </w:rPr>
        <w:t>Customer incentives are provided to major WPH customers. These incentives begin to accrue when a commitment has been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and are recorded as a reduction to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recognize environmental liabilities when a loss is probable and reasonably estimable. Such accruals are estimated based on currently available information, existing technology and enacted laws and regulations. Such estimates are based primarily upon the estimated cost of investigation and remediation required and the likelihood that other potentially responsible parties will be able to fulfill their commitments at the sites where we may be jointly and severally liable with such parties. We regularly evaluate and revise estimates for environmental obligations based on expenditures against established reserves and the availability of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record asset retirement obligations (“ARO”) in accordance with applicable U.S. GAAP. As defined in applicable U.S. GAAP, ARO refers to a legal obligation to perform an asset retirement activity in which the timing and/or method of settlement are conditional on a future event. An entity is required to recognize a liability for the estimated fair value of an ARO when incurred if the fair value can be reasonably estimated. Our Automotive segment's primary asset retirement activities relate to the removal of hazardous building materials at its facilities. Our Automotive segment records the ARO when liabilities are probably and the amount can be reasonably estimated.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37"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Concentrations of credit risk relate primarily to derivative instruments from our Investment segment. See Note 6, “Financial Instruments,” to the consolidated financial statements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No. 2015-11,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Inventory</w:t>
      </w:r>
      <w:r>
        <w:rPr>
          <w:rFonts w:ascii="Arial" w:cs="Arial" w:eastAsia="Arial" w:hAnsi="Arial"/>
          <w:sz w:val="18"/>
          <w:szCs w:val="18"/>
          <w:color w:val="auto"/>
        </w:rPr>
        <w:t>, which amends FASB Accounting Standards Codification ("ASC") Topic 330,</w:t>
      </w:r>
      <w:r>
        <w:rPr>
          <w:rFonts w:ascii="Arial" w:cs="Arial" w:eastAsia="Arial" w:hAnsi="Arial"/>
          <w:sz w:val="18"/>
          <w:szCs w:val="18"/>
          <w:i w:val="1"/>
          <w:iCs w:val="1"/>
          <w:color w:val="auto"/>
        </w:rPr>
        <w:t xml:space="preserve"> Inventory</w:t>
      </w:r>
      <w:r>
        <w:rPr>
          <w:rFonts w:ascii="Arial" w:cs="Arial" w:eastAsia="Arial" w:hAnsi="Arial"/>
          <w:sz w:val="18"/>
          <w:szCs w:val="18"/>
          <w:color w:val="auto"/>
        </w:rPr>
        <w:t>. This ASU requires entities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beginning with our interim period beginning January 1, 2017. The adoption of this guidance was applied prospectively and did not have a material impact on our consolidated financial statements.</w:t>
      </w:r>
    </w:p>
    <w:p>
      <w:pPr>
        <w:spacing w:after="0" w:line="8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In March 2016, the FASB issued ASU No. 2016-07, </w:t>
      </w:r>
      <w:r>
        <w:rPr>
          <w:rFonts w:ascii="Arial" w:cs="Arial" w:eastAsia="Arial" w:hAnsi="Arial"/>
          <w:sz w:val="18"/>
          <w:szCs w:val="18"/>
          <w:i w:val="1"/>
          <w:iCs w:val="1"/>
          <w:color w:val="auto"/>
        </w:rPr>
        <w:t>Simplifying the Transition to the Equity Method of Accounting</w:t>
      </w:r>
      <w:r>
        <w:rPr>
          <w:rFonts w:ascii="Arial" w:cs="Arial" w:eastAsia="Arial" w:hAnsi="Arial"/>
          <w:sz w:val="18"/>
          <w:szCs w:val="18"/>
          <w:color w:val="auto"/>
        </w:rPr>
        <w:t xml:space="preserve">, which amends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This ASU eliminates the retroactive adjustment of an investment that qualifies for the equity method as a result of an increase in the level of ownership or degree of influence as if the equity method had been in effect during all previous periods that the investment had been held. This ASU is effective beginning with our interim period beginning January 1, 2017. The adoption of this guidance did not have a material impact on our consolidated financial statements.</w:t>
      </w:r>
    </w:p>
    <w:p>
      <w:pPr>
        <w:spacing w:after="0" w:line="80"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which amends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This ASU simplifies several aspects of the accounting for share-based payment transactions, including the income tax consequences, classification of awards as either equity or liabilities, and classification on the statement of cash flows. This ASU is effective beginning with our interim period beginning January 1, 2017. During the first quarter of 2017, the board of directors of the general partner of Icahn Enterprises unanimously approved and adopted the Icahn Enterprises L.P. 2017 Long Term Incentive Plan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 Prior to the adoption of the 2017 Incentive Plan, accounting for unit-based payments did not apply to us. Therefore, the adoption of this guidance in 2017 was the result of the adoption of the 2017 Incentive Plan and which did not have a material impact on our consolidated financial statements.</w:t>
      </w:r>
    </w:p>
    <w:p>
      <w:pPr>
        <w:spacing w:after="0" w:line="6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xml:space="preserve">, which amends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This ASU requires the recognition of income tax consequences of an intra-entity transfer of an asset other than inventory when the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Current U.S. GAAP prohibits the recognition of current and deferred incomes taxes for an intra-entity asset transfer until the asset has been sold to an outside party. This ASU is effective for fiscal years beginning after December 15, 2017, and interim periods within those fiscal years. Early adoption is permitted. We have elected to early adopt this guidance in the first quarter of 2017. The impact of early adopting this guidance on our consolidated financial statements is a cumulative effect adjustment to decrease our equity attributable to Icahn Enterprises and Icahn Enterprises Holdings as of January 1, 2017 by $47 million to reverse previously deferred charges and recognize them in equity.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37"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which amends FASB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This ASU provides guidance on what constitutes a business for purposes of applying FASB ASC Topic 805. This ASU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beginning after December 15, 2017, and interim periods within those fiscal years. Early adoption is permitted. We have elected to early adopt this guidance in the first quarter of 2017. We did not have any material transactions affected by this guidance and therefore, the adoption of this guidance did not have a material impact on our consolidated financial statements.</w:t>
      </w:r>
    </w:p>
    <w:p>
      <w:pPr>
        <w:spacing w:after="0" w:line="8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which amends FASB ASC Topic 350,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w:t>
      </w:r>
      <w:r>
        <w:rPr>
          <w:rFonts w:ascii="Arial" w:cs="Arial" w:eastAsia="Arial" w:hAnsi="Arial"/>
          <w:sz w:val="17"/>
          <w:szCs w:val="17"/>
          <w:color w:val="auto"/>
        </w:rPr>
        <w:t>. This ASU simplifies the subsequent measurement of goodwill by eliminating "Step 2" from the goodwill impairment test which,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this ASU, requires comparing the implied fair value of goodwill with its carrying value. By eliminating "Step 2" from the goodwill impairment test, the quantitative analysis of goodwill will result in an impairment loss for the amount that the carrying value of a reporting unit, including goodwill, exceeds its fair value, limited to the total amount of goodwill allocated to the tested reporting unit. While this ASU reduces the complexity and cost of our goodwill impairment tests, it may result in significant differences in the recognition of goodwill impairment. For example, should our reporting units fail "Step 1" of the impairment tests but pass the current "Step 2" impairment tests, we may have more impairments of goodwill under the new guidance. This ASU is effective for fiscal years beginning after December 15, 2019, and interim periods within those fiscal years. Early adoption is permitted beginning for interim and annual goodwill impairment tests performed on testing dates after January 1, 2017. We have elected to early adopt this guidance for our interim and annual goodwill impairment tests to be performed on testing dates beginning in 2017. This ASU principally affects our Automotive segment as substantially all of our goodwill balance pertains to our Automotive segment as of December 31, 2017. The adoption of this guidance did not have a material impact on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and 2017 to FASB ASC Topic 606 that include implementation guidance to principal versus agent considerations, guidance to identifying performance obligations and licensing guidance and other narrow scope improvements. We have developed an implementation plan to adopt this new ASU. We will adopt these new standards effective January 1, 2018 using the modified retrospective application method which will require a cumulative effect adjustment recognized in equity at such date. We determined this cumulative effect adjustment to be immaterial. No adjustment to revenue for periods prior to adoption will be required. To date, we have not identified any differences in our existing revenue recognition methods that would require material modification under the new standards. Additionally, although we anticipate our internal controls to be modified as necessary, we do not anticipate our internal control framework to materially change as a result of the adoption of these new standards.</w:t>
      </w:r>
    </w:p>
    <w:p>
      <w:pPr>
        <w:spacing w:after="0" w:line="6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w:t>
      </w:r>
      <w:r>
        <w:rPr>
          <w:rFonts w:ascii="Arial" w:cs="Arial" w:eastAsia="Arial" w:hAnsi="Arial"/>
          <w:sz w:val="17"/>
          <w:szCs w:val="17"/>
          <w:color w:val="auto"/>
        </w:rPr>
        <w:t xml:space="preserve">, which amends FASB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The amendments in this ASU should be applied by means of a cumulative-effect adjustment to the balance sheet as of the beginning of the fiscal year of adoption. The amendments related to equity securities without readily determinable fair values should be applied prospectively to equity investments that exist as of the date of adoption. Early application is permitted for certain matters only. We are currently evaluating the impact of this guidance on our consolidated financial statements.</w:t>
      </w:r>
    </w:p>
    <w:p>
      <w:pPr>
        <w:spacing w:after="0" w:line="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supersedes FASB ASC Topic 840,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the recognition of lease assets and lease liabilities by lessees for those leases classified as operating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337"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This ASU is effective for fiscal years beginning after December 15, 2018, including interim periods within those fiscal years. The amendments in this ASU should be applied using a modified retrospective approach. Early application is permitted. We anticipate our assessment and implementation plan to be ongoing during the remainder of 2018 and are currently unable to reasonably estimate the impact of this guidance on our consolidated financial statements and related disclosures.</w:t>
      </w:r>
    </w:p>
    <w:p>
      <w:pPr>
        <w:spacing w:after="0" w:line="5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 application is permitted for fiscal years beginning after December 15, 2018. We are currently evaluating the impact of this guidance on our consolidated financial statements.</w:t>
      </w:r>
    </w:p>
    <w:p>
      <w:pPr>
        <w:spacing w:after="0" w:line="8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w:t>
      </w:r>
      <w:r>
        <w:rPr>
          <w:rFonts w:ascii="Arial" w:cs="Arial" w:eastAsia="Arial" w:hAnsi="Arial"/>
          <w:sz w:val="17"/>
          <w:szCs w:val="17"/>
          <w:color w:val="auto"/>
        </w:rPr>
        <w:t xml:space="preserve">s, which amends FASB ASC Topic 230, </w:t>
      </w:r>
      <w:r>
        <w:rPr>
          <w:rFonts w:ascii="Arial" w:cs="Arial" w:eastAsia="Arial" w:hAnsi="Arial"/>
          <w:sz w:val="17"/>
          <w:szCs w:val="17"/>
          <w:i w:val="1"/>
          <w:iCs w:val="1"/>
          <w:color w:val="auto"/>
        </w:rPr>
        <w:t xml:space="preserve">Statement of Cash Flows. </w:t>
      </w:r>
      <w:r>
        <w:rPr>
          <w:rFonts w:ascii="Arial" w:cs="Arial" w:eastAsia="Arial" w:hAnsi="Arial"/>
          <w:sz w:val="17"/>
          <w:szCs w:val="17"/>
          <w:color w:val="auto"/>
        </w:rPr>
        <w:t>This ASU seeks to reduce the diversity currently in practice by providing guidance on the presentation of eight specific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issues in the statement of cash flows. This ASU is effective for fiscal years beginning after December 15, 2017, and interim periods within those fiscal years. We are currently evaluating the impact of this guidance on our consolidated statements of cash flows.</w:t>
      </w:r>
    </w:p>
    <w:p>
      <w:pPr>
        <w:spacing w:after="0" w:line="6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which amends FASB ASC Topic 230,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This ASU requires that the statement of cash flows explain the change during the period total cash, cash equivalents, and amounts generally described as restricted cash or restricted cash equivalents.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6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Cost</w:t>
      </w:r>
      <w:r>
        <w:rPr>
          <w:rFonts w:ascii="Arial" w:cs="Arial" w:eastAsia="Arial" w:hAnsi="Arial"/>
          <w:sz w:val="16"/>
          <w:szCs w:val="16"/>
          <w:color w:val="auto"/>
        </w:rPr>
        <w:t>, which amends FASB ASC Topic 715,</w:t>
      </w:r>
      <w:r>
        <w:rPr>
          <w:rFonts w:ascii="Arial" w:cs="Arial" w:eastAsia="Arial" w:hAnsi="Arial"/>
          <w:sz w:val="16"/>
          <w:szCs w:val="16"/>
          <w:i w:val="1"/>
          <w:iCs w:val="1"/>
          <w:color w:val="auto"/>
        </w:rPr>
        <w:t xml:space="preserve"> Compensation - Retirement Benefits</w:t>
      </w:r>
      <w:r>
        <w:rPr>
          <w:rFonts w:ascii="Arial" w:cs="Arial" w:eastAsia="Arial" w:hAnsi="Arial"/>
          <w:sz w:val="16"/>
          <w:szCs w:val="16"/>
          <w:color w:val="auto"/>
        </w:rPr>
        <w:t>. This ASU requires entities to present the service cost component of net</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 benefit cost in the same line item or items in the financial statements as other compensation costs arising from services rendered by the pertinent employees during the period.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5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xml:space="preserve">, which amends FASB ASC Topic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This ASU provides updated guidance about which changes to the terms and conditions of a share-based payment award require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apply modification accounting in Topic 718.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63"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which amends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ASU includes amendments to existing guidance to better align an entity’s risk management activities and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Early adoption is permitted. We are currently evaluating the impact of this guidance on our consolidated financial statements.</w:t>
      </w:r>
    </w:p>
    <w:p>
      <w:pPr>
        <w:spacing w:after="0" w:line="64"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which amends FASB ASC Topic 220,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Early adoption is permitted. We are currently evaluating the impact of this guidance on our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37" w:right="25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During the years ended December 31, 2017, 2016 and 2015, Mr. Icahn and his affiliates (excluding us) invested $600 million, $498 million and $240 million, respectively, in the Investment Funds, net of redemptions. As of December 31, 2017 and 2016, the total fair market value of investments in the Investment Funds made by Mr. Icahn and his affiliates (excluding us) was approximately $4.4 billion and $3.7 billion, respectively, representing approximately 59% and 69% of the Investment Funds' assets under management as of each respective date.</w:t>
      </w:r>
    </w:p>
    <w:p>
      <w:pPr>
        <w:spacing w:after="0" w:line="6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2017, 2016 and 2015, $13 million, $34 million and $235 million, respectively, was allocated to the Investment Funds based on this expense-sharing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discussed in Note 4, "Investments and Related Matters," the Investment Funds have an investment in the common stock of Hertz Global Holdings, Inc. ("Hertz") measured at fair value that would have otherwise been subject to the equity method of accounting beginning in the fourth quarter of 2016. Pep Boys provides services to Hertz in the ordinary course of business. For the years ended December 31, 2017 and 2016, revenue from Hertz was $17 million and $3 million, respectively. Additionally, Federal-Mogul had payments to Hertz in the ordinary course of business of $2 million and $2 million for the years ended December 31, 2017 and 2016,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IRL Holding, LLC</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During the year ended December 31, 2015, ARL distributed an aggregate of $25 million to IRL Holding, LLC ("IRL"), an affiliate of Mr. Icahn, and also made a non-resident withholding of $2 million on IRL's behalf.</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Railcar Leasing, LLC</w:t>
      </w:r>
    </w:p>
    <w:p>
      <w:pPr>
        <w:spacing w:after="0" w:line="117"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On February 29, 2016, Icahn Enterprises entered into a contribution agreement with an affiliate of Mr. Icahn to acquire the remaining 25% economic interest in ARL not already owned by us. Pursuant to this contribution agreement, we contributed 685,367 newly issued depositary units of Icahn Enterprises to such affiliate in exchange for the remaining 25% economic interest in ARL. As a result of the transaction, we owned a 100% economic interest in</w:t>
      </w:r>
    </w:p>
    <w:p>
      <w:pPr>
        <w:ind w:right="260"/>
        <w:spacing w:after="0" w:line="290" w:lineRule="auto"/>
        <w:rPr>
          <w:sz w:val="20"/>
          <w:szCs w:val="20"/>
          <w:color w:val="auto"/>
        </w:rPr>
      </w:pPr>
      <w:r>
        <w:rPr>
          <w:rFonts w:ascii="Arial" w:cs="Arial" w:eastAsia="Arial" w:hAnsi="Arial"/>
          <w:sz w:val="17"/>
          <w:szCs w:val="17"/>
          <w:color w:val="auto"/>
        </w:rPr>
        <w:t>ARL. This transaction was authorized by the independent committee of the board of directors of the general partner of Icahn Enterprises. The independent committee was advised by independent counsel and retained an independent financial advisor which rendered a fairness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Inc.</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Railcar segment has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Railcar repair services and support for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Railcar purchases from ACF (prior to June 1, 2017)</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337" w:right="2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Purchases from ACF were $6 million, $21 million and $86 million for the years ended December 31, 2017, 2016 and 2015, respectively. For the years ended December 31, 2017, 2016 and 2015, revenues from ACF were $1 million, $1 million and $10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Federal-Mogul, CVR Energy, PSC Metals, ARI, ARL (prior to June 1, 2017), Tropicana, Viskase and WPH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years ended December 31, 2017, 2016 and 2015, we and certain of our subsidiaries paid certain of the Insight Portfolio Group's operating expenses of $2 million, $2 million and $2 million, respectively.</w:t>
      </w:r>
    </w:p>
    <w:p>
      <w:pPr>
        <w:spacing w:after="0" w:line="17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r>
      <w:tr>
        <w:trPr>
          <w:trHeight w:val="33"/>
        </w:trPr>
        <w:tc>
          <w:tcPr>
            <w:tcW w:w="3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34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340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3400" w:type="dxa"/>
            <w:vAlign w:val="bottom"/>
          </w:tcPr>
          <w:p>
            <w:pPr>
              <w:spacing w:after="0"/>
              <w:rPr>
                <w:sz w:val="20"/>
                <w:szCs w:val="20"/>
                <w:color w:val="auto"/>
              </w:rPr>
            </w:pPr>
          </w:p>
        </w:tc>
        <w:tc>
          <w:tcPr>
            <w:tcW w:w="4700" w:type="dxa"/>
            <w:vAlign w:val="bottom"/>
          </w:tcPr>
          <w:p>
            <w:pPr>
              <w:jc w:val="right"/>
              <w:ind w:right="3737"/>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3"/>
          </w:tcPr>
          <w:p>
            <w:pPr>
              <w:jc w:val="right"/>
              <w:ind w:right="119"/>
              <w:spacing w:after="0"/>
              <w:rPr>
                <w:sz w:val="20"/>
                <w:szCs w:val="20"/>
                <w:color w:val="auto"/>
              </w:rPr>
            </w:pPr>
            <w:r>
              <w:rPr>
                <w:rFonts w:ascii="Arial" w:cs="Arial" w:eastAsia="Arial" w:hAnsi="Arial"/>
                <w:sz w:val="14"/>
                <w:szCs w:val="14"/>
                <w:color w:val="auto"/>
              </w:rPr>
              <w:t>(in millions)</w:t>
            </w:r>
          </w:p>
        </w:tc>
        <w:tc>
          <w:tcPr>
            <w:tcW w:w="1060" w:type="dxa"/>
            <w:vAlign w:val="bottom"/>
            <w:tcBorders>
              <w:top w:val="single" w:sz="8" w:color="auto"/>
            </w:tcBorders>
          </w:tcPr>
          <w:p>
            <w:pPr>
              <w:spacing w:after="0"/>
              <w:rPr>
                <w:sz w:val="20"/>
                <w:szCs w:val="20"/>
                <w:color w:val="auto"/>
              </w:rPr>
            </w:pPr>
          </w:p>
        </w:tc>
      </w:tr>
      <w:tr>
        <w:trPr>
          <w:trHeight w:val="249"/>
        </w:trPr>
        <w:tc>
          <w:tcPr>
            <w:tcW w:w="340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34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4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3"/>
        </w:trPr>
        <w:tc>
          <w:tcPr>
            <w:tcW w:w="3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50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r>
      <w:tr>
        <w:trPr>
          <w:trHeight w:val="237"/>
        </w:trPr>
        <w:tc>
          <w:tcPr>
            <w:tcW w:w="340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2,677</w:t>
            </w:r>
          </w:p>
        </w:tc>
      </w:tr>
      <w:tr>
        <w:trPr>
          <w:trHeight w:val="33"/>
        </w:trPr>
        <w:tc>
          <w:tcPr>
            <w:tcW w:w="3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r>
      <w:tr>
        <w:trPr>
          <w:trHeight w:val="237"/>
        </w:trPr>
        <w:tc>
          <w:tcPr>
            <w:tcW w:w="34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2,385</w:t>
            </w:r>
          </w:p>
        </w:tc>
      </w:tr>
      <w:tr>
        <w:trPr>
          <w:trHeight w:val="33"/>
        </w:trPr>
        <w:tc>
          <w:tcPr>
            <w:tcW w:w="3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w:t>
            </w:r>
          </w:p>
        </w:tc>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r>
      <w:tr>
        <w:trPr>
          <w:trHeight w:val="237"/>
        </w:trPr>
        <w:tc>
          <w:tcPr>
            <w:tcW w:w="3400" w:type="dxa"/>
            <w:vAlign w:val="bottom"/>
          </w:tcPr>
          <w:p>
            <w:pPr>
              <w:ind w:left="280"/>
              <w:spacing w:after="0"/>
              <w:rPr>
                <w:sz w:val="20"/>
                <w:szCs w:val="20"/>
                <w:color w:val="auto"/>
              </w:rPr>
            </w:pPr>
            <w:r>
              <w:rPr>
                <w:rFonts w:ascii="Arial" w:cs="Arial" w:eastAsia="Arial" w:hAnsi="Arial"/>
                <w:sz w:val="16"/>
                <w:szCs w:val="16"/>
                <w:color w:val="auto"/>
              </w:rPr>
              <w:t>Other</w:t>
            </w: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809</w:t>
            </w:r>
          </w:p>
        </w:tc>
      </w:tr>
      <w:tr>
        <w:trPr>
          <w:trHeight w:val="33"/>
        </w:trPr>
        <w:tc>
          <w:tcPr>
            <w:tcW w:w="34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9,023</w:t>
            </w:r>
          </w:p>
        </w:tc>
      </w:tr>
      <w:tr>
        <w:trPr>
          <w:trHeight w:val="217"/>
        </w:trPr>
        <w:tc>
          <w:tcPr>
            <w:tcW w:w="3400" w:type="dxa"/>
            <w:vAlign w:val="bottom"/>
          </w:tcPr>
          <w:p>
            <w:pPr>
              <w:ind w:left="160"/>
              <w:spacing w:after="0"/>
              <w:rPr>
                <w:sz w:val="20"/>
                <w:szCs w:val="20"/>
                <w:color w:val="auto"/>
              </w:rPr>
            </w:pPr>
            <w:r>
              <w:rPr>
                <w:rFonts w:ascii="Arial" w:cs="Arial" w:eastAsia="Arial" w:hAnsi="Arial"/>
                <w:sz w:val="16"/>
                <w:szCs w:val="16"/>
                <w:color w:val="auto"/>
              </w:rPr>
              <w:t>Corporate debt securities</w:t>
            </w:r>
          </w:p>
        </w:tc>
        <w:tc>
          <w:tcPr>
            <w:tcW w:w="4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r>
      <w:tr>
        <w:trPr>
          <w:trHeight w:val="33"/>
        </w:trPr>
        <w:tc>
          <w:tcPr>
            <w:tcW w:w="34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3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9,213</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400" w:type="dxa"/>
            <w:vAlign w:val="bottom"/>
          </w:tcPr>
          <w:p>
            <w:pPr>
              <w:spacing w:after="0"/>
              <w:rPr>
                <w:sz w:val="18"/>
                <w:szCs w:val="18"/>
                <w:color w:val="auto"/>
              </w:rPr>
            </w:pPr>
          </w:p>
        </w:tc>
        <w:tc>
          <w:tcPr>
            <w:tcW w:w="5060" w:type="dxa"/>
            <w:vAlign w:val="bottom"/>
            <w:gridSpan w:val="2"/>
          </w:tcPr>
          <w:p>
            <w:pPr>
              <w:jc w:val="right"/>
              <w:ind w:right="3979"/>
              <w:spacing w:after="0"/>
              <w:rPr>
                <w:sz w:val="20"/>
                <w:szCs w:val="20"/>
                <w:color w:val="auto"/>
              </w:rPr>
            </w:pPr>
            <w:r>
              <w:rPr>
                <w:rFonts w:ascii="Arial" w:cs="Arial" w:eastAsia="Arial" w:hAnsi="Arial"/>
                <w:sz w:val="16"/>
                <w:szCs w:val="16"/>
                <w:b w:val="1"/>
                <w:bCs w:val="1"/>
                <w:color w:val="auto"/>
              </w:rPr>
              <w:t>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Securities sold, not yet purchased, at fair value:</w:t>
            </w:r>
          </w:p>
        </w:tc>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4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50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968</w:t>
            </w:r>
          </w:p>
        </w:tc>
      </w:tr>
      <w:tr>
        <w:trPr>
          <w:trHeight w:val="33"/>
        </w:trPr>
        <w:tc>
          <w:tcPr>
            <w:tcW w:w="3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3400" w:type="dxa"/>
            <w:vAlign w:val="bottom"/>
          </w:tcPr>
          <w:p>
            <w:pPr>
              <w:ind w:left="280"/>
              <w:spacing w:after="0"/>
              <w:rPr>
                <w:sz w:val="20"/>
                <w:szCs w:val="20"/>
                <w:color w:val="auto"/>
              </w:rPr>
            </w:pPr>
            <w:r>
              <w:rPr>
                <w:rFonts w:ascii="Arial" w:cs="Arial" w:eastAsia="Arial" w:hAnsi="Arial"/>
                <w:sz w:val="16"/>
                <w:szCs w:val="16"/>
                <w:color w:val="auto"/>
              </w:rPr>
              <w:t>Industrial</w:t>
            </w: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34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w:t>
            </w:r>
          </w:p>
        </w:tc>
      </w:tr>
      <w:tr>
        <w:trPr>
          <w:trHeight w:val="217"/>
        </w:trPr>
        <w:tc>
          <w:tcPr>
            <w:tcW w:w="3400" w:type="dxa"/>
            <w:vAlign w:val="bottom"/>
          </w:tcPr>
          <w:p>
            <w:pPr>
              <w:ind w:left="160"/>
              <w:spacing w:after="0"/>
              <w:rPr>
                <w:sz w:val="20"/>
                <w:szCs w:val="20"/>
                <w:color w:val="auto"/>
              </w:rPr>
            </w:pPr>
            <w:r>
              <w:rPr>
                <w:rFonts w:ascii="Arial" w:cs="Arial" w:eastAsia="Arial" w:hAnsi="Arial"/>
                <w:sz w:val="16"/>
                <w:szCs w:val="16"/>
                <w:color w:val="auto"/>
              </w:rPr>
              <w:t>Corporate debt securities</w:t>
            </w:r>
          </w:p>
        </w:tc>
        <w:tc>
          <w:tcPr>
            <w:tcW w:w="4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34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34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337"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portion of trading gains (losses) that relates to trading securities still held by our Investment segment was $1,413 million, $340 million and $(2,222) million for the years ended December 31, 2017, 2016 and 2015, respectively.</w:t>
      </w:r>
    </w:p>
    <w:p>
      <w:pPr>
        <w:spacing w:after="0" w:line="6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As of December 31, 2017, the Investment Funds owned approximately 28% of the outstanding common stock of Hertz. Beginning in the fourth quarter of 2016, this investment would have become subject to the equity method of accounting however, our Investment segment elected to continue to apply the fair value option to this investment. Our Investment segment recorded net gains (losses) of $13 million and $(389) million for the years ended December 31, 2017 and 2016, respectively, with respect to its investment in Hertz. As of December 31, 2017 and 2016, the aggregate fair value of our Investment segment's investment in Hertz was $517 million and $505 million, respectively.</w:t>
      </w:r>
    </w:p>
    <w:p>
      <w:pPr>
        <w:spacing w:after="0" w:line="80"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The Investment Funds also owned approximately 21% of the outstanding common stock of Herbalife Ltd. ("Herbalife") as of December 31, 2017. Beginning in the third quarter of 2016, this investment would have become subject to the equity method of accounting, after considering additional ownership in Herbalife by an affiliate of Mr. Icahn as well as the collective representation on the board of directors of Herbalife, however, our Investment segment elected to continue to apply the fair value option to this investment. Our Investment segment recorded net gains (losses) of $357 million and $(113) million for the years ended December 31, 2017 and 2016, respectively, with respect to its investment in Herbalife. As of December 31, 2017 and 2016, the aggregate fair value of our Investment segment's investment in Herbalife was approximately $1.2 billion and $867 million, respectively.</w:t>
      </w:r>
    </w:p>
    <w:p>
      <w:pPr>
        <w:spacing w:after="0" w:line="70" w:lineRule="exact"/>
        <w:rPr>
          <w:sz w:val="20"/>
          <w:szCs w:val="20"/>
          <w:color w:val="auto"/>
        </w:rPr>
      </w:pPr>
    </w:p>
    <w:p>
      <w:pPr>
        <w:ind w:right="300" w:firstLine="405"/>
        <w:spacing w:after="0" w:line="375" w:lineRule="auto"/>
        <w:rPr>
          <w:sz w:val="20"/>
          <w:szCs w:val="20"/>
          <w:color w:val="auto"/>
        </w:rPr>
      </w:pPr>
      <w:r>
        <w:rPr>
          <w:rFonts w:ascii="Arial" w:cs="Arial" w:eastAsia="Arial" w:hAnsi="Arial"/>
          <w:sz w:val="18"/>
          <w:szCs w:val="18"/>
          <w:color w:val="auto"/>
        </w:rPr>
        <w:t xml:space="preserve">Herbalife and Hertz each file annual, quarterly and current reports and proxy and information statements with the SEC, which are publicly available. </w:t>
      </w:r>
      <w:r>
        <w:rPr>
          <w:rFonts w:ascii="Arial" w:cs="Arial" w:eastAsia="Arial" w:hAnsi="Arial"/>
          <w:sz w:val="18"/>
          <w:szCs w:val="18"/>
          <w:b w:val="1"/>
          <w:bCs w:val="1"/>
          <w:i w:val="1"/>
          <w:iCs w:val="1"/>
          <w:color w:val="auto"/>
        </w:rPr>
        <w:t>Other Segments</w:t>
      </w:r>
    </w:p>
    <w:p>
      <w:pPr>
        <w:spacing w:after="0" w:line="1"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With the exception of certain equity method investments at our operating subsidiaries disclosed in the table below, our investments are measured at fair value in our consolidated balance sheets. The carrying value of investments held by our other segments and our Holding Company consist of the following:</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14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7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4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40"/>
        <w:spacing w:after="0" w:line="264"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37"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comparable market transactions and other valuation methodologies, adjusted as appropriate for liquidity, credit, market and/or other risk factors.</w:t>
      </w:r>
    </w:p>
    <w:p>
      <w:pPr>
        <w:spacing w:after="0" w:line="1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valuation of our assets and liabilities by the above fair value hierarchy levels measured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realized gains</w:t>
            </w:r>
          </w:p>
        </w:tc>
        <w:tc>
          <w:tcPr>
            <w:tcW w:w="10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gains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0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 out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0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Transfers out of Level 3 during the year ended December 31, 2016 primarily relates to our previously held corporate debt investment in TER of $126 million. The investment was transferred out of Level 3 following TER's emergence from bankruptcy on February 26, 2016 and subsequently becoming a wholly owned consolidated subsidiary of ours upon the extinguishment of their debt and its conversion to equity in TER. Purchases during the year ended December 31, 2016 relates to an increase in a certain investment classified as trading securities which is considered a Level 3 investment due to unobservable market data and is measured at fair value on a recurring basis. We determined the fair value of this investment based on recent market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337"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960"/>
        <w:spacing w:after="0" w:line="422" w:lineRule="auto"/>
        <w:rPr>
          <w:sz w:val="20"/>
          <w:szCs w:val="20"/>
          <w:color w:val="auto"/>
        </w:rPr>
      </w:pPr>
      <w:r>
        <w:rPr>
          <w:rFonts w:ascii="Arial" w:cs="Arial" w:eastAsia="Arial" w:hAnsi="Arial"/>
          <w:sz w:val="16"/>
          <w:szCs w:val="16"/>
          <w:color w:val="auto"/>
        </w:rPr>
        <w:t xml:space="preserve">transactions. As of December 31, 2017 and 2016, the fair value of this investment was $274 million and $207 million, respectively. </w:t>
      </w:r>
      <w:r>
        <w:rPr>
          <w:rFonts w:ascii="Arial" w:cs="Arial" w:eastAsia="Arial" w:hAnsi="Arial"/>
          <w:sz w:val="16"/>
          <w:szCs w:val="16"/>
          <w:b w:val="1"/>
          <w:bCs w:val="1"/>
          <w:i w:val="1"/>
          <w:iCs w:val="1"/>
          <w:color w:val="auto"/>
        </w:rPr>
        <w:t>Assets Measured at Fair Value on a Non-Recurring Basis for Which We Use Level 3 Inputs to Determine Fair Value</w:t>
      </w:r>
    </w:p>
    <w:p>
      <w:pPr>
        <w:spacing w:after="0" w:line="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Certain assets measured at fair value using Level 3 inputs on a nonrecurring basis have been impaired. During the years ended December 31, 2017, 2016 and 2015, we recorded impairment charges of $31 million, $99 million and $201 million, respectively, relating to property, plant and equipment. We determined the fair value of property, plant and equipment by applying probability weighted, expected present value techniques to the estimated future cash flows using assumptions a market participant would utilize. In addition, during the year ended December 31, 2017, we recorded a loss of $8 million from marking inventory down to net realizable value at our Automotive segment. Additionally, in connection with our reclassification of certain assets from held and used to assets held for sale at our Railcar, Automotive and Metals segments, we recorded aggregate impairment charges of $72 million, $17 million and $14 million for the years ended December 31, 2017, 2016 and 2015, respectively, which represents the difference between the carrying value and fair value less cost to sell of such assets.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8, "Goodwill and Intangible Assets, Net," for discussion of our goodwill and intangible asset impairments.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13, "Segment and Geographic Reporting," for total impairment recorded by each of our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 Measured at Fair Value on a Recurring Basis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our Automotive segment's defined benefit plan assets measured at fair value on a recurring basis as of December 31, 2017 and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2016</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20" w:type="dxa"/>
            <w:vAlign w:val="bottom"/>
          </w:tcPr>
          <w:p>
            <w:pPr>
              <w:ind w:left="40"/>
              <w:spacing w:after="0"/>
              <w:rPr>
                <w:sz w:val="20"/>
                <w:szCs w:val="20"/>
                <w:color w:val="auto"/>
              </w:rPr>
            </w:pPr>
            <w:r>
              <w:rPr>
                <w:rFonts w:ascii="Arial" w:cs="Arial" w:eastAsia="Arial" w:hAnsi="Arial"/>
                <w:sz w:val="18"/>
                <w:szCs w:val="18"/>
                <w:color w:val="auto"/>
              </w:rPr>
              <w:t>U.S. Plans: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320" w:type="dxa"/>
            <w:vAlign w:val="bottom"/>
          </w:tcPr>
          <w:p>
            <w:pPr>
              <w:ind w:left="200"/>
              <w:spacing w:after="0"/>
              <w:rPr>
                <w:sz w:val="20"/>
                <w:szCs w:val="20"/>
                <w:color w:val="auto"/>
              </w:rPr>
            </w:pPr>
            <w:r>
              <w:rPr>
                <w:rFonts w:ascii="Arial" w:cs="Arial" w:eastAsia="Arial" w:hAnsi="Arial"/>
                <w:sz w:val="18"/>
                <w:szCs w:val="18"/>
                <w:color w:val="auto"/>
                <w:w w:val="99"/>
              </w:rPr>
              <w:t>Investments with registered investment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Arial" w:cs="Arial" w:eastAsia="Arial" w:hAnsi="Arial"/>
                <w:sz w:val="18"/>
                <w:szCs w:val="18"/>
                <w:color w:val="auto"/>
              </w:rPr>
              <w:t>companies: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3320" w:type="dxa"/>
            <w:vAlign w:val="bottom"/>
          </w:tcPr>
          <w:p>
            <w:pPr>
              <w:ind w:left="360"/>
              <w:spacing w:after="0"/>
              <w:rPr>
                <w:sz w:val="20"/>
                <w:szCs w:val="20"/>
                <w:color w:val="auto"/>
              </w:rPr>
            </w:pPr>
            <w:r>
              <w:rPr>
                <w:rFonts w:ascii="Arial" w:cs="Arial" w:eastAsia="Arial" w:hAnsi="Arial"/>
                <w:sz w:val="18"/>
                <w:szCs w:val="18"/>
                <w:color w:val="auto"/>
              </w:rPr>
              <w:t>Fixed income securities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and other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6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Non-U.S. Plans: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Insurance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320" w:type="dxa"/>
            <w:vAlign w:val="bottom"/>
          </w:tcPr>
          <w:p>
            <w:pPr>
              <w:ind w:left="200"/>
              <w:spacing w:after="0"/>
              <w:rPr>
                <w:sz w:val="20"/>
                <w:szCs w:val="20"/>
                <w:color w:val="auto"/>
              </w:rPr>
            </w:pPr>
            <w:r>
              <w:rPr>
                <w:rFonts w:ascii="Arial" w:cs="Arial" w:eastAsia="Arial" w:hAnsi="Arial"/>
                <w:sz w:val="18"/>
                <w:szCs w:val="18"/>
                <w:color w:val="auto"/>
                <w:w w:val="99"/>
              </w:rPr>
              <w:t>Investments with registered investment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Arial" w:cs="Arial" w:eastAsia="Arial" w:hAnsi="Arial"/>
                <w:sz w:val="18"/>
                <w:szCs w:val="18"/>
                <w:color w:val="auto"/>
              </w:rPr>
              <w:t>companies: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3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-1706245</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-1706245</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-1706245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-1706245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-1706245</wp:posOffset>
            </wp:positionV>
            <wp:extent cx="77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The changes in U.S. and Non-U.S. plan assets measured at fair value for which our Automotive segment has used Level 3 input to determine fair value are as follows:</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Plans: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Hedge funds: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realized and unrealized gains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and settlements,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Sales, net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Non-U.S. Plans: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Insurance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realized and unrealized gains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and settlements,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exchange rate movements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400" w:type="dxa"/>
            <w:vAlign w:val="bottom"/>
          </w:tcPr>
          <w:p>
            <w:pPr>
              <w:spacing w:after="0"/>
              <w:rPr>
                <w:sz w:val="20"/>
                <w:szCs w:val="20"/>
                <w:color w:val="auto"/>
              </w:rPr>
            </w:pPr>
          </w:p>
        </w:tc>
        <w:tc>
          <w:tcPr>
            <w:tcW w:w="1920" w:type="dxa"/>
            <w:vAlign w:val="bottom"/>
            <w:gridSpan w:val="3"/>
          </w:tcPr>
          <w:p>
            <w:pPr>
              <w:jc w:val="center"/>
              <w:ind w:left="752"/>
              <w:spacing w:after="0"/>
              <w:rPr>
                <w:sz w:val="20"/>
                <w:szCs w:val="20"/>
                <w:color w:val="auto"/>
              </w:rPr>
            </w:pPr>
            <w:r>
              <w:rPr>
                <w:rFonts w:ascii="Arial" w:cs="Arial" w:eastAsia="Arial" w:hAnsi="Arial"/>
                <w:sz w:val="14"/>
                <w:szCs w:val="14"/>
                <w:color w:val="auto"/>
              </w:rPr>
              <w:t>(in millions)</w:t>
            </w:r>
          </w:p>
        </w:tc>
        <w:tc>
          <w:tcPr>
            <w:tcW w:w="1200" w:type="dxa"/>
            <w:vAlign w:val="bottom"/>
          </w:tcPr>
          <w:p>
            <w:pPr>
              <w:spacing w:after="0"/>
              <w:rPr>
                <w:sz w:val="20"/>
                <w:szCs w:val="20"/>
                <w:color w:val="auto"/>
              </w:rPr>
            </w:pPr>
          </w:p>
        </w:tc>
      </w:tr>
      <w:tr>
        <w:trPr>
          <w:trHeight w:val="795"/>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0"/>
        </w:trPr>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467"/>
        </w:trPr>
        <w:tc>
          <w:tcPr>
            <w:tcW w:w="400" w:type="dxa"/>
            <w:vAlign w:val="bottom"/>
          </w:tcPr>
          <w:p>
            <w:pPr>
              <w:spacing w:after="0"/>
              <w:rPr>
                <w:sz w:val="24"/>
                <w:szCs w:val="24"/>
                <w:color w:val="auto"/>
              </w:rPr>
            </w:pPr>
          </w:p>
        </w:tc>
        <w:tc>
          <w:tcPr>
            <w:tcW w:w="31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400" w:type="dxa"/>
            <w:vAlign w:val="bottom"/>
          </w:tcPr>
          <w:p>
            <w:pPr>
              <w:spacing w:after="0"/>
              <w:rPr>
                <w:sz w:val="20"/>
                <w:szCs w:val="20"/>
                <w:color w:val="auto"/>
              </w:rPr>
            </w:pPr>
          </w:p>
        </w:tc>
        <w:tc>
          <w:tcPr>
            <w:tcW w:w="1920" w:type="dxa"/>
            <w:vAlign w:val="bottom"/>
            <w:gridSpan w:val="3"/>
          </w:tcPr>
          <w:p>
            <w:pPr>
              <w:jc w:val="center"/>
              <w:ind w:left="752"/>
              <w:spacing w:after="0"/>
              <w:rPr>
                <w:sz w:val="20"/>
                <w:szCs w:val="20"/>
                <w:color w:val="auto"/>
              </w:rPr>
            </w:pPr>
            <w:r>
              <w:rPr>
                <w:rFonts w:ascii="Arial" w:cs="Arial" w:eastAsia="Arial" w:hAnsi="Arial"/>
                <w:sz w:val="14"/>
                <w:szCs w:val="14"/>
                <w:color w:val="auto"/>
              </w:rPr>
              <w:t>(in millions)</w:t>
            </w:r>
          </w:p>
        </w:tc>
        <w:tc>
          <w:tcPr>
            <w:tcW w:w="1200" w:type="dxa"/>
            <w:vAlign w:val="bottom"/>
          </w:tcPr>
          <w:p>
            <w:pPr>
              <w:spacing w:after="0"/>
              <w:rPr>
                <w:sz w:val="20"/>
                <w:szCs w:val="20"/>
                <w:color w:val="auto"/>
              </w:rPr>
            </w:pPr>
          </w:p>
        </w:tc>
      </w:tr>
      <w:tr>
        <w:trPr>
          <w:trHeight w:val="795"/>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-2974975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-2632075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-2289175</wp:posOffset>
            </wp:positionV>
            <wp:extent cx="722947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-1062990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-719455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-376555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160" w:space="720"/>
            <w:col w:w="3520"/>
          </w:cols>
          <w:pgMar w:left="240" w:top="337" w:right="25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The following table presents our Food Packaging and Railcar segment's defined benefit plan assets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5"/>
        </w:trPr>
        <w:tc>
          <w:tcPr>
            <w:tcW w:w="2420" w:type="dxa"/>
            <w:vAlign w:val="bottom"/>
          </w:tcPr>
          <w:p>
            <w:pPr>
              <w:ind w:left="40"/>
              <w:spacing w:after="0"/>
              <w:rPr>
                <w:sz w:val="20"/>
                <w:szCs w:val="20"/>
                <w:color w:val="auto"/>
              </w:rPr>
            </w:pPr>
            <w:r>
              <w:rPr>
                <w:rFonts w:ascii="Arial" w:cs="Arial" w:eastAsia="Arial" w:hAnsi="Arial"/>
                <w:sz w:val="18"/>
                <w:szCs w:val="18"/>
                <w:color w:val="auto"/>
              </w:rPr>
              <w:t>U.S. and Non-U.S. Plans: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Asset category:</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income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70"/>
        </w:trPr>
        <w:tc>
          <w:tcPr>
            <w:tcW w:w="24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44"/>
        </w:trPr>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2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-16510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-16510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-16510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-16510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-16510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-16510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-16510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-196850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-196850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-196850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-196850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-196850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-196850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-196850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180" w:hanging="172"/>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Excludes hedge fund plan assets measured at fair value using net asset value per share in the amount of $9 million and $9 million as of December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-98425</wp:posOffset>
            </wp:positionV>
            <wp:extent cx="5702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337" w:right="25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jc w:val="both"/>
        <w:ind w:right="28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spacing w:after="0" w:line="46"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December 31, 2017 and 2016 was $17 million and $39 million,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37"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Federal-Mogul is exposed to market risk, such as fluctuations in foreign currency exchange rates, commodity prices and changes in interest rates, which may result in cash flow risks. To manage the volatility relating to these exposures, Federal-Mogul aggregates the exposures on a consolidated basis to take advantage of natural offsets. For exposures not offset within its operations, Federal-Mogul enters into various derivative transactions pursuant to its risk management policies, which prohibit holding or issuing derivative financial instruments for speculative purposes, and designation of derivative instruments is performed on a transaction basis to support hedge accounting. The changes in fair value of these hedging instruments are offset in part or in whole by corresponding changes in the fair value or cash flows of the underlying exposures being hedged. Federal-Mogul assesses the initial and ongoing effectiveness of its hedging relationships in accordance with its documented policy.</w:t>
      </w:r>
    </w:p>
    <w:p>
      <w:pPr>
        <w:spacing w:after="0" w:line="70" w:lineRule="exact"/>
        <w:rPr>
          <w:sz w:val="20"/>
          <w:szCs w:val="20"/>
          <w:color w:val="auto"/>
        </w:rPr>
      </w:pPr>
    </w:p>
    <w:p>
      <w:pPr>
        <w:ind w:right="2180" w:firstLine="405"/>
        <w:spacing w:after="0" w:line="272" w:lineRule="auto"/>
        <w:rPr>
          <w:sz w:val="20"/>
          <w:szCs w:val="20"/>
          <w:color w:val="auto"/>
        </w:rPr>
      </w:pPr>
      <w:r>
        <w:rPr>
          <w:rFonts w:ascii="Arial" w:cs="Arial" w:eastAsia="Arial" w:hAnsi="Arial"/>
          <w:sz w:val="17"/>
          <w:szCs w:val="17"/>
          <w:color w:val="auto"/>
        </w:rPr>
        <w:t>Financial instruments including cash equivalents, derivative contracts, and accounts receivable, expose Federal-Mogul to counter-party credit risk for non-performance. Federal-Mogul’s counterparties for cash equivalents and derivative contracts are banks and financial institutions that meet its requirement of high credit standing. Federal-Mogul's counterparties for derivative contracts are substantial investment and commercial banks with significant experience using such derivatives. Federal-Mogul manages its credit risk through policies requiring minimum credit standing and limiting credit exposure to any one counterparty and through monitoring counter-party credit risks. Federal-Mogul's concentration of credit risk related to derivative contracts at December 31, 2017 and 2016 was not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consolidated balance sheets with changes in fair value currently recognized in the consolidated statements of operations. Quoted prices for similar assets or liabilities in active markets (Level 2) are considered to determine the fair values for the purpose of marking to market the hedging instruments at each period end. At December 31, 2017 and 2016, CVR Refining had open commodity swap instruments consisting of 14.3 million and 4.0 million barrels of crack spreads, respectively, primarily to fix the margin on a portion of its future gasoline and distillate production. Additionally, as of December 31, 2017, CVR Refining had open forward purchase and sale commitments for 5.8 million barrels of Canadian crude oil priced at fixed differentials that are not considered probable of physical settlement and are accounted for as derivatives.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Certain derivative contracts executed by the Investment Funds with a single counterparty, by our Automotive segment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8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 in accordance with U.S GAAP:</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2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85"/>
              </w:rPr>
              <w:t>Asset Derivatives</w:t>
            </w:r>
            <w:r>
              <w:rPr>
                <w:rFonts w:ascii="Arial" w:cs="Arial" w:eastAsia="Arial" w:hAnsi="Arial"/>
                <w:sz w:val="25"/>
                <w:szCs w:val="25"/>
                <w:b w:val="1"/>
                <w:bCs w:val="1"/>
                <w:color w:val="auto"/>
                <w:w w:val="85"/>
                <w:vertAlign w:val="superscript"/>
              </w:rPr>
              <w:t>(1)</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Liability Derivatives</w:t>
            </w:r>
          </w:p>
        </w:tc>
      </w:tr>
      <w:tr>
        <w:trPr>
          <w:trHeight w:val="237"/>
        </w:trPr>
        <w:tc>
          <w:tcPr>
            <w:tcW w:w="4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4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Credit contracts</w:t>
            </w:r>
          </w:p>
        </w:tc>
        <w:tc>
          <w:tcPr>
            <w:tcW w:w="10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4220" w:type="dxa"/>
            <w:vAlign w:val="bottom"/>
          </w:tcPr>
          <w:p>
            <w:pPr>
              <w:ind w:left="280"/>
              <w:spacing w:after="0"/>
              <w:rPr>
                <w:sz w:val="20"/>
                <w:szCs w:val="20"/>
                <w:color w:val="auto"/>
              </w:rPr>
            </w:pPr>
            <w:r>
              <w:rPr>
                <w:rFonts w:ascii="Arial" w:cs="Arial" w:eastAsia="Arial" w:hAnsi="Arial"/>
                <w:sz w:val="18"/>
                <w:szCs w:val="18"/>
                <w:color w:val="auto"/>
              </w:rPr>
              <w:t>Sub-total</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r>
      <w:tr>
        <w:trPr>
          <w:trHeight w:val="27"/>
        </w:trPr>
        <w:tc>
          <w:tcPr>
            <w:tcW w:w="4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1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422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17145</wp:posOffset>
            </wp:positionV>
            <wp:extent cx="4553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23"/>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December 31, 2017 and 2016 was $542 million and $634 million, respectively, across all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-201295</wp:posOffset>
            </wp:positionV>
            <wp:extent cx="4553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337" w:right="2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consolidated statements of operations for our derivatives not designated as hedging instruments: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60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5"/>
                <w:szCs w:val="25"/>
                <w:b w:val="1"/>
                <w:bCs w:val="1"/>
                <w:color w:val="auto"/>
                <w:w w:val="88"/>
                <w:vertAlign w:val="superscript"/>
              </w:rPr>
              <w:t>(1)</w:t>
            </w:r>
          </w:p>
        </w:tc>
        <w:tc>
          <w:tcPr>
            <w:tcW w:w="1140" w:type="dxa"/>
            <w:vAlign w:val="bottom"/>
            <w:tcBorders>
              <w:bottom w:val="single" w:sz="8" w:color="auto"/>
            </w:tcBorders>
          </w:tcPr>
          <w:p>
            <w:pPr>
              <w:spacing w:after="0"/>
              <w:rPr>
                <w:sz w:val="24"/>
                <w:szCs w:val="24"/>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20" w:type="dxa"/>
            <w:vAlign w:val="bottom"/>
            <w:gridSpan w:val="6"/>
          </w:tcPr>
          <w:p>
            <w:pPr>
              <w:jc w:val="center"/>
              <w:ind w:right="43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(1,815)</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contracts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37"/>
        </w:trPr>
        <w:tc>
          <w:tcPr>
            <w:tcW w:w="604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80" w:right="260" w:hanging="172"/>
        <w:spacing w:after="0" w:line="273" w:lineRule="auto"/>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consolidated statements of operations for our Investment segment and are included in other income, net for all other segments.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volume of our derivative activities based on their notional exposure, categorized by primary underlying risk, is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4"/>
          </w:tcPr>
          <w:p>
            <w:pPr>
              <w:ind w:left="900"/>
              <w:spacing w:after="0"/>
              <w:rPr>
                <w:sz w:val="20"/>
                <w:szCs w:val="20"/>
                <w:color w:val="auto"/>
              </w:rPr>
            </w:pPr>
            <w:r>
              <w:rPr>
                <w:rFonts w:ascii="Arial" w:cs="Arial" w:eastAsia="Arial" w:hAnsi="Arial"/>
                <w:sz w:val="16"/>
                <w:szCs w:val="16"/>
                <w:b w:val="1"/>
                <w:bCs w:val="1"/>
                <w:color w:val="auto"/>
              </w:rPr>
              <w:t>December 31, 2017</w:t>
            </w:r>
          </w:p>
        </w:tc>
        <w:tc>
          <w:tcPr>
            <w:tcW w:w="320" w:type="dxa"/>
            <w:vAlign w:val="bottom"/>
          </w:tcPr>
          <w:p>
            <w:pPr>
              <w:spacing w:after="0"/>
              <w:rPr>
                <w:sz w:val="18"/>
                <w:szCs w:val="18"/>
                <w:color w:val="auto"/>
              </w:rPr>
            </w:pPr>
          </w:p>
        </w:tc>
        <w:tc>
          <w:tcPr>
            <w:tcW w:w="3180" w:type="dxa"/>
            <w:vAlign w:val="bottom"/>
            <w:gridSpan w:val="3"/>
          </w:tcPr>
          <w:p>
            <w:pPr>
              <w:jc w:val="right"/>
              <w:ind w:right="994"/>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294"/>
              <w:spacing w:after="0"/>
              <w:rPr>
                <w:sz w:val="20"/>
                <w:szCs w:val="20"/>
                <w:color w:val="auto"/>
              </w:rPr>
            </w:pPr>
            <w:r>
              <w:rPr>
                <w:rFonts w:ascii="Arial" w:cs="Arial" w:eastAsia="Arial" w:hAnsi="Arial"/>
                <w:sz w:val="16"/>
                <w:szCs w:val="16"/>
                <w:b w:val="1"/>
                <w:bCs w:val="1"/>
                <w:color w:val="auto"/>
              </w:rPr>
              <w:t>Long Notional</w:t>
            </w:r>
          </w:p>
        </w:tc>
        <w:tc>
          <w:tcPr>
            <w:tcW w:w="3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Short Notional</w:t>
            </w:r>
          </w:p>
        </w:tc>
        <w:tc>
          <w:tcPr>
            <w:tcW w:w="320" w:type="dxa"/>
            <w:vAlign w:val="bottom"/>
          </w:tcPr>
          <w:p>
            <w:pPr>
              <w:spacing w:after="0"/>
              <w:rPr>
                <w:sz w:val="18"/>
                <w:szCs w:val="18"/>
                <w:color w:val="auto"/>
              </w:rPr>
            </w:pPr>
          </w:p>
        </w:tc>
        <w:tc>
          <w:tcPr>
            <w:tcW w:w="1400" w:type="dxa"/>
            <w:vAlign w:val="bottom"/>
          </w:tcPr>
          <w:p>
            <w:pPr>
              <w:jc w:val="right"/>
              <w:ind w:right="294"/>
              <w:spacing w:after="0"/>
              <w:rPr>
                <w:sz w:val="20"/>
                <w:szCs w:val="20"/>
                <w:color w:val="auto"/>
              </w:rPr>
            </w:pPr>
            <w:r>
              <w:rPr>
                <w:rFonts w:ascii="Arial" w:cs="Arial" w:eastAsia="Arial" w:hAnsi="Arial"/>
                <w:sz w:val="16"/>
                <w:szCs w:val="16"/>
                <w:b w:val="1"/>
                <w:bCs w:val="1"/>
                <w:color w:val="auto"/>
                <w:w w:val="92"/>
              </w:rPr>
              <w:t>Long Notional</w:t>
            </w:r>
          </w:p>
        </w:tc>
        <w:tc>
          <w:tcPr>
            <w:tcW w:w="320" w:type="dxa"/>
            <w:vAlign w:val="bottom"/>
          </w:tcPr>
          <w:p>
            <w:pPr>
              <w:spacing w:after="0"/>
              <w:rPr>
                <w:sz w:val="18"/>
                <w:szCs w:val="18"/>
                <w:color w:val="auto"/>
              </w:rPr>
            </w:pPr>
          </w:p>
        </w:tc>
        <w:tc>
          <w:tcPr>
            <w:tcW w:w="1460" w:type="dxa"/>
            <w:vAlign w:val="bottom"/>
          </w:tcPr>
          <w:p>
            <w:pPr>
              <w:jc w:val="right"/>
              <w:ind w:right="254"/>
              <w:spacing w:after="0"/>
              <w:rPr>
                <w:sz w:val="20"/>
                <w:szCs w:val="20"/>
                <w:color w:val="auto"/>
              </w:rPr>
            </w:pPr>
            <w:r>
              <w:rPr>
                <w:rFonts w:ascii="Arial" w:cs="Arial" w:eastAsia="Arial" w:hAnsi="Arial"/>
                <w:sz w:val="16"/>
                <w:szCs w:val="16"/>
                <w:b w:val="1"/>
                <w:bCs w:val="1"/>
                <w:color w:val="auto"/>
                <w:w w:val="99"/>
              </w:rPr>
              <w:t>Short Notional</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454"/>
              <w:spacing w:after="0"/>
              <w:rPr>
                <w:sz w:val="20"/>
                <w:szCs w:val="20"/>
                <w:color w:val="auto"/>
              </w:rPr>
            </w:pPr>
            <w:r>
              <w:rPr>
                <w:rFonts w:ascii="Arial" w:cs="Arial" w:eastAsia="Arial" w:hAnsi="Arial"/>
                <w:sz w:val="16"/>
                <w:szCs w:val="16"/>
                <w:b w:val="1"/>
                <w:bCs w:val="1"/>
                <w:color w:val="auto"/>
              </w:rPr>
              <w:t>Exposure</w:t>
            </w:r>
          </w:p>
        </w:tc>
        <w:tc>
          <w:tcPr>
            <w:tcW w:w="3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Exposure</w:t>
            </w:r>
          </w:p>
        </w:tc>
        <w:tc>
          <w:tcPr>
            <w:tcW w:w="320" w:type="dxa"/>
            <w:vAlign w:val="bottom"/>
          </w:tcPr>
          <w:p>
            <w:pPr>
              <w:spacing w:after="0"/>
              <w:rPr>
                <w:sz w:val="18"/>
                <w:szCs w:val="18"/>
                <w:color w:val="auto"/>
              </w:rPr>
            </w:pPr>
          </w:p>
        </w:tc>
        <w:tc>
          <w:tcPr>
            <w:tcW w:w="1400" w:type="dxa"/>
            <w:vAlign w:val="bottom"/>
          </w:tcPr>
          <w:p>
            <w:pPr>
              <w:jc w:val="right"/>
              <w:ind w:right="454"/>
              <w:spacing w:after="0"/>
              <w:rPr>
                <w:sz w:val="20"/>
                <w:szCs w:val="20"/>
                <w:color w:val="auto"/>
              </w:rPr>
            </w:pPr>
            <w:r>
              <w:rPr>
                <w:rFonts w:ascii="Arial" w:cs="Arial" w:eastAsia="Arial" w:hAnsi="Arial"/>
                <w:sz w:val="16"/>
                <w:szCs w:val="16"/>
                <w:b w:val="1"/>
                <w:bCs w:val="1"/>
                <w:color w:val="auto"/>
              </w:rPr>
              <w:t>Exposure</w:t>
            </w:r>
          </w:p>
        </w:tc>
        <w:tc>
          <w:tcPr>
            <w:tcW w:w="320" w:type="dxa"/>
            <w:vAlign w:val="bottom"/>
          </w:tcPr>
          <w:p>
            <w:pPr>
              <w:spacing w:after="0"/>
              <w:rPr>
                <w:sz w:val="18"/>
                <w:szCs w:val="18"/>
                <w:color w:val="auto"/>
              </w:rPr>
            </w:pPr>
          </w:p>
        </w:tc>
        <w:tc>
          <w:tcPr>
            <w:tcW w:w="1460" w:type="dxa"/>
            <w:vAlign w:val="bottom"/>
          </w:tcPr>
          <w:p>
            <w:pPr>
              <w:jc w:val="right"/>
              <w:ind w:right="43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14,094</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220" w:hanging="172"/>
        <w:spacing w:after="0" w:line="312" w:lineRule="auto"/>
        <w:tabs>
          <w:tab w:leader="none" w:pos="180" w:val="left"/>
        </w:tabs>
        <w:numPr>
          <w:ilvl w:val="0"/>
          <w:numId w:val="25"/>
        </w:numPr>
        <w:rPr>
          <w:rFonts w:ascii="Arial" w:cs="Arial" w:eastAsia="Arial" w:hAnsi="Arial"/>
          <w:sz w:val="8"/>
          <w:szCs w:val="8"/>
          <w:color w:val="auto"/>
        </w:rPr>
      </w:pPr>
      <w:r>
        <w:rPr>
          <w:rFonts w:ascii="Arial" w:cs="Arial" w:eastAsia="Arial" w:hAnsi="Arial"/>
          <w:sz w:val="13"/>
          <w:szCs w:val="13"/>
          <w:color w:val="auto"/>
        </w:rPr>
        <w:t>The short notional amount on our credit default swap positions is approximately $2.5 billion and $2.6 billion as of December 31, 2017 and 2016, respectively. However, because credit spreads cannot compress below zero, our downside short notional exposure to loss is approximately $391 million and $472 million as of December 31, 2017 and 2016,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Non-Derivative Instruments Designated as Hedging Instruments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December 31, 2017, Federal-Mogul has foreign currency denominated debt, of which $884 million is designated as a net investment hedge in certain foreign subsidiaries and affiliates of Federal-Mogul. Changes to its carrying value are included in other comprehensive loss as translation adjustments and other. These debt instruments are discussed further in Note 10, “Debt.” The amount recognized in accumulated other comprehensive loss for the year ended December 31, 2017 was a loss of $85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02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2,392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7"/>
              </w:rPr>
              <w:t>3,261</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2,983</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Inventories in the table above is presented net of reserves of $200 million and $136 million as of December 31, 2017 and 2016, respectively.</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337" w:right="259" w:bottom="1440" w:gutter="0" w:footer="0" w:header="0"/>
          <w:type w:val="continuous"/>
        </w:sectPr>
      </w:pPr>
    </w:p>
    <w:bookmarkStart w:id="96" w:name="page97"/>
    <w:bookmarkEnd w:id="96"/>
    <w:p>
      <w:pPr>
        <w:jc w:val="center"/>
        <w:ind w:right="-11"/>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72" w:right="8260" w:hanging="372"/>
        <w:spacing w:after="0" w:line="469" w:lineRule="auto"/>
        <w:tabs>
          <w:tab w:leader="none" w:pos="318"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December 31, 2017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Automotive</w:t>
            </w:r>
          </w:p>
        </w:tc>
        <w:tc>
          <w:tcPr>
            <w:tcW w:w="26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Energy</w:t>
            </w: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Railcar</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Gaming</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Food Packaging</w:t>
            </w:r>
          </w:p>
        </w:tc>
        <w:tc>
          <w:tcPr>
            <w:tcW w:w="1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gridSpan w:val="3"/>
          </w:tcPr>
          <w:p>
            <w:pPr>
              <w:jc w:val="right"/>
              <w:ind w:right="679"/>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carrying amount, January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2,606</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17"/>
        </w:trPr>
        <w:tc>
          <w:tcPr>
            <w:tcW w:w="2620" w:type="dxa"/>
            <w:vAlign w:val="bottom"/>
          </w:tcPr>
          <w:p>
            <w:pPr>
              <w:ind w:left="20"/>
              <w:spacing w:after="0"/>
              <w:rPr>
                <w:sz w:val="20"/>
                <w:szCs w:val="20"/>
                <w:color w:val="auto"/>
              </w:rPr>
            </w:pPr>
            <w:r>
              <w:rPr>
                <w:rFonts w:ascii="Arial" w:cs="Arial" w:eastAsia="Arial" w:hAnsi="Arial"/>
                <w:sz w:val="16"/>
                <w:szCs w:val="16"/>
                <w:color w:val="auto"/>
                <w:w w:val="96"/>
              </w:rPr>
              <w:t>Gross carrying amount, December 31</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2,745</w:t>
            </w:r>
          </w:p>
        </w:tc>
      </w:tr>
      <w:tr>
        <w:trPr>
          <w:trHeight w:val="33"/>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Accumulated impairment, January 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(1,470)</w:t>
            </w:r>
          </w:p>
        </w:tc>
      </w:tr>
      <w:tr>
        <w:trPr>
          <w:trHeight w:val="33"/>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2620" w:type="dxa"/>
            <w:vAlign w:val="bottom"/>
          </w:tcPr>
          <w:p>
            <w:pPr>
              <w:ind w:left="20"/>
              <w:spacing w:after="0"/>
              <w:rPr>
                <w:sz w:val="20"/>
                <w:szCs w:val="20"/>
                <w:color w:val="auto"/>
              </w:rPr>
            </w:pPr>
            <w:r>
              <w:rPr>
                <w:rFonts w:ascii="Arial" w:cs="Arial" w:eastAsia="Arial" w:hAnsi="Arial"/>
                <w:sz w:val="16"/>
                <w:szCs w:val="16"/>
                <w:color w:val="auto"/>
                <w:w w:val="99"/>
              </w:rPr>
              <w:t>Accumulated impairment, December</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2620" w:type="dxa"/>
            <w:vAlign w:val="bottom"/>
          </w:tcPr>
          <w:p>
            <w:pPr>
              <w:ind w:left="10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(1,470)</w:t>
            </w:r>
          </w:p>
        </w:tc>
      </w:tr>
      <w:tr>
        <w:trPr>
          <w:trHeight w:val="33"/>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2620" w:type="dxa"/>
            <w:vAlign w:val="bottom"/>
          </w:tcPr>
          <w:p>
            <w:pPr>
              <w:ind w:left="20"/>
              <w:spacing w:after="0"/>
              <w:rPr>
                <w:sz w:val="20"/>
                <w:szCs w:val="20"/>
                <w:color w:val="auto"/>
              </w:rPr>
            </w:pPr>
            <w:r>
              <w:rPr>
                <w:rFonts w:ascii="Arial" w:cs="Arial" w:eastAsia="Arial" w:hAnsi="Arial"/>
                <w:sz w:val="16"/>
                <w:szCs w:val="16"/>
                <w:color w:val="auto"/>
              </w:rPr>
              <w:t>Net carrying value, December 31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1,275</w:t>
            </w:r>
          </w:p>
        </w:tc>
      </w:tr>
      <w:tr>
        <w:trPr>
          <w:trHeight w:val="20"/>
        </w:trPr>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12"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December 31, 2016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Automotive</w:t>
            </w:r>
          </w:p>
        </w:tc>
        <w:tc>
          <w:tcPr>
            <w:tcW w:w="260" w:type="dxa"/>
            <w:vAlign w:val="bottom"/>
          </w:tcPr>
          <w:p>
            <w:pPr>
              <w:spacing w:after="0"/>
              <w:rPr>
                <w:sz w:val="20"/>
                <w:szCs w:val="20"/>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Railcar</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Gaming</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Food Packaging</w:t>
            </w:r>
          </w:p>
        </w:tc>
        <w:tc>
          <w:tcPr>
            <w:tcW w:w="1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gridSpan w:val="3"/>
          </w:tcPr>
          <w:p>
            <w:pPr>
              <w:jc w:val="right"/>
              <w:ind w:right="679"/>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carrying amount, January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2,397</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33"/>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Gross carrying amount,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2,606</w:t>
            </w:r>
          </w:p>
        </w:tc>
      </w:tr>
      <w:tr>
        <w:trPr>
          <w:trHeight w:val="264"/>
        </w:trPr>
        <w:tc>
          <w:tcPr>
            <w:tcW w:w="26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impairment, January 1</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33"/>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Accumulated impairment, December</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r>
      <w:tr>
        <w:trPr>
          <w:trHeight w:val="264"/>
        </w:trPr>
        <w:tc>
          <w:tcPr>
            <w:tcW w:w="26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carrying value, December 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1,136</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95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392"/>
          </w:cols>
          <w:pgMar w:left="248" w:top="337"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60"/>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1140" w:type="dxa"/>
            <w:vAlign w:val="bottom"/>
          </w:tcPr>
          <w:p>
            <w:pPr>
              <w:jc w:val="center"/>
              <w:ind w:right="18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140" w:type="dxa"/>
            <w:vAlign w:val="bottom"/>
          </w:tcPr>
          <w:p>
            <w:pPr>
              <w:jc w:val="center"/>
              <w:ind w:right="16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w:t>
            </w:r>
          </w:p>
        </w:tc>
        <w:tc>
          <w:tcPr>
            <w:tcW w:w="4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774</w:t>
            </w:r>
          </w:p>
        </w:tc>
      </w:tr>
      <w:tr>
        <w:trPr>
          <w:trHeight w:val="73"/>
        </w:trPr>
        <w:tc>
          <w:tcPr>
            <w:tcW w:w="26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color w:val="auto"/>
        </w:rPr>
        <w:t>We recorded amortization expense associated with definite-lived intangible assets for the years ended December 31, 2017, 2016 and 2015 of $101 million, $91 million and $92 million, respectively. We utilize the straight-line method of amortization, recognized over the estimated useful lives of the assets. Additionally, we impaired intangible assets of $1 million, $16 million and $2 million for the years ended December 31, 2017, 2016 and 2015, respectively. The impairment of intangible assets in 2016 was primarily in connection with the closing of the Trump Taj Mahal Casino Resort in October 2016.</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80" w:type="dxa"/>
            <w:vAlign w:val="bottom"/>
            <w:gridSpan w:val="2"/>
          </w:tcPr>
          <w:p>
            <w:pPr>
              <w:ind w:left="360"/>
              <w:spacing w:after="0"/>
              <w:rPr>
                <w:sz w:val="20"/>
                <w:szCs w:val="20"/>
                <w:color w:val="auto"/>
              </w:rPr>
            </w:pPr>
            <w:r>
              <w:rPr>
                <w:rFonts w:ascii="Arial" w:cs="Arial" w:eastAsia="Arial" w:hAnsi="Arial"/>
                <w:sz w:val="18"/>
                <w:szCs w:val="18"/>
                <w:color w:val="auto"/>
              </w:rPr>
              <w:t>The estimated future amortization expense for our definite-lived intangible assets is as follows: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4"/>
                <w:szCs w:val="24"/>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9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color w:val="auto"/>
              </w:rPr>
              <w:t>(in millions)</w:t>
            </w:r>
          </w:p>
        </w:tc>
      </w:tr>
      <w:tr>
        <w:trPr>
          <w:trHeight w:val="25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96</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85</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347</w:t>
            </w: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Acquisitions during the year ended December 31, 2017 were not material individually or in the aggregate. As a result of certain acquisitions, our Automotive and Food Packaging segments allocated $121 million and $3 million, respectively, to goodwill during the year ended December 31, 2017. In addition, our Automotive segment allocated $77 million to definite-lived intangible assets amortized over a weighted average of 3 to 16 years and $12 million to trademarks and brand names. Our Food Packaging segment allocated $28 million to definite-lived intangible assets amortized over a weighted average of 12 to 20 years. The purchase price allocations for the above acquisitions are not all final and are subject to change.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Prior to 2017, with respect to our reporting units that are allocated goodwill, the first step of the goodwill impairment analysis ("Step 1") involved comparing the fair value of each of our reporting units' assets to their respective carrying values to determine the potential for goodwill impairment. The second step of the goodwill impairment test ("Step 2"), if necessary, involved quantifying the level of goodwill impairment after performing a recoverability analysis of other long-lived assets for impairment first. Beginning with our goodwill impairment analysis in 2017, Step 2 of the goodwill impairment test was</w:t>
      </w:r>
    </w:p>
    <w:p>
      <w:pPr>
        <w:sectPr>
          <w:pgSz w:w="11900" w:h="16838" w:orient="portrait"/>
          <w:cols w:equalWidth="0" w:num="1">
            <w:col w:w="11400"/>
          </w:cols>
          <w:pgMar w:left="240" w:top="337"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00"/>
          </w:cols>
          <w:pgMar w:left="240" w:top="337" w:right="259"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eliminated and the determination and quantification of goodwill impairment, if any, was the result of applying Step 1 of the goodwill impairment analysis.</w:t>
      </w:r>
    </w:p>
    <w:p>
      <w:pPr>
        <w:spacing w:after="0" w:line="1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perform the annual goodwill impairment test for our Automotive segment as of October 1 of each year, or more frequently if impairment indicators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exist.</w:t>
      </w:r>
    </w:p>
    <w:p>
      <w:pPr>
        <w:spacing w:after="0" w:line="10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During 2017, based on our Automotive segment's annual goodwill impairment analysis, the fair values of all of our reporting units within our Automotive segment were in excess of their carrying values. Our Automotive segment's Motorparts reporting unit's fair value exceeded its carrying value by 6%. As of December 31, 2017, our Motorparts reporting unit had $349 million of goodwill allocated to it.</w:t>
      </w:r>
    </w:p>
    <w:p>
      <w:pPr>
        <w:spacing w:after="0" w:line="73"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During 2016, based on Step 1 of our Automotive segment's annual goodwill impairment analysis, the fair values of all of our reporting units within our Automotive segment were in excess of their carrying values. Our Motorparts reporting unit's fair value exceeded its carrying value by approximately 7%. As of December 31, 2016, our Motorparts reporting unit had $349 million of goodwill allocated to it.</w:t>
      </w:r>
    </w:p>
    <w:p>
      <w:pPr>
        <w:spacing w:after="0" w:line="7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During 2015, our Automotive segment's Motorparts reporting unit failed Step 1 of the annual goodwill impairment analysis. Based on this analysis, our Automotive segment recorded a goodwill impairment charge of $312 million for the year ended December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perform the annual goodwill impairment test for our Energy segment as of April 30 of each year, or more frequently if impairment indicators exist.</w:t>
      </w:r>
    </w:p>
    <w:p>
      <w:pPr>
        <w:spacing w:after="0" w:line="14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During the first quarter of 2016, due to worsening sales trends for our Energy segment's petroleum reporting unit, we performed an interim goodwill impairment analysis. Based on this analysis, our Energy segment recognized a goodwill impairment charge of $574 million, which represented the full amount of the remaining goodwill allocated to the petroleum reporting unit.</w:t>
      </w:r>
    </w:p>
    <w:p>
      <w:pPr>
        <w:spacing w:after="0" w:line="73"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During the fourth quarter of 2015, due to worsening sales trends for our Energy segment's fertilizer reporting unit, we performed an interim goodwill impairment analysis. Based on this analysis, our Energy segment recognized a goodwill impairment charge of $253 million, which represented the full amount of the remaining goodwill allocated to the fertilizer reporting unit.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In connection with the closing of the Trump Taj Mahal, we recorded a goodwill impairment charge of $3 million in 2016, which represented the full amount of goodwill allocated to TER.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337"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Property, plant and equipment, net consists of the following:</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38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(in years)</w:t>
            </w:r>
          </w:p>
        </w:tc>
        <w:tc>
          <w:tcPr>
            <w:tcW w:w="380" w:type="dxa"/>
            <w:vAlign w:val="bottom"/>
          </w:tcPr>
          <w:p>
            <w:pPr>
              <w:spacing w:after="0"/>
              <w:rPr>
                <w:sz w:val="21"/>
                <w:szCs w:val="21"/>
                <w:color w:val="auto"/>
              </w:rPr>
            </w:pPr>
          </w:p>
        </w:tc>
        <w:tc>
          <w:tcPr>
            <w:tcW w:w="200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3 - 40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3,050</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equipment and furniture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7,538</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Assets leased to others</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1,939</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14,481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14,012</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57"/>
        </w:trPr>
        <w:tc>
          <w:tcPr>
            <w:tcW w:w="2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10,122</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Assets leased to others are related to our Railcar and Real Estate segments. Included in assets leased to others in the table above are our Railcar segment's railcars for lease in the amount of approximately $1.1 billion and $1.5 billion as of December 31, 2017 and 2016, respectively. Additionally, included in assets leased to others in the table above are our Real Estate segment's properties on lease in the amount of $387 million and $415 million as of December 31, 2017 and 2016, respectively. Aggregate accumulated depreciation pertaining to assets leased to others is approximately $201 million and $224 million as of December 31, 2017 and 2016, respectively.</w:t>
      </w:r>
    </w:p>
    <w:p>
      <w:pPr>
        <w:spacing w:after="0" w:line="80"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years ended December 31, 2017, 2016 and 2015 was $898 million, $917 million and $752 million, respectively.</w:t>
      </w:r>
    </w:p>
    <w:p>
      <w:pPr>
        <w:spacing w:after="0" w:line="62" w:lineRule="exact"/>
        <w:rPr>
          <w:sz w:val="20"/>
          <w:szCs w:val="20"/>
          <w:color w:val="auto"/>
        </w:rPr>
      </w:pPr>
    </w:p>
    <w:p>
      <w:pPr>
        <w:ind w:right="2120" w:firstLine="378"/>
        <w:spacing w:after="0" w:line="375" w:lineRule="auto"/>
        <w:rPr>
          <w:sz w:val="20"/>
          <w:szCs w:val="20"/>
          <w:color w:val="auto"/>
        </w:rPr>
      </w:pPr>
      <w:r>
        <w:rPr>
          <w:rFonts w:ascii="Arial" w:cs="Arial" w:eastAsia="Arial" w:hAnsi="Arial"/>
          <w:sz w:val="18"/>
          <w:szCs w:val="18"/>
          <w:color w:val="auto"/>
        </w:rPr>
        <w:t xml:space="preserve">See Note 5, "Fair Value Measurements," for discussion regarding certain impairments to our property, plant and equipment. </w:t>
      </w:r>
      <w:r>
        <w:rPr>
          <w:rFonts w:ascii="Arial" w:cs="Arial" w:eastAsia="Arial" w:hAnsi="Arial"/>
          <w:sz w:val="18"/>
          <w:szCs w:val="18"/>
          <w:b w:val="1"/>
          <w:bCs w:val="1"/>
          <w:i w:val="1"/>
          <w:iCs w:val="1"/>
          <w:color w:val="auto"/>
        </w:rPr>
        <w:t>Consolidated Anticipated Future Receipts</w:t>
      </w:r>
    </w:p>
    <w:p>
      <w:pPr>
        <w:spacing w:after="0" w:line="1"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The following is a summary of the consolidated anticipated future receipts of the minimum lease payments receivable under the financing and operating method on a consolidated basis at December 31, 2017:</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452"/>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41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6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2019</w:t>
            </w:r>
          </w:p>
        </w:tc>
        <w:tc>
          <w:tcPr>
            <w:tcW w:w="6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2021</w:t>
            </w:r>
          </w:p>
        </w:tc>
        <w:tc>
          <w:tcPr>
            <w:tcW w:w="6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jc w:val="right"/>
              <w:ind w:right="3690"/>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10. Debt.</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60" w:type="dxa"/>
            <w:vAlign w:val="bottom"/>
          </w:tcPr>
          <w:p>
            <w:pPr>
              <w:spacing w:after="0"/>
              <w:rPr>
                <w:sz w:val="24"/>
                <w:szCs w:val="24"/>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Debt consists of the following:</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r>
      <w:tr>
        <w:trPr>
          <w:trHeight w:val="255"/>
        </w:trPr>
        <w:tc>
          <w:tcPr>
            <w:tcW w:w="60" w:type="dxa"/>
            <w:vAlign w:val="bottom"/>
          </w:tcPr>
          <w:p>
            <w:pPr>
              <w:spacing w:after="0"/>
              <w:rPr>
                <w:sz w:val="22"/>
                <w:szCs w:val="22"/>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Holding Company:</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3.500% senior unsecured notes due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4.875% senior unsecured notes due 2019</w:t>
            </w:r>
          </w:p>
        </w:tc>
        <w:tc>
          <w:tcPr>
            <w:tcW w:w="3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1,271</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1,340</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5,490</w:t>
            </w: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Reporting Segments: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3,259</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Railcar</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571</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Metals</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265</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7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5,629</w:t>
            </w:r>
          </w:p>
        </w:tc>
      </w:tr>
      <w:tr>
        <w:trPr>
          <w:trHeight w:val="257"/>
        </w:trPr>
        <w:tc>
          <w:tcPr>
            <w:tcW w:w="60" w:type="dxa"/>
            <w:vAlign w:val="bottom"/>
          </w:tcPr>
          <w:p>
            <w:pPr>
              <w:spacing w:after="0"/>
              <w:rPr>
                <w:sz w:val="22"/>
                <w:szCs w:val="22"/>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11,185</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11,119</w:t>
            </w:r>
          </w:p>
        </w:tc>
      </w:tr>
      <w:tr>
        <w:trPr>
          <w:trHeight w:val="20"/>
        </w:trPr>
        <w:tc>
          <w:tcPr>
            <w:tcW w:w="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Holding Company debt consists of various issues of fixed-rate senior unsecured notes issued by Icahn Enterprises and Icahn Enterprises Finance Corp. (the "Issuers") and guaranteed by Icahn Enterprises Holdings (the "Guarantor"). Interest on each of the senior unsecured notes are payable semi-annually.</w:t>
      </w:r>
    </w:p>
    <w:p>
      <w:pPr>
        <w:spacing w:after="0" w:line="73"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On January 18, 2017, the Issuers issued $500 million in aggregate principal amount of 6.750% senior unsecured notes due 2024 and $695 million in aggregate principal amount of 6.250% senior unsecured notes due 2022. The proceeds from these notes were used to redeem all of the outstanding senior unsecured notes due 2017 and to pay accrued interest, related fees and expenses.</w:t>
      </w:r>
    </w:p>
    <w:p>
      <w:pPr>
        <w:spacing w:after="0" w:line="7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December 6, 2017, the Issuers issued $750 million in aggregate principal amount of 6.375% senior unsecured notes due 2025 and an additional $510 million in aggregate principal amount of its existing 6.250% senior unsecured notes due 2022. The proceeds from these notes, together with cash on hand, were used to redeem all of the outstanding senior unsecured notes due 2019 and to pay accrued interest, related fees and expenses.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Icahn Enterprises recorded a loss on extinguishment of debt of $12 million in connection with the debt transactions discussed above.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337"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the collateral securing such indebtedness. All of our senior unsecured notes and the related guarantees are also effectively subordinated to all indebtedness and other liabilities of the Issuers’ subsidiaries other than the Guarantor.</w:t>
      </w:r>
    </w:p>
    <w:p>
      <w:pPr>
        <w:spacing w:after="0" w:line="62"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As of December 31, 2017 and 2016, we were in compliance with all covenants, including maintaining certain minimum financial ratios, as defined in the indentures. Additionally, as of December 31, 2017, based on covenants in the indentures governing our senior unsecured notes, we are permitted to incur approximately $346 million of additional indebtedness.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Federal-Mogul's debt primarily consists of two term loans (one of which was repaid in full in 2017) and a revolving line of credit issued in 2014 with outstanding balances aggregating approximately $1.7 billion and $2.9 billion as of December 31, 2017 and 2016, respectively. Additionally, as of December 31, 2017, Federal-Mogul had approximately $1.3 billion of additional debt outstanding issued during 2017, which is discussed further below. A portion of the proceeds from the notes issued in 2017 were used to repay an existing term loan in full and partially repay the remaining term loan. The remaining revolving line of credit and term loan have maturity dates of 2018 and 2021, respectively.</w:t>
      </w:r>
    </w:p>
    <w:p>
      <w:pPr>
        <w:spacing w:after="0" w:line="6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revolving line of credit and term loan are guaranteed by substantially all of the domestic subsidiaries and certain foreign subsidiaries of Federal-Mogul, and are secured by substantially all personal property and certain real property of Federal-Mogul and such guarantors, subject to certain limitations. The liens granted to secure these obligations and certain cash management and hedging obligations have first priority. As such, Federal-Mogul's availability is limited by borrowing base conditions. The term loan facilities contain certain affirmative and negative covenants and events of default, including, subject to certain exceptions, restrictions on incurring additional indebtedness, mandatory prepayment provisions associated with specified asset sales and dispositions, and limitations on: i) investments; ii) certain acquisitions, mergers or consolidations; iii) sale and leaseback transactions; iv) certain transactions with affiliates; and v) dividends and other payments in respect of capital stock.</w:t>
      </w:r>
    </w:p>
    <w:p>
      <w:pPr>
        <w:spacing w:after="0" w:line="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March 30, 2017, Federal-Mogul issued €415 million in aggregate principal amount of 4.875% senior secured notes due 2022 and €300 million in aggregate principal amount of variable rate senior secured notes due 2024. Interest on the variable rate notes will accrue at the three-month EURIBOR, with 0% floor, plus 4.875% per annum. Proceeds on the issuance of these notes was $776 million. On June 29, 2017, Federal-Mogul issued €350 million in aggregate principal amount of 5.000% senior secured notes due 2024. Proceeds on the issuance of these notes was $395 million. These notes issued during 2017 are collectively referred to as the "Federal-Mogul Euro Notes."</w:t>
      </w:r>
    </w:p>
    <w:p>
      <w:pPr>
        <w:spacing w:after="0" w:line="8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Federal-Mogul Euro Notes were issued without a discount and will rank equally in right of payment to all existing and future senior secured indebtedness of Federal-Mogul. The proceeds from the issuances of the Federal-Mogul Euro Notes were used to completely repay an existing term loan and partially repay the remaining term loan, as discussed above. A portion of the Federal-Mogul Euro Notes were designated as a net investment hedge of Federal-Mogul's European operations. See Note 6, “Financial Instruments,” to the consolidated financial statements, for additional information. The Federal-Mogul Euro Notes were issued under indentures, which contain customary events of defaults and covenants relating to, among other things, the incurrence of debt, affiliate transactions, liens and restricted payments.</w:t>
      </w:r>
    </w:p>
    <w:p>
      <w:pPr>
        <w:spacing w:after="0" w:line="85"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Interest on Federal-Mogul's debt is accrued and paid based on contractual terms, with weighted average interest rates of 4.96% and 4.34% as of December 31, 2017 and 2016, respectively. As of December 31, 2017 and 2016, total availability under Federal-Mogul credit facilities was $386 million and $273 million, respectively. Federal-Mogul also had $38 million and $45 million of letters of credit outstanding as of December 31, 2017 and 2016.</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337"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Automotive</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Icahn Automotive's debt primarily consists of an asset-based revolving credit facility and a first in-last out revolving credit facility each with variable interest rates. Icahn Automotive debt outstanding under these credit facilities was $337 million and $232 million as of December 31, 2017 and 2016, respectively, with maturity dates ranging from 2018 and 2022. Interest for each of these notes are accrued and paid based on contractual terms. The weighted average interest rate on these notes was 3.58% and 2.93% as of December 31, 2017 and 2016, respectively. In addition, as of December 31, 2017 and 2016, there was availability under revolving credit facilities of $75 million and $132 million, respectively. Icahn Automotive also had $33 million and $48 million of letters of credit outstanding as of December 31, 2017 and 2016.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CVR Energy's debt primarily consists of a $500 million second lien senior unsecured note (issued by CVR Refining) and a $645 million senior secured note (issued by CVR Partners) maturing in 2022 and 2023, respectively, and with interest rates of 6.50% and 9.25%, respectively. Interest for each of these notes are accrued and paid based on contractual terms.</w:t>
      </w:r>
    </w:p>
    <w:p>
      <w:pPr>
        <w:spacing w:after="0" w:line="7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second lien senior unsecured notes are fully and unconditionally guaranteed by CVR Refining and each of its' finance subsidiaries' existing domestic subsidiaries on a joint and several basis. The senior secured notes are guaranteed on a senior secured basis by all of CVR Partner's existing subsidiaries. CVR Energy is not a guarantor of these notes. The indentures governing these notes contain certain covenants that restrict the ability of the issuers and subsidiary guarantors to issue debt, incur or otherwise cause liens to exist on any of their property or assets, declare or pay dividends, repurchase equity, make payments on subordinated or unsecured debt, make certain investments, sell certain assets, merge, consolidate with or into another entity, or sell all or substantially all of their assets or enter into certain transactions with affiliates.</w:t>
      </w:r>
    </w:p>
    <w:p>
      <w:pPr>
        <w:spacing w:after="0" w:line="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December 31, 2017 and 2016, total availability under CVR Refining and CVR Partners variable rate asset based revolving credit facilities aggregated $382 million and $361 million, respectively. CVR Refining also had $28 million and $28 million of letters of credit outstanding as of December 31, 2017 and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ARI's debt primarily consists of notes issued in 2015 to refinance its lease fleet financing facilities and to increase borrowings. Such notes have a legal maturity date in 2045 and an expected principal repayment date in 2025. Interest for each of these notes are accrued and paid based on contractual terms. The weighted average interest rate on these notes was 3.72% and 3.68% as of December 31, 2017 and 2016, respectively. In addition, as of December 31, 2017 and 2016, ARI had borrowing availability to draw an additional $200 million and $200 million, respectively, under a credit agreement entered into in 2015. As of December 31, 2017 and 2016, the net book value of the railcars that were pledged as collateral as part of ARI's lease fleet financing was $524 million and $544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Tropicana's debt primarily consists of a senior secured first lien term loan facility issued in 2013 and maturing in 2020. Interest for this note is accrued and paid based on contractual terms. The interest rate on this note was 4.57% and 4.00% as of December 31, 2017 and 2016,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Viskase's debt primarily consists of a credit agreement providing for a senior secured term loan facility issued in 2014 and maturing in 2021. Interest for this note is accrued and paid based on contractual terms. The interest rate on this note was 4.88% and 4.38% as of December 31, 2017 and 2016,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337" w:right="2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960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960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9600" w:type="dxa"/>
            <w:vAlign w:val="bottom"/>
          </w:tcPr>
          <w:p>
            <w:pPr>
              <w:jc w:val="center"/>
              <w:ind w:left="159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7"/>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Consolidated Maturities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The following is a summary of the maturities of our debt:</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86"/>
        </w:trPr>
        <w:tc>
          <w:tcPr>
            <w:tcW w:w="80" w:type="dxa"/>
            <w:vAlign w:val="bottom"/>
          </w:tcPr>
          <w:p>
            <w:pPr>
              <w:spacing w:after="0"/>
              <w:rPr>
                <w:sz w:val="24"/>
                <w:szCs w:val="24"/>
                <w:color w:val="auto"/>
              </w:rPr>
            </w:pPr>
          </w:p>
        </w:tc>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80" w:type="dxa"/>
            <w:vAlign w:val="bottom"/>
          </w:tcPr>
          <w:p>
            <w:pPr>
              <w:spacing w:after="0"/>
              <w:rPr>
                <w:sz w:val="22"/>
                <w:szCs w:val="22"/>
                <w:color w:val="auto"/>
              </w:rPr>
            </w:pPr>
          </w:p>
        </w:tc>
        <w:tc>
          <w:tcPr>
            <w:tcW w:w="9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(in millions)</w:t>
            </w:r>
          </w:p>
        </w:tc>
      </w:tr>
      <w:tr>
        <w:trPr>
          <w:trHeight w:val="256"/>
        </w:trPr>
        <w:tc>
          <w:tcPr>
            <w:tcW w:w="80" w:type="dxa"/>
            <w:vAlign w:val="bottom"/>
          </w:tcPr>
          <w:p>
            <w:pPr>
              <w:spacing w:after="0"/>
              <w:rPr>
                <w:sz w:val="22"/>
                <w:szCs w:val="22"/>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9680" w:type="dxa"/>
            <w:vAlign w:val="bottom"/>
            <w:gridSpan w:val="2"/>
          </w:tcPr>
          <w:p>
            <w:pPr>
              <w:ind w:left="10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96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w:t>
            </w:r>
          </w:p>
        </w:tc>
      </w:tr>
      <w:tr>
        <w:trPr>
          <w:trHeight w:val="243"/>
        </w:trPr>
        <w:tc>
          <w:tcPr>
            <w:tcW w:w="9680" w:type="dxa"/>
            <w:vAlign w:val="bottom"/>
            <w:gridSpan w:val="2"/>
          </w:tcPr>
          <w:p>
            <w:pPr>
              <w:ind w:left="10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2,075</w:t>
            </w:r>
          </w:p>
        </w:tc>
      </w:tr>
      <w:tr>
        <w:trPr>
          <w:trHeight w:val="27"/>
        </w:trPr>
        <w:tc>
          <w:tcPr>
            <w:tcW w:w="96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3,608</w:t>
            </w:r>
          </w:p>
        </w:tc>
      </w:tr>
      <w:tr>
        <w:trPr>
          <w:trHeight w:val="243"/>
        </w:trPr>
        <w:tc>
          <w:tcPr>
            <w:tcW w:w="80" w:type="dxa"/>
            <w:vAlign w:val="bottom"/>
          </w:tcPr>
          <w:p>
            <w:pPr>
              <w:spacing w:after="0"/>
              <w:rPr>
                <w:sz w:val="21"/>
                <w:szCs w:val="21"/>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3,391</w:t>
            </w:r>
          </w:p>
        </w:tc>
      </w:tr>
      <w:tr>
        <w:trPr>
          <w:trHeight w:val="27"/>
        </w:trPr>
        <w:tc>
          <w:tcPr>
            <w:tcW w:w="80" w:type="dxa"/>
            <w:vAlign w:val="bottom"/>
          </w:tcPr>
          <w:p>
            <w:pPr>
              <w:spacing w:after="0"/>
              <w:rPr>
                <w:sz w:val="2"/>
                <w:szCs w:val="2"/>
                <w:color w:val="auto"/>
              </w:rPr>
            </w:pPr>
          </w:p>
        </w:tc>
        <w:tc>
          <w:tcPr>
            <w:tcW w:w="9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9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11,233</w:t>
            </w:r>
          </w:p>
        </w:tc>
      </w:tr>
      <w:tr>
        <w:trPr>
          <w:trHeight w:val="237"/>
        </w:trPr>
        <w:tc>
          <w:tcPr>
            <w:tcW w:w="8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Unamortized discounts, premiums and deferred financing fees</w:t>
            </w: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0" w:type="dxa"/>
            <w:vAlign w:val="bottom"/>
          </w:tcPr>
          <w:p>
            <w:pPr>
              <w:spacing w:after="0"/>
              <w:rPr>
                <w:sz w:val="2"/>
                <w:szCs w:val="2"/>
                <w:color w:val="auto"/>
              </w:rPr>
            </w:pPr>
          </w:p>
        </w:tc>
        <w:tc>
          <w:tcPr>
            <w:tcW w:w="9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11,185</w:t>
            </w:r>
          </w:p>
        </w:tc>
      </w:tr>
      <w:tr>
        <w:trPr>
          <w:trHeight w:val="20"/>
        </w:trPr>
        <w:tc>
          <w:tcPr>
            <w:tcW w:w="8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Post-Retirement Benefits and Employee Benefit Plans.</w:t>
      </w:r>
    </w:p>
    <w:p>
      <w:pPr>
        <w:spacing w:after="0" w:line="121"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Federal-Mogul, ARI and Viskase each sponsor several defined benefit pension plans (the ''Pension Benefits'') (and, in the case of Federal-Mogul and Viskase, its pension plans include defined contribution plans). Additionally, Federal-Mogul and Viskase each sponsors health care and life insurance benefits (''Other Post-Retirement Benefits'') for certain employees and retirees around the world. The Pension Benefits are funded based on the funding requirements of federal and international laws and regulations, as applicable, in advance of benefit payments and the other benefits as benefits are provided to participating employees. As prescribed by U.S. GAAP, Federal-Mogul, ARI and Viskase each uses, as applicable, appropriate actuarial methods and assumptions in accounting for its defined benefit pension plans, non-pension post-retirement benefits, and disability, early retirement and other post-retirement benefits. The measurement date for all defined benefit plans is December 31 of each year.</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Components of net periodic benefit cost (credit) for the years ended December 31, 2017, 2016 and 2015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Pension Benefits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90"/>
              </w:rPr>
              <w:t>Other Post-Retirement Benefits</w:t>
            </w:r>
          </w:p>
        </w:tc>
      </w:tr>
      <w:tr>
        <w:trPr>
          <w:trHeight w:val="27"/>
        </w:trPr>
        <w:tc>
          <w:tcPr>
            <w:tcW w:w="3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6"/>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6"/>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92"/>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3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3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Curtailment gain</w:t>
            </w:r>
          </w:p>
        </w:tc>
        <w:tc>
          <w:tcPr>
            <w:tcW w:w="7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38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60"/>
          </w:cols>
          <w:pgMar w:left="240" w:top="337" w:right="29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following provides disclosures for our Automotive segment's benefit obligations, plan assets, funded status, recognition in the consolidated balance sheets and inputs and valuation assumptions: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ind w:left="420"/>
              <w:spacing w:after="0"/>
              <w:rPr>
                <w:sz w:val="20"/>
                <w:szCs w:val="20"/>
                <w:color w:val="auto"/>
              </w:rPr>
            </w:pPr>
            <w:r>
              <w:rPr>
                <w:rFonts w:ascii="Arial" w:cs="Arial" w:eastAsia="Arial" w:hAnsi="Arial"/>
                <w:sz w:val="16"/>
                <w:szCs w:val="16"/>
                <w:b w:val="1"/>
                <w:bCs w:val="1"/>
                <w:color w:val="auto"/>
              </w:rPr>
              <w:t>Pension Benefits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00"/>
              <w:spacing w:after="0"/>
              <w:rPr>
                <w:sz w:val="20"/>
                <w:szCs w:val="20"/>
                <w:color w:val="auto"/>
              </w:rPr>
            </w:pPr>
            <w:r>
              <w:rPr>
                <w:rFonts w:ascii="Arial" w:cs="Arial" w:eastAsia="Arial" w:hAnsi="Arial"/>
                <w:sz w:val="16"/>
                <w:szCs w:val="16"/>
                <w:b w:val="1"/>
                <w:bCs w:val="1"/>
                <w:color w:val="auto"/>
              </w:rPr>
              <w:t>United States Plans</w:t>
            </w:r>
          </w:p>
        </w:tc>
        <w:tc>
          <w:tcPr>
            <w:tcW w:w="26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Arial" w:cs="Arial" w:eastAsia="Arial" w:hAnsi="Arial"/>
                <w:sz w:val="16"/>
                <w:szCs w:val="16"/>
                <w:b w:val="1"/>
                <w:bCs w:val="1"/>
                <w:color w:val="auto"/>
              </w:rPr>
              <w:t>Non-U.S. Plans</w:t>
            </w:r>
          </w:p>
        </w:tc>
        <w:tc>
          <w:tcPr>
            <w:tcW w:w="220" w:type="dxa"/>
            <w:vAlign w:val="bottom"/>
          </w:tcPr>
          <w:p>
            <w:pPr>
              <w:spacing w:after="0"/>
              <w:rPr>
                <w:sz w:val="20"/>
                <w:szCs w:val="20"/>
                <w:color w:val="auto"/>
              </w:rPr>
            </w:pPr>
          </w:p>
        </w:tc>
        <w:tc>
          <w:tcPr>
            <w:tcW w:w="2120" w:type="dxa"/>
            <w:vAlign w:val="bottom"/>
            <w:gridSpan w:val="4"/>
          </w:tcPr>
          <w:p>
            <w:pPr>
              <w:jc w:val="right"/>
              <w:ind w:right="218"/>
              <w:spacing w:after="0"/>
              <w:rPr>
                <w:sz w:val="20"/>
                <w:szCs w:val="20"/>
                <w:color w:val="auto"/>
              </w:rPr>
            </w:pPr>
            <w:r>
              <w:rPr>
                <w:rFonts w:ascii="Arial" w:cs="Arial" w:eastAsia="Arial" w:hAnsi="Arial"/>
                <w:sz w:val="16"/>
                <w:szCs w:val="16"/>
                <w:b w:val="1"/>
                <w:bCs w:val="1"/>
                <w:color w:val="auto"/>
                <w:w w:val="94"/>
              </w:rPr>
              <w:t>Post-Retirement Benefits</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8"/>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38"/>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8"/>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8"/>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tcPr>
          <w:p>
            <w:pPr>
              <w:ind w:left="20"/>
              <w:spacing w:after="0"/>
              <w:rPr>
                <w:sz w:val="20"/>
                <w:szCs w:val="20"/>
                <w:color w:val="auto"/>
              </w:rPr>
            </w:pPr>
            <w:r>
              <w:rPr>
                <w:rFonts w:ascii="Arial" w:cs="Arial" w:eastAsia="Arial" w:hAnsi="Arial"/>
                <w:sz w:val="16"/>
                <w:szCs w:val="16"/>
                <w:color w:val="auto"/>
              </w:rPr>
              <w:t>Change in benefit obligation: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Benefit obligation, beginning of year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Medicare subsidies received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Curtailments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Actuarial losses (gains)</w:t>
            </w:r>
          </w:p>
        </w:tc>
        <w:tc>
          <w:tcPr>
            <w:tcW w:w="26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Business combinations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Currency translation</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obligation,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Fair value of plan assets, beginning of year</w:t>
            </w:r>
          </w:p>
        </w:tc>
        <w:tc>
          <w:tcPr>
            <w:tcW w:w="26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00"/>
              <w:spacing w:after="0"/>
              <w:rPr>
                <w:sz w:val="20"/>
                <w:szCs w:val="20"/>
                <w:color w:val="auto"/>
              </w:rPr>
            </w:pPr>
            <w:r>
              <w:rPr>
                <w:rFonts w:ascii="Arial" w:cs="Arial" w:eastAsia="Arial" w:hAnsi="Arial"/>
                <w:sz w:val="16"/>
                <w:szCs w:val="16"/>
                <w:color w:val="auto"/>
              </w:rPr>
              <w:t>Settlements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Business combinations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Medicare subsidies received</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color w:val="auto"/>
              </w:rPr>
              <w:t>Fair value of plan assets, end of year</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Funded status of the plan and amounts recognized in the</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consolidated balance sheets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Amounts recognized in accumulated other comprehensive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inclusive of tax impacts: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Net actuarial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Prior service cost (credit)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8"/>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Weighted-average assumptions used to determine the benefit obligation as of December 31, 2017,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Pension Benefits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28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United States Plans</w:t>
            </w:r>
          </w:p>
        </w:tc>
        <w:tc>
          <w:tcPr>
            <w:tcW w:w="200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rPr>
              <w:t>Non-U.S. Plans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Post-Retirement Benefits</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414"/>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1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2.03%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2.96%</w:t>
            </w:r>
          </w:p>
        </w:tc>
        <w:tc>
          <w:tcPr>
            <w:tcW w:w="6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n/a</w:t>
            </w:r>
          </w:p>
        </w:tc>
        <w:tc>
          <w:tcPr>
            <w:tcW w:w="720" w:type="dxa"/>
            <w:vAlign w:val="bottom"/>
          </w:tcPr>
          <w:p>
            <w:pPr>
              <w:jc w:val="center"/>
              <w:ind w:left="1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Weighted-average assumptions used to determine net periodic benefit cost (credit) for the years ended December 31, 2017, 2016 and 2015: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40" w:type="dxa"/>
            <w:vAlign w:val="bottom"/>
            <w:gridSpan w:val="2"/>
          </w:tcPr>
          <w:p>
            <w:pPr>
              <w:jc w:val="right"/>
              <w:ind w:right="373"/>
              <w:spacing w:after="0"/>
              <w:rPr>
                <w:sz w:val="20"/>
                <w:szCs w:val="20"/>
                <w:color w:val="auto"/>
              </w:rPr>
            </w:pPr>
            <w:r>
              <w:rPr>
                <w:rFonts w:ascii="Arial" w:cs="Arial" w:eastAsia="Arial" w:hAnsi="Arial"/>
                <w:sz w:val="18"/>
                <w:szCs w:val="18"/>
                <w:b w:val="1"/>
                <w:bCs w:val="1"/>
                <w:color w:val="auto"/>
              </w:rPr>
              <w:t>Pension Benefits</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28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United States Plans</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Non-U.S. Plans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Post-Retirement Benefits</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4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w w:val="91"/>
              </w:rPr>
              <w:t>Year Ended December 31,</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20" w:type="dxa"/>
            <w:vAlign w:val="bottom"/>
          </w:tcPr>
          <w:p>
            <w:pPr>
              <w:jc w:val="right"/>
              <w:ind w:right="393"/>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0" w:type="dxa"/>
            <w:vAlign w:val="bottom"/>
            <w:gridSpan w:val="2"/>
          </w:tcPr>
          <w:p>
            <w:pPr>
              <w:jc w:val="right"/>
              <w:ind w:right="690"/>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3.90%</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4.15%</w:t>
            </w:r>
          </w:p>
        </w:tc>
        <w:tc>
          <w:tcPr>
            <w:tcW w:w="11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3.85%</w:t>
            </w: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2.03%</w:t>
            </w:r>
          </w:p>
        </w:tc>
        <w:tc>
          <w:tcPr>
            <w:tcW w:w="9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w:t>
            </w:r>
          </w:p>
        </w:tc>
        <w:tc>
          <w:tcPr>
            <w:tcW w:w="8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0"/>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3"/>
              </w:rPr>
              <w:t>3.84%</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0"/>
              </w:rPr>
              <w:t>5.55%</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0"/>
              </w:rPr>
              <w:t>5.65%</w:t>
            </w:r>
          </w:p>
        </w:tc>
        <w:tc>
          <w:tcPr>
            <w:tcW w:w="1120" w:type="dxa"/>
            <w:vAlign w:val="bottom"/>
          </w:tcPr>
          <w:p>
            <w:pPr>
              <w:jc w:val="center"/>
              <w:ind w:left="170"/>
              <w:spacing w:after="0"/>
              <w:rPr>
                <w:sz w:val="20"/>
                <w:szCs w:val="20"/>
                <w:color w:val="auto"/>
              </w:rPr>
            </w:pPr>
            <w:r>
              <w:rPr>
                <w:rFonts w:ascii="Arial" w:cs="Arial" w:eastAsia="Arial" w:hAnsi="Arial"/>
                <w:sz w:val="18"/>
                <w:szCs w:val="18"/>
                <w:color w:val="auto"/>
                <w:w w:val="90"/>
              </w:rPr>
              <w:t>6.55%</w:t>
            </w: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3.05%</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6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960" w:type="dxa"/>
            <w:vAlign w:val="bottom"/>
          </w:tcPr>
          <w:p>
            <w:pPr>
              <w:ind w:left="4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n/a</w:t>
            </w:r>
          </w:p>
        </w:tc>
        <w:tc>
          <w:tcPr>
            <w:tcW w:w="840" w:type="dxa"/>
            <w:vAlign w:val="bottom"/>
          </w:tcPr>
          <w:p>
            <w:pPr>
              <w:jc w:val="center"/>
              <w:ind w:left="1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n/a</w:t>
            </w:r>
          </w:p>
        </w:tc>
        <w:tc>
          <w:tcPr>
            <w:tcW w:w="11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7"/>
              </w:rPr>
              <w:t>n/a</w:t>
            </w:r>
          </w:p>
        </w:tc>
        <w:tc>
          <w:tcPr>
            <w:tcW w:w="10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2.96%</w:t>
            </w: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n/a</w:t>
            </w:r>
          </w:p>
        </w:tc>
        <w:tc>
          <w:tcPr>
            <w:tcW w:w="8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3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Rate of Return</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Federal-Mogul’s expected return on assets is established annually through analysis of anticipated future long-term investment performance for the plan based upon the asset allocation strategy and is primarily a long-term prospective rate.</w:t>
      </w:r>
    </w:p>
    <w:p>
      <w:pPr>
        <w:spacing w:after="0" w:line="62"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An analysis was performed in December 2017 resulting in changes to the expected long-term rate of return on assets. The weighted-average long-term rate of return on assets for the United States pension plans decreased from 5.55% at December 31, 2016 to 5.50% at December 31, 2017. The expected long-term rate of return on plan assets used in determining pension expense for non-U.S. plans is determined in a similar manner to the U.S. plans and decreased from 3.05% at December 31, 2016 to 3.26% at December 31, 2017.</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for defined benefit plans with projected benefit obligations in excess of plan assets: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3"/>
          </w:tcPr>
          <w:p>
            <w:pPr>
              <w:jc w:val="right"/>
              <w:ind w:right="494"/>
              <w:spacing w:after="0"/>
              <w:rPr>
                <w:sz w:val="20"/>
                <w:szCs w:val="20"/>
                <w:color w:val="auto"/>
              </w:rPr>
            </w:pPr>
            <w:r>
              <w:rPr>
                <w:rFonts w:ascii="Arial" w:cs="Arial" w:eastAsia="Arial" w:hAnsi="Arial"/>
                <w:sz w:val="18"/>
                <w:szCs w:val="18"/>
                <w:b w:val="1"/>
                <w:bCs w:val="1"/>
                <w:color w:val="auto"/>
              </w:rPr>
              <w:t>Pension Benefits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restart"/>
          </w:tcPr>
          <w:p>
            <w:pPr>
              <w:jc w:val="center"/>
              <w:ind w:left="590"/>
              <w:spacing w:after="0"/>
              <w:rPr>
                <w:sz w:val="20"/>
                <w:szCs w:val="20"/>
                <w:color w:val="auto"/>
              </w:rPr>
            </w:pPr>
            <w:r>
              <w:rPr>
                <w:rFonts w:ascii="Arial" w:cs="Arial" w:eastAsia="Arial" w:hAnsi="Arial"/>
                <w:sz w:val="18"/>
                <w:szCs w:val="18"/>
                <w:b w:val="1"/>
                <w:bCs w:val="1"/>
                <w:color w:val="auto"/>
                <w:w w:val="95"/>
              </w:rPr>
              <w:t>Other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9"/>
              </w:rPr>
              <w:t>United States Plans</w:t>
            </w:r>
          </w:p>
        </w:tc>
        <w:tc>
          <w:tcPr>
            <w:tcW w:w="340" w:type="dxa"/>
            <w:vAlign w:val="bottom"/>
          </w:tcPr>
          <w:p>
            <w:pPr>
              <w:spacing w:after="0"/>
              <w:rPr>
                <w:sz w:val="20"/>
                <w:szCs w:val="20"/>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Non-U.S. Plans</w:t>
            </w:r>
          </w:p>
        </w:tc>
        <w:tc>
          <w:tcPr>
            <w:tcW w:w="180" w:type="dxa"/>
            <w:vAlign w:val="bottom"/>
          </w:tcPr>
          <w:p>
            <w:pPr>
              <w:spacing w:after="0"/>
              <w:rPr>
                <w:sz w:val="20"/>
                <w:szCs w:val="20"/>
                <w:color w:val="auto"/>
              </w:rPr>
            </w:pPr>
          </w:p>
        </w:tc>
        <w:tc>
          <w:tcPr>
            <w:tcW w:w="22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Post-Retirement Benefits</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3"/>
          </w:tcPr>
          <w:p>
            <w:pPr>
              <w:jc w:val="right"/>
              <w:ind w:right="614"/>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00" w:type="dxa"/>
            <w:vAlign w:val="bottom"/>
          </w:tcPr>
          <w:p>
            <w:pPr>
              <w:jc w:val="right"/>
              <w:ind w:right="314"/>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center"/>
              <w:ind w:left="43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856</w:t>
            </w:r>
          </w:p>
        </w:tc>
        <w:tc>
          <w:tcPr>
            <w:tcW w:w="3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for pension plans with accumulated benefit obligations in excess of plan assets: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6"/>
              </w:rPr>
              <w:t>Pension Benefits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373"/>
              <w:spacing w:after="0"/>
              <w:rPr>
                <w:sz w:val="20"/>
                <w:szCs w:val="20"/>
                <w:color w:val="auto"/>
              </w:rPr>
            </w:pPr>
            <w:r>
              <w:rPr>
                <w:rFonts w:ascii="Arial" w:cs="Arial" w:eastAsia="Arial" w:hAnsi="Arial"/>
                <w:sz w:val="18"/>
                <w:szCs w:val="18"/>
                <w:b w:val="1"/>
                <w:bCs w:val="1"/>
                <w:color w:val="auto"/>
                <w:w w:val="99"/>
              </w:rPr>
              <w:t>United States Plans</w:t>
            </w:r>
          </w:p>
        </w:tc>
        <w:tc>
          <w:tcPr>
            <w:tcW w:w="440" w:type="dxa"/>
            <w:vAlign w:val="bottom"/>
          </w:tcPr>
          <w:p>
            <w:pPr>
              <w:spacing w:after="0"/>
              <w:rPr>
                <w:sz w:val="20"/>
                <w:szCs w:val="20"/>
                <w:color w:val="auto"/>
              </w:rPr>
            </w:pPr>
          </w:p>
        </w:tc>
        <w:tc>
          <w:tcPr>
            <w:tcW w:w="20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Non-U.S. Plans</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center"/>
              <w:ind w:left="453"/>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3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1,167</w:t>
            </w: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856</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80" w:firstLine="378"/>
        <w:spacing w:after="0" w:line="277" w:lineRule="auto"/>
        <w:rPr>
          <w:sz w:val="20"/>
          <w:szCs w:val="20"/>
          <w:color w:val="auto"/>
        </w:rPr>
      </w:pPr>
      <w:r>
        <w:rPr>
          <w:rFonts w:ascii="Arial" w:cs="Arial" w:eastAsia="Arial" w:hAnsi="Arial"/>
          <w:sz w:val="18"/>
          <w:szCs w:val="18"/>
          <w:color w:val="auto"/>
        </w:rPr>
        <w:t>The accumulated benefit obligation for all pension plans was approximately $1.7 billion and $1.6 billion as of December 31, 2017 and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Trend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assumed health care and drug cost trend rates used to measure next year's post-employment healthcare benefits are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520" w:type="dxa"/>
            <w:vAlign w:val="bottom"/>
            <w:gridSpan w:val="3"/>
          </w:tcPr>
          <w:p>
            <w:pPr>
              <w:ind w:left="560"/>
              <w:spacing w:after="0"/>
              <w:rPr>
                <w:sz w:val="20"/>
                <w:szCs w:val="20"/>
                <w:color w:val="auto"/>
              </w:rPr>
            </w:pPr>
            <w:r>
              <w:rPr>
                <w:rFonts w:ascii="Arial" w:cs="Arial" w:eastAsia="Arial" w:hAnsi="Arial"/>
                <w:sz w:val="18"/>
                <w:szCs w:val="18"/>
                <w:b w:val="1"/>
                <w:bCs w:val="1"/>
                <w:color w:val="auto"/>
              </w:rPr>
              <w:t>Other Post-Retirement Benefits</w:t>
            </w:r>
          </w:p>
        </w:tc>
      </w:tr>
      <w:tr>
        <w:trPr>
          <w:trHeight w:val="27"/>
        </w:trPr>
        <w:tc>
          <w:tcPr>
            <w:tcW w:w="78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8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health care cost trend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6.69%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Ultimate health care cost trend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5.00%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5.00%</w:t>
            </w:r>
          </w:p>
        </w:tc>
      </w:tr>
      <w:tr>
        <w:trPr>
          <w:trHeight w:val="27"/>
        </w:trPr>
        <w:tc>
          <w:tcPr>
            <w:tcW w:w="7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ultimate health care cost trend rate reached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7"/>
        </w:trPr>
        <w:tc>
          <w:tcPr>
            <w:tcW w:w="78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The assumed health care cost trend rate has a significant impact on the amounts reported for OPEB plans. The following table illustrates the sensitivity to a change in the assumed health care cost trend rate: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54"/>
              <w:spacing w:after="0"/>
              <w:rPr>
                <w:sz w:val="20"/>
                <w:szCs w:val="20"/>
                <w:color w:val="auto"/>
              </w:rPr>
            </w:pPr>
            <w:r>
              <w:rPr>
                <w:rFonts w:ascii="Arial" w:cs="Arial" w:eastAsia="Arial" w:hAnsi="Arial"/>
                <w:sz w:val="18"/>
                <w:szCs w:val="18"/>
                <w:b w:val="1"/>
                <w:bCs w:val="1"/>
                <w:color w:val="auto"/>
                <w:w w:val="89"/>
              </w:rPr>
              <w:t>Total Service and</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14"/>
              <w:spacing w:after="0"/>
              <w:rPr>
                <w:sz w:val="20"/>
                <w:szCs w:val="20"/>
                <w:color w:val="auto"/>
              </w:rPr>
            </w:pPr>
            <w:r>
              <w:rPr>
                <w:rFonts w:ascii="Arial" w:cs="Arial" w:eastAsia="Arial" w:hAnsi="Arial"/>
                <w:sz w:val="18"/>
                <w:szCs w:val="18"/>
                <w:b w:val="1"/>
                <w:bCs w:val="1"/>
                <w:color w:val="auto"/>
              </w:rPr>
              <w:t>Interest Cost</w:t>
            </w:r>
          </w:p>
        </w:tc>
        <w:tc>
          <w:tcPr>
            <w:tcW w:w="5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APBO</w:t>
            </w:r>
          </w:p>
        </w:tc>
      </w:tr>
      <w:tr>
        <w:trPr>
          <w:trHeight w:val="27"/>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 basis point (“bp”) increase in health care cost trend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100 bp decrease in health care cost trend rate</w:t>
            </w:r>
          </w:p>
        </w:tc>
        <w:tc>
          <w:tcPr>
            <w:tcW w:w="1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Estimated amounts to be amortized from accumulated other comprehensive loss into net period benefit cost for 2018 based on 2017 plan measurements are $14 million, consisting primarily of amortization of net actuarial loss in the U.S. pension plans.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Federal-Mogul's projected benefit payments from the plans are estimated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80" w:type="dxa"/>
            <w:vAlign w:val="bottom"/>
            <w:gridSpan w:val="3"/>
          </w:tcPr>
          <w:p>
            <w:pPr>
              <w:jc w:val="right"/>
              <w:ind w:right="1032"/>
              <w:spacing w:after="0"/>
              <w:rPr>
                <w:sz w:val="20"/>
                <w:szCs w:val="20"/>
                <w:color w:val="auto"/>
              </w:rPr>
            </w:pPr>
            <w:r>
              <w:rPr>
                <w:rFonts w:ascii="Arial" w:cs="Arial" w:eastAsia="Arial" w:hAnsi="Arial"/>
                <w:sz w:val="18"/>
                <w:szCs w:val="18"/>
                <w:b w:val="1"/>
                <w:bCs w:val="1"/>
                <w:color w:val="auto"/>
                <w:w w:val="91"/>
              </w:rPr>
              <w:t>Pension Benefits</w:t>
            </w:r>
          </w:p>
        </w:tc>
        <w:tc>
          <w:tcPr>
            <w:tcW w:w="360" w:type="dxa"/>
            <w:vAlign w:val="bottom"/>
          </w:tcPr>
          <w:p>
            <w:pPr>
              <w:spacing w:after="0"/>
              <w:rPr>
                <w:sz w:val="20"/>
                <w:szCs w:val="20"/>
                <w:color w:val="auto"/>
              </w:rPr>
            </w:pP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Other Post-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United States Plans</w:t>
            </w:r>
          </w:p>
        </w:tc>
        <w:tc>
          <w:tcPr>
            <w:tcW w:w="280" w:type="dxa"/>
            <w:vAlign w:val="bottom"/>
          </w:tcPr>
          <w:p>
            <w:pPr>
              <w:spacing w:after="0"/>
              <w:rPr>
                <w:sz w:val="20"/>
                <w:szCs w:val="20"/>
                <w:color w:val="auto"/>
              </w:rPr>
            </w:pP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Non-U.S. Plans</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Retirement Benefits</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392"/>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920" w:type="dxa"/>
            <w:vAlign w:val="bottom"/>
            <w:tcBorders>
              <w:bottom w:val="single" w:sz="8" w:color="CCEEFF"/>
            </w:tcBorders>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2019</w:t>
            </w:r>
          </w:p>
        </w:tc>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2021</w:t>
            </w:r>
          </w:p>
        </w:tc>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2023-2027</w:t>
            </w:r>
          </w:p>
        </w:tc>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51"/>
        </w:trPr>
        <w:tc>
          <w:tcPr>
            <w:tcW w:w="7100" w:type="dxa"/>
            <w:vAlign w:val="bottom"/>
            <w:gridSpan w:val="4"/>
          </w:tcPr>
          <w:p>
            <w:pPr>
              <w:ind w:left="360"/>
              <w:spacing w:after="0"/>
              <w:rPr>
                <w:sz w:val="20"/>
                <w:szCs w:val="20"/>
                <w:color w:val="auto"/>
              </w:rPr>
            </w:pPr>
            <w:r>
              <w:rPr>
                <w:rFonts w:ascii="Arial" w:cs="Arial" w:eastAsia="Arial" w:hAnsi="Arial"/>
                <w:sz w:val="18"/>
                <w:szCs w:val="18"/>
                <w:color w:val="auto"/>
                <w:w w:val="92"/>
              </w:rPr>
              <w:t>Federal-Mogul expects to contribute approximately $75 million to its pension plans in 2018.</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17"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Certain pension plans sponsored by Federal-Mogul invest in a diversified portfolio consisting of an array of asset classes that attempts to maximize returns while minimizing volatility. These asset classes include developed market equities, emerging market equities, private equity, global high quality and high yield fixed income, real estate, and absolute return strategies.</w:t>
      </w:r>
    </w:p>
    <w:p>
      <w:pPr>
        <w:spacing w:after="0" w:line="73" w:lineRule="exact"/>
        <w:rPr>
          <w:sz w:val="20"/>
          <w:szCs w:val="20"/>
          <w:color w:val="auto"/>
        </w:rPr>
      </w:pPr>
    </w:p>
    <w:p>
      <w:pPr>
        <w:jc w:val="both"/>
        <w:ind w:right="80" w:firstLine="378"/>
        <w:spacing w:after="0" w:line="312" w:lineRule="auto"/>
        <w:rPr>
          <w:sz w:val="20"/>
          <w:szCs w:val="20"/>
          <w:color w:val="auto"/>
        </w:rPr>
      </w:pPr>
      <w:r>
        <w:rPr>
          <w:rFonts w:ascii="Arial" w:cs="Arial" w:eastAsia="Arial" w:hAnsi="Arial"/>
          <w:sz w:val="16"/>
          <w:szCs w:val="16"/>
          <w:color w:val="auto"/>
        </w:rPr>
        <w:t>As of December 31, 2017, plan assets were comprised of 65% equity investments, 23% fixed income investments, and 12% in other investments which include hedge funds. Approximately 57% of the U.S. plan assets were invested in actively managed investment funds. Federal-Mogul’s investment strategy includes a target asset allocation of 50% equity investments, 25% fixed income investments and 25% in other investment types including hedge funds.</w:t>
      </w:r>
    </w:p>
    <w:p>
      <w:pPr>
        <w:spacing w:after="0" w:line="39"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The U.S. investment strategy mitigates risk by incorporating diversification across appropriate asset classes to meet the plan’s objectives. It is intended to reduce risk, provide long-term financial stability for the plan, and maintain funded levels that meet long-term plan obligations while preserving sufficient liquidity for near-term benefit payments. Risk assumed is considered appropriate for the return anticipated and consistent with the diversification of plan assets.</w:t>
      </w:r>
    </w:p>
    <w:p>
      <w:pPr>
        <w:spacing w:after="0" w:line="7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For Non-U.S. plans, the insurance contracts guarantee a minimum rate of return. Federal-Mogul has no input into the investment strategy of the assets underlying the contracts, but they are typically heavily invested in active bond markets and are highly regulated by local law. The majority of the assets of the non-U.S. plans are invested through insurance contracts. The target asset allocation for the non-U.S. pension plans is 67% insurance contracts, 31% debt investments and 2% equity investments.</w:t>
      </w:r>
    </w:p>
    <w:p>
      <w:pPr>
        <w:spacing w:after="0" w:line="79"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Refer to Note 5, “Fair Value Measurements,” for discussion of the fair value of each major category of plan assets, including the inputs and valuation techniques used to develop the fair value measurements of the plans' assets, at December 31, 2017 and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Pension Plans</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Federal-Mogul also maintains certain defined contribution pension plans for eligible employees. Effective January 1, 2013, Federal-Mogul amended its U.S. defined contribution plan to allow for an enhanced company match and company provided age-based contributions for eligible U.S. salaried and non-union hourly employees. The total expenses attributable to Federal-Mogul's defined contribution savings plan were $46 million, $43 million and $45 million for the years ended December 31, 2017, 2016 and 2015,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7"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Federal-Mogul accounts for benefits to former or inactive employees paid after employment but before retirement. The liabilities for such U.S. and European post-employment benefits were $67 million and $60 million at December 31, 2017 and 2016,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337" w:right="27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and Food Packaging</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ARI is the sponsor of three defined benefit pension plans, two of which cover certain employees at designated repair facilities. All three of ARI's defined benefit pension plans are frozen and no additional benefits are accruing thereunder. Viskase and its subsidiaries have defined contribution and defined benefit plans varying by country and subsidiary. Viskase's operations in the United States, France, Germany and Canada have historically offered defined benefit retirement plans and post-retirement health care and life insurance benefits to their employees. Most of these benefits have been terminated, resulting in reductions in various liabilities.</w:t>
      </w:r>
    </w:p>
    <w:p>
      <w:pPr>
        <w:spacing w:after="0" w:line="80" w:lineRule="exact"/>
        <w:rPr>
          <w:sz w:val="20"/>
          <w:szCs w:val="20"/>
          <w:color w:val="auto"/>
        </w:rPr>
      </w:pPr>
    </w:p>
    <w:p>
      <w:pPr>
        <w:jc w:val="both"/>
        <w:ind w:right="440" w:firstLine="378"/>
        <w:spacing w:after="0" w:line="264" w:lineRule="auto"/>
        <w:rPr>
          <w:sz w:val="20"/>
          <w:szCs w:val="20"/>
          <w:color w:val="auto"/>
        </w:rPr>
      </w:pPr>
      <w:r>
        <w:rPr>
          <w:rFonts w:ascii="Arial" w:cs="Arial" w:eastAsia="Arial" w:hAnsi="Arial"/>
          <w:sz w:val="18"/>
          <w:szCs w:val="18"/>
          <w:color w:val="auto"/>
        </w:rPr>
        <w:t>The following table provides disclosures for ARI's and Viskase's benefit obligations, plan assets, funded status, and recognition in the consolidated balance sheets. As pension costs for ARI and Viskase are not material to our consolidated financial position and results of operations, we do not provide information regarding their inputs and valuation assumptions.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860" w:type="dxa"/>
            <w:vAlign w:val="bottom"/>
          </w:tcPr>
          <w:p>
            <w:pPr>
              <w:ind w:left="20"/>
              <w:spacing w:after="0"/>
              <w:rPr>
                <w:sz w:val="20"/>
                <w:szCs w:val="20"/>
                <w:color w:val="auto"/>
              </w:rPr>
            </w:pPr>
            <w:r>
              <w:rPr>
                <w:rFonts w:ascii="Arial" w:cs="Arial" w:eastAsia="Arial" w:hAnsi="Arial"/>
                <w:sz w:val="18"/>
                <w:szCs w:val="18"/>
                <w:color w:val="auto"/>
              </w:rPr>
              <w:t>Change in benefit obligation:</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 obligation, beginning of year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Actuarial gain</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860" w:type="dxa"/>
            <w:vAlign w:val="bottom"/>
          </w:tcPr>
          <w:p>
            <w:pPr>
              <w:ind w:left="160"/>
              <w:spacing w:after="0"/>
              <w:rPr>
                <w:sz w:val="20"/>
                <w:szCs w:val="20"/>
                <w:color w:val="auto"/>
              </w:rPr>
            </w:pPr>
            <w:r>
              <w:rPr>
                <w:rFonts w:ascii="Arial" w:cs="Arial" w:eastAsia="Arial" w:hAnsi="Arial"/>
                <w:sz w:val="18"/>
                <w:szCs w:val="18"/>
                <w:color w:val="auto"/>
              </w:rPr>
              <w:t>Adjustment to benefits</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translation</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Benefit obligation, end of year</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Fair value of plan assets, beginning of year</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Funded status of the plan</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 in the consolidated balance sheets: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liability recognized</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 in accumulated other comprehensive loss, inclusive of tax impacts: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Net actuarial loss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560"/>
              <w:spacing w:after="0"/>
              <w:rPr>
                <w:sz w:val="20"/>
                <w:szCs w:val="20"/>
                <w:color w:val="auto"/>
              </w:rPr>
            </w:pPr>
            <w:r>
              <w:rPr>
                <w:rFonts w:ascii="Arial" w:cs="Arial" w:eastAsia="Arial" w:hAnsi="Arial"/>
                <w:sz w:val="18"/>
                <w:szCs w:val="18"/>
                <w:color w:val="auto"/>
              </w:rPr>
              <w:t>107</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The following table sets forth the allocation of net (loss) income attributable to Icahn Enterprises allocable to limited partners and the computation of basic and diluted (loss) income per LP unit of Icahn Enterprises for the periods indicated: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gridSpan w:val="7"/>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0" w:type="dxa"/>
            <w:vAlign w:val="bottom"/>
            <w:gridSpan w:val="6"/>
          </w:tcPr>
          <w:p>
            <w:pPr>
              <w:jc w:val="center"/>
              <w:spacing w:after="0"/>
              <w:rPr>
                <w:sz w:val="20"/>
                <w:szCs w:val="20"/>
                <w:color w:val="auto"/>
              </w:rPr>
            </w:pPr>
            <w:r>
              <w:rPr>
                <w:rFonts w:ascii="Arial" w:cs="Arial" w:eastAsia="Arial" w:hAnsi="Arial"/>
                <w:sz w:val="14"/>
                <w:szCs w:val="14"/>
                <w:color w:val="auto"/>
                <w:w w:val="95"/>
              </w:rPr>
              <w:t>(in millions, except per unit data)</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6"/>
              </w:rPr>
              <w:t>Net loss attributable to Icahn Enterprises allocable to limited partners (98.01%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40" w:type="dxa"/>
            <w:vAlign w:val="bottom"/>
            <w:vMerge w:val="continue"/>
          </w:tcPr>
          <w:p>
            <w:pPr>
              <w:spacing w:after="0"/>
              <w:rPr>
                <w:sz w:val="16"/>
                <w:szCs w:val="16"/>
                <w:color w:val="auto"/>
              </w:rPr>
            </w:pPr>
          </w:p>
        </w:tc>
        <w:tc>
          <w:tcPr>
            <w:tcW w:w="1120" w:type="dxa"/>
            <w:vAlign w:val="bottom"/>
            <w:vMerge w:val="restart"/>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2,382</w:t>
            </w:r>
          </w:p>
        </w:tc>
        <w:tc>
          <w:tcPr>
            <w:tcW w:w="5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7"/>
        </w:trPr>
        <w:tc>
          <w:tcPr>
            <w:tcW w:w="6040" w:type="dxa"/>
            <w:vAlign w:val="bottom"/>
          </w:tcPr>
          <w:p>
            <w:pPr>
              <w:ind w:left="200"/>
              <w:spacing w:after="0"/>
              <w:rPr>
                <w:sz w:val="20"/>
                <w:szCs w:val="20"/>
                <w:color w:val="auto"/>
              </w:rPr>
            </w:pPr>
            <w:r>
              <w:rPr>
                <w:rFonts w:ascii="Arial" w:cs="Arial" w:eastAsia="Arial" w:hAnsi="Arial"/>
                <w:sz w:val="18"/>
                <w:szCs w:val="18"/>
                <w:color w:val="auto"/>
              </w:rPr>
              <w:t>allocation)</w:t>
            </w:r>
          </w:p>
        </w:tc>
        <w:tc>
          <w:tcPr>
            <w:tcW w:w="112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60" w:type="dxa"/>
            <w:vAlign w:val="bottom"/>
            <w:gridSpan w:val="3"/>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40" w:type="dxa"/>
            <w:vAlign w:val="bottom"/>
          </w:tcPr>
          <w:p>
            <w:pPr>
              <w:ind w:left="20"/>
              <w:spacing w:after="0"/>
              <w:rPr>
                <w:sz w:val="20"/>
                <w:szCs w:val="20"/>
                <w:color w:val="auto"/>
              </w:rPr>
            </w:pPr>
            <w:r>
              <w:rPr>
                <w:rFonts w:ascii="Arial" w:cs="Arial" w:eastAsia="Arial" w:hAnsi="Arial"/>
                <w:sz w:val="18"/>
                <w:szCs w:val="18"/>
                <w:color w:val="auto"/>
              </w:rPr>
              <w:t>Basic and diluted loss per LP unit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14.80</w:t>
            </w: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51"/>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Rights Offering</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January 2017, Icahn Enterprises commenced a rights offering entitling holders of the rights to acquire newly issued depositary units of Icahn Enterprises. The rights offering, which expired on February 22, 2017, was fully subscribed with total basic subscription rights and over-subscription rights being exercised resulting in a total of 11,171,104 depositary units issued on March 1, 2017 and for aggregate proceeds of $600 million. Affiliates of Mr. Icahn fully exercised all of the basic subscription rights and over-subscription rights allocated to them in the rights offering aggregating 10,525,105 additional depositary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During the year ended December 31, 2017,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 Icahn Enterprises depositary units outstanding during 2017 increased as a result of the four quarterly distributions in which we distributed an aggregate 17,644,152 of Icahn Enterprises' depositary units to those depositary unitholders who elected to receive such distributions in additional depositary units, of which an aggregate of 17,374,427 depositary units were distributed to Mr. Icahn and his affiliates.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During the year ended December 31, 2017, Icahn Enterprises distributed 7,902 depositary units, net of payroll withholdings, with respect to certain restricted depositary units that vested during the period in connection with the 2017 Incentive Plan. The aggregate impact of the 2017 Incentive Plan is not material with respect to our consolidated financial statements, including the calculation of potentially dilutive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37"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Icahn Enterprises' condensed statements of operations by reporting segment for the years ended December 31, 2017, 2016 and 2015 are presented below. Icahn Enterprises Holdings' condensed statements of operations are substantially the same, with immaterial differences relating to our Holding Company's interest expense.</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66"/>
              <w:spacing w:after="0"/>
              <w:rPr>
                <w:sz w:val="20"/>
                <w:szCs w:val="20"/>
                <w:color w:val="auto"/>
              </w:rPr>
            </w:pPr>
            <w:r>
              <w:rPr>
                <w:rFonts w:ascii="Arial" w:cs="Arial" w:eastAsia="Arial" w:hAnsi="Arial"/>
                <w:sz w:val="11"/>
                <w:szCs w:val="11"/>
                <w:b w:val="1"/>
                <w:bCs w:val="1"/>
                <w:color w:val="auto"/>
                <w:w w:val="89"/>
              </w:rPr>
              <w:t>Year Ended December 31, 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Metals</w:t>
            </w:r>
          </w:p>
        </w:tc>
        <w:tc>
          <w:tcPr>
            <w:tcW w:w="6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color w:val="auto"/>
                <w:w w:val="97"/>
              </w:rPr>
              <w:t>(in millions)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2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17,303</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898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1,827</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304</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136</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2,166</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21,744</w:t>
            </w:r>
          </w:p>
        </w:tc>
      </w:tr>
      <w:tr>
        <w:trPr>
          <w:trHeight w:val="242"/>
        </w:trPr>
        <w:tc>
          <w:tcPr>
            <w:tcW w:w="22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15,005</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1,041</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2,565</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843</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19,591</w:t>
            </w:r>
          </w:p>
        </w:tc>
      </w:tr>
      <w:tr>
        <w:trPr>
          <w:trHeight w:val="228"/>
        </w:trPr>
        <w:tc>
          <w:tcPr>
            <w:tcW w:w="2280" w:type="dxa"/>
            <w:vAlign w:val="bottom"/>
          </w:tcPr>
          <w:p>
            <w:pPr>
              <w:ind w:left="20"/>
              <w:spacing w:after="0"/>
              <w:rPr>
                <w:sz w:val="20"/>
                <w:szCs w:val="20"/>
                <w:color w:val="auto"/>
              </w:rPr>
            </w:pPr>
            <w:r>
              <w:rPr>
                <w:rFonts w:ascii="Arial" w:cs="Arial" w:eastAsia="Arial" w:hAnsi="Arial"/>
                <w:sz w:val="11"/>
                <w:szCs w:val="11"/>
                <w:color w:val="auto"/>
                <w:w w:val="91"/>
              </w:rPr>
              <w:t>Income (loss) before income tax benefit (expense)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1,763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145</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2,153</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438</w:t>
            </w:r>
          </w:p>
        </w:tc>
      </w:tr>
      <w:tr>
        <w:trPr>
          <w:trHeight w:val="228"/>
        </w:trPr>
        <w:tc>
          <w:tcPr>
            <w:tcW w:w="22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1,267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2,591</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w:t>
            </w:r>
          </w:p>
        </w:tc>
      </w:tr>
      <w:tr>
        <w:trPr>
          <w:trHeight w:val="215"/>
        </w:trPr>
        <w:tc>
          <w:tcPr>
            <w:tcW w:w="2280" w:type="dxa"/>
            <w:vAlign w:val="bottom"/>
          </w:tcPr>
          <w:p>
            <w:pPr>
              <w:ind w:left="2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1,214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519</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2,430</w:t>
            </w:r>
          </w:p>
        </w:tc>
      </w:tr>
      <w:tr>
        <w:trPr>
          <w:trHeight w:val="62"/>
        </w:trPr>
        <w:tc>
          <w:tcPr>
            <w:tcW w:w="2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991</w:t>
            </w:r>
          </w:p>
        </w:tc>
      </w:tr>
      <w:tr>
        <w:trPr>
          <w:trHeight w:val="248"/>
        </w:trPr>
        <w:tc>
          <w:tcPr>
            <w:tcW w:w="22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-585470</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-1649095</wp:posOffset>
            </wp:positionV>
            <wp:extent cx="1449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-3038475</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337" w:right="259" w:bottom="1440" w:gutter="0" w:footer="0" w:header="0"/>
        </w:sectPr>
      </w:pPr>
    </w:p>
    <w:bookmarkStart w:id="111" w:name="page112"/>
    <w:bookmarkEnd w:id="111"/>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11"/>
          </w:tcPr>
          <w:p>
            <w:pPr>
              <w:jc w:val="center"/>
              <w:ind w:left="66"/>
              <w:spacing w:after="0"/>
              <w:rPr>
                <w:sz w:val="20"/>
                <w:szCs w:val="20"/>
                <w:color w:val="auto"/>
              </w:rPr>
            </w:pPr>
            <w:r>
              <w:rPr>
                <w:rFonts w:ascii="Arial" w:cs="Arial" w:eastAsia="Arial" w:hAnsi="Arial"/>
                <w:sz w:val="11"/>
                <w:szCs w:val="11"/>
                <w:b w:val="1"/>
                <w:bCs w:val="1"/>
                <w:color w:val="auto"/>
                <w:w w:val="89"/>
              </w:rPr>
              <w:t>Year Ended December 31,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Mining</w:t>
            </w:r>
          </w:p>
        </w:tc>
        <w:tc>
          <w:tcPr>
            <w:tcW w:w="7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7"/>
              </w:rPr>
              <w:t>Packaging</w:t>
            </w:r>
          </w:p>
        </w:tc>
        <w:tc>
          <w:tcPr>
            <w:tcW w:w="20" w:type="dxa"/>
            <w:vAlign w:val="bottom"/>
          </w:tcPr>
          <w:p>
            <w:pPr>
              <w:spacing w:after="0"/>
              <w:rPr>
                <w:sz w:val="12"/>
                <w:szCs w:val="12"/>
                <w:color w:val="auto"/>
              </w:rPr>
            </w:pPr>
          </w:p>
        </w:tc>
        <w:tc>
          <w:tcPr>
            <w:tcW w:w="5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4"/>
              </w:rPr>
              <w:t>Estate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2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b w:val="1"/>
                <w:bCs w:val="1"/>
                <w:color w:val="auto"/>
                <w:w w:val="86"/>
              </w:rPr>
              <w:t>Consolidated</w:t>
            </w:r>
          </w:p>
        </w:tc>
        <w:tc>
          <w:tcPr>
            <w:tcW w:w="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4"/>
          </w:tcPr>
          <w:p>
            <w:pPr>
              <w:jc w:val="center"/>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15,511</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944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1,958</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(1,373)</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131</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107</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16,348</w:t>
            </w:r>
          </w:p>
        </w:tc>
        <w:tc>
          <w:tcPr>
            <w:tcW w:w="20" w:type="dxa"/>
            <w:vAlign w:val="bottom"/>
          </w:tcPr>
          <w:p>
            <w:pPr>
              <w:spacing w:after="0"/>
              <w:rPr>
                <w:sz w:val="22"/>
                <w:szCs w:val="22"/>
                <w:color w:val="auto"/>
              </w:rPr>
            </w:pPr>
          </w:p>
        </w:tc>
      </w:tr>
      <w:tr>
        <w:trPr>
          <w:trHeight w:val="242"/>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13,412</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1,159</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2,342</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709</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878</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18,532</w:t>
            </w:r>
          </w:p>
        </w:tc>
        <w:tc>
          <w:tcPr>
            <w:tcW w:w="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(1,487)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(2,184)</w:t>
            </w:r>
          </w:p>
        </w:tc>
        <w:tc>
          <w:tcPr>
            <w:tcW w:w="20" w:type="dxa"/>
            <w:vAlign w:val="bottom"/>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23"/>
                <w:szCs w:val="23"/>
                <w:color w:val="auto"/>
              </w:rPr>
            </w:pPr>
          </w:p>
        </w:tc>
      </w:tr>
      <w:tr>
        <w:trPr>
          <w:trHeight w:val="228"/>
        </w:trPr>
        <w:tc>
          <w:tcPr>
            <w:tcW w:w="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Net (loss) income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(1,487)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(604)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(95)</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(2,220)</w:t>
            </w:r>
          </w:p>
        </w:tc>
        <w:tc>
          <w:tcPr>
            <w:tcW w:w="20" w:type="dxa"/>
            <w:vAlign w:val="bottom"/>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(883)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(1,092)</w:t>
            </w:r>
          </w:p>
        </w:tc>
        <w:tc>
          <w:tcPr>
            <w:tcW w:w="2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(604)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(327)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(109)</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(1,128)</w:t>
            </w:r>
          </w:p>
        </w:tc>
        <w:tc>
          <w:tcPr>
            <w:tcW w:w="20" w:type="dxa"/>
            <w:vAlign w:val="bottom"/>
          </w:tcPr>
          <w:p>
            <w:pPr>
              <w:spacing w:after="0"/>
              <w:rPr>
                <w:sz w:val="18"/>
                <w:szCs w:val="18"/>
                <w:color w:val="auto"/>
              </w:rPr>
            </w:pPr>
          </w:p>
        </w:tc>
      </w:tr>
      <w:tr>
        <w:trPr>
          <w:trHeight w:val="62"/>
        </w:trPr>
        <w:tc>
          <w:tcPr>
            <w:tcW w:w="20" w:type="dxa"/>
            <w:vAlign w:val="bottom"/>
          </w:tcPr>
          <w:p>
            <w:pPr>
              <w:spacing w:after="0"/>
              <w:rPr>
                <w:sz w:val="5"/>
                <w:szCs w:val="5"/>
                <w:color w:val="auto"/>
              </w:rPr>
            </w:pPr>
          </w:p>
        </w:tc>
        <w:tc>
          <w:tcPr>
            <w:tcW w:w="2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02"/>
        </w:trPr>
        <w:tc>
          <w:tcPr>
            <w:tcW w:w="20" w:type="dxa"/>
            <w:vAlign w:val="bottom"/>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826</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1,014</w:t>
            </w:r>
          </w:p>
        </w:tc>
        <w:tc>
          <w:tcPr>
            <w:tcW w:w="20" w:type="dxa"/>
            <w:vAlign w:val="bottom"/>
          </w:tcPr>
          <w:p>
            <w:pPr>
              <w:spacing w:after="0"/>
              <w:rPr>
                <w:sz w:val="21"/>
                <w:szCs w:val="21"/>
                <w:color w:val="auto"/>
              </w:rPr>
            </w:pPr>
          </w:p>
        </w:tc>
      </w:tr>
      <w:tr>
        <w:trPr>
          <w:trHeight w:val="40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1"/>
          </w:tcPr>
          <w:p>
            <w:pPr>
              <w:jc w:val="center"/>
              <w:ind w:left="86"/>
              <w:spacing w:after="0"/>
              <w:rPr>
                <w:sz w:val="20"/>
                <w:szCs w:val="20"/>
                <w:color w:val="auto"/>
              </w:rPr>
            </w:pPr>
            <w:r>
              <w:rPr>
                <w:rFonts w:ascii="Arial" w:cs="Arial" w:eastAsia="Arial" w:hAnsi="Arial"/>
                <w:sz w:val="11"/>
                <w:szCs w:val="11"/>
                <w:b w:val="1"/>
                <w:bCs w:val="1"/>
                <w:color w:val="auto"/>
                <w:w w:val="88"/>
              </w:rPr>
              <w:t>Year Ended December 31, 2015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Food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Real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60"/>
              <w:spacing w:after="0"/>
              <w:rPr>
                <w:sz w:val="20"/>
                <w:szCs w:val="20"/>
                <w:color w:val="auto"/>
              </w:rPr>
            </w:pPr>
            <w:r>
              <w:rPr>
                <w:rFonts w:ascii="Arial" w:cs="Arial" w:eastAsia="Arial" w:hAnsi="Arial"/>
                <w:sz w:val="11"/>
                <w:szCs w:val="11"/>
                <w:b w:val="1"/>
                <w:bCs w:val="1"/>
                <w:color w:val="auto"/>
              </w:rPr>
              <w:t>Home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Packaging</w:t>
            </w:r>
          </w:p>
        </w:tc>
        <w:tc>
          <w:tcPr>
            <w:tcW w:w="20" w:type="dxa"/>
            <w:vAlign w:val="bottom"/>
          </w:tcPr>
          <w:p>
            <w:pPr>
              <w:spacing w:after="0"/>
              <w:rPr>
                <w:sz w:val="12"/>
                <w:szCs w:val="12"/>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Estate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5"/>
              </w:rPr>
              <w:t>Fashion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Consolidated</w:t>
            </w:r>
          </w:p>
        </w:tc>
        <w:tc>
          <w:tcPr>
            <w:tcW w:w="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5"/>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5"/>
          </w:tcPr>
          <w:p>
            <w:pPr>
              <w:jc w:val="center"/>
              <w:spacing w:after="0"/>
              <w:rPr>
                <w:sz w:val="20"/>
                <w:szCs w:val="20"/>
                <w:color w:val="auto"/>
              </w:rPr>
            </w:pPr>
            <w:r>
              <w:rPr>
                <w:rFonts w:ascii="Arial" w:cs="Arial" w:eastAsia="Arial" w:hAnsi="Arial"/>
                <w:sz w:val="11"/>
                <w:szCs w:val="11"/>
                <w:color w:val="auto"/>
                <w:w w:val="97"/>
              </w:rPr>
              <w:t>(in millions)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14,604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811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1,386</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194</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21"/>
                <w:szCs w:val="2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15,272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2"/>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12,741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643</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Restructuring</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788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1,154</w:t>
            </w:r>
          </w:p>
        </w:tc>
        <w:tc>
          <w:tcPr>
            <w:tcW w:w="20" w:type="dxa"/>
            <w:vAlign w:val="bottom"/>
          </w:tcPr>
          <w:p>
            <w:pPr>
              <w:spacing w:after="0"/>
              <w:rPr>
                <w:sz w:val="21"/>
                <w:szCs w:val="2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17,331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(1,665)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(292)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(2,059)</w:t>
            </w:r>
          </w:p>
        </w:tc>
        <w:tc>
          <w:tcPr>
            <w:tcW w:w="20" w:type="dxa"/>
            <w:vAlign w:val="bottom"/>
            <w:tcBorders>
              <w:top w:val="single" w:sz="8" w:color="auto"/>
            </w:tcBorders>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8"/>
        </w:trPr>
        <w:tc>
          <w:tcPr>
            <w:tcW w:w="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Net (loss) income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(1,665)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(176)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(2,127)</w:t>
            </w:r>
          </w:p>
        </w:tc>
        <w:tc>
          <w:tcPr>
            <w:tcW w:w="20" w:type="dxa"/>
            <w:vAlign w:val="bottom"/>
            <w:tcBorders>
              <w:top w:val="single" w:sz="8" w:color="auto"/>
            </w:tcBorders>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(905)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(760)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(176)</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(1,194)</w:t>
            </w:r>
          </w:p>
        </w:tc>
        <w:tc>
          <w:tcPr>
            <w:tcW w:w="20" w:type="dxa"/>
            <w:vAlign w:val="bottom"/>
            <w:tcBorders>
              <w:top w:val="single" w:sz="8" w:color="auto"/>
            </w:tcBorders>
          </w:tcPr>
          <w:p>
            <w:pPr>
              <w:spacing w:after="0"/>
              <w:rPr>
                <w:sz w:val="18"/>
                <w:szCs w:val="18"/>
                <w:color w:val="auto"/>
              </w:rPr>
            </w:pPr>
          </w:p>
        </w:tc>
      </w:tr>
      <w:tr>
        <w:trPr>
          <w:trHeight w:val="62"/>
        </w:trPr>
        <w:tc>
          <w:tcPr>
            <w:tcW w:w="20" w:type="dxa"/>
            <w:vAlign w:val="bottom"/>
            <w:tcBorders>
              <w:bottom w:val="single" w:sz="8" w:color="CCEEFF"/>
            </w:tcBorders>
          </w:tcPr>
          <w:p>
            <w:pPr>
              <w:spacing w:after="0"/>
              <w:rPr>
                <w:sz w:val="5"/>
                <w:szCs w:val="5"/>
                <w:color w:val="auto"/>
              </w:rPr>
            </w:pPr>
          </w:p>
        </w:tc>
        <w:tc>
          <w:tcPr>
            <w:tcW w:w="2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24"/>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1,359</w:t>
            </w:r>
          </w:p>
        </w:tc>
        <w:tc>
          <w:tcPr>
            <w:tcW w:w="20" w:type="dxa"/>
            <w:vAlign w:val="bottom"/>
            <w:shd w:val="clear" w:color="auto" w:fill="CCEEFF"/>
          </w:tcPr>
          <w:p>
            <w:pPr>
              <w:spacing w:after="0"/>
              <w:rPr>
                <w:sz w:val="21"/>
                <w:szCs w:val="2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-5384800</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-6448425</wp:posOffset>
            </wp:positionV>
            <wp:extent cx="1449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-7837805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1457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-1568450</wp:posOffset>
            </wp:positionV>
            <wp:extent cx="1457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-2957830</wp:posOffset>
            </wp:positionV>
            <wp:extent cx="1457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84" w:orient="portrait"/>
          <w:cols w:equalWidth="0" w:num="1">
            <w:col w:w="11420"/>
          </w:cols>
          <w:pgMar w:left="240" w:top="337" w:right="239" w:bottom="0" w:gutter="0" w:footer="0" w:header="0"/>
        </w:sectPr>
      </w:pPr>
    </w:p>
    <w:bookmarkStart w:id="112" w:name="page113"/>
    <w:bookmarkEnd w:id="112"/>
    <w:p>
      <w:pPr>
        <w:ind w:left="192"/>
        <w:spacing w:after="0"/>
        <w:tabs>
          <w:tab w:leader="none" w:pos="2312" w:val="left"/>
          <w:tab w:leader="none" w:pos="2872" w:val="left"/>
          <w:tab w:leader="none" w:pos="3252" w:val="left"/>
          <w:tab w:leader="none" w:pos="3752" w:val="left"/>
          <w:tab w:leader="none" w:pos="4192" w:val="left"/>
          <w:tab w:leader="none" w:pos="4592" w:val="left"/>
          <w:tab w:leader="none" w:pos="5012" w:val="left"/>
          <w:tab w:leader="none" w:pos="5292" w:val="left"/>
          <w:tab w:leader="none" w:pos="5732" w:val="left"/>
          <w:tab w:leader="none" w:pos="6072" w:val="left"/>
          <w:tab w:leader="none" w:pos="6452" w:val="left"/>
          <w:tab w:leader="none" w:pos="6772" w:val="left"/>
          <w:tab w:leader="none" w:pos="7132" w:val="left"/>
          <w:tab w:leader="none" w:pos="7492" w:val="left"/>
          <w:tab w:leader="none" w:pos="7792" w:val="left"/>
          <w:tab w:leader="none" w:pos="8212" w:val="left"/>
          <w:tab w:leader="none" w:pos="8552" w:val="left"/>
          <w:tab w:leader="none" w:pos="8752" w:val="left"/>
          <w:tab w:leader="none" w:pos="9092" w:val="left"/>
          <w:tab w:leader="none" w:pos="9452" w:val="left"/>
          <w:tab w:leader="none" w:pos="9752" w:val="left"/>
          <w:tab w:leader="none" w:pos="10172" w:val="left"/>
          <w:tab w:leader="none" w:pos="10532" w:val="left"/>
          <w:tab w:leader="none" w:pos="11112" w:val="left"/>
        </w:tabs>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(2)</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346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229</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127</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63</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29</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8</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19</w:t>
      </w:r>
      <w:r>
        <w:rPr>
          <w:sz w:val="20"/>
          <w:szCs w:val="20"/>
          <w:color w:val="auto"/>
        </w:rPr>
        <w:tab/>
      </w:r>
      <w:r>
        <w:rPr>
          <w:rFonts w:ascii="Arial" w:cs="Arial" w:eastAsia="Arial" w:hAnsi="Arial"/>
          <w:sz w:val="11"/>
          <w:szCs w:val="11"/>
          <w:color w:val="auto"/>
        </w:rPr>
        <w:t>$</w:t>
        <w:tab/>
        <w:t>21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7</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849</w:t>
      </w:r>
    </w:p>
    <w:p>
      <w:pPr>
        <w:spacing w:after="0" w:line="270" w:lineRule="exact"/>
        <w:rPr>
          <w:sz w:val="20"/>
          <w:szCs w:val="20"/>
          <w:color w:val="auto"/>
        </w:rPr>
      </w:pPr>
    </w:p>
    <w:p>
      <w:pPr>
        <w:ind w:left="172" w:right="120" w:hanging="172"/>
        <w:spacing w:after="0" w:line="273" w:lineRule="auto"/>
        <w:tabs>
          <w:tab w:leader="none" w:pos="172" w:val="left"/>
        </w:tabs>
        <w:numPr>
          <w:ilvl w:val="0"/>
          <w:numId w:val="27"/>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consolidated amounts of $15 million, $20 million and $14 million for the years ended December 31, 2017, 2016 and 2015, respectively.</w:t>
      </w:r>
    </w:p>
    <w:p>
      <w:pPr>
        <w:spacing w:after="0" w:line="20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12"/>
          </w:cols>
          <w:pgMar w:left="248" w:top="130" w:right="339" w:bottom="1440" w:gutter="0" w:footer="0" w:header="0"/>
        </w:sectPr>
      </w:pPr>
    </w:p>
    <w:bookmarkStart w:id="113" w:name="page114"/>
    <w:bookmarkEnd w:id="113"/>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Icahn Enterprises' condensed balance sheets by reporting segment as of December 31, 2017 and 2016 are presented below. Icahn Enterprises Holdings' condensed balance sheets are substantially the same, with immaterial differences relating to our Holding Company's other assets, debt and equity attributable to Icahn Enterprises Holdings.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7"/>
          </w:tcPr>
          <w:p>
            <w:pPr>
              <w:jc w:val="center"/>
              <w:ind w:right="340"/>
              <w:spacing w:after="0"/>
              <w:rPr>
                <w:sz w:val="20"/>
                <w:szCs w:val="20"/>
                <w:color w:val="auto"/>
              </w:rPr>
            </w:pPr>
            <w:r>
              <w:rPr>
                <w:rFonts w:ascii="Arial" w:cs="Arial" w:eastAsia="Arial" w:hAnsi="Arial"/>
                <w:sz w:val="11"/>
                <w:szCs w:val="11"/>
                <w:b w:val="1"/>
                <w:bCs w:val="1"/>
                <w:color w:val="auto"/>
                <w:w w:val="86"/>
              </w:rPr>
              <w:t>December 31, 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Food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3"/>
              </w:rPr>
              <w:t>Metals</w:t>
            </w:r>
          </w:p>
        </w:tc>
        <w:tc>
          <w:tcPr>
            <w:tcW w:w="20" w:type="dxa"/>
            <w:vAlign w:val="bottom"/>
          </w:tcPr>
          <w:p>
            <w:pPr>
              <w:spacing w:after="0"/>
              <w:rPr>
                <w:sz w:val="12"/>
                <w:szCs w:val="12"/>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rPr>
              <w:t>Mining</w:t>
            </w:r>
          </w:p>
        </w:tc>
        <w:tc>
          <w:tcPr>
            <w:tcW w:w="20" w:type="dxa"/>
            <w:vAlign w:val="bottom"/>
          </w:tcPr>
          <w:p>
            <w:pPr>
              <w:spacing w:after="0"/>
              <w:rPr>
                <w:sz w:val="12"/>
                <w:szCs w:val="12"/>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94"/>
              </w:rPr>
              <w:t>Packaging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5"/>
          </w:tcPr>
          <w:p>
            <w:pPr>
              <w:jc w:val="center"/>
              <w:ind w:left="66"/>
              <w:spacing w:after="0"/>
              <w:rPr>
                <w:sz w:val="20"/>
                <w:szCs w:val="20"/>
                <w:color w:val="auto"/>
              </w:rPr>
            </w:pPr>
            <w:r>
              <w:rPr>
                <w:rFonts w:ascii="Arial" w:cs="Arial" w:eastAsia="Arial" w:hAnsi="Arial"/>
                <w:sz w:val="11"/>
                <w:szCs w:val="11"/>
                <w:color w:val="auto"/>
                <w:w w:val="97"/>
              </w:rPr>
              <w:t>(in millions)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8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c>
          <w:tcPr>
            <w:tcW w:w="0" w:type="dxa"/>
            <w:vAlign w:val="bottom"/>
          </w:tcPr>
          <w:p>
            <w:pPr>
              <w:spacing w:after="0"/>
              <w:rPr>
                <w:sz w:val="1"/>
                <w:szCs w:val="1"/>
                <w:color w:val="auto"/>
              </w:rPr>
            </w:pPr>
          </w:p>
        </w:tc>
      </w:tr>
      <w:tr>
        <w:trPr>
          <w:trHeight w:val="139"/>
        </w:trPr>
        <w:tc>
          <w:tcPr>
            <w:tcW w:w="2280" w:type="dxa"/>
            <w:vAlign w:val="bottom"/>
          </w:tcPr>
          <w:p>
            <w:pPr>
              <w:ind w:left="20"/>
              <w:spacing w:after="0"/>
              <w:rPr>
                <w:sz w:val="20"/>
                <w:szCs w:val="20"/>
                <w:color w:val="auto"/>
              </w:rPr>
            </w:pPr>
            <w:r>
              <w:rPr>
                <w:rFonts w:ascii="Arial" w:cs="Arial" w:eastAsia="Arial" w:hAnsi="Arial"/>
                <w:sz w:val="11"/>
                <w:szCs w:val="11"/>
                <w:color w:val="auto"/>
                <w:w w:val="95"/>
              </w:rPr>
              <w:t>Cash held at consolidated affiliated partnerships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80" w:type="dxa"/>
            <w:vAlign w:val="bottom"/>
          </w:tcPr>
          <w:p>
            <w:pPr>
              <w:ind w:left="200"/>
              <w:spacing w:after="0"/>
              <w:rPr>
                <w:sz w:val="20"/>
                <w:szCs w:val="20"/>
                <w:color w:val="auto"/>
              </w:rPr>
            </w:pPr>
            <w:r>
              <w:rPr>
                <w:rFonts w:ascii="Arial" w:cs="Arial" w:eastAsia="Arial" w:hAnsi="Arial"/>
                <w:sz w:val="11"/>
                <w:szCs w:val="11"/>
                <w:color w:val="auto"/>
              </w:rPr>
              <w:t>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10,369</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1,805</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3,261</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3,503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188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9,701</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2,410</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1,787</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4,700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31,801</w:t>
            </w:r>
          </w:p>
        </w:tc>
        <w:tc>
          <w:tcPr>
            <w:tcW w:w="0" w:type="dxa"/>
            <w:vAlign w:val="bottom"/>
          </w:tcPr>
          <w:p>
            <w:pPr>
              <w:spacing w:after="0"/>
              <w:rPr>
                <w:sz w:val="1"/>
                <w:szCs w:val="1"/>
                <w:color w:val="auto"/>
              </w:rPr>
            </w:pPr>
          </w:p>
        </w:tc>
      </w:tr>
      <w:tr>
        <w:trPr>
          <w:trHeight w:val="20"/>
        </w:trPr>
        <w:tc>
          <w:tcPr>
            <w:tcW w:w="22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Accounts payable, accrued expenses and other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1,125</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6,009</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w w:val="98"/>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1,023</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1,057</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1,159</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1,166</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11,185</w:t>
            </w:r>
          </w:p>
        </w:tc>
        <w:tc>
          <w:tcPr>
            <w:tcW w:w="0" w:type="dxa"/>
            <w:vAlign w:val="bottom"/>
          </w:tcPr>
          <w:p>
            <w:pPr>
              <w:spacing w:after="0"/>
              <w:rPr>
                <w:sz w:val="1"/>
                <w:szCs w:val="1"/>
                <w:color w:val="auto"/>
              </w:rPr>
            </w:pPr>
          </w:p>
        </w:tc>
      </w:tr>
      <w:tr>
        <w:trPr>
          <w:trHeight w:val="228"/>
        </w:trPr>
        <w:tc>
          <w:tcPr>
            <w:tcW w:w="228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3,382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7,315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2,291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445</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5,697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20,433</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1,098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824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5,106</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6,262</w:t>
            </w:r>
          </w:p>
        </w:tc>
        <w:tc>
          <w:tcPr>
            <w:tcW w:w="0" w:type="dxa"/>
            <w:vAlign w:val="bottom"/>
          </w:tcPr>
          <w:p>
            <w:pPr>
              <w:spacing w:after="0"/>
              <w:rPr>
                <w:sz w:val="1"/>
                <w:szCs w:val="1"/>
                <w:color w:val="auto"/>
              </w:rPr>
            </w:pPr>
          </w:p>
        </w:tc>
      </w:tr>
      <w:tr>
        <w:trPr>
          <w:trHeight w:val="228"/>
        </w:trPr>
        <w:tc>
          <w:tcPr>
            <w:tcW w:w="2280" w:type="dxa"/>
            <w:vAlign w:val="bottom"/>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7,417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3,394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2,409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898</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824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(4,783)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11,368</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4,700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31,801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7"/>
          </w:tcPr>
          <w:p>
            <w:pPr>
              <w:jc w:val="center"/>
              <w:ind w:right="340"/>
              <w:spacing w:after="0"/>
              <w:rPr>
                <w:sz w:val="20"/>
                <w:szCs w:val="20"/>
                <w:color w:val="auto"/>
              </w:rPr>
            </w:pPr>
            <w:r>
              <w:rPr>
                <w:rFonts w:ascii="Arial" w:cs="Arial" w:eastAsia="Arial" w:hAnsi="Arial"/>
                <w:sz w:val="11"/>
                <w:szCs w:val="11"/>
                <w:b w:val="1"/>
                <w:bCs w:val="1"/>
                <w:color w:val="auto"/>
                <w:w w:val="86"/>
              </w:rPr>
              <w:t>December 31, 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Food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Metals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5"/>
              </w:rPr>
              <w:t>Mining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w w:val="98"/>
              </w:rPr>
              <w:t>Packaging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5"/>
          </w:tcPr>
          <w:p>
            <w:pPr>
              <w:jc w:val="center"/>
              <w:ind w:left="66"/>
              <w:spacing w:after="0"/>
              <w:rPr>
                <w:sz w:val="20"/>
                <w:szCs w:val="20"/>
                <w:color w:val="auto"/>
              </w:rPr>
            </w:pPr>
            <w:r>
              <w:rPr>
                <w:rFonts w:ascii="Arial" w:cs="Arial" w:eastAsia="Arial" w:hAnsi="Arial"/>
                <w:sz w:val="11"/>
                <w:szCs w:val="11"/>
                <w:color w:val="auto"/>
                <w:w w:val="97"/>
              </w:rPr>
              <w:t>(in millions)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8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1,833</w:t>
            </w:r>
          </w:p>
        </w:tc>
        <w:tc>
          <w:tcPr>
            <w:tcW w:w="0" w:type="dxa"/>
            <w:vAlign w:val="bottom"/>
          </w:tcPr>
          <w:p>
            <w:pPr>
              <w:spacing w:after="0"/>
              <w:rPr>
                <w:sz w:val="1"/>
                <w:szCs w:val="1"/>
                <w:color w:val="auto"/>
              </w:rPr>
            </w:pPr>
          </w:p>
        </w:tc>
      </w:tr>
      <w:tr>
        <w:trPr>
          <w:trHeight w:val="139"/>
        </w:trPr>
        <w:tc>
          <w:tcPr>
            <w:tcW w:w="2280" w:type="dxa"/>
            <w:vAlign w:val="bottom"/>
          </w:tcPr>
          <w:p>
            <w:pPr>
              <w:ind w:left="20"/>
              <w:spacing w:after="0"/>
              <w:rPr>
                <w:sz w:val="20"/>
                <w:szCs w:val="20"/>
                <w:color w:val="auto"/>
              </w:rPr>
            </w:pPr>
            <w:r>
              <w:rPr>
                <w:rFonts w:ascii="Arial" w:cs="Arial" w:eastAsia="Arial" w:hAnsi="Arial"/>
                <w:sz w:val="11"/>
                <w:szCs w:val="11"/>
                <w:color w:val="auto"/>
                <w:w w:val="95"/>
              </w:rPr>
              <w:t>Cash held at consolidated affiliated partnerships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80" w:type="dxa"/>
            <w:vAlign w:val="bottom"/>
          </w:tcPr>
          <w:p>
            <w:pPr>
              <w:ind w:left="200"/>
              <w:spacing w:after="0"/>
              <w:rPr>
                <w:sz w:val="20"/>
                <w:szCs w:val="20"/>
                <w:color w:val="auto"/>
              </w:rPr>
            </w:pPr>
            <w:r>
              <w:rPr>
                <w:rFonts w:ascii="Arial" w:cs="Arial" w:eastAsia="Arial" w:hAnsi="Arial"/>
                <w:sz w:val="11"/>
                <w:szCs w:val="11"/>
                <w:color w:val="auto"/>
              </w:rPr>
              <w:t>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752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804</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9,881</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1,609</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2,983</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602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10,122</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2,252</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3,887</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2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11,496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9,855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5,013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1,402</w:t>
            </w: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428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687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553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33,371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Accounts payable, accrued expenses and other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1,474</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34</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69</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8,191</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w w:val="98"/>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1,139</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3,725</w:t>
            </w: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1,180</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11,119</w:t>
            </w:r>
          </w:p>
        </w:tc>
        <w:tc>
          <w:tcPr>
            <w:tcW w:w="0" w:type="dxa"/>
            <w:vAlign w:val="bottom"/>
          </w:tcPr>
          <w:p>
            <w:pPr>
              <w:spacing w:after="0"/>
              <w:rPr>
                <w:sz w:val="1"/>
                <w:szCs w:val="1"/>
                <w:color w:val="auto"/>
              </w:rPr>
            </w:pPr>
          </w:p>
        </w:tc>
      </w:tr>
      <w:tr>
        <w:trPr>
          <w:trHeight w:val="228"/>
        </w:trPr>
        <w:tc>
          <w:tcPr>
            <w:tcW w:w="228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7,242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2,639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38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93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390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5,658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25,354</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2,292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1,034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155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642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(5,105)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2,154</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1,340</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5,863</w:t>
            </w:r>
          </w:p>
        </w:tc>
        <w:tc>
          <w:tcPr>
            <w:tcW w:w="0" w:type="dxa"/>
            <w:vAlign w:val="bottom"/>
          </w:tcPr>
          <w:p>
            <w:pPr>
              <w:spacing w:after="0"/>
              <w:rPr>
                <w:sz w:val="1"/>
                <w:szCs w:val="1"/>
                <w:color w:val="auto"/>
              </w:rPr>
            </w:pPr>
          </w:p>
        </w:tc>
      </w:tr>
      <w:tr>
        <w:trPr>
          <w:trHeight w:val="228"/>
        </w:trPr>
        <w:tc>
          <w:tcPr>
            <w:tcW w:w="2280" w:type="dxa"/>
            <w:vAlign w:val="bottom"/>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5,396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2,374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155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126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38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(5,105)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8,017</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2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11,496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9,855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5,013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1,402</w:t>
            </w: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428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687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553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33,371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9" w:orient="portrait"/>
          <w:cols w:equalWidth="0" w:num="1">
            <w:col w:w="11400"/>
          </w:cols>
          <w:pgMar w:left="240" w:top="337" w:right="259" w:bottom="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ectPr>
          <w:pgSz w:w="11900" w:h="16839" w:orient="portrait"/>
          <w:cols w:equalWidth="0" w:num="1">
            <w:col w:w="11400"/>
          </w:cols>
          <w:pgMar w:left="240" w:top="337" w:right="259" w:bottom="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The following table presents our segments' geographic net sales from external customers, other revenues from operations and property, plant and equipment, net for the periods indicated: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Property, Plant and</w:t>
            </w:r>
          </w:p>
        </w:tc>
      </w:tr>
      <w:tr>
        <w:trPr>
          <w:trHeight w:val="234"/>
        </w:trPr>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Net Sales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Other Revenues From Operations</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Equipment, Net</w:t>
            </w:r>
          </w:p>
        </w:tc>
      </w:tr>
      <w:tr>
        <w:trPr>
          <w:trHeight w:val="27"/>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452"/>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8,063</w:t>
            </w:r>
          </w:p>
        </w:tc>
      </w:tr>
      <w:tr>
        <w:trPr>
          <w:trHeight w:val="243"/>
        </w:trPr>
        <w:tc>
          <w:tcPr>
            <w:tcW w:w="1480" w:type="dxa"/>
            <w:vAlign w:val="bottom"/>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r>
      <w:tr>
        <w:trPr>
          <w:trHeight w:val="237"/>
        </w:trPr>
        <w:tc>
          <w:tcPr>
            <w:tcW w:w="14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10,122</w:t>
            </w:r>
          </w:p>
        </w:tc>
      </w:tr>
      <w:tr>
        <w:trPr>
          <w:trHeight w:val="27"/>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Geographic locations for net sales and other revenues from operations are based on locations of the customers and geographic locations for property, plant, and equipment are based on the locations of the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difference between the book basis and the tax basis of our net assets, not directly subject to income taxes, is as follows:</w:t>
      </w:r>
    </w:p>
    <w:p>
      <w:pPr>
        <w:sectPr>
          <w:pgSz w:w="11900" w:h="16838" w:orient="portrait"/>
          <w:cols w:equalWidth="0" w:num="1">
            <w:col w:w="11400"/>
          </w:cols>
          <w:pgMar w:left="240" w:top="337" w:right="259" w:bottom="1440" w:gutter="0" w:footer="0" w:header="0"/>
        </w:sectPr>
      </w:pPr>
    </w:p>
    <w:p>
      <w:pPr>
        <w:spacing w:after="0" w:line="167"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555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555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555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33"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2229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34290</wp:posOffset>
            </wp:positionV>
            <wp:extent cx="22294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22294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7840" w:space="720"/>
            <w:col w:w="2840"/>
          </w:cols>
          <w:pgMar w:left="240" w:top="337" w:right="259" w:bottom="1440" w:gutter="0" w:footer="0" w:header="0"/>
          <w:type w:val="continuous"/>
        </w:sectPr>
      </w:pPr>
    </w:p>
    <w:tbl>
      <w:tblPr>
        <w:tblLayout w:type="fixed"/>
        <w:tblInd w:w="20" w:type="dxa"/>
        <w:tblCellMar>
          <w:top w:w="0" w:type="dxa"/>
          <w:left w:w="0" w:type="dxa"/>
          <w:bottom w:w="0" w:type="dxa"/>
          <w:right w:w="0" w:type="dxa"/>
        </w:tblCellMar>
      </w:tblPr>
      <w:tr>
        <w:trPr>
          <w:trHeight w:val="262"/>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basis of net assets</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5,133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Book/tax basis difference</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1,888</w:t>
            </w:r>
          </w:p>
        </w:tc>
      </w:tr>
      <w:tr>
        <w:trPr>
          <w:trHeight w:val="27"/>
        </w:trPr>
        <w:tc>
          <w:tcPr>
            <w:tcW w:w="4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basis of net assets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7160" w:type="dxa"/>
            <w:vAlign w:val="bottom"/>
            <w:gridSpan w:val="6"/>
          </w:tcPr>
          <w:p>
            <w:pPr>
              <w:ind w:left="360"/>
              <w:spacing w:after="0"/>
              <w:rPr>
                <w:sz w:val="20"/>
                <w:szCs w:val="20"/>
                <w:color w:val="auto"/>
              </w:rPr>
            </w:pPr>
            <w:r>
              <w:rPr>
                <w:rFonts w:ascii="Arial" w:cs="Arial" w:eastAsia="Arial" w:hAnsi="Arial"/>
                <w:sz w:val="18"/>
                <w:szCs w:val="18"/>
                <w:color w:val="auto"/>
                <w:w w:val="93"/>
              </w:rPr>
              <w:t>Income (loss) from continuing operations before income tax expense (benefit) is as follows: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4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4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6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4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0"/>
        </w:trPr>
        <w:tc>
          <w:tcPr>
            <w:tcW w:w="6040" w:type="dxa"/>
            <w:vAlign w:val="bottom"/>
            <w:tcBorders>
              <w:top w:val="single" w:sz="8" w:color="CCEEFF"/>
            </w:tcBorders>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160" w:type="dxa"/>
            <w:vAlign w:val="bottom"/>
            <w:gridSpan w:val="6"/>
          </w:tcPr>
          <w:p>
            <w:pPr>
              <w:ind w:left="360"/>
              <w:spacing w:after="0"/>
              <w:rPr>
                <w:sz w:val="20"/>
                <w:szCs w:val="20"/>
                <w:color w:val="auto"/>
              </w:rPr>
            </w:pPr>
            <w:r>
              <w:rPr>
                <w:rFonts w:ascii="Arial" w:cs="Arial" w:eastAsia="Arial" w:hAnsi="Arial"/>
                <w:sz w:val="18"/>
                <w:szCs w:val="18"/>
                <w:color w:val="auto"/>
              </w:rPr>
              <w:t>Income tax benefit (expense) attributable to continuing operations is as follows: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4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4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4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5"/>
        </w:trPr>
        <w:tc>
          <w:tcPr>
            <w:tcW w:w="4220" w:type="dxa"/>
            <w:vAlign w:val="bottom"/>
          </w:tcPr>
          <w:p>
            <w:pPr>
              <w:ind w:left="20"/>
              <w:spacing w:after="0"/>
              <w:rPr>
                <w:sz w:val="20"/>
                <w:szCs w:val="20"/>
                <w:color w:val="auto"/>
              </w:rPr>
            </w:pPr>
            <w:r>
              <w:rPr>
                <w:rFonts w:ascii="Arial" w:cs="Arial" w:eastAsia="Arial" w:hAnsi="Arial"/>
                <w:sz w:val="18"/>
                <w:szCs w:val="18"/>
                <w:color w:val="auto"/>
              </w:rPr>
              <w:t>Current:</w:t>
            </w: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4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Deferred:</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6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4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4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-3815715</wp:posOffset>
            </wp:positionV>
            <wp:extent cx="2675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-3995420</wp:posOffset>
            </wp:positionV>
            <wp:extent cx="2675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00"/>
          </w:cols>
          <w:pgMar w:left="240" w:top="337" w:right="259" w:bottom="1440"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A reconciliation of the income tax benefit (expense) calculated at the federal statutory rate to income tax benefit (expense) on continuing operations as shown in the consolidated statements of operations is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 at U.S. statutory rate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Tax effect from:</w:t>
            </w: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Uncertain tax positions and assessments</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Income not subject to taxation</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Enactment of U.S. tax legislation, net of valuation allowance</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0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38334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74"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7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r>
      <w:tr>
        <w:trPr>
          <w:trHeight w:val="255"/>
        </w:trPr>
        <w:tc>
          <w:tcPr>
            <w:tcW w:w="78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1,981</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Post-employment benefits, including pensions</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Reorganization costs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(1,293)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Investment in partnerships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(1,721)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37"/>
        </w:trPr>
        <w:tc>
          <w:tcPr>
            <w:tcW w:w="786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-393700</wp:posOffset>
            </wp:positionV>
            <wp:extent cx="49911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110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-1645920</wp:posOffset>
            </wp:positionV>
            <wp:extent cx="6148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-1826260</wp:posOffset>
            </wp:positionV>
            <wp:extent cx="61487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-2177415</wp:posOffset>
            </wp:positionV>
            <wp:extent cx="61487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74" w:lineRule="exact"/>
        <w:rPr>
          <w:sz w:val="20"/>
          <w:szCs w:val="20"/>
          <w:color w:val="auto"/>
        </w:rPr>
      </w:pPr>
    </w:p>
    <w:p>
      <w:pPr>
        <w:ind w:right="240" w:firstLine="378"/>
        <w:spacing w:after="0" w:line="342" w:lineRule="auto"/>
        <w:rPr>
          <w:sz w:val="20"/>
          <w:szCs w:val="20"/>
          <w:color w:val="auto"/>
        </w:rPr>
      </w:pPr>
      <w:r>
        <w:rPr>
          <w:rFonts w:ascii="Arial" w:cs="Arial" w:eastAsia="Arial" w:hAnsi="Arial"/>
          <w:sz w:val="16"/>
          <w:szCs w:val="16"/>
          <w:color w:val="auto"/>
        </w:rPr>
        <w:t>We recorded deferred tax assets and deferred tax liabilities of $134 million and $924 million, respectively, as of December 31, 2017 and $305 million and $1,613 million, respectively, as of December 31, 2016. Deferred tax assets are included in other assets in our consolidated balance sheets.</w:t>
      </w:r>
    </w:p>
    <w:p>
      <w:pPr>
        <w:sectPr>
          <w:pgSz w:w="11900" w:h="16838" w:orient="portrait"/>
          <w:cols w:equalWidth="0" w:num="1">
            <w:col w:w="11400"/>
          </w:cols>
          <w:pgMar w:left="240" w:top="337" w:right="25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00"/>
          </w:cols>
          <w:pgMar w:left="240" w:top="337" w:right="259" w:bottom="1440" w:gutter="0" w:footer="0" w:header="0"/>
          <w:type w:val="continuous"/>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firstLine="378"/>
        <w:spacing w:after="0" w:line="270" w:lineRule="auto"/>
        <w:rPr>
          <w:sz w:val="20"/>
          <w:szCs w:val="20"/>
          <w:color w:val="auto"/>
        </w:rPr>
      </w:pPr>
      <w:r>
        <w:rPr>
          <w:rFonts w:ascii="Arial" w:cs="Arial" w:eastAsia="Arial" w:hAnsi="Arial"/>
          <w:sz w:val="17"/>
          <w:szCs w:val="17"/>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2017 we had a valuation allowance of approximately $1.3 billion primarily related to tax loss and credit carryforwards, post-retirement benefits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2017, the valuation allowance on deferred tax assets decreased by $528 million. The decrease was primarily attributable to a $491 million release of valuation allowance on all of the Federal-Mogul federal net operating loss carryforward and a portion of state loss carryforwards and other deferred tax assets. The remaining decrease was attributable to a $77 million decrease in the valuation allowance of our Gaming segment and a $13 million decrease in our Mining segment, offset in part by increases of $53 million recorded by the Automotive segment and Holding Company.</w:t>
      </w:r>
    </w:p>
    <w:p>
      <w:pPr>
        <w:spacing w:after="0" w:line="74"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At December 31, 2017, American Entertainment Properties Corp., a wholly owned corporate subsidiary of Icahn Enterprises and Icahn Enterprises Holdings, which includes all or parts of our Automotive, Energy, Railcar, Metals, Gaming, Home Fashion and Real Estate segments had a deferred tax asset before valuation allowance of approximately $1.0 billion related to tax loss carryforwards including: $684 million in the U.S. with expiration dates from 2027 through 2037; $47 million in the United Kingdom with no expiration dates; and $287 million in other jurisdictions with various expiration dates.</w:t>
      </w:r>
    </w:p>
    <w:p>
      <w:pPr>
        <w:spacing w:after="0" w:line="46" w:lineRule="exact"/>
        <w:rPr>
          <w:sz w:val="20"/>
          <w:szCs w:val="20"/>
          <w:color w:val="auto"/>
        </w:rPr>
      </w:pPr>
    </w:p>
    <w:p>
      <w:pPr>
        <w:jc w:val="both"/>
        <w:ind w:right="40" w:firstLine="378"/>
        <w:spacing w:after="0" w:line="264" w:lineRule="auto"/>
        <w:rPr>
          <w:sz w:val="20"/>
          <w:szCs w:val="20"/>
          <w:color w:val="auto"/>
        </w:rPr>
      </w:pPr>
      <w:r>
        <w:rPr>
          <w:rFonts w:ascii="Arial" w:cs="Arial" w:eastAsia="Arial" w:hAnsi="Arial"/>
          <w:sz w:val="18"/>
          <w:szCs w:val="18"/>
          <w:color w:val="auto"/>
        </w:rPr>
        <w:t>At December 31, 2017, CVR Energy had Kansas state income tax credits of $9 million, which are available to reduce future Kansas state income taxes. These credits, if not used, will expire beginning in 2032. Additionally, CVR Energy has Oklahoma state income tax credits of $30 million which are available to reduce future Oklahoma state regular income taxes. These credits have an indefinite life.</w:t>
      </w:r>
    </w:p>
    <w:p>
      <w:pPr>
        <w:spacing w:after="0" w:line="73" w:lineRule="exact"/>
        <w:rPr>
          <w:sz w:val="20"/>
          <w:szCs w:val="20"/>
          <w:color w:val="auto"/>
        </w:rPr>
      </w:pPr>
    </w:p>
    <w:p>
      <w:pPr>
        <w:ind w:right="20" w:firstLine="378"/>
        <w:spacing w:after="0" w:line="342" w:lineRule="auto"/>
        <w:rPr>
          <w:sz w:val="20"/>
          <w:szCs w:val="20"/>
          <w:color w:val="auto"/>
        </w:rPr>
      </w:pPr>
      <w:r>
        <w:rPr>
          <w:rFonts w:ascii="Arial" w:cs="Arial" w:eastAsia="Arial" w:hAnsi="Arial"/>
          <w:sz w:val="16"/>
          <w:szCs w:val="16"/>
          <w:color w:val="auto"/>
        </w:rPr>
        <w:t>At December 31, 2017, Viskase had U.S. federal net operating loss carryforwards of $86 million which will begin expiring in the year 2024 and forward, and foreign net operating loss carryforwards of $13 million with unlimited carryforward period and $9 million with a five-year carryforward period.</w:t>
      </w:r>
    </w:p>
    <w:p>
      <w:pPr>
        <w:spacing w:after="0" w:line="16" w:lineRule="exact"/>
        <w:rPr>
          <w:sz w:val="20"/>
          <w:szCs w:val="20"/>
          <w:color w:val="auto"/>
        </w:rPr>
      </w:pPr>
    </w:p>
    <w:p>
      <w:pPr>
        <w:ind w:right="620" w:firstLine="378"/>
        <w:spacing w:after="0" w:line="308" w:lineRule="auto"/>
        <w:rPr>
          <w:sz w:val="20"/>
          <w:szCs w:val="20"/>
          <w:color w:val="auto"/>
        </w:rPr>
      </w:pPr>
      <w:r>
        <w:rPr>
          <w:rFonts w:ascii="Arial" w:cs="Arial" w:eastAsia="Arial" w:hAnsi="Arial"/>
          <w:sz w:val="17"/>
          <w:szCs w:val="17"/>
          <w:color w:val="auto"/>
        </w:rPr>
        <w:t>At December 31, 2017, ARI had a federal net operating loss of $54 million that will be carried back to tax years 2015 and 2016 and will be fully absorbed. In addition, ARI had state net operating carryforwards of $31 million, which have varying expiration dates that extend into 2037.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Enactment of U.S. Tax Legislation</w:t>
      </w:r>
    </w:p>
    <w:p>
      <w:pPr>
        <w:spacing w:after="0" w:line="117"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On December 22, 2017, The Tax Cuts and Jobs Act (the "Tax Legislation") was enacted in the United States, significantly revising certain U.S. corporate income tax provisions; including, among other items, a reduction of the U.S. corporate rate from 35% to 21%, effective for tax year beginning after December 31, 2017; the transition of U.S. international taxation from a worldwide tax system to a territorial system; and a one-time transition tax on the mandatory deemed repatriation of cumulative foreign earnings as of December 31, 2017, (or, if greater, November 2, 2017) of a “specified foreign corporation” which includes controlled foreign corporations and other foreign corporations which have at least one U.S. corporate shareholder that owns 10% or more of the value or voting power of such foreign corporation. We estimated the impact of the Tax Legislation on our income tax provision for the year ended December 31, 2017 in accordance with our understanding of the Tax Legislation and guidance available at the date of this filing and as a result have recorded adjustments to the various tax balances, current, long-term and deferred tax assets and liabilities, all during the fourth quarter of 2017, the period in which the Tax Legislation was enacted. The provisional amount related to the remeasurement of certain deferred tax assets and liabilities based on the rates at which they are expected to reverse in the future was $496 million, representing an income tax benefit recorded during the current period. The provisional amount related to the one-time transition tax on the mandatory deemed repatriation of foreign earnings was $2 million.</w:t>
      </w:r>
    </w:p>
    <w:p>
      <w:pPr>
        <w:spacing w:after="0" w:line="65"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Tax Legislation. In accordance with SAB 118, we have determined that the $496 million of income tax benefit recorded in connection with the remeasurement of certain deferred tax assets and liabilities and the $2 million of current tax expense recorded in connection with the transition tax on mandatory deemed repatriation of foreign earnings were each a provisional amount and a reasonable estimate as of the date of this filing. The accounting for these provisional amounts may be adjusted as we gain a better understanding of the new tax laws due to additional guidance and analysis of these estimates, including but not limited to, guidance on application of the one-time transition tax to 10% U.S. shareholders of a specified foreign corporation, state tax treatments and finalizing our foreign affiliate analysis. Any subsequent adjustment to these amounts will be recorded to tax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37"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expense in the quarter of 2018 when the analysis is complete and additional guidance and Internal Revenue Service interpretations are issued.</w:t>
      </w:r>
    </w:p>
    <w:p>
      <w:pPr>
        <w:spacing w:after="0" w:line="117" w:lineRule="exact"/>
        <w:rPr>
          <w:sz w:val="20"/>
          <w:szCs w:val="20"/>
          <w:color w:val="auto"/>
        </w:rPr>
      </w:pPr>
    </w:p>
    <w:p>
      <w:pPr>
        <w:ind w:right="340" w:firstLine="378"/>
        <w:spacing w:after="0" w:line="302" w:lineRule="auto"/>
        <w:rPr>
          <w:sz w:val="20"/>
          <w:szCs w:val="20"/>
          <w:color w:val="auto"/>
        </w:rPr>
      </w:pPr>
      <w:r>
        <w:rPr>
          <w:rFonts w:ascii="Arial" w:cs="Arial" w:eastAsia="Arial" w:hAnsi="Arial"/>
          <w:sz w:val="16"/>
          <w:szCs w:val="16"/>
          <w:color w:val="auto"/>
        </w:rPr>
        <w:t xml:space="preserve">The Tax Legislation requires a U.S. shareholder of a foreign corporation to include in income its global intangible low-taxed income ("GILTI"). The computation for the GILTI is still subject to interpretation and additional clarifying guidance is expected in 2018. We are continuing to evaluate this requirement and its application under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Accordingly, we have not made any adjustments in our current year financial statements and have not made a policy decision regarding whether to record deferred taxes on GILTI or to record it as a period cost adjustment.</w:t>
      </w:r>
    </w:p>
    <w:p>
      <w:pPr>
        <w:spacing w:after="0" w:line="46"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Under the Tax Legislation, an entity must pay a Base Erosion Anti-Abuse Tax ("BEAT") if the BEAT is greater than its regular tax liability. Based upon the FASB’s guidance in this area, any incremental effect of BEAT tax should be recognized in the year the BEAT is incurred. This tax applies to future years and therefore there are no impacts or estimates in the current year financial statements.</w:t>
      </w:r>
    </w:p>
    <w:p>
      <w:pPr>
        <w:spacing w:after="0" w:line="73" w:lineRule="exact"/>
        <w:rPr>
          <w:sz w:val="20"/>
          <w:szCs w:val="20"/>
          <w:color w:val="auto"/>
        </w:rPr>
      </w:pPr>
    </w:p>
    <w:p>
      <w:pPr>
        <w:ind w:right="260" w:firstLine="378"/>
        <w:spacing w:after="0" w:line="286" w:lineRule="auto"/>
        <w:rPr>
          <w:sz w:val="20"/>
          <w:szCs w:val="20"/>
          <w:color w:val="auto"/>
        </w:rPr>
      </w:pPr>
      <w:r>
        <w:rPr>
          <w:rFonts w:ascii="Arial" w:cs="Arial" w:eastAsia="Arial" w:hAnsi="Arial"/>
          <w:sz w:val="17"/>
          <w:szCs w:val="17"/>
          <w:color w:val="auto"/>
        </w:rPr>
        <w:t>As of December 31, 2017, Federal Mogul, Viskase and ARI have not provided taxes on $784 million, $46 million and $6 million, respectively, of undistributed earnings in foreign subsidiaries which are deemed to be indefinitely reinvested. If at some future date these earnings cease to be permanently reinvested, we may be subject to foreign income and withholding taxes upon repatriation of such amounts.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the changes in the gross amounts of unrecognized tax benefits for the years ended December 31, 2017, 2016 and 2015 are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89"/>
              </w:rPr>
              <w:t>Years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Addition based on tax positions related to the current year</w:t>
            </w:r>
          </w:p>
        </w:tc>
        <w:tc>
          <w:tcPr>
            <w:tcW w:w="12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for tax positions of prior years</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Decrease for tax positions of prior years</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 for statute of limitation expiration</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Impact of currency translation and other</w:t>
            </w:r>
          </w:p>
        </w:tc>
        <w:tc>
          <w:tcPr>
            <w:tcW w:w="12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6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6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-393700</wp:posOffset>
            </wp:positionV>
            <wp:extent cx="38334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74"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At December 31, 2017, 2016 and 2015, we had unrecognized tax benefits of $129 million, $101 million and $94 million, respectively. Of these totals, $29 million, $68 million and $76 million represents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During the next 12 months, Federal-Mogul believes that it is reasonably possible that unrecognized tax benefits of Federal-Mogul may decrease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 million due to audit settlements or statute expirations, of which approximately $2 million, if recognized, could impact the effective tax 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do not anticipate any significant changes to the amount of our unrecognized tax benefits in our other business segments during the next 12 months.</w:t>
      </w:r>
    </w:p>
    <w:p>
      <w:pPr>
        <w:spacing w:after="0" w:line="114" w:lineRule="exact"/>
        <w:rPr>
          <w:sz w:val="20"/>
          <w:szCs w:val="20"/>
          <w:color w:val="auto"/>
        </w:rPr>
      </w:pPr>
    </w:p>
    <w:p>
      <w:pPr>
        <w:ind w:right="100" w:firstLine="378"/>
        <w:spacing w:after="0" w:line="291" w:lineRule="auto"/>
        <w:rPr>
          <w:sz w:val="20"/>
          <w:szCs w:val="20"/>
          <w:color w:val="auto"/>
        </w:rPr>
      </w:pPr>
      <w:r>
        <w:rPr>
          <w:rFonts w:ascii="Arial" w:cs="Arial" w:eastAsia="Arial" w:hAnsi="Arial"/>
          <w:sz w:val="16"/>
          <w:szCs w:val="16"/>
          <w:color w:val="auto"/>
        </w:rPr>
        <w:t>We recognize interest and penalties accrued related to unrecognized tax benefits as a component of income tax expense. We recorded $6 million, $15 million and $19 million as of December 31, 2017, 2016 and 2015, respectively, in liabilities for tax related net interest and penalties in our consolidated balance sheets. Income tax (benefit) related to interest and penalties were $(9) million, $(4) million and $(11) million for the years December 31, 2017, 2016 and 2015, respectively. We or certain of our subsidiaries file income tax returns in the U.S. federal jurisdiction, various state jurisdictions and various non-U.S. jurisdictions. We and our subsidiaries are no longer subject to U.S. federal tax examinations for years before 2013 or state and local examinations for years before 2009, with limited exceptions. We, or our subsidiaries, are currently under various income tax examinations in several states and foreign jurisdictions, but are no longer subject to income tax examinations in major foreign jurisdictions for years prior to 2005.</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337" w:right="2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Post-Employment</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Hedge Instruments,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Adjustments and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Benefits, Net of Tax</w:t>
            </w:r>
          </w:p>
        </w:tc>
        <w:tc>
          <w:tcPr>
            <w:tcW w:w="280" w:type="dxa"/>
            <w:vAlign w:val="bottom"/>
          </w:tcPr>
          <w:p>
            <w:pPr>
              <w:spacing w:after="0"/>
              <w:rPr>
                <w:sz w:val="20"/>
                <w:szCs w:val="20"/>
                <w:color w:val="auto"/>
              </w:rPr>
            </w:pPr>
          </w:p>
        </w:tc>
        <w:tc>
          <w:tcPr>
            <w:tcW w:w="1380" w:type="dxa"/>
            <w:vAlign w:val="bottom"/>
          </w:tcPr>
          <w:p>
            <w:pPr>
              <w:jc w:val="center"/>
              <w:ind w:right="171"/>
              <w:spacing w:after="0"/>
              <w:rPr>
                <w:sz w:val="20"/>
                <w:szCs w:val="20"/>
                <w:color w:val="auto"/>
              </w:rPr>
            </w:pPr>
            <w:r>
              <w:rPr>
                <w:rFonts w:ascii="Arial" w:cs="Arial" w:eastAsia="Arial" w:hAnsi="Arial"/>
                <w:sz w:val="18"/>
                <w:szCs w:val="18"/>
                <w:b w:val="1"/>
                <w:bCs w:val="1"/>
                <w:color w:val="auto"/>
                <w:w w:val="91"/>
              </w:rPr>
              <w:t>Net of Tax</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Other, Net of Tax</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8"/>
          </w:tcPr>
          <w:p>
            <w:pPr>
              <w:ind w:left="11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w w:val="90"/>
              </w:rPr>
              <w:t>Other comprehensive income before reclassifications, net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Reclassifications from accumulated other comprehensive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(loss)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16. Other Income,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Other income, net consists of the following:</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40" w:type="dxa"/>
            <w:vAlign w:val="bottom"/>
            <w:gridSpan w:val="8"/>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acquisition</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w w:val="92"/>
              </w:rPr>
              <w:t>Realized and unrealized loss on derivatives, net (Note 6)</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derivative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Dividend expense</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Equity earnings from non-consolidated affiliates</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Tax settlement gain</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Predecessor claim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$50 million and $50 million as of December 31, 2017 and 2016, respectively, primarily within our Automotive, Energy and Metals segments and which are included in accrued expenses and other liabilities in our consolidated balance sheets. We do not believe that environmental matters will have a material adverse impact on our consolidated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w:t>
      </w:r>
    </w:p>
    <w:p>
      <w:pPr>
        <w:sectPr>
          <w:pgSz w:w="11900" w:h="16838" w:orient="portrait"/>
          <w:cols w:equalWidth="0" w:num="1">
            <w:col w:w="11420"/>
          </w:cols>
          <w:pgMar w:left="240" w:top="337"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337" w:right="239" w:bottom="1440"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whom they sent such substances for treatment or other disposition at third party locations. Federal-Mogul has been notified by the EPA,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the professional judgment of consultants.</w:t>
      </w:r>
    </w:p>
    <w:p>
      <w:pPr>
        <w:spacing w:after="0" w:line="6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Automotive segment's total environmental liabilities, determined on an undiscounted basis, were $16 million and $16 million as of December 31, 2017 and 2016, respectively. 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December 31, 2017, Federal-Mogul estimates additional losses above and beyond its best estimate of required remediation costs could range up to $24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August 1, 2016, a subsidiary of CVR Energy ("CRCT") received a Notice of Probably Violation, Proposed Civil Penalty and Proposed Compliance Order (the "NOPV") from the U.S. Department of Transportation's Pipeline and Hazardous Materials Safety Administration (the "PHMSA"). The NOPV alleges violations of the Pipeline Safety Regulations, Title 49, Code of Federal Regulations. The alleged violations include alleged failures (during various time periods) to (i) conduct quarterly notification drills, (ii) maintain certain required records, (iii) utilize certain required safety equipment (including line markers), (iv) take certain pipeline integrity management activities, (v) conduct certain cathodic protection testing, and (vi) make certain atmospheric corrosion inspections. The preliminary assessed civil penalty is less than $1 million and the NOPV contained a compliance order outlining remedial compliance steps to be undertaken by CRCT. CRCT paid a portion of the penalty and contested and requested mitigation of the remainder, and also requested reconsideration of the proposed compliance order. In November 2017, CRCT received a final order from PHMSA assessing a revised civil penalty of less than $1 million. CRCT paid the remainder of the penalty and has completed all items required by the compliance order.</w:t>
      </w:r>
    </w:p>
    <w:p>
      <w:pPr>
        <w:spacing w:after="0" w:line="7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Certain subsidiaries of CVR Energy ("CRRM" and "CRT") have agreed to perform corrective actions at the Coffeyville, Kansas refinery and the now-closed Phillipsburg, Kansas terminal facility, pursuant to Administrative Orders on Consent issued under the Resources Conservation and Recovery Act ("RCRA") to address historical contamination by the prior owners (RCRA Docket No. VII-94-H-20 and Docket No. VII-95 H-11, respectively). Wynnewood Refining Company, LLC ("WRC") and the Oklahoma Department of Environmental Quality ("ODEQ") have entered into a Consent Order (Case No. 15-056) to resolve certain legacy environmental issues related to historical groundwater contamination and the operation of a wastewater conveyance.</w:t>
      </w:r>
    </w:p>
    <w:p>
      <w:pPr>
        <w:spacing w:after="0" w:line="50"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As of December 31, 2017 and 2016, our Energy segment had environmental accruals of $4 million and $5 million, respectively. CVR Energy's management periodically reviews and, as appropriate, revises its environmental accruals. Based on current information and regulatory requirements, CVR Energy's management believes that the accruals established for environmental expenditures are adequate.</w:t>
      </w:r>
    </w:p>
    <w:p>
      <w:pPr>
        <w:spacing w:after="0" w:line="73"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 January 2014, the EPA issued an inspection report to the Wynnewood refinery related to a RCRA compliance evaluation inspection conducted in March 2013. In February 2014, ODEQ notified WRC that it concurred with the EPA's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37" w:right="2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inspection findings and would be pursuing enforcement. WRC and ODEQ entered into a Consent Order in June 2015 resolving all alleged non-compliance associated with the RCRA compliance evaluation inspection, as well as issues related to possible soil and groundwater contamination associated with the prior owner's operation of the refinery. The Consent Order requires WRC to take certain corrective actions, including specified groundwater remediation and monitoring measures pursuant to a work plan and replacement of a wastewater conveyance to be approved by ODEQ. ODEQ approved the work plan submitted by WRC on February 1, 2016 and the replacement of a wastewater conveyance on August 15, 2016. WRC is in the process of implementing the specified groundwater remediation and monitoring measures. The costs of complying with the Consent Order are estimated to be approximately $4 million.</w:t>
      </w:r>
    </w:p>
    <w:p>
      <w:pPr>
        <w:spacing w:after="0" w:line="5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Environmental expenditures are capitalized when such expenditures are expected to result in future economic benefits. Capital expenditures incurred for environmental compliance and efficiency of the operations were $16 million, $17 million and $36 million for the years ended December 31, 2017, 2016 and 2015,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one of PSC Metals' Knoxville, Tennessee locations was the subject of investigations by the State of Tennessee under the federal Superfund law. These investigations were performed by the State of Tennessee pursuant to a contract with the EPA. PSC Metals has entered into Tennessee's Voluntary Clean-Up Oversight and Assistance Program ("VOAP") and expects to enter into a settlement with the Tennessee Department of Environment and Conservation ("TDEC") in the future. Currently, PSC Metals believes that it has adequately reserved for the cost of any potential future remediation associated with its Knoxville location, but cannot fully assess the impact of all costs or liabilities associated with TDEC's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other sites to be immaterial as of both December 31, 2017 and 2016. If it is determined that PSC Metals has liability to remediate those sites and that more expensive remediation approaches are required in the future, PSC Metals could incur additional obligations, which could be material to its operations.</w:t>
      </w:r>
    </w:p>
    <w:p>
      <w:pPr>
        <w:spacing w:after="0" w:line="61"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MDNR’s claims and required limited soil remediation at the 15 residences. PSC Metals has complied with the terms of the settlement agreement and expects its obligations under the settlement agreement to terminate in the near future. PSC Metals believes that it has adequately reserved for the cost of compliance with the settlement agreement. Additionally, PSC Metals believes that liability for off-site contamination was retained by the prior owner of the Festus yard and accordingly, it would have a claim for indemnification against the prior owner.</w:t>
      </w:r>
    </w:p>
    <w:p>
      <w:pPr>
        <w:spacing w:after="0" w:line="6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its management's judgment and prior experience. PSC Metals has estimated the liability to remediate these sites to be $28 million and $28 million at December 31, 2017 and 2016, respectively. PSC Metals believes, based on past experience, that the vast majority of these environmental liabilities and costs will be assessed and paid over an extended period of time. PSC Metals believes that it will be able to fund such costs in the ordinary course of business. 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337" w:right="27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Our Automotive segment has identified sites with contractual obligations and several sites that are closed or expected to be closed and sold. In connection with these sites, our Automotive segment has accrued $15 million and $15 million as of December 31, 2017 and 2016,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CVR Refining is subject to the Renewable Fuel Standard which requires refiners to either blend "renewable fuels" with their transportation fuels or purchase renewable fuel credits, known as renewable identification numbers (“RINs”), in lieu of blending.</w:t>
      </w:r>
    </w:p>
    <w:p>
      <w:pPr>
        <w:spacing w:after="0" w:line="62"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In December 2015, 2016, and 2017, the EPA published in the Federal Register final rules establishing the renewable fuel volume mandates for 2016, 2017, and 2018, and the biomass-based diesel volume mandates for 2017, 2018, and 2019, respectively. The volumes included in the EPA's final rules increased each year, but were lower, with the exception of the volumes for biomass-based diesel, than the volumes required by the Clean Air Act. The EPA used its waiver authorities to lower the volumes, but its decision to do so for the 2014-2016 compliance years was challenged in the U.S. Court of Appeals for the District of Columbia Circuit. In July 2017, the court vacated the EPA’s decision to reduce the renewable volume obligation for 2016 under one of its waiver authorities, and remanded the rule to the EPA for further reconsideration. The EPA has not yet reproposed the 2016 renewable volume obligations. The EPA also has articulated a policy that high RINs prices incentivize additional investments in renewable fuel blending and distribution infrastructure.</w:t>
      </w:r>
    </w:p>
    <w:p>
      <w:pPr>
        <w:spacing w:after="0" w:line="59"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RINs expense was $249 million, $206 million and $124 million for years ended December 31, 2017, 2016 and 2015, respectively. RINs expense includes the impact of recognizing the petroleum business' uncommitted biofuel blending obligation at fair value based on market prices at each reporting date. As of December 31, 2017 and 2016, the petroleum business' biofuel blending obligation was $28 million and $186 million, respectively, which is included in accrued expenses and other liabilities in our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March 3, 2017, certain purported former stockholders of Federal-Mogul Holdings Corporation filed a petition in the Delaware Court of Chancery seeking an appraisal of the value of common stock they claim to have held at the time of the January 23, 2017 merger of IEH FM Holdings, LLC into Federal-Mogul Holdings Corporation. IEH FM Holdings, LLC was a wholly owned subsidiary of Icahn Enterprises. Federal-Mogul Holdings LLC filed an answer to the petition on March 28, 2017. A second petition for appraisal was filed by purported former stockholders of Federal-Mogul Holdings Corporation on May 1, 2017. The two cases were consolidated on May 10, 2017, captioned </w:t>
      </w:r>
      <w:r>
        <w:rPr>
          <w:rFonts w:ascii="Arial" w:cs="Arial" w:eastAsia="Arial" w:hAnsi="Arial"/>
          <w:sz w:val="18"/>
          <w:szCs w:val="18"/>
          <w:i w:val="1"/>
          <w:iCs w:val="1"/>
          <w:color w:val="auto"/>
        </w:rPr>
        <w:t>In re Appraisal of Federal-Mogul Holdings LLC, C.A. No. 2017-0158-AGB</w:t>
      </w:r>
      <w:r>
        <w:rPr>
          <w:rFonts w:ascii="Arial" w:cs="Arial" w:eastAsia="Arial" w:hAnsi="Arial"/>
          <w:sz w:val="18"/>
          <w:szCs w:val="18"/>
          <w:color w:val="auto"/>
        </w:rPr>
        <w:t>. Discovery is ongoing and a trial date has not yet been set. Federal-Mogul believes that it has a meritorious defense and intends to vigorously defend the matter.</w:t>
      </w:r>
    </w:p>
    <w:p>
      <w:pPr>
        <w:spacing w:after="0" w:line="8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 xml:space="preserve">On September 29, 2016, September 30, 2016, October 12, 2016 and October 19, 2016, respectively, four putative class actions, captioned </w:t>
      </w:r>
      <w:r>
        <w:rPr>
          <w:rFonts w:ascii="Arial" w:cs="Arial" w:eastAsia="Arial" w:hAnsi="Arial"/>
          <w:sz w:val="17"/>
          <w:szCs w:val="17"/>
          <w:i w:val="1"/>
          <w:iCs w:val="1"/>
          <w:color w:val="auto"/>
        </w:rPr>
        <w:t>Skybo v.</w:t>
      </w:r>
      <w:r>
        <w:rPr>
          <w:rFonts w:ascii="Arial" w:cs="Arial" w:eastAsia="Arial" w:hAnsi="Arial"/>
          <w:sz w:val="17"/>
          <w:szCs w:val="17"/>
          <w:color w:val="auto"/>
        </w:rPr>
        <w:t xml:space="preserve"> </w:t>
      </w:r>
      <w:r>
        <w:rPr>
          <w:rFonts w:ascii="Arial" w:cs="Arial" w:eastAsia="Arial" w:hAnsi="Arial"/>
          <w:sz w:val="17"/>
          <w:szCs w:val="17"/>
          <w:i w:val="1"/>
          <w:iCs w:val="1"/>
          <w:color w:val="auto"/>
        </w:rPr>
        <w:t>Ninivaggi et al.</w:t>
      </w:r>
      <w:r>
        <w:rPr>
          <w:rFonts w:ascii="Arial" w:cs="Arial" w:eastAsia="Arial" w:hAnsi="Arial"/>
          <w:sz w:val="17"/>
          <w:szCs w:val="17"/>
          <w:color w:val="auto"/>
        </w:rPr>
        <w:t>, C.A. No. 12790,</w:t>
      </w:r>
      <w:r>
        <w:rPr>
          <w:rFonts w:ascii="Arial" w:cs="Arial" w:eastAsia="Arial" w:hAnsi="Arial"/>
          <w:sz w:val="17"/>
          <w:szCs w:val="17"/>
          <w:i w:val="1"/>
          <w:iCs w:val="1"/>
          <w:color w:val="auto"/>
        </w:rPr>
        <w:t xml:space="preserve"> Lemanchek v. Ninivaggi et al.</w:t>
      </w:r>
      <w:r>
        <w:rPr>
          <w:rFonts w:ascii="Arial" w:cs="Arial" w:eastAsia="Arial" w:hAnsi="Arial"/>
          <w:sz w:val="17"/>
          <w:szCs w:val="17"/>
          <w:color w:val="auto"/>
        </w:rPr>
        <w:t>, C.A. No. 12791,</w:t>
      </w:r>
      <w:r>
        <w:rPr>
          <w:rFonts w:ascii="Arial" w:cs="Arial" w:eastAsia="Arial" w:hAnsi="Arial"/>
          <w:sz w:val="17"/>
          <w:szCs w:val="17"/>
          <w:i w:val="1"/>
          <w:iCs w:val="1"/>
          <w:color w:val="auto"/>
        </w:rPr>
        <w:t xml:space="preserve"> Raul v. Ninivaggi et al.</w:t>
      </w:r>
      <w:r>
        <w:rPr>
          <w:rFonts w:ascii="Arial" w:cs="Arial" w:eastAsia="Arial" w:hAnsi="Arial"/>
          <w:sz w:val="17"/>
          <w:szCs w:val="17"/>
          <w:color w:val="auto"/>
        </w:rPr>
        <w:t>, C.A. No. 12821 and</w:t>
      </w:r>
      <w:r>
        <w:rPr>
          <w:rFonts w:ascii="Arial" w:cs="Arial" w:eastAsia="Arial" w:hAnsi="Arial"/>
          <w:sz w:val="17"/>
          <w:szCs w:val="17"/>
          <w:i w:val="1"/>
          <w:iCs w:val="1"/>
          <w:color w:val="auto"/>
        </w:rPr>
        <w:t xml:space="preserve"> Mercado v. Ninivaggi et 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 No. 12837, were filed in the Court of Chancery of the State of Delaware against the Board of Directors of Federal-Mogul (the "FM Board") and Icahn Enterprises, Icahn Enterprises Holdings, certain of their affiliates and Icahn Enterprises' Board of Directors (the "Icahn Defendants"), and, in the case of </w:t>
      </w:r>
      <w:r>
        <w:rPr>
          <w:rFonts w:ascii="Arial" w:cs="Arial" w:eastAsia="Arial" w:hAnsi="Arial"/>
          <w:sz w:val="17"/>
          <w:szCs w:val="17"/>
          <w:i w:val="1"/>
          <w:iCs w:val="1"/>
          <w:color w:val="auto"/>
        </w:rPr>
        <w:t>Raul</w:t>
      </w:r>
      <w:r>
        <w:rPr>
          <w:rFonts w:ascii="Arial" w:cs="Arial" w:eastAsia="Arial" w:hAnsi="Arial"/>
          <w:sz w:val="17"/>
          <w:szCs w:val="17"/>
          <w:color w:val="auto"/>
        </w:rPr>
        <w:t>, Federal-Mogul. The complaints allege that, among other things, the FM Board breached its fiduciary duties by approving the proposed Merger Agreement, that the Icahn Defendants breached their fiduciary duties to the minority stockholders of Federal-Mogul and/or aided and abetted the FM Board’s breaches of its fiduciary duties, as well as alleging certain material misstatements and omissions in the Schedule 14D-9 filed by Federal-Mogul (the "Schedule 14D-9"). The complaints allege that, among other things, the then-Offer Price was inadequate and, together with that the Merger Agreement, was the result of a flawed and unfair sales process and conflicts of interest of the FM Board and the special committee of independent directors of Federal-Mogul (the "Special Committee"), alleging that the Special Committee and Federal-Mogul’s management lacked independence from the Icahn Defendants. In addition, the complaints allege that the Merger Agreement contains certain allegedly preclusive deal protection provisions, including a no-solicitation provision, an information rights provision and a</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337" w:right="25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matching rights provision. Among other things, the complaints sought to enjoin the transactions contemplated by the Merger Agreement, as well as award costs and disbursements, including reasonable attorneys’ and experts’ fees. The </w:t>
      </w:r>
      <w:r>
        <w:rPr>
          <w:rFonts w:ascii="Arial" w:cs="Arial" w:eastAsia="Arial" w:hAnsi="Arial"/>
          <w:sz w:val="16"/>
          <w:szCs w:val="16"/>
          <w:i w:val="1"/>
          <w:iCs w:val="1"/>
          <w:color w:val="auto"/>
        </w:rPr>
        <w:t>Raul</w:t>
      </w:r>
      <w:r>
        <w:rPr>
          <w:rFonts w:ascii="Arial" w:cs="Arial" w:eastAsia="Arial" w:hAnsi="Arial"/>
          <w:sz w:val="16"/>
          <w:szCs w:val="16"/>
          <w:color w:val="auto"/>
        </w:rPr>
        <w:t xml:space="preserve"> and </w:t>
      </w:r>
      <w:r>
        <w:rPr>
          <w:rFonts w:ascii="Arial" w:cs="Arial" w:eastAsia="Arial" w:hAnsi="Arial"/>
          <w:sz w:val="16"/>
          <w:szCs w:val="16"/>
          <w:i w:val="1"/>
          <w:iCs w:val="1"/>
          <w:color w:val="auto"/>
        </w:rPr>
        <w:t>Mercado</w:t>
      </w:r>
      <w:r>
        <w:rPr>
          <w:rFonts w:ascii="Arial" w:cs="Arial" w:eastAsia="Arial" w:hAnsi="Arial"/>
          <w:sz w:val="16"/>
          <w:szCs w:val="16"/>
          <w:color w:val="auto"/>
        </w:rPr>
        <w:t xml:space="preserve"> complaints further seek to rescind the transaction or award rescissory damages, or (in the case of </w:t>
      </w:r>
      <w:r>
        <w:rPr>
          <w:rFonts w:ascii="Arial" w:cs="Arial" w:eastAsia="Arial" w:hAnsi="Arial"/>
          <w:sz w:val="16"/>
          <w:szCs w:val="16"/>
          <w:i w:val="1"/>
          <w:iCs w:val="1"/>
          <w:color w:val="auto"/>
        </w:rPr>
        <w:t>Raul</w:t>
      </w:r>
      <w:r>
        <w:rPr>
          <w:rFonts w:ascii="Arial" w:cs="Arial" w:eastAsia="Arial" w:hAnsi="Arial"/>
          <w:sz w:val="16"/>
          <w:szCs w:val="16"/>
          <w:color w:val="auto"/>
        </w:rPr>
        <w:t xml:space="preserve">) award a quasi-appraisal remedy in the event that the transaction was consummated, as well as award money damages. On October 28, 2016, all four actions were consolidated under the caption </w:t>
      </w:r>
      <w:r>
        <w:rPr>
          <w:rFonts w:ascii="Arial" w:cs="Arial" w:eastAsia="Arial" w:hAnsi="Arial"/>
          <w:sz w:val="16"/>
          <w:szCs w:val="16"/>
          <w:i w:val="1"/>
          <w:iCs w:val="1"/>
          <w:color w:val="auto"/>
        </w:rPr>
        <w:t>In re Federal-Mogul Holdings, Inc. Stockholder Litigation</w:t>
      </w:r>
      <w:r>
        <w:rPr>
          <w:rFonts w:ascii="Arial" w:cs="Arial" w:eastAsia="Arial" w:hAnsi="Arial"/>
          <w:sz w:val="16"/>
          <w:szCs w:val="16"/>
          <w:color w:val="auto"/>
        </w:rPr>
        <w:t>, C.A. No. 12790-CB (the "Delaware Action"). On March 6, 2017, plaintiffs filed a consolidated amended complaint that does not name Federal-Mogul as a defendant. Among other things, the consolidated amended complaint also adds allegations regarding the commencement and extension of the Offer, the increase in the Offer price, the closing of the transaction, Federal-Mogul's subsequent performance and public statements, Mr. Ninivaggi’s post-merger employment with Icahn Enterprises and the independence of the chairman of the Special Committee. The Icahn Defendants have moved to dismiss the amended complaint and discovery was stayed pending determination of that motion. In lieu of proceeding with the October 12, 2017 hearing on the Icahn Defendants' motion to dismiss, the plaintiffs in the Delaware Action dismissed the Delaware Action, without prejudice as to the named plaintiffs.</w:t>
      </w:r>
    </w:p>
    <w:p>
      <w:pPr>
        <w:spacing w:after="0" w:line="6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On October 5, 2016, a putative class action captioned </w:t>
      </w:r>
      <w:r>
        <w:rPr>
          <w:rFonts w:ascii="Arial" w:cs="Arial" w:eastAsia="Arial" w:hAnsi="Arial"/>
          <w:sz w:val="16"/>
          <w:szCs w:val="16"/>
          <w:i w:val="1"/>
          <w:iCs w:val="1"/>
          <w:color w:val="auto"/>
        </w:rPr>
        <w:t>Sanders v. Federal-Mogul Holdings Corporation et al.</w:t>
      </w:r>
      <w:r>
        <w:rPr>
          <w:rFonts w:ascii="Arial" w:cs="Arial" w:eastAsia="Arial" w:hAnsi="Arial"/>
          <w:sz w:val="16"/>
          <w:szCs w:val="16"/>
          <w:color w:val="auto"/>
        </w:rPr>
        <w:t>, C.A. No. 16-155387 was filed in the Circuit Court for Oakland County of the State of Michigan against Federal-Mogul, the FM Board and the Icahn Defendants (the "Michigan Action"). The complaint alleges, among other things, that the FM Board breached its fiduciary duties and that Federal-Mogul and the Icahn Defendants aided and abetted the FM Board’s breaches of its fiduciary duties, as well as alleging certain material misstatements and omissions in the Schedule 14D-9. The complaint alleges that, among other things, the then-Offer Price was unfair and the result of an unfair sales process that included conflicts of interest. In addition, the complaint alleges that the Merger Agreement contains certain allegedly preclusive deal protection provisions, including a no-solicitation provision, an information rights provision and a matching rights provision. Among other things, the complaint sought to enjoin the transactions contemplated by the Merger Agreement, or, in the event that the transactions were consummated, rescind the transactions or award rescissory damages, as well as award money damages and costs, including reasonable attorneys’ and experts’ fees. On March 6, 2017, the plaintiffs filed an amended complaint which, among other things, dropped Federal-Mogul as a defendant. The amended complaint also: named certain additional Icahn-affiliated individuals and entities as defendants; deleted various allegations relating to process and purported disclosure deficiencies; added allegations regarding the commencement and extension of the Offer, the increase in the Offer price, the closing of the transaction, Federal-Mogul's subsequent performance and public statements, Mr. Ninivaggi’s post-merger employment with Icahn Enterprises, and the independence of certain directors; and eliminated the request for injunctive relief given the consummation of the transaction. On April 4, 2017, the Court entered a stipulated order staying the Michigan Action pending final determination of the Delaware Action. On October 16, 2017, the plaintiffs in the Michigan Action dismissed the Michigan Action, without prejudice as to the named plaintiffs.</w:t>
      </w:r>
    </w:p>
    <w:p>
      <w:pPr>
        <w:spacing w:after="0" w:line="61"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does not currently believe the outcome of this litigation will have a material impact on its financial statements.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37"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minimum required payments for CVR Energy's unconditional purchase obligations are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Unconditional</w:t>
            </w:r>
          </w:p>
        </w:tc>
      </w:t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Purchase</w:t>
            </w:r>
          </w:p>
        </w:tc>
      </w:tr>
      <w:tr>
        <w:trPr>
          <w:trHeight w:val="261"/>
        </w:trPr>
        <w:tc>
          <w:tcPr>
            <w:tcW w:w="9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12"/>
              <w:spacing w:after="0" w:line="262" w:lineRule="exact"/>
              <w:rPr>
                <w:sz w:val="20"/>
                <w:szCs w:val="20"/>
                <w:color w:val="auto"/>
              </w:rPr>
            </w:pPr>
            <w:r>
              <w:rPr>
                <w:rFonts w:ascii="Arial" w:cs="Arial" w:eastAsia="Arial" w:hAnsi="Arial"/>
                <w:sz w:val="18"/>
                <w:szCs w:val="18"/>
                <w:b w:val="1"/>
                <w:bCs w:val="1"/>
                <w:color w:val="auto"/>
                <w:w w:val="87"/>
              </w:rPr>
              <w:t>Obligations</w:t>
            </w:r>
            <w:r>
              <w:rPr>
                <w:rFonts w:ascii="Arial" w:cs="Arial" w:eastAsia="Arial" w:hAnsi="Arial"/>
                <w:sz w:val="25"/>
                <w:szCs w:val="25"/>
                <w:b w:val="1"/>
                <w:bCs w:val="1"/>
                <w:color w:val="auto"/>
                <w:w w:val="87"/>
                <w:vertAlign w:val="superscript"/>
              </w:rPr>
              <w:t>(1)</w:t>
            </w:r>
          </w:p>
        </w:tc>
      </w:tr>
      <w:tr>
        <w:trPr>
          <w:trHeight w:val="190"/>
        </w:trPr>
        <w:tc>
          <w:tcPr>
            <w:tcW w:w="9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r>
      <w:tr>
        <w:trPr>
          <w:trHeight w:val="256"/>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542</w:t>
            </w:r>
          </w:p>
        </w:tc>
      </w:tr>
      <w:tr>
        <w:trPr>
          <w:trHeight w:val="27"/>
        </w:trPr>
        <w:tc>
          <w:tcPr>
            <w:tcW w:w="9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80" w:right="40" w:hanging="80"/>
        <w:spacing w:after="0" w:line="252"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This amount includes $699 million payable ratably over thirteen years pursuant to petroleum transportation service agreements between Coffeyville Resources Refining Marketing, LLC</w:t>
      </w:r>
      <w:r>
        <w:rPr>
          <w:rFonts w:ascii="Arial" w:cs="Arial" w:eastAsia="Arial" w:hAnsi="Arial"/>
          <w:sz w:val="9"/>
          <w:szCs w:val="9"/>
          <w:color w:val="auto"/>
        </w:rPr>
        <w:t xml:space="preserve"> </w:t>
      </w:r>
      <w:r>
        <w:rPr>
          <w:rFonts w:ascii="Arial" w:cs="Arial" w:eastAsia="Arial" w:hAnsi="Arial"/>
          <w:sz w:val="14"/>
          <w:szCs w:val="14"/>
          <w:color w:val="auto"/>
        </w:rPr>
        <w:t>("CRRM") and each of TransCanada Keystone Limited Partnership and TransCanada Keystone Pipeline, LP (together, "TransCanada"). The purchase obligation reflects the exchange rate between the Canadian dollar and the U.S. dollar as of December 31, 2017, where applicable. Under the agreements, CRRM receives transportation of at least 25,000 barrels per day of crude oil with a delivery point at Cushing, Oklahoma for a term of twenty years on TransCanada's Keystone pipeline system.</w:t>
      </w:r>
    </w:p>
    <w:p>
      <w:pPr>
        <w:spacing w:after="0" w:line="85" w:lineRule="exact"/>
        <w:rPr>
          <w:sz w:val="20"/>
          <w:szCs w:val="20"/>
          <w:color w:val="auto"/>
        </w:rPr>
      </w:pPr>
    </w:p>
    <w:p>
      <w:pPr>
        <w:jc w:val="both"/>
        <w:ind w:right="340" w:firstLine="378"/>
        <w:spacing w:after="0" w:line="264" w:lineRule="auto"/>
        <w:rPr>
          <w:sz w:val="20"/>
          <w:szCs w:val="20"/>
          <w:color w:val="auto"/>
        </w:rPr>
      </w:pPr>
      <w:r>
        <w:rPr>
          <w:rFonts w:ascii="Arial" w:cs="Arial" w:eastAsia="Arial" w:hAnsi="Arial"/>
          <w:sz w:val="18"/>
          <w:szCs w:val="18"/>
          <w:color w:val="auto"/>
        </w:rPr>
        <w:t>Additionally, in the normal course of business, CVR Energy has long-term commitments to purchase oxygen, nitrogen, electricity, storage capacity, water and pipeline transportation services. For the years ended December 31, 2017, 2016 and 2015, total expense of $209 million, $151 million and $136 million, respectively, was incurred related to long-term commitments.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 Directive</w:t>
      </w:r>
    </w:p>
    <w:p>
      <w:pPr>
        <w:spacing w:after="0" w:line="117"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On September 30, 2016, the Federal Railroad Administration ("FRA") issued Railworthiness Directive ("RWD") No. 2016-01 (the "Original Directive"). The Original Directive addressed, among other things, certain welding practices in one weld area in specified DOT 111 tank railcars manufactured between 2009 and 2015 by ARI and ACF. Our Railcar segment met and corresponded with the FRA following the issuance of the Original Directive to express its concerns with the Original Directive and its impact on our Railcar segment, as well as the industry as a whole.</w:t>
      </w:r>
    </w:p>
    <w:p>
      <w:pPr>
        <w:spacing w:after="0" w:line="6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November 18, 2016 (the "Issuance Date"), the FRA issued RWD No. 2016-01 [Revised] (the "Revised Directive"). The Revised Directive changed and superseded the Original Directive in several ways.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Revised Directive required owners to identify their subject tank railcars and then from that population identify the 15% of subject tank railcars then in hazardous materials service with the highest mileage in each tank car owner’s fleet. Visual inspection of each of the subject tank railcars is required by the car operator prior to putting any railcar into service. Owners must ensure appropriate inspection, testing and repairs, if needed, within twelve months of the Issuance Date for the 15% of their subject tank railcars identified to be in hazardous materials service with the highest mileage. The FRA reserved the right to impose additional test and inspection requirements for the remaining tank railcars subject to the Revised Directive.</w:t>
      </w:r>
    </w:p>
    <w:p>
      <w:pPr>
        <w:spacing w:after="0" w:line="6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FRA also reserved the right to seek civil penalties or to take any other appropriate enforcement action for violation of the Federal Hazardous Materials Regulations that have occurred.</w:t>
      </w:r>
    </w:p>
    <w:p>
      <w:pPr>
        <w:spacing w:after="0" w:line="62"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Although the Revised Directive addressed some of our Railcar segment's concerns and clarified certain requirements of the Original Directive, our Railcar segment identified significant issues with the Revised Directive. As a result, in December 2016, our Railcar segment sought judicial review of and relief from the Revised Directive by filing a petition for review against the FRA in the United States Court of Appeals for the District of Columbia Circuit.</w:t>
      </w:r>
    </w:p>
    <w:p>
      <w:pPr>
        <w:spacing w:after="0" w:line="3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August 17, 2017, our Railcar segment entered into a settlement agreement with the FRA, which covered the subject railcars owned by our Railcar segment. This agreement, among other things, extended the deadline for our Railcar segment to complete the inspection, testing and repairs, if needed, for the 15% identified railcars to December 31, 2017. Adding clarity regarding certain unknown requirements referenced in the Revised Directive, under the settlement agreement, our Railcar segment is required to inspect, test, and if necessary repair the remaining 85% subject tank railcars at the next tank railcar qualification, scheduled routine or regular maintenance, shopping or repair event, but no later than December 31, 2025.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337" w:right="25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However, the settlement agreement permits our Railcar segment to: (i) if the FRA does not impose a similar requirement by July 31, 2018 on other owners’ railcars subject to the Revised Directive, suspend compliance with this requirement until such time as the FRA imposes requirements on all 85% railcars subject to the Revised Directive, and (ii) elect to be governed by any different requirements later imposed by the FRA on other owners’ railcars subject to the Revised Directive. In addition, the settlement agreement also provides that railcars owned by our Railcar segment are no longer required to have a surface inspection performed when the railcars are being inspected pursuant to the Revised Directive. The description above includes a summary of the terms of the settlement agreement. Finally, as part of the settlement agreement, our Railcar segment dismissed its lawsuit against the FRA.</w:t>
      </w:r>
    </w:p>
    <w:p>
      <w:pPr>
        <w:spacing w:after="0" w:line="5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Railcar segment has evaluated its potential exposure related to the Revised Directive and has a remaining loss contingency reserve of $9 million, as of December 31, 2017, to cover its probable and estimable liabilities with respect to our Railcar segment's response to the Revised Directive. The loss contingency reserve takes into account information available as of December 31, 2017 and our Railcar segment's contractual obligations in its capacity as both a manufacturer and owner of railcars subject to the Revised Directive. This amount is included in accrued expenses and other liabilities on the consolidated balance sheets. This amount will continue to be evaluated as our Railcar segment's and its customers' compliance with the Revised Directive and the settlement agreement progress. Actual results could differ from this estimate.</w:t>
      </w:r>
    </w:p>
    <w:p>
      <w:pPr>
        <w:spacing w:after="0" w:line="8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It is reasonably possible that a loss exists in excess of the amount accrued by our Railcar segment. However, the amount of potential costs and expenses expected to be incurred for compliance with the Revised Directive in excess of the loss contingency reserve of $9 million cannot be reasonably estimated at this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91.0% of Icahn Enterprises' outstanding depositary units as of December 31, 2017.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As a result of the more than 80% ownership interest in us by Mr. Icahn’s affiliates and our ownership of more than 80% in certain of our subsidiaries, we and certain of our subsidiaries are subject to the pension liabilities of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December 31, 2017 and 2016. If the plans were voluntarily terminated, they would be underfunded by approximately $424 million and $613 million as of December 31, 2017 and 2016,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37"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820"/>
        <w:spacing w:after="0" w:line="375" w:lineRule="auto"/>
        <w:rPr>
          <w:sz w:val="20"/>
          <w:szCs w:val="20"/>
          <w:color w:val="auto"/>
        </w:rPr>
      </w:pPr>
      <w:r>
        <w:rPr>
          <w:rFonts w:ascii="Arial" w:cs="Arial" w:eastAsia="Arial" w:hAnsi="Arial"/>
          <w:sz w:val="18"/>
          <w:szCs w:val="18"/>
          <w:color w:val="auto"/>
        </w:rPr>
        <w:t xml:space="preserve">would reduce its net worth to below $250 million. Nonetheless, Starfire may not be able to fund its indemnification obligations to us. </w:t>
      </w:r>
      <w:r>
        <w:rPr>
          <w:rFonts w:ascii="Arial" w:cs="Arial" w:eastAsia="Arial" w:hAnsi="Arial"/>
          <w:sz w:val="18"/>
          <w:szCs w:val="18"/>
          <w:i w:val="1"/>
          <w:iCs w:val="1"/>
          <w:color w:val="auto"/>
        </w:rPr>
        <w:t>Other</w:t>
      </w:r>
    </w:p>
    <w:p>
      <w:pPr>
        <w:spacing w:after="0" w:line="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U.S. Attorney’s office for the Southern District of New York contacted Icahn Enterprises L.P. in September 2017 seeking production of information pertaining to our and Mr. Icahn’s activities relating to the Renewable Fuels Standard and Mr. Icahn’s role as an advisor to the President. We are cooperating with the request and are providing information in response to the subpoena. The U.S. Attorney’s office has not made any claims or allegations against us or Mr. Icahn. We maintain a strong compliance program and, while no assurances can be made, we do not believe this inquiry will have a material impact on our business, financial condition,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Leases</w:t>
      </w:r>
    </w:p>
    <w:p>
      <w:pPr>
        <w:spacing w:after="0" w:line="11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Consolidated future minimum lease payments under operating leases with initial terms of one or more years consist of the following at December 31, 2017:</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0"/>
                <w:szCs w:val="20"/>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9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color w:val="auto"/>
              </w:rPr>
              <w:t>(in millions)</w:t>
            </w:r>
          </w:p>
        </w:tc>
      </w:tr>
      <w:tr>
        <w:trPr>
          <w:trHeight w:val="25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222</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388</w:t>
            </w: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40" w:firstLine="378"/>
        <w:spacing w:after="0" w:line="277" w:lineRule="auto"/>
        <w:rPr>
          <w:sz w:val="20"/>
          <w:szCs w:val="20"/>
          <w:color w:val="auto"/>
        </w:rPr>
      </w:pPr>
      <w:r>
        <w:rPr>
          <w:rFonts w:ascii="Arial" w:cs="Arial" w:eastAsia="Arial" w:hAnsi="Arial"/>
          <w:sz w:val="18"/>
          <w:szCs w:val="18"/>
          <w:color w:val="auto"/>
        </w:rPr>
        <w:t>Rent expense under operating leases for the years ended December 31, 2017, 2016 and 2015 was $264 million, $237 million and $145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18. Supplemental Cash Flow Information.</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6400" w:type="dxa"/>
            <w:vAlign w:val="bottom"/>
          </w:tcPr>
          <w:p>
            <w:pPr>
              <w:ind w:left="420"/>
              <w:spacing w:after="0"/>
              <w:rPr>
                <w:sz w:val="20"/>
                <w:szCs w:val="20"/>
                <w:color w:val="auto"/>
              </w:rPr>
            </w:pPr>
            <w:r>
              <w:rPr>
                <w:rFonts w:ascii="Arial" w:cs="Arial" w:eastAsia="Arial" w:hAnsi="Arial"/>
                <w:sz w:val="18"/>
                <w:szCs w:val="18"/>
                <w:color w:val="auto"/>
              </w:rPr>
              <w:t>Supplemental cash flow information consists of the following:</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2016</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center"/>
              <w:ind w:right="192"/>
              <w:spacing w:after="0"/>
              <w:rPr>
                <w:sz w:val="20"/>
                <w:szCs w:val="20"/>
                <w:color w:val="auto"/>
              </w:rPr>
            </w:pPr>
            <w:r>
              <w:rPr>
                <w:rFonts w:ascii="Arial" w:cs="Arial" w:eastAsia="Arial" w:hAnsi="Arial"/>
                <w:sz w:val="14"/>
                <w:szCs w:val="14"/>
                <w:color w:val="auto"/>
                <w:w w:val="98"/>
              </w:rPr>
              <w:t>(in millions)</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payments (refunds) for income taxes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Acquisition of subsidiary common stock included in accrued expenses and other</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Seller financing secured mortgages resulting from disposition of assets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 prior to acquiring a controlling interest</w:t>
            </w: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LP unit issuance for remaining 25% interest in ARL</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subsidiary common units issued in an acquisition of business</w:t>
            </w: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Fair value of debt assumed in an acquisition of business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Capital expenditures included in accounts payable, accrued expenses and other</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675"/>
        </w:trPr>
        <w:tc>
          <w:tcPr>
            <w:tcW w:w="6400" w:type="dxa"/>
            <w:vAlign w:val="bottom"/>
          </w:tcPr>
          <w:p>
            <w:pPr>
              <w:ind w:left="5580"/>
              <w:spacing w:after="0"/>
              <w:rPr>
                <w:sz w:val="20"/>
                <w:szCs w:val="20"/>
                <w:color w:val="auto"/>
              </w:rPr>
            </w:pPr>
            <w:r>
              <w:rPr>
                <w:rFonts w:ascii="Arial" w:cs="Arial" w:eastAsia="Arial" w:hAnsi="Arial"/>
                <w:sz w:val="18"/>
                <w:szCs w:val="18"/>
                <w:color w:val="auto"/>
              </w:rPr>
              <w:t>123</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February 27, 2018, the Board of Directors of the general partner of Icahn Enterprises declared a quarterly distribution in the amount of $1.75 per depositary unit, which will be paid on or about April 16, 2018 to depositary unitholders of record at the close of business on March 12, 2018. Depositary unitholders will have until April 5, 2018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5 consecutive trading days ending April 12, 2018.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Quarterly financial data for Icahn Enterprises is presented below:</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2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For the Three Months Ended</w:t>
            </w:r>
            <w:r>
              <w:rPr>
                <w:rFonts w:ascii="Arial" w:cs="Arial" w:eastAsia="Arial" w:hAnsi="Arial"/>
                <w:sz w:val="25"/>
                <w:szCs w:val="25"/>
                <w:b w:val="1"/>
                <w:bCs w:val="1"/>
                <w:color w:val="auto"/>
                <w:w w:val="91"/>
                <w:vertAlign w:val="superscript"/>
              </w:rPr>
              <w:t>(1)</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7"/>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ind w:left="48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2040" w:type="dxa"/>
            <w:vAlign w:val="bottom"/>
            <w:gridSpan w:val="4"/>
          </w:tcPr>
          <w:p>
            <w:pPr>
              <w:ind w:left="5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2040" w:type="dxa"/>
            <w:vAlign w:val="bottom"/>
            <w:gridSpan w:val="4"/>
          </w:tcPr>
          <w:p>
            <w:pPr>
              <w:ind w:lef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9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2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2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4"/>
                <w:szCs w:val="14"/>
                <w:color w:val="auto"/>
                <w:w w:val="94"/>
              </w:rPr>
              <w:t>(in millions, except per unit data)</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4,292</w:t>
            </w: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4,410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3,965</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Gross margin on net sales</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4,677</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5,680</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4,733</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3,972</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1,725</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loss (income) attributable to</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w w:val="92"/>
              </w:rPr>
              <w:t>Net (loss) income attributable to</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400" w:type="dxa"/>
            <w:vAlign w:val="bottom"/>
          </w:tcPr>
          <w:p>
            <w:pPr>
              <w:ind w:left="100"/>
              <w:spacing w:after="0"/>
              <w:rPr>
                <w:sz w:val="20"/>
                <w:szCs w:val="20"/>
                <w:color w:val="auto"/>
              </w:rPr>
            </w:pPr>
            <w:r>
              <w:rPr>
                <w:rFonts w:ascii="Arial" w:cs="Arial" w:eastAsia="Arial" w:hAnsi="Arial"/>
                <w:sz w:val="18"/>
                <w:szCs w:val="18"/>
                <w:color w:val="auto"/>
              </w:rPr>
              <w:t>Icahn Enterprises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1,553</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Basic (loss) income per LP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w:t>
            </w: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Diluted (loss) income per LP</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400" w:type="dxa"/>
            <w:vAlign w:val="bottom"/>
          </w:tcPr>
          <w:p>
            <w:pPr>
              <w:ind w:left="100"/>
              <w:spacing w:after="0"/>
              <w:rPr>
                <w:sz w:val="20"/>
                <w:szCs w:val="20"/>
                <w:color w:val="auto"/>
              </w:rPr>
            </w:pPr>
            <w:r>
              <w:rPr>
                <w:rFonts w:ascii="Arial" w:cs="Arial" w:eastAsia="Arial" w:hAnsi="Arial"/>
                <w:sz w:val="18"/>
                <w:szCs w:val="18"/>
                <w:color w:val="auto"/>
              </w:rPr>
              <w:t>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3.53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r>
    </w:tbl>
    <w:p>
      <w:pPr>
        <w:spacing w:after="0" w:line="224" w:lineRule="exact"/>
        <w:rPr>
          <w:sz w:val="20"/>
          <w:szCs w:val="20"/>
          <w:color w:val="auto"/>
        </w:rPr>
      </w:pPr>
    </w:p>
    <w:p>
      <w:pPr>
        <w:ind w:left="180" w:right="60" w:hanging="172"/>
        <w:spacing w:after="0" w:line="257" w:lineRule="auto"/>
        <w:tabs>
          <w:tab w:leader="none" w:pos="180" w:val="left"/>
        </w:tabs>
        <w:numPr>
          <w:ilvl w:val="0"/>
          <w:numId w:val="28"/>
        </w:numPr>
        <w:rPr>
          <w:rFonts w:ascii="Arial" w:cs="Arial" w:eastAsia="Arial" w:hAnsi="Arial"/>
          <w:sz w:val="9"/>
          <w:szCs w:val="9"/>
          <w:color w:val="auto"/>
        </w:rPr>
      </w:pPr>
      <w:r>
        <w:rPr>
          <w:rFonts w:ascii="Arial" w:cs="Arial" w:eastAsia="Arial" w:hAnsi="Arial"/>
          <w:sz w:val="14"/>
          <w:szCs w:val="14"/>
          <w:color w:val="auto"/>
        </w:rPr>
        <w:t>The comparability of our quarterly financial data is affected by, among other things, (i) the performance of the Investment Funds, (ii) various acquisitions, primarily the acquisition of Pep Boys during the first quarter of 2016, (iii) certain dispositions of assets, primarily during the second and fourth quarters of 2017, (iv) impairment charges and (v) the enactment of U.S. tax law changes in the fourth quarter of 2017.</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337"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As of December 31, 2017,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Securities Exchange Act of 1934, as amended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38"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80" w:lineRule="exact"/>
        <w:rPr>
          <w:sz w:val="20"/>
          <w:szCs w:val="20"/>
          <w:color w:val="auto"/>
        </w:rPr>
      </w:pPr>
    </w:p>
    <w:p>
      <w:pPr>
        <w:jc w:val="both"/>
        <w:ind w:right="360" w:firstLine="405"/>
        <w:spacing w:after="0" w:line="286" w:lineRule="auto"/>
        <w:rPr>
          <w:sz w:val="20"/>
          <w:szCs w:val="20"/>
          <w:color w:val="auto"/>
        </w:rPr>
      </w:pPr>
      <w:r>
        <w:rPr>
          <w:rFonts w:ascii="Arial" w:cs="Arial" w:eastAsia="Arial" w:hAnsi="Arial"/>
          <w:sz w:val="17"/>
          <w:szCs w:val="17"/>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to evaluate the effectiveness of internal control over financial reporting.</w:t>
      </w:r>
    </w:p>
    <w:p>
      <w:pPr>
        <w:spacing w:after="0" w:line="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management has performed an assessment according to the guidelines established by COSO. Based on the assessment, management has concluded that our system of internal control over financial reporting, as of December 31, 2017, is effective.</w:t>
      </w:r>
    </w:p>
    <w:p>
      <w:pPr>
        <w:spacing w:after="0" w:line="6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Grant Thornton LLP, our independent registered public accounting firm, has audited and issued their reports on Icahn Enterprises' internal control over financial reporting, which appears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2017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364" w:right="27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audited the internal control over financial reporting of Icahn Enterprises L.P. (a Delaware limited partnership) and subsidiaries (the “Partnership”) as of December 31, 2017, based on criteria established in the 2013 Internal Control-Integrated Framework issued by the Committee of Sponsoring Organizations of the Treadway Commission (“COSO”). In our opinion, the Partnership maintained, in all material respects, effective internal control over financial reporting as of December 31, 2017, based on criteria established in the 2013 Internal Control-Integrated Framework issued by COSO.</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Partnership as of and for the year ended December 31, 2017, and our report dated March 1, 2018 expressed an unqualified opinion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80"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219"/>
          </w:cols>
          <w:pgMar w:left="240" w:top="364"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names, offices held and ages of the directors and executive officers of Icahn Enterprises G.P., Inc. ("Icahn Enterprises GP") as of March 1, 2018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 C. Icahn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Keith Cozza</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SungHwan Cho</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Peter Reck</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A. Leidesdorf</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James L. Nelson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Jack G. Wasserman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100" w:type="dxa"/>
            <w:vAlign w:val="bottom"/>
            <w:shd w:val="clear" w:color="auto" w:fill="CCEEFF"/>
          </w:tcPr>
          <w:p>
            <w:pPr>
              <w:spacing w:after="0"/>
              <w:rPr>
                <w:sz w:val="21"/>
                <w:szCs w:val="21"/>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79" w:lineRule="exact"/>
        <w:rPr>
          <w:sz w:val="20"/>
          <w:szCs w:val="20"/>
          <w:color w:val="auto"/>
        </w:rPr>
      </w:pPr>
    </w:p>
    <w:p>
      <w:pPr>
        <w:ind w:right="40" w:firstLine="378"/>
        <w:spacing w:after="0" w:line="287" w:lineRule="auto"/>
        <w:rPr>
          <w:sz w:val="20"/>
          <w:szCs w:val="20"/>
          <w:color w:val="auto"/>
        </w:rPr>
      </w:pPr>
      <w:r>
        <w:rPr>
          <w:rFonts w:ascii="Arial" w:cs="Arial" w:eastAsia="Arial" w:hAnsi="Arial"/>
          <w:sz w:val="16"/>
          <w:szCs w:val="16"/>
          <w:b w:val="1"/>
          <w:bCs w:val="1"/>
          <w:i w:val="1"/>
          <w:iCs w:val="1"/>
          <w:color w:val="auto"/>
        </w:rPr>
        <w:t xml:space="preserve">Carl C. Icahn </w:t>
      </w:r>
      <w:r>
        <w:rPr>
          <w:rFonts w:ascii="Arial" w:cs="Arial" w:eastAsia="Arial" w:hAnsi="Arial"/>
          <w:sz w:val="16"/>
          <w:szCs w:val="16"/>
          <w:color w:val="auto"/>
        </w:rPr>
        <w:t>has served as chairman of the board and a director of Starfire Holding Corporation, a privately-held holding company, and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and a director of various subsidiaries of Starfire, since 1984. Since August 2007, through his position as Chief Executive Officer of Icahn Capital LP, a wholly owned subsidiary of Icahn Enterprises L.P. ("Icahn Enterprises") and certain related entities, Mr. Icahn’s principal occupation is managing private investment funds, including Icahn Partners LP and Icahn Partners Master Fund LP. Since November 1990, Mr. Icahn has been chairman of the board of Icahn Enterprises GP, the general partner of Icahn Enterprises and Icahn Enterprises Holdings. Mr. Icahn has been: chairman of the board of CVR Refining, LP since January 2013; chairman of the board of CVR Energy, Inc. since June 2012; chairman of the board of Tropicana Entertainment Inc. since March 2010; and President and a member of the executive committee of XO Holdings, a competitive provider of telecommunication services, since September 2011, and chairman of the board and a director of its predecessors since January 2003. Mr. Icahn was previously: director of Federal-Mogul Holdings Corporation from December 2007 to May 2015, and the non-executive chairman of the board of Federal-Mogul Holdings Corporation from January 2008 to May 2015; chairman of the board and a director of American Railcar Industries, Inc. from 1994 to July 2014; a director of American Railcar Leasing LLC from June 2004 to November 2013; a director of WestPoint Home LLC from October 2005 until December 2011; and a director of Cadus Corporation, a company engaged in the acquisition of real estate for renovation or construction and resale, from July 1993 to July 2010.</w:t>
      </w:r>
    </w:p>
    <w:p>
      <w:pPr>
        <w:spacing w:after="0" w:line="6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Keith Cozza </w:t>
      </w:r>
      <w:r>
        <w:rPr>
          <w:rFonts w:ascii="Arial" w:cs="Arial" w:eastAsia="Arial" w:hAnsi="Arial"/>
          <w:sz w:val="17"/>
          <w:szCs w:val="17"/>
          <w:color w:val="auto"/>
        </w:rPr>
        <w:t>has been the President and Chief Executive Officer of Icahn Enterprises since February 2014. In addition, Mr. Cozza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Officer of Icahn Capital LP, the subsidiary of Icahn Enterprises through which Carl C. Icahn manages investment funds, since February 2013. From February 2013 to February 2014, Mr. Cozza served as Executive Vice President of Icahn Enterprises. Mr. Cozza is also the Chief Financial Officer of Icahn Associates Holding LLC, a position he has held since 2006. Mr. Cozza has been a director of: Tropicana Entertainment Inc. since February 2014; Herbalife Ltd., a nutrition company, since April 2013; and Icahn Enterprises since September 2012. In addition, Mr. Cozza serves as a director of certain wholly-owned subsidiaries of Icahn Enterprises, including: Federal-Mogul Holdings LLC (formerly known as Federal-Mogul Holdings Corporation); Icahn Automotive Group LLC; and PSC Metals Inc. Mr. Cozza was previously: a member of the Executive Committee of American Railcar Leasing LLC from June 2014 to June 2017; a director of FCX Oil &amp; Gas Inc., a wholly-owned subsidiary of Freeport-McMoRan Inc., from October 2015 to April 2016; a director of CVR Refining, LP from January 2013 to February 2014; and a director of MGM Holdings Inc., an entertainment company focused on the production and distribution of film and television content, from April 2012 to August 2012. Mr. Icahn has or previously had non-controlling interests in Freeport-McMoRan, Herbalife and MGM Holdings through the ownership of securities.</w:t>
      </w: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Cozza brings to his service as a director his significant experience in leadership roles as director of various companies as discussed above. In particular, his experience as Chief Financial Officer of Icahn Associates Holding LLC enables him to understand the complex business and financial issues that we may face.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364" w:right="239" w:bottom="1440" w:gutter="0" w:footer="0" w:header="0"/>
        </w:sectPr>
      </w:pPr>
    </w:p>
    <w:bookmarkStart w:id="131" w:name="page132"/>
    <w:bookmarkEnd w:id="131"/>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SungHwan Cho </w:t>
      </w:r>
      <w:r>
        <w:rPr>
          <w:rFonts w:ascii="Arial" w:cs="Arial" w:eastAsia="Arial" w:hAnsi="Arial"/>
          <w:sz w:val="16"/>
          <w:szCs w:val="16"/>
          <w:color w:val="auto"/>
        </w:rPr>
        <w:t>has served as Chief Financial Officer of Icahn Enterprises since March 2012. Prior to that time, he was Senior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Portfolio Company Associate at Icahn Enterprises since October 2006. Mr. Cho has been a director of: Hertz Global Holdings, Inc., a company engaged in the car rental business, since May 2017; Ferrous Resources Limited since June 2015; CVR Refining, LP since January 2013; Icahn Enterprises since September 2012; CVR Energy, Inc. since May 2012; and American Railcar Industries, Inc. since June 2011 (and has been Chairman of the Board of American Railcar Industries since July 2014). In addition, Mr. Cho serves as a director of certain wholly-owned subsidiaries of Icahn Enterprises, including: Federal-Mogul Holdings LLC (formerly known as Federal-Mogul Holdings Corporation); Icahn Automotive Group LLC; PSC Metals Inc.; and WestPoint Home LLC. Mr. Cho was previously: a member of the Executive Committee of American Railcar Leasing LLC from September 2013 to June 2017; a director of CVR Partners LP from May 2012 to April 2017; a director of Viskase Companies, Inc. from November 2006 to April 2017; and a director of Take-Two Interactive Software Inc., a publisher of interactive entertainment products, from April 2010 to November 2013. Mr. Icahn has or previously had a non-controlling interest in each of Hertz Global Holdings and Take-Two Interactive Software through the ownership of securities.</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Cho brings to his service as a director his significant experience in leadership roles as director of various companies as discussed above. In particular, his service as Chief Financial Officer of Icahn Enterprises and Icahn Enterprises Holdings enables him to understand the complex business and financial issues that we may face.</w:t>
      </w:r>
    </w:p>
    <w:p>
      <w:pPr>
        <w:spacing w:after="0" w:line="73"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b w:val="1"/>
          <w:bCs w:val="1"/>
          <w:i w:val="1"/>
          <w:iCs w:val="1"/>
          <w:color w:val="auto"/>
        </w:rPr>
        <w:t xml:space="preserve">Peter Reck </w:t>
      </w:r>
      <w:r>
        <w:rPr>
          <w:rFonts w:ascii="Arial" w:cs="Arial" w:eastAsia="Arial" w:hAnsi="Arial"/>
          <w:sz w:val="17"/>
          <w:szCs w:val="17"/>
          <w:color w:val="auto"/>
        </w:rPr>
        <w:t>has served as Chief Accounting Officer of our general partner, Icahn Enterprises GP, since March 2012, and as its Secretary since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2012. Mr. Reck was Controller of Icahn Enterprises and Icahn Enterprises Holdings from November 2005 to March 2012. Mr. Reck has served as director of: Icahn Automotive Group LLC since 2017; The Pep Boys - Manny, Moe &amp; Jack, since February 2016; and Viskase Companies, Inc. since March 2012. Previously, Mr. Reck served as Controller of Family Office and Treasurer of Philanthropies for Bromor Management, the Family Office of Charles Bronfman. Mr. Reck also served as Controller for the Bank of Uruguay and worked at KPMG LLP in their audit practice.</w:t>
      </w:r>
    </w:p>
    <w:p>
      <w:pPr>
        <w:spacing w:after="0" w:line="64"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b w:val="1"/>
          <w:bCs w:val="1"/>
          <w:i w:val="1"/>
          <w:iCs w:val="1"/>
          <w:color w:val="auto"/>
        </w:rPr>
        <w:t xml:space="preserve">William A. Leidesdorf </w:t>
      </w:r>
      <w:r>
        <w:rPr>
          <w:rFonts w:ascii="Arial" w:cs="Arial" w:eastAsia="Arial" w:hAnsi="Arial"/>
          <w:sz w:val="17"/>
          <w:szCs w:val="17"/>
          <w:color w:val="auto"/>
        </w:rPr>
        <w:t>has served as a director of Icahn Enterprises' general partner, Icahn Enterprises GP, since March 1991 and is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Mr. Leidesdorf has served Icahn Enterprises' subsidiaries as a director and member of the audit committee of Tropicana Entertainment Inc. since May 2014 and as a director of IEH Auto Parts LLC since June 2015. Mr. Leidesdorf previously served as: a director and member of the audit committee of American Entertainment Properties Corp., a subsidiary of Icahn Enterprises, from December 2003 to March 2013; a director of Renco Steel, during its bankruptcy, its subsidiary, WCI Steel, Inc., a steel producer which filed for Chapter 11 bankruptcy protection and Simpson Housing Limited Partnership, a privately held real estate investment trust; an owner and a managing director of Renaissance Housing, LLC, and a company primarily engaged in the acquisition of multifamily housing and, the owner and managing director of Renaissance Hamptons Mayfair, LLC, a company primarily engaged in acquiring multifamily residential properties from 2008 until April 2015; and a principal in Bedrock Investment Management Group, LLC, a company engaged in the acquisition of troubled residential subdivisions, from 2008 until December 2014.</w:t>
      </w:r>
    </w:p>
    <w:p>
      <w:pPr>
        <w:spacing w:after="0" w:line="74"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Mr. Leidesdorf brings to his service as a director his significant business experience and leadership role as a director in various companies including certain of our subsidiaries. His experience has enabled him to understand the complex business and financial issues that companies may face. Mr. Leidesdorf has also had experience with large-scale real estate workouts and has been responsible for managing real estate portfolios for a number of institutions, including responsibility for audits and compliance with various federal and state regulatory authorities.</w:t>
      </w:r>
    </w:p>
    <w:p>
      <w:pPr>
        <w:spacing w:after="0" w:line="63"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b w:val="1"/>
          <w:bCs w:val="1"/>
          <w:i w:val="1"/>
          <w:iCs w:val="1"/>
          <w:color w:val="auto"/>
        </w:rPr>
        <w:t xml:space="preserve">James L. Nelson </w:t>
      </w:r>
      <w:r>
        <w:rPr>
          <w:rFonts w:ascii="Arial" w:cs="Arial" w:eastAsia="Arial" w:hAnsi="Arial"/>
          <w:sz w:val="17"/>
          <w:szCs w:val="17"/>
          <w:color w:val="auto"/>
        </w:rPr>
        <w:t>has served as a director of Icahn Enterprises' general partner, Icahn Enterprises GP, since June 2001 and is a member of our audit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Mr. Nelson has been a director of: IEH Auto Parts LLC since June 2015, an Icahn Enterprises’ subsidiary; and Herbalife Ltd., a nutrition company in which Mr. Icahn holds a non-controlling interest through the ownership of securities, since April 2014. Mr. Nelson has served as Chief Executive Officer of Global Net Lease Inc., a publicly traded real estate investment trust, since August 2017, as a director since March 2017, and from March 2017 to July 2017, as chairman of the audit committee. Mr. Nelson previously served as: a director of New York REIT, Inc., a publicly traded real estate investment trust, from November 2015 to June 2017; a director and member of the compensation, governance and strategic alternatives committees of Voltari Corporation, a commercial real estate company controlled by Mr. Icahn, from June 2011 through September 2015 (and, from January 2012 through September 2015, served as chairman of its Board of Directors); a director of VII Peaks Co-Optivist Income BDC II, Inc., an externally managed, closed-end management investment company, from November 2013 through August 2014; a director of Ubiquity Broadcasting Corporation, a vertically integrated, technology-focused media company, from April 2014 to August 2014; a director and member of the audit committee of Tropicana Entertainment Inc. from March 2010 to May 2014; a director and member of the Governance and Nominating Committee of SITO Mobile, Ltd., a technology-based mobile solutions provider serving businesses, advertisers and brands, from May 2013 to April 2014; a director and member of the audit committee of Take Two Interactive Software, Inc., a publisher, developer, and distributor of video games and video game peripherals in which Mr. Icahn previously held an interest through the ownership of securities, from April 2010 through November 2013; a director and as chairman of the audit committee of the board of directors of Cequel Communications, an owner and operator of a large cable television system, from April 2008 to November 2012; and a director and chairman of the audit committee of Viskase Companies, Inc. from April 2003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76"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through April 2010.</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Mr. Nelson brings to his service as a director his significant experience and leadership roles serving as chief executive officer, director and chairman of the audit committee of various companies.</w:t>
      </w:r>
    </w:p>
    <w:p>
      <w:pPr>
        <w:spacing w:after="0" w:line="143" w:lineRule="exact"/>
        <w:rPr>
          <w:sz w:val="20"/>
          <w:szCs w:val="20"/>
          <w:color w:val="auto"/>
        </w:rPr>
      </w:pPr>
    </w:p>
    <w:p>
      <w:pPr>
        <w:ind w:right="60" w:firstLine="378"/>
        <w:spacing w:after="0" w:line="270" w:lineRule="auto"/>
        <w:rPr>
          <w:sz w:val="20"/>
          <w:szCs w:val="20"/>
          <w:color w:val="auto"/>
        </w:rPr>
      </w:pPr>
      <w:r>
        <w:rPr>
          <w:rFonts w:ascii="Arial" w:cs="Arial" w:eastAsia="Arial" w:hAnsi="Arial"/>
          <w:sz w:val="17"/>
          <w:szCs w:val="17"/>
          <w:b w:val="1"/>
          <w:bCs w:val="1"/>
          <w:i w:val="1"/>
          <w:iCs w:val="1"/>
          <w:color w:val="auto"/>
        </w:rPr>
        <w:t xml:space="preserve">Jack G. Wasserman </w:t>
      </w:r>
      <w:r>
        <w:rPr>
          <w:rFonts w:ascii="Arial" w:cs="Arial" w:eastAsia="Arial" w:hAnsi="Arial"/>
          <w:sz w:val="17"/>
          <w:szCs w:val="17"/>
          <w:color w:val="auto"/>
        </w:rPr>
        <w:t>has served as a director of Icahn Enterprises' general partner, Icahn Enterprises GP, since December 1993 and is the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audit committee. Mr. Wasserman has been a director of Cadus Corporation, a company engaged in the acquisition of real estate for renovation or construction and resale, a company controlled by Mr. Icahn, since December 1998. Mr. Wasserman has served Icahn Enterprises’ subsidiaries as a director of IEH Auto Parts LLC since June 2015 and as a director and member of the audit committee of Trump Entertainment Resorts, Inc. since February 2016. Mr. Wasserman has been engaged in the practice of law as a sole practitioner, since September 2001. Mr. Wasserman previously served as: a director of Wendy's, a franchisor of the Wendy's restaurant system, as the chairman of the ERISA committee of Wendy’s and as a member of the audit and compensation committees of Wendy's, from March 2004 to June 2015; a director and chairman of the audit committee of American Entertainment Properties Corp. a subsidiary of Icahn Enterprises, from December 2003 to March 2013; and a senior partner of Wasserman, Schneider, Babb &amp; Reed, a New York-based law firm, and its predecessors, from 1966 until 2001. He is a current and past director of numerous not-for-profit organizations. Mr. Wasserman is an attorney and a member of the Bars of New York, Florida and the District of Columbia.</w:t>
      </w:r>
    </w:p>
    <w:p>
      <w:pPr>
        <w:spacing w:after="0" w:line="70"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Mr. Wasserman brings to his service as a director his significant experience and leadership roles as a director of various public companies. In addition, Mr. Wasserman practiced law for almost 40 years with the law firm of Wasserman, Schneider, Babb &amp; Reed of which he was a senior partner; the firm concentrated its practice in international trade and related corporate matters, primarily for Fortune 500-type companies operating in a broad range of industries, and he is familiar with financial statements and domestic and trans-border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 xml:space="preserve">James L. Nelson, William A. Leidesdorf and Jack G. Wasserman serve on our audit committee. We believe that the audit committee members are “independent” within the meaning of Rule 5605(a)(2) of the NASDAQ Listing Rules of the NASDAQ Stock Market ("NASDAQ"). A copy of the audit committee charter is available on our website at </w:t>
      </w:r>
      <w:r>
        <w:rPr>
          <w:rFonts w:ascii="Arial" w:cs="Arial" w:eastAsia="Arial" w:hAnsi="Arial"/>
          <w:sz w:val="18"/>
          <w:szCs w:val="18"/>
          <w:i w:val="1"/>
          <w:iCs w:val="1"/>
          <w:color w:val="auto"/>
        </w:rPr>
        <w:t>www.ielp.com/governance.cfm</w:t>
      </w:r>
      <w:r>
        <w:rPr>
          <w:rFonts w:ascii="Arial" w:cs="Arial" w:eastAsia="Arial" w:hAnsi="Arial"/>
          <w:sz w:val="18"/>
          <w:szCs w:val="18"/>
          <w:color w:val="auto"/>
        </w:rPr>
        <w:t xml:space="preserve"> or may be obtained without charge by writing to Icahn Enterprises L.P., 767 Fifth Avenue, Suite 4700, New York, NY 10153, Attention: Investor Relations.</w:t>
      </w:r>
    </w:p>
    <w:p>
      <w:pPr>
        <w:spacing w:after="0" w:line="79" w:lineRule="exact"/>
        <w:rPr>
          <w:sz w:val="20"/>
          <w:szCs w:val="20"/>
          <w:color w:val="auto"/>
        </w:rPr>
      </w:pPr>
    </w:p>
    <w:p>
      <w:pPr>
        <w:ind w:right="40" w:firstLine="378"/>
        <w:spacing w:after="0" w:line="254" w:lineRule="auto"/>
        <w:rPr>
          <w:sz w:val="20"/>
          <w:szCs w:val="20"/>
          <w:color w:val="auto"/>
        </w:rPr>
      </w:pPr>
      <w:r>
        <w:rPr>
          <w:rFonts w:ascii="Arial" w:cs="Arial" w:eastAsia="Arial" w:hAnsi="Arial"/>
          <w:sz w:val="18"/>
          <w:szCs w:val="18"/>
          <w:color w:val="auto"/>
        </w:rPr>
        <w:t>Our audit committee has twelve regularly scheduled meetings each year, and numerous other meetings when circumstances require. Eight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management of each of our subsidiaries. Four meetings are held with our Chief Financial Officer, Chief Accounting Officer, and Chief Auditor, who report to the audit committee on company-wide developing financial and related matters. At the time of the annual report on Form 10-K, the audit committee meets in executive session, and also meets separately with our independent auditor and our senior management. Our audit committee holds two annual executive sessions. When necessary, our audit committee holds informal meetings, meets with its independent counsel, and, when appropriate, with independent financial advisers.</w:t>
      </w:r>
    </w:p>
    <w:p>
      <w:pPr>
        <w:spacing w:after="0" w:line="84"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74"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Our board of directors has determined that we do not have an “audit committee financial expert,” within the meaning of Item 407(d)(5) of Regulation S-K, serving on our audit committee. We believe that each member of the audit committee is financially literate and possesses sufficient experience, both professionally and by virtue of his service as a director and member of the audit committee of Icahn Enterprises GP, to be fully capable of discharging his duties as a member of our audit committee. However, none of the members of our audit committee has a professional background in accounting or preparing, auditing, analyzing or evaluating financial statements. If our audit committee determines that it requires additional financial expertise, it will either engage professional advisors or seek to recruit a member who would qualify as an “audit committee financial expert” within the meaning of Item 407(d)(5) of Regulation S-K.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76" w:right="239" w:bottom="1440" w:gutter="0" w:footer="0" w:header="0"/>
        </w:sectPr>
      </w:pPr>
    </w:p>
    <w:bookmarkStart w:id="133" w:name="page134"/>
    <w:bookmarkEnd w:id="133"/>
    <w:p>
      <w:pPr>
        <w:ind w:right="80" w:firstLine="378"/>
        <w:spacing w:after="0" w:line="264" w:lineRule="auto"/>
        <w:rPr>
          <w:sz w:val="20"/>
          <w:szCs w:val="20"/>
          <w:color w:val="auto"/>
        </w:rPr>
      </w:pPr>
      <w:r>
        <w:rPr>
          <w:rFonts w:ascii="Arial" w:cs="Arial" w:eastAsia="Arial" w:hAnsi="Arial"/>
          <w:sz w:val="18"/>
          <w:szCs w:val="18"/>
          <w:color w:val="auto"/>
        </w:rPr>
        <w:t>Jack G. Wasserman has been chosen to preside and currently presides at executive sessions of our non-management directors. Interested parties may directly communicate with the presiding director of the audit committee or with the non-management directors of the audit committee as a group by directing all inquiries to our ethics hotline at (877) 888-0002.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117"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The audit committee has confirmed that: (1) the audit committee reviewed and discussed our audited financial statements for the year ended December 31, 2017 with management; (2) the audit committee has discussed with our independent auditors the matters required to be discussed by SAS 61 (Codification of Statements on Auditing Standards, AU§380); (3) the audit committee has received the written disclosures and the letter from the independent accountants required by Independence Standards Board Standard No. 1; and (4) based on the review and discussions referred to in clauses (1), (2) and (3) above, the audit committee recommended to the board of directors that our audited financial statements for the year ended December 31, 2017 be included in this Report.</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following independent directors, who constitute the audit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Jack G. Wasserman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 xml:space="preserve">Icahn Enterprises GP's board of directors has adopted a Code of Business Conduct and Ethics applicable to all directors, officers and employees, including our principal executive officer, principal financial officer and principal accounting officer. A copy of the Code of Business Conduct and Ethics is available on our website at </w:t>
      </w:r>
      <w:r>
        <w:rPr>
          <w:rFonts w:ascii="Arial" w:cs="Arial" w:eastAsia="Arial" w:hAnsi="Arial"/>
          <w:sz w:val="18"/>
          <w:szCs w:val="18"/>
          <w:i w:val="1"/>
          <w:iCs w:val="1"/>
          <w:color w:val="auto"/>
        </w:rPr>
        <w:t>www.ielp.com/governance.cfm</w:t>
      </w:r>
      <w:r>
        <w:rPr>
          <w:rFonts w:ascii="Arial" w:cs="Arial" w:eastAsia="Arial" w:hAnsi="Arial"/>
          <w:sz w:val="18"/>
          <w:szCs w:val="18"/>
          <w:color w:val="auto"/>
        </w:rPr>
        <w:t xml:space="preserve"> and may be obtained without charge by writing to Icahn Enterprises L.P., 767 Fifth Avenue, Suite 4700, New York, NY 10153, Attention: Investor Relations.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Corporate Governance Compliance</w:t>
      </w:r>
    </w:p>
    <w:p>
      <w:pPr>
        <w:spacing w:after="0" w:line="117"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Pursuant to Rule 5615(a)(4)(J) of the NASDAQ corporate governance requirements, in the event that an executive officer of Icahn Enterprises' or Icahn Enterprises Holdings', or a person performing an equivalent role, becomes aware of any noncompliance with NASDAQ's corporate governance requirements, he or she is required to provide prompt notice to NASDAQ of such noncompliance. As of March 1, 2018, we believe that we are compliant with NASDAQ's corporate governance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leadership structure includes the positions of chairman of the board ("Chairman") and Chief Executive Officer. Mr. Icahn serves as our Chairman and Mr. Cozza serves as our Chief Executive Officer.</w:t>
      </w:r>
    </w:p>
    <w:p>
      <w:pPr>
        <w:spacing w:after="0" w:line="62"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In connection with its oversight responsibilities the Board, including the Audit Committee, periodically reviews the significant risks that we face. These risks include strategic, financial, operational and compliance risks. The Board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and directors and persons who own more than 10% of a registered class of our equity securities, to file with the SEC initial statements of beneficial ownership, reports of changes in ownership and Annual Reports concerning their ownership, of common stock and other of our equity securities on Forms 3, 4, and 5, respectively. Executive officers, directors and greater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76" w:right="239" w:bottom="1440" w:gutter="0" w:footer="0" w:header="0"/>
        </w:sectPr>
      </w:pPr>
    </w:p>
    <w:bookmarkStart w:id="134" w:name="page135"/>
    <w:bookmarkEnd w:id="134"/>
    <w:p>
      <w:pPr>
        <w:ind w:right="140"/>
        <w:spacing w:after="0" w:line="277" w:lineRule="auto"/>
        <w:rPr>
          <w:sz w:val="20"/>
          <w:szCs w:val="20"/>
          <w:color w:val="auto"/>
        </w:rPr>
      </w:pPr>
      <w:r>
        <w:rPr>
          <w:rFonts w:ascii="Arial" w:cs="Arial" w:eastAsia="Arial" w:hAnsi="Arial"/>
          <w:sz w:val="18"/>
          <w:szCs w:val="18"/>
          <w:color w:val="auto"/>
        </w:rPr>
        <w:t>than 10% stockholders are required by SEC regulations to furnish us with copies of all Section 16(a) reports they file. Based solely on information available to us in public filings, we believe that all reports required by Section 16(a) were timely filed.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Structure and Reporting Requirements</w:t>
      </w:r>
    </w:p>
    <w:p>
      <w:pPr>
        <w:spacing w:after="0" w:line="12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Icahn Enterprises is a master limited partnership ("MLP") and is not subject to the proxy solicitation rules as required by section 14A of the Exchange Act or §240.14a-20. Furthermore, because Icahn Enterprises has not ever been a TARP recipient, as defined in section 111(a)(3) of the Emergency Economic Stabilization Act of 2008, it is not subject to §240.14a-20. As a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2017, whom we refer to as our named executive officers:</w:t>
      </w:r>
    </w:p>
    <w:p>
      <w:pPr>
        <w:spacing w:after="0" w:line="79"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Carl C. Icahn, Chairman of the Board</w:t>
      </w:r>
      <w:r>
        <w:rPr>
          <w:rFonts w:ascii="Arial" w:cs="Arial" w:eastAsia="Arial" w:hAnsi="Arial"/>
          <w:sz w:val="18"/>
          <w:szCs w:val="18"/>
          <w:color w:val="auto"/>
          <w:vertAlign w:val="superscript"/>
        </w:rPr>
        <w:t>(1)</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Keith Cozza, President and Chief Executive Officer</w:t>
      </w:r>
      <w:r>
        <w:rPr>
          <w:rFonts w:ascii="Arial" w:cs="Arial" w:eastAsia="Arial" w:hAnsi="Arial"/>
          <w:sz w:val="18"/>
          <w:szCs w:val="18"/>
          <w:color w:val="auto"/>
          <w:vertAlign w:val="superscript"/>
        </w:rPr>
        <w:t>(2)</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SungHwan Cho, Chief Financial Officer</w:t>
      </w:r>
      <w:r>
        <w:rPr>
          <w:rFonts w:ascii="Arial" w:cs="Arial" w:eastAsia="Arial" w:hAnsi="Arial"/>
          <w:sz w:val="18"/>
          <w:szCs w:val="18"/>
          <w:color w:val="auto"/>
          <w:vertAlign w:val="superscript"/>
        </w:rPr>
        <w:t>(3)</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Peter Reck, Chief Accounting Officer</w:t>
      </w:r>
    </w:p>
    <w:p>
      <w:pPr>
        <w:spacing w:after="0" w:line="112" w:lineRule="exact"/>
        <w:rPr>
          <w:rFonts w:ascii="Arial" w:cs="Arial" w:eastAsia="Arial" w:hAnsi="Arial"/>
          <w:sz w:val="18"/>
          <w:szCs w:val="18"/>
          <w:color w:val="auto"/>
        </w:rPr>
      </w:pPr>
    </w:p>
    <w:p>
      <w:pPr>
        <w:ind w:left="780" w:hanging="124"/>
        <w:spacing w:after="0"/>
        <w:tabs>
          <w:tab w:leader="none" w:pos="780" w:val="left"/>
        </w:tabs>
        <w:numPr>
          <w:ilvl w:val="1"/>
          <w:numId w:val="29"/>
        </w:numPr>
        <w:rPr>
          <w:rFonts w:ascii="Arial" w:cs="Arial" w:eastAsia="Arial" w:hAnsi="Arial"/>
          <w:sz w:val="9"/>
          <w:szCs w:val="9"/>
          <w:color w:val="auto"/>
        </w:rPr>
      </w:pPr>
      <w:r>
        <w:rPr>
          <w:rFonts w:ascii="Arial" w:cs="Arial" w:eastAsia="Arial" w:hAnsi="Arial"/>
          <w:sz w:val="14"/>
          <w:szCs w:val="14"/>
          <w:color w:val="auto"/>
        </w:rPr>
        <w:t>In addition, Mr. Icahn serves as Chief Executive Officer of our subsidiary, Icahn Capital and of the General Partners.</w:t>
      </w:r>
    </w:p>
    <w:p>
      <w:pPr>
        <w:spacing w:after="0" w:line="109" w:lineRule="exact"/>
        <w:rPr>
          <w:rFonts w:ascii="Arial" w:cs="Arial" w:eastAsia="Arial" w:hAnsi="Arial"/>
          <w:sz w:val="9"/>
          <w:szCs w:val="9"/>
          <w:color w:val="auto"/>
        </w:rPr>
      </w:pPr>
    </w:p>
    <w:p>
      <w:pPr>
        <w:ind w:left="820" w:right="380" w:hanging="164"/>
        <w:spacing w:after="0" w:line="273" w:lineRule="auto"/>
        <w:tabs>
          <w:tab w:leader="none" w:pos="785" w:val="left"/>
        </w:tabs>
        <w:numPr>
          <w:ilvl w:val="1"/>
          <w:numId w:val="29"/>
        </w:numPr>
        <w:rPr>
          <w:rFonts w:ascii="Arial" w:cs="Arial" w:eastAsia="Arial" w:hAnsi="Arial"/>
          <w:sz w:val="9"/>
          <w:szCs w:val="9"/>
          <w:color w:val="auto"/>
        </w:rPr>
      </w:pPr>
      <w:r>
        <w:rPr>
          <w:rFonts w:ascii="Arial" w:cs="Arial" w:eastAsia="Arial" w:hAnsi="Arial"/>
          <w:sz w:val="14"/>
          <w:szCs w:val="14"/>
          <w:color w:val="auto"/>
        </w:rPr>
        <w:t>In addition, Mr. Cozza also serves as the Chief Operating Officer of Icahn Capital, serves as director of Icahn Enterprises and Icahn Enterprises Holdings and holds officer and/or director positions at certain of our other subsidiaries.</w:t>
      </w:r>
    </w:p>
    <w:p>
      <w:pPr>
        <w:spacing w:after="0" w:line="65" w:lineRule="exact"/>
        <w:rPr>
          <w:rFonts w:ascii="Arial" w:cs="Arial" w:eastAsia="Arial" w:hAnsi="Arial"/>
          <w:sz w:val="9"/>
          <w:szCs w:val="9"/>
          <w:color w:val="auto"/>
        </w:rPr>
      </w:pPr>
    </w:p>
    <w:p>
      <w:pPr>
        <w:ind w:left="780" w:hanging="124"/>
        <w:spacing w:after="0"/>
        <w:tabs>
          <w:tab w:leader="none" w:pos="780" w:val="left"/>
        </w:tabs>
        <w:numPr>
          <w:ilvl w:val="1"/>
          <w:numId w:val="29"/>
        </w:numPr>
        <w:rPr>
          <w:rFonts w:ascii="Arial" w:cs="Arial" w:eastAsia="Arial" w:hAnsi="Arial"/>
          <w:sz w:val="9"/>
          <w:szCs w:val="9"/>
          <w:color w:val="auto"/>
        </w:rPr>
      </w:pPr>
      <w:r>
        <w:rPr>
          <w:rFonts w:ascii="Arial" w:cs="Arial" w:eastAsia="Arial" w:hAnsi="Arial"/>
          <w:sz w:val="14"/>
          <w:szCs w:val="14"/>
          <w:color w:val="auto"/>
        </w:rPr>
        <w:t>In addition, Mr. Cho serves as a director of Icahn Enterprises and Icahn Enterprises Holdings.</w:t>
      </w:r>
    </w:p>
    <w:p>
      <w:pPr>
        <w:spacing w:after="0" w:line="11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discussion below is intended to help you understand the detailed information provided in the table and put that information into context within our overall compensation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Program</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Throughout this narrative discussion and in the accompanying table, we refer to our named executive officers. The key compensation package provided to our named executive officers consists of (i) base salary, (ii) incentive compensation and (iii) other benefits. The key compensation provided to our named executive officers for 2017 consisted of salary and bonuses. See “Additional Information Regarding Executive Compensation - Summary Compensation Table” for the compensation received by each of our named executive officers for 2017. Executive compensation levels and bonuses are established based upon the recommendation of our chairman, which are discussed with members of the board. The board of directors does not delegate the authority to establish executive officer compensation to any other person and has not retained any compensation consultants to determine or recommend the amount or form of executive and director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right="20" w:firstLine="378"/>
        <w:spacing w:after="0" w:line="312" w:lineRule="auto"/>
        <w:rPr>
          <w:sz w:val="20"/>
          <w:szCs w:val="20"/>
          <w:color w:val="auto"/>
        </w:rPr>
      </w:pPr>
      <w:r>
        <w:rPr>
          <w:rFonts w:ascii="Arial" w:cs="Arial" w:eastAsia="Arial" w:hAnsi="Arial"/>
          <w:sz w:val="16"/>
          <w:szCs w:val="16"/>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3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primary components of our executive compensation are base salary and, except as otherwise indicated, annual bonus, payable in cash.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Appropriate Pay Levels</w:t>
      </w:r>
    </w:p>
    <w:p>
      <w:pPr>
        <w:spacing w:after="0" w:line="11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We compete with many other companies for experienced and talented executives. Although we do not benchmark compensation against a specified peer group of companies, we review and consider market information regarding pay practices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76" w:right="259" w:bottom="1440" w:gutter="0" w:footer="0" w:header="0"/>
        </w:sectPr>
      </w:pPr>
    </w:p>
    <w:bookmarkStart w:id="135" w:name="page136"/>
    <w:bookmarkEnd w:id="135"/>
    <w:p>
      <w:pPr>
        <w:ind w:right="60"/>
        <w:spacing w:after="0" w:line="277" w:lineRule="auto"/>
        <w:rPr>
          <w:sz w:val="20"/>
          <w:szCs w:val="20"/>
          <w:color w:val="auto"/>
        </w:rPr>
      </w:pPr>
      <w:r>
        <w:rPr>
          <w:rFonts w:ascii="Arial" w:cs="Arial" w:eastAsia="Arial" w:hAnsi="Arial"/>
          <w:sz w:val="18"/>
          <w:szCs w:val="18"/>
          <w:color w:val="auto"/>
        </w:rPr>
        <w:t>in the real estate and finance industries generally in assessing the reasonableness of compensation and ensuring that compensation levels remain competitive in the marketplace.</w:t>
      </w:r>
    </w:p>
    <w:p>
      <w:pPr>
        <w:spacing w:after="0" w:line="62"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73"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overall job performance, including performance against corporate and individual objectives;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job responsibilities, including unique skills necessary to support our long-term performance, including that of our subsidiaries; and</w:t>
      </w:r>
    </w:p>
    <w:p>
      <w:pPr>
        <w:spacing w:after="0" w:line="117" w:lineRule="exact"/>
        <w:rPr>
          <w:rFonts w:ascii="Arial" w:cs="Arial" w:eastAsia="Arial" w:hAnsi="Arial"/>
          <w:sz w:val="18"/>
          <w:szCs w:val="18"/>
          <w:color w:val="auto"/>
        </w:rPr>
      </w:pPr>
    </w:p>
    <w:p>
      <w:pPr>
        <w:ind w:left="1300" w:hanging="887"/>
        <w:spacing w:after="0" w:line="277"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teamwork, both contributions as a member of the executive management team and fostering an environment of personal and professional growth for the entire work force.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Compensation</w:t>
      </w:r>
    </w:p>
    <w:p>
      <w:pPr>
        <w:spacing w:after="0" w:line="117" w:lineRule="exact"/>
        <w:rPr>
          <w:sz w:val="20"/>
          <w:szCs w:val="20"/>
          <w:color w:val="auto"/>
        </w:rPr>
      </w:pPr>
    </w:p>
    <w:p>
      <w:pPr>
        <w:ind w:right="420" w:firstLine="405"/>
        <w:spacing w:after="0" w:line="286" w:lineRule="auto"/>
        <w:rPr>
          <w:sz w:val="20"/>
          <w:szCs w:val="20"/>
          <w:color w:val="auto"/>
        </w:rPr>
      </w:pPr>
      <w:r>
        <w:rPr>
          <w:rFonts w:ascii="Arial" w:cs="Arial" w:eastAsia="Arial" w:hAnsi="Arial"/>
          <w:sz w:val="17"/>
          <w:szCs w:val="17"/>
          <w:color w:val="auto"/>
        </w:rPr>
        <w:t>There is no pre-established policy or target for the allocation of compensation. As we are a limited partnership and a controlled entity, under the NASDAQ listing rules, our status as a MLP exempts us from certain corporate governance rules, including the requirement to maintain a compensation committee. In 2017, the total compensation granted to named executive officers was in the form of cash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 salaries for executive officers are determined based on job performance, job responsibilities and teamwork.</w:t>
      </w:r>
    </w:p>
    <w:p>
      <w:pPr>
        <w:spacing w:after="0" w:line="117" w:lineRule="exact"/>
        <w:rPr>
          <w:sz w:val="20"/>
          <w:szCs w:val="20"/>
          <w:color w:val="auto"/>
        </w:rPr>
      </w:pPr>
    </w:p>
    <w:p>
      <w:pPr>
        <w:ind w:right="180" w:firstLine="378"/>
        <w:spacing w:after="0" w:line="308" w:lineRule="auto"/>
        <w:rPr>
          <w:sz w:val="20"/>
          <w:szCs w:val="20"/>
          <w:color w:val="auto"/>
        </w:rPr>
      </w:pPr>
      <w:r>
        <w:rPr>
          <w:rFonts w:ascii="Arial" w:cs="Arial" w:eastAsia="Arial" w:hAnsi="Arial"/>
          <w:sz w:val="17"/>
          <w:szCs w:val="17"/>
          <w:color w:val="auto"/>
        </w:rPr>
        <w:t>Mr. Icahn is currently an at will employee serving as Chairman of the Board of Icahn Enterprises GP and as Chairman and Chief Executive Officer of Icahn Capital and Chief Executive Officer of the General Partners for which he receives an annual base salary of $1 per annum.</w:t>
      </w:r>
    </w:p>
    <w:p>
      <w:pPr>
        <w:spacing w:after="0" w:line="38"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62"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See “Additional Information Regarding Executive Compensation - Summary Compensation Table” for detailed information on the compensation received by each of our named executive officers for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in the real estate and finance industries generally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spacing w:after="0" w:line="70" w:lineRule="exact"/>
        <w:rPr>
          <w:sz w:val="20"/>
          <w:szCs w:val="20"/>
          <w:color w:val="auto"/>
        </w:rPr>
      </w:pPr>
    </w:p>
    <w:p>
      <w:pPr>
        <w:ind w:right="1820" w:firstLine="378"/>
        <w:spacing w:after="0" w:line="375" w:lineRule="auto"/>
        <w:rPr>
          <w:sz w:val="20"/>
          <w:szCs w:val="20"/>
          <w:color w:val="auto"/>
        </w:rPr>
      </w:pPr>
      <w:r>
        <w:rPr>
          <w:rFonts w:ascii="Arial" w:cs="Arial" w:eastAsia="Arial" w:hAnsi="Arial"/>
          <w:sz w:val="18"/>
          <w:szCs w:val="18"/>
          <w:color w:val="auto"/>
        </w:rPr>
        <w:t xml:space="preserve">For 2017, Messrs. Cozza, Cho and Reck received discretionary bonuses of $4,000,000, $1,400,000 and $215,000, respectively. </w:t>
      </w:r>
      <w:r>
        <w:rPr>
          <w:rFonts w:ascii="Arial" w:cs="Arial" w:eastAsia="Arial" w:hAnsi="Arial"/>
          <w:sz w:val="18"/>
          <w:szCs w:val="18"/>
          <w:i w:val="1"/>
          <w:iCs w:val="1"/>
          <w:color w:val="auto"/>
        </w:rPr>
        <w:t>401(k) Plan and Other Benefits</w:t>
      </w:r>
    </w:p>
    <w:p>
      <w:pPr>
        <w:spacing w:after="0" w:line="1" w:lineRule="exact"/>
        <w:rPr>
          <w:sz w:val="20"/>
          <w:szCs w:val="20"/>
          <w:color w:val="auto"/>
        </w:rPr>
      </w:pPr>
    </w:p>
    <w:p>
      <w:pPr>
        <w:jc w:val="both"/>
        <w:ind w:right="140" w:firstLine="378"/>
        <w:spacing w:after="0" w:line="279" w:lineRule="auto"/>
        <w:rPr>
          <w:sz w:val="20"/>
          <w:szCs w:val="20"/>
          <w:color w:val="auto"/>
        </w:rPr>
      </w:pPr>
      <w:r>
        <w:rPr>
          <w:rFonts w:ascii="Arial" w:cs="Arial" w:eastAsia="Arial" w:hAnsi="Arial"/>
          <w:sz w:val="17"/>
          <w:szCs w:val="17"/>
          <w:color w:val="auto"/>
        </w:rPr>
        <w:t>For 2017, Messrs. Cozza, Cho and Reck were our only named executive officers participating in our qualified Icahn Enterprises Holdings 401(k) Plan (the "401(k) Plan"), and thus received matching contributions for 2017. The matching contributions for the respective named executive officer in 2017 are disclosed in our Summary Compensation Table under “All Other Compensation” and in the related footnote. Mr. Icahn was our only named executive who did not participate in the 401(k) Plan for 2017. Our 401(k) Plan helps employees save and prepare financially for retirement.</w:t>
      </w:r>
    </w:p>
    <w:p>
      <w:pPr>
        <w:spacing w:after="0" w:line="63" w:lineRule="exact"/>
        <w:rPr>
          <w:sz w:val="20"/>
          <w:szCs w:val="20"/>
          <w:color w:val="auto"/>
        </w:rPr>
      </w:pPr>
    </w:p>
    <w:p>
      <w:pPr>
        <w:ind w:right="40" w:firstLine="378"/>
        <w:spacing w:after="0" w:line="279" w:lineRule="auto"/>
        <w:rPr>
          <w:sz w:val="20"/>
          <w:szCs w:val="20"/>
          <w:color w:val="auto"/>
        </w:rPr>
      </w:pPr>
      <w:r>
        <w:rPr>
          <w:rFonts w:ascii="Arial" w:cs="Arial" w:eastAsia="Arial" w:hAnsi="Arial"/>
          <w:sz w:val="17"/>
          <w:szCs w:val="17"/>
          <w:color w:val="auto"/>
        </w:rPr>
        <w:t>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76" w:right="319" w:bottom="1440" w:gutter="0" w:footer="0" w:header="0"/>
        </w:sectPr>
      </w:pPr>
    </w:p>
    <w:bookmarkStart w:id="136" w:name="page137"/>
    <w:bookmarkEnd w:id="136"/>
    <w:p>
      <w:pPr>
        <w:jc w:val="both"/>
        <w:ind w:right="220" w:firstLine="378"/>
        <w:spacing w:after="0" w:line="264" w:lineRule="auto"/>
        <w:rPr>
          <w:sz w:val="20"/>
          <w:szCs w:val="20"/>
          <w:color w:val="auto"/>
        </w:rPr>
      </w:pPr>
      <w:r>
        <w:rPr>
          <w:rFonts w:ascii="Arial" w:cs="Arial" w:eastAsia="Arial" w:hAnsi="Arial"/>
          <w:sz w:val="18"/>
          <w:szCs w:val="18"/>
          <w:color w:val="auto"/>
        </w:rPr>
        <w:t>All of our named executive officers are entitled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right="520" w:firstLine="378"/>
        <w:spacing w:after="0" w:line="264" w:lineRule="auto"/>
        <w:rPr>
          <w:sz w:val="20"/>
          <w:szCs w:val="20"/>
          <w:color w:val="auto"/>
        </w:rPr>
      </w:pPr>
      <w:r>
        <w:rPr>
          <w:rFonts w:ascii="Arial" w:cs="Arial" w:eastAsia="Arial" w:hAnsi="Arial"/>
          <w:sz w:val="18"/>
          <w:szCs w:val="18"/>
          <w:color w:val="auto"/>
        </w:rPr>
        <w:t>The total value of all perquisites and personal benefits (exclusive of 401(k) Plan matching contributions) provided to each of our named executive officers for 2017, 2016 and 2015 was less than $10,000 per person, except for Mr. Icahn, for whom perquisites and other benefits are identified in the Summary Compensation Table under the “All Other Compensation” column and in related footnotes.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Our Chief Executive Officer to median employee pay ratio is calculated in accordance with Regulation S-K. To determine our Chief Executive Officer pay ratio and our median employee, we utilized data as of December 31, 2017 (the "Determination Date"). As of the Determination Date, we and our consolidated subsidiaries employed approximately 89,000 full-time, part-time, temporary and seasonal employees, of which approximately 51% were employed internationally. From this population of employees, as permitted by Regulation S-K, we excluded a total of 543 employees of certain subsidiaries acquired during 2017 as well as excluded all employees (totaling 2,746 employees) located in the following countries, which represented approximately 3.1% of our total employee population: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Country</w:t>
            </w:r>
          </w:p>
        </w:tc>
        <w:tc>
          <w:tcPr>
            <w:tcW w:w="2280" w:type="dxa"/>
            <w:vAlign w:val="bottom"/>
          </w:tcPr>
          <w:p>
            <w:pPr>
              <w:ind w:left="280"/>
              <w:spacing w:after="0"/>
              <w:rPr>
                <w:sz w:val="20"/>
                <w:szCs w:val="20"/>
                <w:color w:val="auto"/>
              </w:rPr>
            </w:pPr>
            <w:r>
              <w:rPr>
                <w:rFonts w:ascii="Arial" w:cs="Arial" w:eastAsia="Arial" w:hAnsi="Arial"/>
                <w:sz w:val="18"/>
                <w:szCs w:val="18"/>
                <w:b w:val="1"/>
                <w:bCs w:val="1"/>
                <w:color w:val="auto"/>
              </w:rPr>
              <w:t>Number of Employees</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2,451</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205</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7"/>
        </w:trPr>
        <w:tc>
          <w:tcPr>
            <w:tcW w:w="9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We identified the median employee by examining the 2017 total cash compensation for all individuals, excluding our Chief Executive Officer, who were employed by us on the Determination Date. We believe the use of total cash compensation for all employees is a consistently applied compensation measure because we do not widely distribute annual equity awards to employees or other forms of non-cash compensation. We included all employees, except as disclosed above,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2017 and to translate any compensation measured in a foreign currency to U.S. Dollars.</w:t>
      </w:r>
    </w:p>
    <w:p>
      <w:pPr>
        <w:spacing w:after="0" w:line="70"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After identifying the median employee based on total cash compensation, we calculated the total annual compensation for such employee using the same methodology we use for our named executive officers as set forth in the Summary Compensation Table below. The median employee's total annual compensation for 2017 was $25,281. Our Chief Executive Officer's total annual compensation for 2017 was $5,522,144. The ratio of our Chief Executive Officer's total annual compensation to our median employee's total annual compensation for 2017 was 218:1.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board of directors: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Carl C. Icahn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Sung Hwan Cho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Keith Cozza</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Jack G. Wasserman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76"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120" w:firstLine="378"/>
        <w:spacing w:after="0" w:line="264" w:lineRule="auto"/>
        <w:rPr>
          <w:sz w:val="20"/>
          <w:szCs w:val="20"/>
          <w:color w:val="auto"/>
        </w:rPr>
      </w:pPr>
      <w:r>
        <w:rPr>
          <w:rFonts w:ascii="Arial" w:cs="Arial" w:eastAsia="Arial" w:hAnsi="Arial"/>
          <w:sz w:val="18"/>
          <w:szCs w:val="18"/>
          <w:color w:val="auto"/>
        </w:rPr>
        <w:t>During 2017, our entire board of directors, including Mr. Icahn, participated in deliberations concerning executive compensation. During 2017, none of our executive officers served on the compensation committee (or equivalent), or the board of directors of another entity whose executive officer(s) served on our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Regarding Executive Compensation</w:t>
      </w:r>
    </w:p>
    <w:p>
      <w:pPr>
        <w:spacing w:after="0" w:line="121" w:lineRule="exact"/>
        <w:rPr>
          <w:sz w:val="20"/>
          <w:szCs w:val="20"/>
          <w:color w:val="auto"/>
        </w:rPr>
      </w:pPr>
    </w:p>
    <w:p>
      <w:pPr>
        <w:ind w:right="680" w:firstLine="378"/>
        <w:spacing w:after="0" w:line="277" w:lineRule="auto"/>
        <w:rPr>
          <w:sz w:val="20"/>
          <w:szCs w:val="20"/>
          <w:color w:val="auto"/>
        </w:rPr>
      </w:pPr>
      <w:r>
        <w:rPr>
          <w:rFonts w:ascii="Arial" w:cs="Arial" w:eastAsia="Arial" w:hAnsi="Arial"/>
          <w:sz w:val="18"/>
          <w:szCs w:val="18"/>
          <w:color w:val="auto"/>
        </w:rPr>
        <w:t>The following table sets forth information in respect of the compensation earned for services to us and/or our subsidiaries by each of our named executive officers for 2017.</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6"/>
          </w:tcPr>
          <w:p>
            <w:pPr>
              <w:ind w:left="740"/>
              <w:spacing w:after="0"/>
              <w:rPr>
                <w:sz w:val="20"/>
                <w:szCs w:val="20"/>
                <w:color w:val="auto"/>
              </w:rPr>
            </w:pPr>
            <w:r>
              <w:rPr>
                <w:rFonts w:ascii="Arial" w:cs="Arial" w:eastAsia="Arial" w:hAnsi="Arial"/>
                <w:sz w:val="18"/>
                <w:szCs w:val="18"/>
                <w:b w:val="1"/>
                <w:bCs w:val="1"/>
                <w:color w:val="auto"/>
              </w:rPr>
              <w:t>Summary Compensation Table</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0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w w:val="92"/>
              </w:rPr>
              <w:t>Annual Compensation</w:t>
            </w:r>
            <w:r>
              <w:rPr>
                <w:rFonts w:ascii="Arial" w:cs="Arial" w:eastAsia="Arial" w:hAnsi="Arial"/>
                <w:sz w:val="25"/>
                <w:szCs w:val="25"/>
                <w:b w:val="1"/>
                <w:bCs w:val="1"/>
                <w:color w:val="auto"/>
                <w:w w:val="92"/>
                <w:vertAlign w:val="superscript"/>
              </w:rPr>
              <w:t>(1)</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8"/>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All 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Salary</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Bonus</w:t>
            </w:r>
          </w:p>
        </w:tc>
        <w:tc>
          <w:tcPr>
            <w:tcW w:w="158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Compensation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Principal Position</w:t>
            </w: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5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Carl C. Icahn</w:t>
            </w:r>
            <w:r>
              <w:rPr>
                <w:rFonts w:ascii="Arial" w:cs="Arial" w:eastAsia="Arial" w:hAnsi="Arial"/>
                <w:sz w:val="18"/>
                <w:szCs w:val="18"/>
                <w:color w:val="auto"/>
                <w:vertAlign w:val="superscript"/>
              </w:rPr>
              <w:t>(2)</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102,547</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102,548</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104,910</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104,911</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138,182</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138,183</w:t>
            </w:r>
          </w:p>
        </w:tc>
      </w:tr>
      <w:tr>
        <w:trPr>
          <w:trHeight w:val="49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Keith Cozza</w:t>
            </w:r>
            <w:r>
              <w:rPr>
                <w:rFonts w:ascii="Arial" w:cs="Arial" w:eastAsia="Arial" w:hAnsi="Arial"/>
                <w:sz w:val="25"/>
                <w:szCs w:val="25"/>
                <w:color w:val="auto"/>
                <w:vertAlign w:val="superscript"/>
              </w:rPr>
              <w:t>(4)</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1,511,582</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10,562</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5,522,144</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1,557,736</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10,779</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4,068,515</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1,569,498</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10,466</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4,079,964</w:t>
            </w:r>
          </w:p>
        </w:tc>
      </w:tr>
      <w:tr>
        <w:trPr>
          <w:trHeight w:val="49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 xml:space="preserve">SungHwan Cho </w:t>
            </w:r>
            <w:r>
              <w:rPr>
                <w:rFonts w:ascii="Arial" w:cs="Arial" w:eastAsia="Arial" w:hAnsi="Arial"/>
                <w:sz w:val="25"/>
                <w:szCs w:val="25"/>
                <w:color w:val="auto"/>
                <w:vertAlign w:val="superscript"/>
              </w:rPr>
              <w:t>(5)</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840,023</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10,562</w:t>
            </w:r>
          </w:p>
        </w:tc>
        <w:tc>
          <w:tcPr>
            <w:tcW w:w="340" w:type="dxa"/>
            <w:vAlign w:val="bottom"/>
          </w:tcPr>
          <w:p>
            <w:pPr>
              <w:jc w:val="right"/>
              <w:ind w:right="111"/>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2,250,585</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822,616</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10,779</w:t>
            </w:r>
          </w:p>
        </w:tc>
        <w:tc>
          <w:tcPr>
            <w:tcW w:w="340" w:type="dxa"/>
            <w:vAlign w:val="bottom"/>
          </w:tcPr>
          <w:p>
            <w:pPr>
              <w:jc w:val="right"/>
              <w:ind w:right="111"/>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2,033,395</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649,267</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10,562</w:t>
            </w:r>
          </w:p>
        </w:tc>
        <w:tc>
          <w:tcPr>
            <w:tcW w:w="340" w:type="dxa"/>
            <w:vAlign w:val="bottom"/>
          </w:tcPr>
          <w:p>
            <w:pPr>
              <w:jc w:val="right"/>
              <w:ind w:right="111"/>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1,859,829</w:t>
            </w:r>
          </w:p>
        </w:tc>
      </w:tr>
      <w:tr>
        <w:trPr>
          <w:trHeight w:val="49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 xml:space="preserve">Peter Reck </w:t>
            </w:r>
            <w:r>
              <w:rPr>
                <w:rFonts w:ascii="Arial" w:cs="Arial" w:eastAsia="Arial" w:hAnsi="Arial"/>
                <w:sz w:val="25"/>
                <w:szCs w:val="25"/>
                <w:color w:val="auto"/>
                <w:vertAlign w:val="superscript"/>
              </w:rPr>
              <w:t>(6)</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316,395</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9,742</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541,137</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9,774</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524,774</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301,154</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9,801</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525,955</w:t>
            </w:r>
          </w:p>
        </w:tc>
      </w:tr>
    </w:tbl>
    <w:p>
      <w:pPr>
        <w:spacing w:after="0" w:line="229" w:lineRule="exact"/>
        <w:rPr>
          <w:sz w:val="20"/>
          <w:szCs w:val="20"/>
          <w:color w:val="auto"/>
        </w:rPr>
      </w:pPr>
    </w:p>
    <w:p>
      <w:pPr>
        <w:ind w:left="420" w:right="100" w:hanging="331"/>
        <w:spacing w:after="0" w:line="264"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40" w:lineRule="exact"/>
        <w:rPr>
          <w:rFonts w:ascii="Arial" w:cs="Arial" w:eastAsia="Arial" w:hAnsi="Arial"/>
          <w:sz w:val="18"/>
          <w:szCs w:val="18"/>
          <w:color w:val="auto"/>
        </w:rPr>
      </w:pPr>
    </w:p>
    <w:p>
      <w:pPr>
        <w:jc w:val="both"/>
        <w:ind w:left="420" w:right="60" w:hanging="331"/>
        <w:spacing w:after="0" w:line="279"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salary indicated above represents compensation paid to Mr. Icahn in each of 2017, 2016 and 2015 for his services as Chief Executive Officer of our subsidiary, Icahn Capital LP, and of the general partners of the Investment Funds. Mr. Icahn is currently an at will employee serving as Chairman of the Board of Icahn Enterprises GP and as Chairman and Chief Executive Officer of Icahn Capital LP and Chief Executive Officer of the Investment Funds for which he currently receives an annual base salary of $1 per annum. Mr. Icahn does not receive director fees from us.</w:t>
      </w:r>
    </w:p>
    <w:p>
      <w:pPr>
        <w:spacing w:after="0" w:line="130" w:lineRule="exact"/>
        <w:rPr>
          <w:rFonts w:ascii="Arial" w:cs="Arial" w:eastAsia="Arial" w:hAnsi="Arial"/>
          <w:sz w:val="17"/>
          <w:szCs w:val="17"/>
          <w:color w:val="auto"/>
        </w:rPr>
      </w:pPr>
    </w:p>
    <w:p>
      <w:pPr>
        <w:ind w:left="420" w:hanging="331"/>
        <w:spacing w:after="0" w:line="286"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other compensation paid to the following named executive officers: (i) Carl C. Icahn, $20,107, $20,107 and $18,719, in medical and dental benefits for 2017, 2016 and 2015, respectively; $955 in life insurance paid by us for each of 2017, 2016 and 2015; and in his capacity as the Chairman of the board of directors of Federal-Mogul, $81,485, $83,848 and $118,508 representing the incremental cost of Mr. Icahn's personal use of Federal-Mogul's corporate aircraft for 2017, 2016 and 2015, respectively. Mr. Icahn received no fees or compensation from Federal-Mogul for 2017, 2016 and 2015 other than the use of the corporate aircraft as discussed above. The calculation of incremental cost for the personal use of Federal-Mogul's corporate aircraft includes the variable costs incurred as a result of personal flight activity, which are comprised of a portion of ongoing maintenance and repairs, aircraft fuel, airport fees, catering, and fees and travel expenses for the flight crew. The use of the aircraft for personal use by Mr. Icahn was approved by the board of directors and the Compensation Committee of Federal-Mogul; (ii) Mr. Cozza, $8,281, $8,438 and $8,125 in matching contributions under our 401(k) Plan for 2017, 2016 and 2015, respectively; $1,326, $1,386 and $1,386 in medical and dental benefits paid by us for 2017, 2016 and 2015, respectively; $955 in life insurance premiums paid by us for each of 2017, 2016 and 2015; (iii) Mr. Cho, $8,281, $8,438 and $8,221 in matching contributions under our 401(k) Plan for 2017, 2016 and 2015, respectively; $1,326, $1,386 and $1,386 in medical and dental benefits paid by us for 2017, 2016 and 2015, respectively; and $955 in life insurance premiums paid by us for each of 2017, 2016 and 2015; and (iv) Mr. Reck, $8,281, $8,291 and $8,342 in matching contributions under our 401(k) Plan for 2017, 2016 and 2015, respectively; $742, $764 and $764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72" w:right="239" w:bottom="1440" w:gutter="0" w:footer="0" w:header="0"/>
        </w:sectPr>
      </w:pPr>
    </w:p>
    <w:bookmarkStart w:id="138" w:name="page139"/>
    <w:bookmarkEnd w:id="138"/>
    <w:p>
      <w:pPr>
        <w:ind w:left="420" w:right="60"/>
        <w:spacing w:after="0" w:line="311" w:lineRule="auto"/>
        <w:rPr>
          <w:sz w:val="20"/>
          <w:szCs w:val="20"/>
          <w:color w:val="auto"/>
        </w:rPr>
      </w:pPr>
      <w:r>
        <w:rPr>
          <w:rFonts w:ascii="Arial" w:cs="Arial" w:eastAsia="Arial" w:hAnsi="Arial"/>
          <w:sz w:val="18"/>
          <w:szCs w:val="18"/>
          <w:color w:val="auto"/>
        </w:rPr>
        <w:t>medical and dental benefits paid by us for 2017, 2016 and 2015, respectively; and $719, $719 and $695 in life insurance premiums paid by us for 2017, 2016 and 2015, respectively. Mr. Icahn did not participate in the 401(k) plan during 2017, 2016 and 2015 and thus did not receive any matching contributions for those fiscal years.</w:t>
      </w:r>
    </w:p>
    <w:p>
      <w:pPr>
        <w:spacing w:after="0" w:line="114" w:lineRule="exact"/>
        <w:rPr>
          <w:sz w:val="20"/>
          <w:szCs w:val="20"/>
          <w:color w:val="auto"/>
        </w:rPr>
      </w:pPr>
    </w:p>
    <w:p>
      <w:pPr>
        <w:ind w:left="420" w:right="100" w:hanging="331"/>
        <w:spacing w:after="0" w:line="279" w:lineRule="auto"/>
        <w:tabs>
          <w:tab w:leader="none" w:pos="351"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addition to Mr. Cozza's role as President and Chief Executive Officer of Icahn Enterprises and Icahn Enterprises Holdings, he serves as the Chief Operating Officer of Icahn Capital and holds officer and/or director positions at certain of our other subsidiaries. During 2017, Mr. Cozza received a salary of $1,511,582 and a bonus of $4,000,000, which was determined based on various factors, including, but not limited to, overall job performance, including performance against corporate and individual objectives, job responsibilities and teamwork.</w:t>
      </w:r>
    </w:p>
    <w:p>
      <w:pPr>
        <w:spacing w:after="0" w:line="130" w:lineRule="exact"/>
        <w:rPr>
          <w:rFonts w:ascii="Arial" w:cs="Arial" w:eastAsia="Arial" w:hAnsi="Arial"/>
          <w:sz w:val="17"/>
          <w:szCs w:val="17"/>
          <w:color w:val="auto"/>
        </w:rPr>
      </w:pPr>
    </w:p>
    <w:p>
      <w:pPr>
        <w:ind w:left="420" w:right="460" w:hanging="331"/>
        <w:spacing w:after="0" w:line="342" w:lineRule="auto"/>
        <w:tabs>
          <w:tab w:leader="none" w:pos="3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2017, Mr. Cho received a salary of $840,023 and a bonus of $1,400,000, which was determined based on various factors, including, but not limited to overall job performance, including performance against corporate and individual objectives, job responsibilities and teamwork.</w:t>
      </w:r>
    </w:p>
    <w:p>
      <w:pPr>
        <w:spacing w:after="0" w:line="83" w:lineRule="exact"/>
        <w:rPr>
          <w:rFonts w:ascii="Arial" w:cs="Arial" w:eastAsia="Arial" w:hAnsi="Arial"/>
          <w:sz w:val="16"/>
          <w:szCs w:val="16"/>
          <w:color w:val="auto"/>
        </w:rPr>
      </w:pPr>
    </w:p>
    <w:p>
      <w:pPr>
        <w:ind w:left="420" w:right="20" w:hanging="331"/>
        <w:spacing w:after="0" w:line="308" w:lineRule="auto"/>
        <w:tabs>
          <w:tab w:leader="none" w:pos="351" w:val="left"/>
        </w:tabs>
        <w:numPr>
          <w:ilvl w:val="0"/>
          <w:numId w:val="32"/>
        </w:numPr>
        <w:rPr>
          <w:rFonts w:ascii="Arial" w:cs="Arial" w:eastAsia="Arial" w:hAnsi="Arial"/>
          <w:sz w:val="17"/>
          <w:szCs w:val="17"/>
          <w:color w:val="auto"/>
        </w:rPr>
      </w:pPr>
      <w:r>
        <w:rPr>
          <w:rFonts w:ascii="Arial" w:cs="Arial" w:eastAsia="Arial" w:hAnsi="Arial"/>
          <w:sz w:val="17"/>
          <w:szCs w:val="17"/>
          <w:color w:val="auto"/>
        </w:rPr>
        <w:t>During 2017, Mr. Reck received a salary of $316,395 and a bonus of $215,000 which was determined based on various factors, including, but not limited to overall job performance, including performance against corporate and individual objectives, job responsibilities and teamwork.</w:t>
      </w:r>
    </w:p>
    <w:p>
      <w:pPr>
        <w:spacing w:after="0" w:line="38"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no family relationships between or among any of our directors and/or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employment agreements with our named executives.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Option and Non-Equity Incentive Plans</w:t>
      </w:r>
    </w:p>
    <w:p>
      <w:pPr>
        <w:spacing w:after="0" w:line="121" w:lineRule="exact"/>
        <w:rPr>
          <w:sz w:val="20"/>
          <w:szCs w:val="20"/>
          <w:color w:val="auto"/>
        </w:rPr>
      </w:pPr>
    </w:p>
    <w:p>
      <w:pPr>
        <w:ind w:right="660" w:firstLine="378"/>
        <w:spacing w:after="0" w:line="277" w:lineRule="auto"/>
        <w:rPr>
          <w:sz w:val="20"/>
          <w:szCs w:val="20"/>
          <w:color w:val="auto"/>
        </w:rPr>
      </w:pPr>
      <w:r>
        <w:rPr>
          <w:rFonts w:ascii="Arial" w:cs="Arial" w:eastAsia="Arial" w:hAnsi="Arial"/>
          <w:sz w:val="18"/>
          <w:szCs w:val="18"/>
          <w:color w:val="auto"/>
        </w:rPr>
        <w:t>Our named executive officers are not granted any stock award or awards under the 2017 Incentive Plan and do not participate in any non-equity incentive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We do not have any employment agreements or other arrangements pursuant to which any of our employees would have received potential payments upon termination or change in control as of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20" w:firstLine="378"/>
        <w:spacing w:after="0" w:line="264" w:lineRule="auto"/>
        <w:rPr>
          <w:sz w:val="20"/>
          <w:szCs w:val="20"/>
          <w:color w:val="auto"/>
        </w:rPr>
      </w:pPr>
      <w:r>
        <w:rPr>
          <w:rFonts w:ascii="Arial" w:cs="Arial" w:eastAsia="Arial" w:hAnsi="Arial"/>
          <w:sz w:val="18"/>
          <w:szCs w:val="18"/>
          <w:color w:val="auto"/>
        </w:rPr>
        <w:t>The following table provides compensation information for our directors in 2017, except for Messrs. Icahn, Cho and Cozza. Compensation received by Messrs. Icahn, Cho and Cozza is included in the Summary Compensation Table. Messrs. Icahn, Cho and Cozza did not receive compensation for serving as director of the Icahn Enterprises and Icahn Enterprises Holdings.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Fees Earned or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All Other</w:t>
            </w:r>
          </w:p>
        </w:tc>
        <w:tc>
          <w:tcPr>
            <w:tcW w:w="17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Paid in Cash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A. Leidesdorf</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James L. Nelson</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35,000</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Each director will hold office until his successor is elected and qualified. During 2017, Messrs. Wasserman, Leidesdorf and Nelson each received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$35,000 in respect of their services rendered as members of our board of directors. In addition, Mr. Wasserman received an additional $5,000 for serving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audit committee.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 receive only cash compensation, if applicable, and currently are not granted any options, units or other equity-based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Security Holder Matters.</w:t>
      </w:r>
    </w:p>
    <w:p>
      <w:pPr>
        <w:spacing w:after="0" w:line="175"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As of March 1, 2018, affiliates of Mr. Icahn, owned 157,898,582 of Icahn Enterprises' depositary units, or approximately 91.0%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571" w:right="259" w:bottom="1440" w:gutter="0" w:footer="0" w:header="0"/>
        </w:sectPr>
      </w:pPr>
    </w:p>
    <w:bookmarkStart w:id="139" w:name="page140"/>
    <w:bookmarkEnd w:id="139"/>
    <w:p>
      <w:pPr>
        <w:ind w:right="60"/>
        <w:spacing w:after="0" w:line="277" w:lineRule="auto"/>
        <w:rPr>
          <w:sz w:val="20"/>
          <w:szCs w:val="20"/>
          <w:color w:val="auto"/>
        </w:rPr>
      </w:pPr>
      <w:r>
        <w:rPr>
          <w:rFonts w:ascii="Arial" w:cs="Arial" w:eastAsia="Arial" w:hAnsi="Arial"/>
          <w:sz w:val="18"/>
          <w:szCs w:val="18"/>
          <w:color w:val="auto"/>
        </w:rPr>
        <w:t>independent directors. Icahn Enterprises GP's board of directors presently consists of three independent directors and the audit committee consists entirely of independent directors.</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The affirmative vote of unitholders holding more than 75% of the total number of all depositary units then outstanding, including depositary units held by Icahn Enterprises GP and its affiliates, is required to remove Icahn Enterprises GP. Thus, since Mr. Icahn, through affiliates, holds approximately 91.0% of Icahn Enterprises' outstanding depositary units as of March 1, 2018,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70" w:lineRule="exact"/>
        <w:rPr>
          <w:sz w:val="20"/>
          <w:szCs w:val="20"/>
          <w:color w:val="auto"/>
        </w:rPr>
      </w:pPr>
    </w:p>
    <w:p>
      <w:pPr>
        <w:ind w:right="320" w:firstLine="378"/>
        <w:spacing w:after="0" w:line="264" w:lineRule="auto"/>
        <w:rPr>
          <w:sz w:val="20"/>
          <w:szCs w:val="20"/>
          <w:color w:val="auto"/>
        </w:rPr>
      </w:pPr>
      <w:r>
        <w:rPr>
          <w:rFonts w:ascii="Arial" w:cs="Arial" w:eastAsia="Arial" w:hAnsi="Arial"/>
          <w:sz w:val="18"/>
          <w:szCs w:val="18"/>
          <w:color w:val="auto"/>
        </w:rPr>
        <w:t>The following table provides information, as of March 1, 2018, as to the beneficial ownership of the depositary units for each director of Icahn Enterprises GP and all directors and executive officers of Icahn Enterprises GP, as a group. Except for Mr. Icahn, none of our named executive officers or directors beneficially owns more than 5% of Icahn Enterprises' depositary units.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Beneficial Ownership of Icahn</w:t>
            </w:r>
          </w:p>
        </w:tc>
        <w:tc>
          <w:tcPr>
            <w:tcW w:w="2220" w:type="dxa"/>
            <w:vAlign w:val="bottom"/>
          </w:tcPr>
          <w:p>
            <w:pPr>
              <w:spacing w:after="0"/>
              <w:rPr>
                <w:sz w:val="18"/>
                <w:szCs w:val="18"/>
                <w:color w:val="auto"/>
              </w:rPr>
            </w:pPr>
          </w:p>
        </w:tc>
      </w:tr>
      <w:tr>
        <w:trPr>
          <w:trHeight w:val="23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2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Enterprises' Depositary Units</w:t>
            </w:r>
          </w:p>
        </w:tc>
        <w:tc>
          <w:tcPr>
            <w:tcW w:w="2220" w:type="dxa"/>
            <w:vAlign w:val="bottom"/>
          </w:tcPr>
          <w:p>
            <w:pPr>
              <w:ind w:left="500"/>
              <w:spacing w:after="0"/>
              <w:rPr>
                <w:sz w:val="20"/>
                <w:szCs w:val="20"/>
                <w:color w:val="auto"/>
              </w:rPr>
            </w:pPr>
            <w:r>
              <w:rPr>
                <w:rFonts w:ascii="Arial" w:cs="Arial" w:eastAsia="Arial" w:hAnsi="Arial"/>
                <w:sz w:val="18"/>
                <w:szCs w:val="18"/>
                <w:b w:val="1"/>
                <w:bCs w:val="1"/>
                <w:color w:val="auto"/>
              </w:rPr>
              <w:t>Percent of Class</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 C. Icahn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157,898,582</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9"/>
                <w:szCs w:val="9"/>
                <w:color w:val="auto"/>
              </w:rPr>
              <w:t>(a) (b)</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91.0%</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Keith Cozza</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SungHwan Cho</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Jack G. Wasserman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58"/>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L. Nelson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Peter Reck</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78"/>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A. Leidesdorf</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(seven persons)</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157,903,836</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17309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Less than 1% of total outstanding depositary units of Icahn Enterprises.</w:t>
      </w:r>
    </w:p>
    <w:p>
      <w:pPr>
        <w:spacing w:after="0" w:line="217" w:lineRule="exact"/>
        <w:rPr>
          <w:sz w:val="20"/>
          <w:szCs w:val="20"/>
          <w:color w:val="auto"/>
        </w:rPr>
      </w:pPr>
    </w:p>
    <w:p>
      <w:pPr>
        <w:ind w:right="160" w:firstLine="8"/>
        <w:spacing w:after="0" w:line="258"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foregoing is exclusive of a 1.99% ownership interest which Icahn Enterprises GP holds by virtue of its 1% general partner interest in each of us and Icahn Enterprises Holdings.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footnotes describe Mr. Icahn's beneficial ownership of Icahn Enterprises' depositary units:</w:t>
      </w:r>
    </w:p>
    <w:p>
      <w:pPr>
        <w:spacing w:after="0" w:line="152" w:lineRule="exact"/>
        <w:rPr>
          <w:rFonts w:ascii="Arial" w:cs="Arial" w:eastAsia="Arial" w:hAnsi="Arial"/>
          <w:sz w:val="18"/>
          <w:szCs w:val="18"/>
          <w:color w:val="auto"/>
        </w:rPr>
      </w:pPr>
    </w:p>
    <w:p>
      <w:pPr>
        <w:ind w:left="580" w:right="540" w:hanging="379"/>
        <w:spacing w:after="0" w:line="231" w:lineRule="auto"/>
        <w:tabs>
          <w:tab w:leader="none" w:pos="5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CCI Onshore LLC ("CCI Onshore") beneficially owns 36,756,475 Depositary Units. High Coast Limited Partnership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Depositary Units which CCI Onshore owns. Each of Mr. Icahn, Little Meadow and High Coast disclaims beneficial ownership of such Depositary Units except to the extent of their pecuniary interest therein.</w:t>
      </w:r>
    </w:p>
    <w:p>
      <w:pPr>
        <w:spacing w:after="0" w:line="22" w:lineRule="exact"/>
        <w:rPr>
          <w:rFonts w:ascii="Arial" w:cs="Arial" w:eastAsia="Arial" w:hAnsi="Arial"/>
          <w:sz w:val="14"/>
          <w:szCs w:val="14"/>
          <w:color w:val="auto"/>
        </w:rPr>
      </w:pPr>
    </w:p>
    <w:p>
      <w:pPr>
        <w:ind w:left="580" w:right="420" w:hanging="379"/>
        <w:spacing w:after="0" w:line="234" w:lineRule="auto"/>
        <w:tabs>
          <w:tab w:leader="none" w:pos="5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Gascon Partners ("Gascon") beneficially owns 21,646,658 Depositary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Depositary Units which Gascon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40" w:hanging="379"/>
        <w:spacing w:after="0" w:line="234" w:lineRule="auto"/>
        <w:tabs>
          <w:tab w:leader="none" w:pos="5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High Coast beneficially owns 75,949,701 Depositary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Depositary Units which High Coast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60" w:hanging="379"/>
        <w:spacing w:after="0" w:line="234" w:lineRule="auto"/>
        <w:tabs>
          <w:tab w:leader="none" w:pos="5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Highcrest Investors LLC ("Highcrest") beneficially owns 17,667,329 Depositary Units. Starfire Holding Corporation ("Starfire") beneficially owns 100% of Highcrest. Carl C. Icahn beneficially owns 100% of Starfire. Pursuant to Rule 16a-1(a)(2) under the Exchange Act, each of Mr. Icahn and Starfire (by virtue of their relationships to Highcrest) may be deemed to indirectly beneficially own the Depositary Units which Highcrest owns. Each of Mr. Icahn and Starfire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80" w:hanging="379"/>
        <w:spacing w:after="0" w:line="234" w:lineRule="auto"/>
        <w:tabs>
          <w:tab w:leader="none" w:pos="5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Thornwood Associates Limited Partnership ("Thornwood") beneficially owns 5,878,419 Depositary Units. Barberry Corp. ("Barberry") is the general partner of Thornwood. Carl C. Icahn beneficially owns 100% of Barberry. Pursuant to Rule 16a-1(a)(2) under the Exchange Act, each of Mr. Icahn and Barberry (by virtue of their relationships to Thornwood) may be deemed to indirectly beneficially own the Depositary Units which Thornwood owns. Each of Mr. Icahn and Barberry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460" w:hanging="379"/>
        <w:spacing w:after="0" w:line="253" w:lineRule="auto"/>
        <w:tabs>
          <w:tab w:leader="none" w:pos="5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Does not include 12,000 Depositary Units owned by Gail Golden, the wife of Mr. Icahn. Mr. Icahn, by virtue of his relationship to Ms. Golden, may be deemed to beneficially own such Depositary Units. Mr. Icahn disclaims beneficial ownership of such Depositary Units for all purposes.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76"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sets forth information regarding outstanding unit option awards, and depository units available for future issuance, under the Icahn Enterprises L.P. 2017 Long Term Incentive Plan (the “2017 Incentive Plan”) as of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 Issued</w:t>
            </w:r>
          </w:p>
        </w:tc>
        <w:tc>
          <w:tcPr>
            <w:tcW w:w="2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 Exercise Price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Equity Compensation</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Upon Exercise of Outstanding</w:t>
            </w:r>
          </w:p>
        </w:tc>
        <w:tc>
          <w:tcPr>
            <w:tcW w:w="22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Warrants and Rights</w:t>
            </w:r>
          </w:p>
        </w:tc>
        <w:tc>
          <w:tcPr>
            <w:tcW w:w="22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2017 Incentive Plan</w:t>
            </w:r>
          </w:p>
        </w:tc>
        <w:tc>
          <w:tcPr>
            <w:tcW w:w="2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109,925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882,173</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During the first quarter of 2017, the board of directors of the general partner of Icahn Enterprises unanimously approved and adopted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 During the year ended December 31, 2017, Icahn Enterprises distributed 7,902 depositary units with respect to the 2017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with Our General Partner and Its Affiliates</w:t>
      </w:r>
    </w:p>
    <w:p>
      <w:pPr>
        <w:spacing w:after="0" w:line="12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non-real estate related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whether real estate or non-real estate related.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7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During 2017,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 As a result of the above declared distributions, during 2017 we distributed an aggregate 17,644,152 of Icahn Enterprises' depositary units to those depositary unitholders who elected to receive such distributions in additional depositary units, of which an aggregate of 17,374,427 depositary units were distributed to Mr. Icahn and his affiliates. In addition, in connection with our rights offering in 2017, we distributed an additional 10,525,105 depositary units to Mr. Icahn and his affiliates during 2017. As a result, Mr. Icahn and his affiliates owned approximately 91.0% of Icahn Enterprises' outstanding depositary units as of December 31, 2017.</w:t>
      </w:r>
    </w:p>
    <w:p>
      <w:pPr>
        <w:spacing w:after="0" w:line="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27, 2018, the Board of Directors of the general partner of Icahn Enterprises declared a quarterly distribution in the amount of $1.75 per depositary unit, which will be paid on or about April 16, 2018 to depositary unitholders of record at the close of business on March 12, 2018. Depositary unitholders will have until April 5, 2018 to make an election to receive either cash or additional depositary units; if a holder does not make an election, it will automatically be deemed to have elected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364" w:right="239" w:bottom="1440" w:gutter="0" w:footer="0" w:header="0"/>
        </w:sectPr>
      </w:pPr>
    </w:p>
    <w:bookmarkStart w:id="141" w:name="page142"/>
    <w:bookmarkEnd w:id="141"/>
    <w:p>
      <w:pPr>
        <w:ind w:right="160"/>
        <w:spacing w:after="0" w:line="277" w:lineRule="auto"/>
        <w:rPr>
          <w:sz w:val="20"/>
          <w:szCs w:val="20"/>
          <w:color w:val="auto"/>
        </w:rPr>
      </w:pPr>
      <w:r>
        <w:rPr>
          <w:rFonts w:ascii="Arial" w:cs="Arial" w:eastAsia="Arial" w:hAnsi="Arial"/>
          <w:sz w:val="18"/>
          <w:szCs w:val="18"/>
          <w:color w:val="auto"/>
        </w:rPr>
        <w:t>to receive the dividend in cash. Mr. Icahn and his affiliates have indicated that it is their intention to continue to elect to receive the distribution in additional depositary units for the foreseeable future.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Pursuant to registration rights agreements, Mr. Icahn has certain registration rights with regard to the depositary units beneficially owned by him.</w:t>
      </w:r>
    </w:p>
    <w:p>
      <w:pPr>
        <w:spacing w:after="0" w:line="129"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In 2017, Icahn Enterprises GP was allocated $48 million of our net income attributable to Icahn Enterprises as a result of its combined 1.99% general partner interests in us and Icahn Enterprises Holdings.</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and Icahn Enterprises Holdings), make investments in the Investment Funds. During 2017, affiliates of Mr. Icahn invested $600 million in the Investment Funds. As of December 31, 2017, the total fair market value of investments in the Investment Funds made by Mr. Icahn and his affiliates (excluding Icahn Enterprises and Icahn Enterprises Holdings) was approximately $4.4 billion, representing approximately 59% of the Investment Funds' assets under management.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Icahn Capital L.P. ("Icahn Capital"), a wholly owned subsidiary of ours, paid for salaries and benefits of certain employees who may also perform various functions on behalf of certain other entities beneficially owned by Mr. Icahn (collectively, “Icahn Affiliates”), including administrative and investment services. During 2017, under a separate expense-sharing agreement, we have charged Icahn Affiliates $1 million for such services.</w:t>
      </w:r>
    </w:p>
    <w:p>
      <w:pPr>
        <w:spacing w:after="0" w:line="5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Icahn Capital pays for expenses pertaining to the operation, administration and investment activities of our Investment segment for the benefit of the Investment Funds (including salaries, benefits and rent). Icahn Capital shall be allocated pro rata for such expenses in accordance with each investor's capital accounts in the Investment Funds. Effective April 1, 2011, based on an expense-sharing arrangement, certain expenses borne by Icahn Capital are reimbursed by the Investment Funds, generally when such expenses are paid. During 2017, $13 million was allocated to the Investment Funds based on this expense-sharing arrangement.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we paid an affiliate less than $1 million for the non-exclusive use of office space.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we paid an affiliate $1 million for the allocation of shared office expenses.</w:t>
      </w:r>
    </w:p>
    <w:p>
      <w:pPr>
        <w:spacing w:after="0" w:line="117"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During 2017, we paid less than $1 million to XO Holdings, Inc. for telecommunication services prior to being divested by an affiliate of Icahn Enterprises GP on February 1, 2017.</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our Holding Company provided certain professional services to an Icahn affiliate for which we charged $3 million.</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and affiliates of Mr. Icahn have or had a non-controlling ownership interest in each of Hertz Global Holdings, Inc. ("Hertz"), Xerox Corporation ("Xerox"), International Automotive Components Group ("IAC Group") and Navistar, Inc. ("Navistar") during 2017.</w:t>
      </w:r>
    </w:p>
    <w:p>
      <w:pPr>
        <w:spacing w:after="0" w:line="6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During 2017, we and our subsidiaries had revenue from Hertz in the ordinary course of business was $17 million. Additionally, we and our subsidiaries had payments to Hertz in the ordinary course of business of $2 million.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we and our subsidiaries had payments to Xerox in the ordinary course of business of $4 million.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we and our subsidiaries had sales to IAC Group in the ordinary course of business of $6 million.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we and our subsidiaries had sales to Navistar in the ordinary course of business of $14 million.</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addition to our transactions with Hertz disclosed above, in January 2018, a wholly owned subsidiary of ours entered into a Master Motor Vehicle Lease and Management Agreement with The Hertz Corporation, a subsidiary of Hertz Global Holdings, Inc. (collectively, "Hertz"), pursuant to which Hertz granted us the option to acquire certain vehicles from Hertz at rates aligned with the rates at which Hertz sells vehicles to third parties. Under this agreement, Hertz will lease the vehicles purchased by us from Hertz, or from third parties, under a mutually developed fleet plan and Hertz will manage, service, repair, sell and maintain those leased vehicles on behalf of us. Additionally, Hertz will rent the leased vehicles to transportation network company drivers from rental counters within locations leased or owned by us. This agreement has an initial term of 18 months and is subject to automatic six month renewals thereafter, unless terminated by either party (with or without cause) prior to the start of any such six-month renewal. Our agreement with Hertz was unanimously approved by the independent directors of Icahn Enterprises' audit committee.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76" w:right="239" w:bottom="1440" w:gutter="0" w:footer="0" w:header="0"/>
        </w:sectPr>
      </w:pPr>
    </w:p>
    <w:bookmarkStart w:id="142" w:name="page143"/>
    <w:bookmarkEnd w:id="142"/>
    <w:p>
      <w:pPr>
        <w:ind w:right="20" w:firstLine="405"/>
        <w:spacing w:after="0" w:line="264" w:lineRule="auto"/>
        <w:rPr>
          <w:sz w:val="20"/>
          <w:szCs w:val="20"/>
          <w:color w:val="auto"/>
        </w:rPr>
      </w:pPr>
      <w:r>
        <w:rPr>
          <w:rFonts w:ascii="Arial" w:cs="Arial" w:eastAsia="Arial" w:hAnsi="Arial"/>
          <w:sz w:val="18"/>
          <w:szCs w:val="18"/>
          <w:color w:val="auto"/>
        </w:rPr>
        <w:t>Our Railcar segment has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Railcar repair services and support for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Railcar purchases from ACF (prior to June 1, 2017)</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purchases from ACF were $6 million and revenues from ACF were less than $1 million.</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Federal-Mogul, CVR Energy, PSC Metals, ARI, ARL (prior to June 1, 2017), Tropicana, Viskase and WPH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During 2017, we and certain of our subsidiaries paid certain of the Insight Portfolio Group's operating expenses of $2 million.</w:t>
      </w:r>
    </w:p>
    <w:p>
      <w:pPr>
        <w:spacing w:after="0" w:line="71"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Provisions Concerning Property Management</w:t>
      </w:r>
    </w:p>
    <w:p>
      <w:pPr>
        <w:spacing w:after="0" w:line="121"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Icahn Enterprises GP and its affiliates may receive fees in connection with the acquisition, sale, financing, development, construction, marketing and management of new properties acquired by us. As development and other new properties are acquired, developed, constructed, operated, leased and financed, Icahn Enterprises GP or its affiliates may perform acquisition functions, including the review, verification and analysis of data and documentation with respect to potential acquisitions, and perform development and construction oversight and other land development services, property management and leasing services, either on a day-to-day basis or on an asset management basis, and may perform other services and be entitled to fees and reimbursement of expenses relating thereto, provided the terms of such transactions are in accordance with our partnership agreement. It is not possible to state precisely what role, if any, Icahn Enterprises GP or any of its affiliates may have in the acquisition, development or management of any new investments. Consequently, it is not possible to state the amount of the income, fees or commissions Icahn Enterprises GP or its affiliates might be paid in connection therewith since the amount thereof is dependent upon the specific circumstances of each investment, including the nature of the services provided, the location of the investment and the amount customarily paid in such locality for such services. Subject to the specific circumstances surrounding each transaction and the overall fairness and reasonableness thereof to us, the fees charged by Icahn Enterprises GP and its affiliates for the services described below generally will be within the ranges set forth below:</w:t>
      </w:r>
    </w:p>
    <w:p>
      <w:pPr>
        <w:spacing w:after="0" w:line="72" w:lineRule="exact"/>
        <w:rPr>
          <w:sz w:val="20"/>
          <w:szCs w:val="20"/>
          <w:color w:val="auto"/>
        </w:rPr>
      </w:pPr>
    </w:p>
    <w:p>
      <w:pPr>
        <w:ind w:left="660" w:right="200" w:hanging="247"/>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Property Management and Asset Management Services. </w:t>
      </w:r>
      <w:r>
        <w:rPr>
          <w:rFonts w:ascii="Arial" w:cs="Arial" w:eastAsia="Arial" w:hAnsi="Arial"/>
          <w:sz w:val="18"/>
          <w:szCs w:val="18"/>
          <w:color w:val="auto"/>
        </w:rPr>
        <w:t>To the extent that we acquire any properties requiring active management (e.g.,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that are not net-leased) or asset management services, including on-site services, we may enter into fee-paying management or other arrangements with Icahn Enterprises GP or its affiliates.</w:t>
      </w:r>
    </w:p>
    <w:p>
      <w:pPr>
        <w:spacing w:after="0" w:line="73" w:lineRule="exact"/>
        <w:rPr>
          <w:rFonts w:ascii="Arial" w:cs="Arial" w:eastAsia="Arial" w:hAnsi="Arial"/>
          <w:sz w:val="18"/>
          <w:szCs w:val="18"/>
          <w:color w:val="auto"/>
        </w:rPr>
      </w:pPr>
    </w:p>
    <w:p>
      <w:pPr>
        <w:ind w:left="660" w:right="320" w:hanging="247"/>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Brokerage and Leasing Commissions. </w:t>
      </w:r>
      <w:r>
        <w:rPr>
          <w:rFonts w:ascii="Arial" w:cs="Arial" w:eastAsia="Arial" w:hAnsi="Arial"/>
          <w:sz w:val="18"/>
          <w:szCs w:val="18"/>
          <w:color w:val="auto"/>
        </w:rPr>
        <w:t>We also may pay affiliates of Icahn Enterprises GP real estate brokerage and leasing commissions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may range from 2% to 6% of the purchase price or rentals depending on location; this range may be somewhat higher for problem properties or lesser-valued properties).</w:t>
      </w:r>
    </w:p>
    <w:p>
      <w:pPr>
        <w:spacing w:after="0" w:line="73" w:lineRule="exact"/>
        <w:rPr>
          <w:rFonts w:ascii="Arial" w:cs="Arial" w:eastAsia="Arial" w:hAnsi="Arial"/>
          <w:sz w:val="18"/>
          <w:szCs w:val="18"/>
          <w:color w:val="auto"/>
        </w:rPr>
      </w:pPr>
    </w:p>
    <w:p>
      <w:pPr>
        <w:ind w:left="660" w:right="80" w:hanging="247"/>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Lending Arrangements. </w:t>
      </w:r>
      <w:r>
        <w:rPr>
          <w:rFonts w:ascii="Arial" w:cs="Arial" w:eastAsia="Arial" w:hAnsi="Arial"/>
          <w:sz w:val="18"/>
          <w:szCs w:val="18"/>
          <w:color w:val="auto"/>
        </w:rPr>
        <w:t>Icahn Enterprises GP or its affiliates may lend money to, or arrange loans for, us. Fees payable to Icahn Enterprises GP or</w:t>
      </w:r>
      <w:r>
        <w:rPr>
          <w:rFonts w:ascii="Arial" w:cs="Arial" w:eastAsia="Arial" w:hAnsi="Arial"/>
          <w:sz w:val="18"/>
          <w:szCs w:val="18"/>
          <w:i w:val="1"/>
          <w:iCs w:val="1"/>
          <w:color w:val="auto"/>
        </w:rPr>
        <w:t xml:space="preserve"> </w:t>
      </w:r>
      <w:r>
        <w:rPr>
          <w:rFonts w:ascii="Arial" w:cs="Arial" w:eastAsia="Arial" w:hAnsi="Arial"/>
          <w:sz w:val="18"/>
          <w:szCs w:val="18"/>
          <w:color w:val="auto"/>
        </w:rPr>
        <w:t>its affiliates in connection with such activities include mortgage brokerage fees (generally .5% to 3% of the loan amount), mortgage origination fees (generally .5% to 1.5% of the loan amount)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76" w:right="259" w:bottom="1440" w:gutter="0" w:footer="0" w:header="0"/>
        </w:sectPr>
      </w:pPr>
    </w:p>
    <w:bookmarkStart w:id="143" w:name="page144"/>
    <w:bookmarkEnd w:id="143"/>
    <w:p>
      <w:pPr>
        <w:ind w:left="660" w:right="20"/>
        <w:spacing w:after="0" w:line="324" w:lineRule="auto"/>
        <w:rPr>
          <w:sz w:val="20"/>
          <w:szCs w:val="20"/>
          <w:color w:val="auto"/>
        </w:rPr>
      </w:pPr>
      <w:r>
        <w:rPr>
          <w:rFonts w:ascii="Arial" w:cs="Arial" w:eastAsia="Arial" w:hAnsi="Arial"/>
          <w:sz w:val="18"/>
          <w:szCs w:val="18"/>
          <w:color w:val="auto"/>
        </w:rPr>
        <w:t>loan servicing fees (generally .10% to .12% of the loan amount), as well as interest on any amounts loaned by Icahn Enterprises GP or its affiliates to us.</w:t>
      </w:r>
    </w:p>
    <w:p>
      <w:pPr>
        <w:spacing w:after="0" w:line="35" w:lineRule="exact"/>
        <w:rPr>
          <w:sz w:val="20"/>
          <w:szCs w:val="20"/>
          <w:color w:val="auto"/>
        </w:rPr>
      </w:pPr>
    </w:p>
    <w:p>
      <w:pPr>
        <w:ind w:left="660" w:right="160" w:hanging="247"/>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Development and Construction Services. </w:t>
      </w:r>
      <w:r>
        <w:rPr>
          <w:rFonts w:ascii="Arial" w:cs="Arial" w:eastAsia="Arial" w:hAnsi="Arial"/>
          <w:sz w:val="16"/>
          <w:szCs w:val="16"/>
          <w:color w:val="auto"/>
        </w:rPr>
        <w:t>Icahn Enterprises GP or its affiliates may also receive fees for development services, generally 1% to 4%</w:t>
      </w:r>
      <w:r>
        <w:rPr>
          <w:rFonts w:ascii="Arial" w:cs="Arial" w:eastAsia="Arial" w:hAnsi="Arial"/>
          <w:sz w:val="16"/>
          <w:szCs w:val="16"/>
          <w:i w:val="1"/>
          <w:iCs w:val="1"/>
          <w:color w:val="auto"/>
        </w:rPr>
        <w:t xml:space="preserve"> </w:t>
      </w:r>
      <w:r>
        <w:rPr>
          <w:rFonts w:ascii="Arial" w:cs="Arial" w:eastAsia="Arial" w:hAnsi="Arial"/>
          <w:sz w:val="16"/>
          <w:szCs w:val="16"/>
          <w:color w:val="auto"/>
        </w:rPr>
        <w:t>of development costs, and general contracting services or construction management services, generally 4% to 6% of construction costs.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2017, we did not pay any fees in respect of items as described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Pension Obligations</w:t>
      </w:r>
    </w:p>
    <w:p>
      <w:pPr>
        <w:spacing w:after="0" w:line="121"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91.0% of Icahn Enterprises' outstanding depositary units as of December 31, 2017.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December 31, 2017. If the plans were voluntarily terminated, they would be underfunded by approximately $424 million as of December 31, 2017.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2"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Leidesdorf, Nelson and Wasserman are “independent” as defined in the currently applicable listing rules of NASDAQ. Messrs. Leidesdorf, Nelson and Wasserman serve as members of our audit committee. A majority of the members of Icahn Enterprises GP's board of directors are independent and the audit committee consists entirely of these independent directors.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503"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We incurred $14,005,404 and $17,146,000 in audit fees and expenses from Grant Thornton LLP for 2017 and 2016,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3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incurred $668,325 and $583,000 in audit-related fees and expenses from Grant Thornton LLP for 2017 and 2016, respectively, relating primarily to services provided in connection with offering memorandums, potential acquisitions and dispositions and employee benefit plans. Additionally, we incurred $20,000 and $266,000 in tax-related fees and expenses from Grant Thornton LLP for 2017 and 2016, respectively.</w:t>
      </w:r>
    </w:p>
    <w:p>
      <w:pPr>
        <w:spacing w:after="0" w:line="5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 accordance with Icahn Enterprises' and Icahn Enterprises Holdings' Amended and Restated Audit Committee Charters adopted on March 12, 2004, the audit committee is required to approve in advance any and all audit services and permitted non-audit services provided to Icahn Enterprises, Icahn Enterprises Holdings and their consolidated subsidiaries by their independent auditors (subject to the de minimis exception of Section 10A (i) (1) (B) of the '34 Act), all as required by applicable law or listing standards. All of the fees in 2017 and 2016 were pre-approved by the audit committee.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00"/>
          </w:cols>
          <w:pgMar w:left="240" w:top="364" w:right="3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tcPr>
          <w:p>
            <w:pPr>
              <w:ind w:left="158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(a)(1) Financial Statements: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9780" w:type="dxa"/>
            <w:vAlign w:val="bottom"/>
            <w:gridSpan w:val="7"/>
          </w:tcPr>
          <w:p>
            <w:pPr>
              <w:ind w:left="340"/>
              <w:spacing w:after="0"/>
              <w:rPr>
                <w:sz w:val="20"/>
                <w:szCs w:val="20"/>
                <w:color w:val="auto"/>
              </w:rPr>
            </w:pPr>
            <w:r>
              <w:rPr>
                <w:rFonts w:ascii="Arial" w:cs="Arial" w:eastAsia="Arial" w:hAnsi="Arial"/>
                <w:sz w:val="18"/>
                <w:szCs w:val="18"/>
                <w:color w:val="auto"/>
                <w:w w:val="97"/>
              </w:rPr>
              <w:t>The following financial statements of Icahn Enterprises L.P., and subsidiaries, are included in Part II, Item 8 of this Report: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2100" w:type="dxa"/>
            <w:vAlign w:val="bottom"/>
            <w:shd w:val="clear" w:color="auto" w:fill="CCEEFF"/>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w:t>
              </w:r>
            </w:hyperlink>
          </w:p>
        </w:tc>
        <w:tc>
          <w:tcPr>
            <w:tcW w:w="7680" w:type="dxa"/>
            <w:vAlign w:val="bottom"/>
            <w:gridSpan w:val="6"/>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7"/>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w:t>
              </w:r>
            </w:hyperlink>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7"/>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Income</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740" w:type="dxa"/>
            <w:vAlign w:val="bottom"/>
            <w:gridSpan w:val="6"/>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 of Changes in Equity</w:t>
              </w:r>
            </w:hyperlink>
          </w:p>
        </w:tc>
        <w:tc>
          <w:tcPr>
            <w:tcW w:w="604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288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w:t>
              </w:r>
            </w:hyperlink>
          </w:p>
        </w:tc>
        <w:tc>
          <w:tcPr>
            <w:tcW w:w="6900" w:type="dxa"/>
            <w:vAlign w:val="bottom"/>
            <w:gridSpan w:val="4"/>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gridSpan w:val="4"/>
          </w:tcPr>
          <w:p>
            <w:pPr>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662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financial statements of Icahn Enterprises Holdings L.P., and subsidiaries, are included in Part II, Item 8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2100" w:type="dxa"/>
            <w:vAlign w:val="bottom"/>
            <w:shd w:val="clear" w:color="auto" w:fill="CCEEFF"/>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w:t>
              </w:r>
            </w:hyperlink>
          </w:p>
        </w:tc>
        <w:tc>
          <w:tcPr>
            <w:tcW w:w="7680" w:type="dxa"/>
            <w:vAlign w:val="bottom"/>
            <w:gridSpan w:val="6"/>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7"/>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w:t>
              </w:r>
            </w:hyperlink>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7"/>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Comprehensive Income</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740" w:type="dxa"/>
            <w:vAlign w:val="bottom"/>
            <w:gridSpan w:val="6"/>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 of Changes in Equity</w:t>
              </w:r>
            </w:hyperlink>
          </w:p>
        </w:tc>
        <w:tc>
          <w:tcPr>
            <w:tcW w:w="604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288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w:t>
              </w:r>
            </w:hyperlink>
          </w:p>
        </w:tc>
        <w:tc>
          <w:tcPr>
            <w:tcW w:w="6900" w:type="dxa"/>
            <w:vAlign w:val="bottom"/>
            <w:gridSpan w:val="4"/>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gridSpan w:val="4"/>
          </w:tcPr>
          <w:p>
            <w:pPr>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662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r>
      <w:tr>
        <w:trPr>
          <w:trHeight w:val="20"/>
        </w:trPr>
        <w:tc>
          <w:tcPr>
            <w:tcW w:w="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(a)(2) Financial Statement Schedules: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2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9780" w:type="dxa"/>
            <w:vAlign w:val="bottom"/>
            <w:gridSpan w:val="3"/>
            <w:shd w:val="clear" w:color="auto" w:fill="CCEEFF"/>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Schedule I - Condensed Financial Information of Parent (Icahn Enterprises L.P.)</w:t>
              </w:r>
            </w:hyperlink>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47">
              <w:r>
                <w:rPr>
                  <w:rFonts w:ascii="Arial" w:cs="Arial" w:eastAsia="Arial" w:hAnsi="Arial"/>
                  <w:sz w:val="18"/>
                  <w:szCs w:val="18"/>
                  <w:color w:val="0000EE"/>
                  <w:w w:val="86"/>
                </w:rPr>
                <w:t>144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7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spacing w:after="0" w:line="202"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Schedule I - Condensed Financial Information of Parent (Icahn Enterprises Holdings L.P.)</w:t>
              </w:r>
            </w:hyperlink>
          </w:p>
        </w:tc>
        <w:tc>
          <w:tcPr>
            <w:tcW w:w="328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148</w:t>
              </w:r>
            </w:hyperlink>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list of exhibits required by Item 601of Regulation S-K and filed as part of this Report is set forth in the 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364" w:right="2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8"/>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Arial" w:cs="Arial" w:eastAsia="Arial" w:hAnsi="Arial"/>
                <w:sz w:val="14"/>
                <w:szCs w:val="14"/>
                <w:color w:val="auto"/>
              </w:rPr>
              <w:t>(In millions, except unit amounts)</w:t>
            </w:r>
          </w:p>
        </w:tc>
      </w:tr>
      <w:tr>
        <w:trPr>
          <w:trHeight w:val="255"/>
        </w:trPr>
        <w:tc>
          <w:tcPr>
            <w:tcW w:w="7860" w:type="dxa"/>
            <w:vAlign w:val="bottom"/>
          </w:tcPr>
          <w:p>
            <w:pPr>
              <w:ind w:left="360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7,750</w:t>
            </w:r>
          </w:p>
        </w:tc>
      </w:tr>
      <w:tr>
        <w:trPr>
          <w:trHeight w:val="2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10,737</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7,750</w:t>
            </w:r>
          </w:p>
        </w:tc>
      </w:tr>
      <w:tr>
        <w:trPr>
          <w:trHeight w:val="311"/>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78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Debt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5,507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5,490</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r>
      <w:tr>
        <w:trPr>
          <w:trHeight w:val="318"/>
        </w:trPr>
        <w:tc>
          <w:tcPr>
            <w:tcW w:w="78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7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7860" w:type="dxa"/>
            <w:vAlign w:val="bottom"/>
          </w:tcPr>
          <w:p>
            <w:pPr>
              <w:ind w:left="100"/>
              <w:spacing w:after="0"/>
              <w:rPr>
                <w:sz w:val="20"/>
                <w:szCs w:val="20"/>
                <w:color w:val="auto"/>
              </w:rPr>
            </w:pPr>
            <w:r>
              <w:rPr>
                <w:rFonts w:ascii="Arial" w:cs="Arial" w:eastAsia="Arial" w:hAnsi="Arial"/>
                <w:sz w:val="18"/>
                <w:szCs w:val="18"/>
                <w:color w:val="auto"/>
              </w:rPr>
              <w:t>Limited partners: Depositary units: 173,564,307 and 144,741,149 units issued and outstanding at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December 31, 2017 and 2016, respectively</w:t>
            </w:r>
          </w:p>
        </w:tc>
        <w:tc>
          <w:tcPr>
            <w:tcW w:w="40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2,448</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2,154</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10,737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7,750</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580"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380"/>
          </w:cols>
          <w:pgMar w:left="260" w:top="580" w:right="25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9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w:t>
            </w: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allocable to:</w:t>
            </w:r>
          </w:p>
        </w:tc>
        <w:tc>
          <w:tcPr>
            <w:tcW w:w="1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Limited partners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2,382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partner</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604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364"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380"/>
          </w:cols>
          <w:pgMar w:left="260" w:top="364" w:right="25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5"/>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w w:val="91"/>
              </w:rPr>
              <w:t>Adjustments to reconcile net income (loss) to net cash used in operating activities:</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(income) loss of subsidiary</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(2,765)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investment in and advances from subsidiary</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borrowings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Repayments of borrowings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(2,450)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60" w:top="364" w:right="25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ICAHN ENTERPRISES L.P. (Parent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our sole general partner, which is owned and controlled by Carl C. Icahn, owns a 1% general partner interest in both us and Icahn Enterprises Holdings, representing an aggregate 1.99% general partner interest in us and Icahn Enterprises Holdings. As of December 31, 2017, Icahn Enterprises Holdings is engaged in the following continuing operating businesses: </w:t>
      </w:r>
      <w:r>
        <w:rPr>
          <w:rFonts w:ascii="Arial" w:cs="Arial" w:eastAsia="Arial" w:hAnsi="Arial"/>
          <w:sz w:val="16"/>
          <w:szCs w:val="16"/>
          <w:color w:val="231F20"/>
        </w:rPr>
        <w:t>Investment, Automotive, Energy, Railcar, Gaming, Metals, Mining, Food Packaging, Real Estate and Home Fashion</w:t>
      </w:r>
      <w:r>
        <w:rPr>
          <w:rFonts w:ascii="Arial" w:cs="Arial" w:eastAsia="Arial" w:hAnsi="Arial"/>
          <w:sz w:val="16"/>
          <w:szCs w:val="16"/>
          <w:color w:val="auto"/>
        </w:rPr>
        <w:t>.</w:t>
      </w:r>
    </w:p>
    <w:p>
      <w:pPr>
        <w:spacing w:after="0" w:line="5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For the years ended December 31, 2017, 2016 and 2015, Icahn Enterprises (paid) received $(204) million, $390 million and $404 million, respectively, for (investments in) dividends and distributions from consolidated subsidiaries.</w:t>
      </w:r>
    </w:p>
    <w:p>
      <w:pPr>
        <w:spacing w:after="0" w:line="62"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The condensed financial statements of Icahn Enterprises should be read in conjunction with the consolidated financial statements and notes thereto included in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21"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See Note 10, “Debt,” to the consolidated financial statements located in Item 8 of this Report. Icahn Enterprises' Parent company debt consists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3.500% senior unsecured notes due 2017</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4.875% senior unsecured notes due 2019</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5,507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5,490</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17, “Commitments and Contingencies,”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72" w:right="2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(Parent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320"/>
              <w:spacing w:after="0"/>
              <w:rPr>
                <w:sz w:val="20"/>
                <w:szCs w:val="20"/>
                <w:color w:val="auto"/>
              </w:rPr>
            </w:pPr>
            <w:r>
              <w:rPr>
                <w:rFonts w:ascii="Arial" w:cs="Arial" w:eastAsia="Arial" w:hAnsi="Arial"/>
                <w:sz w:val="18"/>
                <w:szCs w:val="18"/>
                <w:b w:val="1"/>
                <w:bCs w:val="1"/>
                <w:color w:val="auto"/>
              </w:rPr>
              <w:t>CONDENSED BALANCE SHEETS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5291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52914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52914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20"/>
          </w:cols>
          <w:pgMar w:left="240" w:top="526" w:right="239" w:bottom="1440" w:gutter="0" w:footer="0" w:header="0"/>
          <w:type w:val="continuous"/>
        </w:sectPr>
      </w:pPr>
    </w:p>
    <w:bookmarkStart w:id="151" w:name="page152"/>
    <w:bookmarkEnd w:id="151"/>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allocable to: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Limited partner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General partner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06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4064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4064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406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4064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526"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82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rPr>
              <w:t>SCHEDULE I</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3600" w:type="dxa"/>
            <w:vAlign w:val="bottom"/>
          </w:tcPr>
          <w:p>
            <w:pPr>
              <w:spacing w:after="0"/>
              <w:rPr>
                <w:sz w:val="24"/>
                <w:szCs w:val="24"/>
                <w:color w:val="auto"/>
              </w:rPr>
            </w:pPr>
          </w:p>
        </w:tc>
        <w:tc>
          <w:tcPr>
            <w:tcW w:w="382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9"/>
              </w:rPr>
              <w:t>ICAHN ENTERPRISES HOLDINGS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600" w:type="dxa"/>
            <w:vAlign w:val="bottom"/>
          </w:tcPr>
          <w:p>
            <w:pPr>
              <w:spacing w:after="0"/>
              <w:rPr>
                <w:sz w:val="20"/>
                <w:szCs w:val="20"/>
                <w:color w:val="auto"/>
              </w:rPr>
            </w:pPr>
          </w:p>
        </w:tc>
        <w:tc>
          <w:tcPr>
            <w:tcW w:w="382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1"/>
              </w:rPr>
              <w:t>(Parent Company)</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600" w:type="dxa"/>
            <w:vAlign w:val="bottom"/>
          </w:tcPr>
          <w:p>
            <w:pPr>
              <w:spacing w:after="0"/>
              <w:rPr>
                <w:sz w:val="24"/>
                <w:szCs w:val="24"/>
                <w:color w:val="auto"/>
              </w:rPr>
            </w:pPr>
          </w:p>
        </w:tc>
        <w:tc>
          <w:tcPr>
            <w:tcW w:w="45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3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2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(income) loss of subsidiary</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2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Net investment in subsidiaries</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investments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8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distributions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Partner contributions</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8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w w:val="93"/>
              </w:rPr>
              <w:t>Cash and cash equivalents, beginning of period</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82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0646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4064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40646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40646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40646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-2666365</wp:posOffset>
            </wp:positionV>
            <wp:extent cx="40646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526" w:right="2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ICAHN ENTERPRISES HOLDINGS L.P. (Parent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67"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 xml:space="preserve">Icahn Enterprises Holdings L.P. (“Icahn Enterprises Holdings”) is a limited partnership formed in Delaware on February 17, 1987. Our sole limited partner is Icahn Enterprises L.P. (“Icahn Enterprises”), a master limited partnership which owns a 99% interest in us. Icahn Enterprises G.P. Inc. (“Icahn Enterprises GP''), our sole 1% general partner, is a Delaware corporation which is owned and controlled by Carl C. Icahn. As of December 31, 2017, Icahn Enterprises Holdings is engaged in the following continuing operating businesses: </w:t>
      </w:r>
      <w:r>
        <w:rPr>
          <w:rFonts w:ascii="Arial" w:cs="Arial" w:eastAsia="Arial" w:hAnsi="Arial"/>
          <w:sz w:val="18"/>
          <w:szCs w:val="18"/>
          <w:color w:val="231F20"/>
        </w:rPr>
        <w:t>Investment, Automotive, Energy, Railcar, Gaming, Metals, Mining, Food</w:t>
      </w:r>
      <w:r>
        <w:rPr>
          <w:rFonts w:ascii="Arial" w:cs="Arial" w:eastAsia="Arial" w:hAnsi="Arial"/>
          <w:sz w:val="18"/>
          <w:szCs w:val="18"/>
          <w:color w:val="auto"/>
        </w:rPr>
        <w:t xml:space="preserve"> </w:t>
      </w:r>
      <w:r>
        <w:rPr>
          <w:rFonts w:ascii="Arial" w:cs="Arial" w:eastAsia="Arial" w:hAnsi="Arial"/>
          <w:sz w:val="18"/>
          <w:szCs w:val="18"/>
          <w:color w:val="231F20"/>
        </w:rPr>
        <w:t>Packaging, Real Estate and Home Fashion</w:t>
      </w:r>
      <w:r>
        <w:rPr>
          <w:rFonts w:ascii="Arial" w:cs="Arial" w:eastAsia="Arial" w:hAnsi="Arial"/>
          <w:sz w:val="18"/>
          <w:szCs w:val="18"/>
          <w:color w:val="000000"/>
        </w:rPr>
        <w:t>.</w:t>
      </w:r>
    </w:p>
    <w:p>
      <w:pPr>
        <w:spacing w:after="0" w:line="80"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For the years ended December 31, 2017, 2016 and 2015, Icahn Enterprises Holdings received $509 million, $421 million and $155 million, respectively, in dividends and distributions from consolidated subsidiaries.</w:t>
      </w:r>
    </w:p>
    <w:p>
      <w:pPr>
        <w:spacing w:after="0" w:line="8"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The condensed financial statements of Icahn Enterprises Holdings should be read in conjunction with the consolidated financial statements and notes thereto included in Item 8 of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67"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See Note 10, “Debt,” to the consolidated financial statements located in Item 8 of this Report. Icahn Enterprises Holdings' Parent company debt consists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3.500% senior unsecured notes due 2017</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4.875% senior unsecured notes due 2019</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1,341</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Mortgages payable</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5,532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5,517</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17, “Commitments and Contingencies,”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527" w:right="25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225"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ind w:left="12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20"/>
              <w:spacing w:after="0"/>
              <w:rPr>
                <w:sz w:val="20"/>
                <w:szCs w:val="20"/>
                <w:color w:val="auto"/>
              </w:rPr>
            </w:pPr>
            <w:r>
              <w:rPr>
                <w:rFonts w:ascii="Arial" w:cs="Arial" w:eastAsia="Arial" w:hAnsi="Arial"/>
                <w:sz w:val="18"/>
                <w:szCs w:val="18"/>
                <w:color w:val="auto"/>
              </w:rPr>
              <w:t>/s/Keith Cozza</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Keith Cozza</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/s/SungHwan Cho</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SungHwan Cho</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/s/Peter Reck</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Accounting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Peter Reck</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/s/Jack G. Wasserman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Jack G. Wasserman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/s/William A. Leidesdorf</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William A. Leidesdorf</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/s/James L. Nelson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James L. Nelson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Carl C. Icahn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86"/>
        </w:trPr>
        <w:tc>
          <w:tcPr>
            <w:tcW w:w="3200" w:type="dxa"/>
            <w:vAlign w:val="bottom"/>
          </w:tcPr>
          <w:p>
            <w:pPr>
              <w:spacing w:after="0"/>
              <w:rPr>
                <w:sz w:val="24"/>
                <w:szCs w:val="24"/>
                <w:color w:val="auto"/>
              </w:rPr>
            </w:pPr>
          </w:p>
        </w:tc>
        <w:tc>
          <w:tcPr>
            <w:tcW w:w="5800" w:type="dxa"/>
            <w:vAlign w:val="bottom"/>
            <w:gridSpan w:val="2"/>
          </w:tcPr>
          <w:p>
            <w:pPr>
              <w:jc w:val="right"/>
              <w:ind w:right="309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225"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Holdings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ind w:left="12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20"/>
              <w:spacing w:after="0"/>
              <w:rPr>
                <w:sz w:val="20"/>
                <w:szCs w:val="20"/>
                <w:color w:val="auto"/>
              </w:rPr>
            </w:pPr>
            <w:r>
              <w:rPr>
                <w:rFonts w:ascii="Arial" w:cs="Arial" w:eastAsia="Arial" w:hAnsi="Arial"/>
                <w:sz w:val="18"/>
                <w:szCs w:val="18"/>
                <w:color w:val="auto"/>
              </w:rPr>
              <w:t>/s/Keith Cozza</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Keith Cozza</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/s/SungHwan Cho</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SungHwan Cho</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/s/Peter Reck</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Accounting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Peter Reck</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/s/Jack G. Wasserman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Jack G. Wasserman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/s/William A. Leidesdorf</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William A. Leidesdorf</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/s/James L. Nelson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James L. Nelson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2018</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Carl C. Icahn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918"/>
        </w:trPr>
        <w:tc>
          <w:tcPr>
            <w:tcW w:w="3200" w:type="dxa"/>
            <w:vAlign w:val="bottom"/>
          </w:tcPr>
          <w:p>
            <w:pPr>
              <w:spacing w:after="0"/>
              <w:rPr>
                <w:sz w:val="24"/>
                <w:szCs w:val="24"/>
                <w:color w:val="auto"/>
              </w:rPr>
            </w:pPr>
          </w:p>
        </w:tc>
        <w:tc>
          <w:tcPr>
            <w:tcW w:w="5800" w:type="dxa"/>
            <w:vAlign w:val="bottom"/>
            <w:gridSpan w:val="2"/>
          </w:tcPr>
          <w:p>
            <w:pPr>
              <w:jc w:val="right"/>
              <w:ind w:right="309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gridSpan w:val="27"/>
          </w:tcPr>
          <w:p>
            <w:pPr>
              <w:ind w:left="1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gridSpan w:val="24"/>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Agreement and Plan of Merger, dated as of December 30, 2015, by and among Icahn Enterprises Holdings L.P., IEP Parts Acquisition</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LLC and The Pep Boys - Manny, Moe and Jack (incorporated by reference to Exhibit 2.1 to Icahn Enterprises' and Icahn Enterprises</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Holdings' joint Form 8-K (SEC File Nos. 1-9516 and 333-118021-01, respectively), filed on December 30, 2015).</w:t>
              </w:r>
            </w:hyperlink>
          </w:p>
        </w:tc>
        <w:tc>
          <w:tcPr>
            <w:tcW w:w="360" w:type="dxa"/>
            <w:vAlign w:val="bottom"/>
            <w:gridSpan w:val="1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40" w:type="dxa"/>
            <w:vAlign w:val="bottom"/>
            <w:tcBorders>
              <w:bottom w:val="single" w:sz="8" w:color="0000FF"/>
            </w:tcBorders>
            <w:gridSpan w:val="15"/>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Agreement and Plan of Merger, dated as of September 6, 2016, by and among Federal Mogul Holdings Corporation, American</w:t>
              </w:r>
            </w:hyperlink>
          </w:p>
        </w:tc>
        <w:tc>
          <w:tcPr>
            <w:tcW w:w="760" w:type="dxa"/>
            <w:vAlign w:val="bottom"/>
            <w:gridSpan w:val="19"/>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Entertainment Properties Corp. and IEH FM Holdings LLC (incorporated by reference to Exhibit 2.1 to Icahn Enterprises' Form 8-K</w:t>
              </w:r>
            </w:hyperlink>
          </w:p>
        </w:tc>
        <w:tc>
          <w:tcPr>
            <w:tcW w:w="34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(SEC File No. 1-9516), filed on September 7, 2016).</w:t>
              </w:r>
            </w:hyperlink>
          </w:p>
        </w:tc>
        <w:tc>
          <w:tcPr>
            <w:tcW w:w="6100" w:type="dxa"/>
            <w:vAlign w:val="bottom"/>
            <w:gridSpan w:val="26"/>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Equity Asset and Purchase Agreement, dated as of December 16, 2016, by and among American Railcar Leasing LLC, American</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33"/>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Entertainment Properties Corp., AEP Rail Corp., SMBC Rail Services LLC and Sumitomo Mitsui Banking Corporation (incorporated by</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reference to Exhibit 2.1 to Icahn Enterprises' and Icahn Enterprises Holdings' joint Form 8-K (SEC File Nos. 1-9516 and 333-118021-</w:t>
              </w:r>
            </w:hyperlink>
          </w:p>
        </w:tc>
        <w:tc>
          <w:tcPr>
            <w:tcW w:w="2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01, respectively), filed on December 19, 2016).</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6"/>
              </w:rPr>
            </w:pPr>
            <w:hyperlink r:id="rId85">
              <w:r>
                <w:rPr>
                  <w:rFonts w:ascii="Arial" w:cs="Arial" w:eastAsia="Arial" w:hAnsi="Arial"/>
                  <w:sz w:val="18"/>
                  <w:szCs w:val="18"/>
                  <w:color w:val="0000FF"/>
                  <w:w w:val="96"/>
                </w:rPr>
                <w:t>Certificate of Limited Partnership of Icahn Enterprises L.P., f/k/a American Real Estate Partners, L.P. (“Icahn Enterprises”) dated</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February 17, 1987, as thereafter amended from time to time (incorporated by reference to Exhibit 3.1 to Icahn Enterprises' Form 8-K</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(SEC File No. 1-9516), filed on September 20, 2007).</w:t>
              </w:r>
            </w:hyperlink>
          </w:p>
        </w:tc>
        <w:tc>
          <w:tcPr>
            <w:tcW w:w="340" w:type="dxa"/>
            <w:vAlign w:val="bottom"/>
            <w:gridSpan w:val="1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3"/>
              </w:rPr>
            </w:pPr>
            <w:hyperlink r:id="rId86">
              <w:r>
                <w:rPr>
                  <w:rFonts w:ascii="Arial" w:cs="Arial" w:eastAsia="Arial" w:hAnsi="Arial"/>
                  <w:sz w:val="18"/>
                  <w:szCs w:val="18"/>
                  <w:color w:val="0000FF"/>
                  <w:w w:val="93"/>
                </w:rPr>
                <w:t>Certificate of Limited Partnership of Icahn Enterprises Holdings L.P., f/k/a American Real Estate Holdings Limited Partnership (“Icahn</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Enterprises Holdings”), dated February 17, 1987, as amended pursuant to the First Amendment thereto, dated March 10, 1987</w:t>
              </w:r>
            </w:hyperlink>
          </w:p>
        </w:tc>
        <w:tc>
          <w:tcPr>
            <w:tcW w:w="680" w:type="dxa"/>
            <w:vAlign w:val="bottom"/>
            <w:tcBorders>
              <w:top w:val="single" w:sz="8" w:color="0000FF"/>
            </w:tcBorders>
            <w:gridSpan w:val="15"/>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(incorporated by reference to Exhibit 3.5 to Icahn Enterprises' Form 10-Q for the quarter ended March 31, 2004 (SEC File No. 1-9516),</w:t>
              </w:r>
            </w:hyperlink>
          </w:p>
        </w:tc>
        <w:tc>
          <w:tcPr>
            <w:tcW w:w="12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filed on May 10, 2004, as further amended pursuant to the Certificate of Amendment thereto, dated September 17, 2007 (incorporated</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by reference to Exhibit 3.9 to Icahn Enterprises' Form 10-K for the year ended December 31, 2007 (SEC File No. 1-9516), filed on</w:t>
              </w:r>
            </w:hyperlink>
          </w:p>
        </w:tc>
        <w:tc>
          <w:tcPr>
            <w:tcW w:w="44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March 17, 2008).</w:t>
              </w:r>
            </w:hyperlink>
          </w:p>
        </w:tc>
        <w:tc>
          <w:tcPr>
            <w:tcW w:w="8640" w:type="dxa"/>
            <w:vAlign w:val="bottom"/>
            <w:gridSpan w:val="32"/>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60" w:type="dxa"/>
            <w:vAlign w:val="bottom"/>
            <w:tcBorders>
              <w:bottom w:val="single" w:sz="8" w:color="0000FF"/>
            </w:tcBorders>
            <w:gridSpan w:val="20"/>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Second Amended and Restated Agreement of Limited Partnership of Icahn Enterprises L.P., dated August 2, 2016 (incorporated by</w:t>
              </w:r>
            </w:hyperlink>
          </w:p>
        </w:tc>
        <w:tc>
          <w:tcPr>
            <w:tcW w:w="440" w:type="dxa"/>
            <w:vAlign w:val="bottom"/>
            <w:gridSpan w:val="14"/>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reference to Exhibit 3.1 to Icahn Enterprises' and Icahn Enterprises Holdings' joint Form 10-Q for the quarterly period ended June 30,</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2016 (SEC File Nos. 1-9516 and 333-118021-01, respectively), filed on August 4, 2016).</w:t>
              </w:r>
            </w:hyperlink>
          </w:p>
        </w:tc>
        <w:tc>
          <w:tcPr>
            <w:tcW w:w="280" w:type="dxa"/>
            <w:vAlign w:val="bottom"/>
            <w:gridSpan w:val="1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FF"/>
            </w:tcBorders>
            <w:gridSpan w:val="19"/>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Amended and Restated Agreement of Limited Partnership of Icahn Enterprises Holdings, dated as of July 1, 1987 (incorporated by</w:t>
              </w:r>
            </w:hyperlink>
          </w:p>
        </w:tc>
        <w:tc>
          <w:tcPr>
            <w:tcW w:w="460" w:type="dxa"/>
            <w:vAlign w:val="bottom"/>
            <w:gridSpan w:val="15"/>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reference to Exhibit 3.5 to Icahn Enterprises' Form 10-Q for the quarter ended March 31, 2004 (SEC File No. 1-9516), filed on May 10,</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88">
              <w:r>
                <w:rPr>
                  <w:rFonts w:ascii="Arial" w:cs="Arial" w:eastAsia="Arial" w:hAnsi="Arial"/>
                  <w:sz w:val="18"/>
                  <w:szCs w:val="18"/>
                  <w:color w:val="0000FF"/>
                  <w:w w:val="86"/>
                </w:rPr>
                <w:t>2004).</w:t>
              </w:r>
            </w:hyperlink>
          </w:p>
        </w:tc>
        <w:tc>
          <w:tcPr>
            <w:tcW w:w="8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21"/>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Amendment No. 1 to the Amended and Restated Agreement of Limited Partnership of Icahn Enterprises Holdings, dated August 16,</w:t>
              </w:r>
            </w:hyperlink>
          </w:p>
        </w:tc>
        <w:tc>
          <w:tcPr>
            <w:tcW w:w="360" w:type="dxa"/>
            <w:vAlign w:val="bottom"/>
            <w:gridSpan w:val="13"/>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w w:val="96"/>
              </w:rPr>
            </w:pPr>
            <w:hyperlink r:id="rId89">
              <w:r>
                <w:rPr>
                  <w:rFonts w:ascii="Arial" w:cs="Arial" w:eastAsia="Arial" w:hAnsi="Arial"/>
                  <w:sz w:val="18"/>
                  <w:szCs w:val="18"/>
                  <w:color w:val="0000FF"/>
                  <w:w w:val="96"/>
                </w:rPr>
                <w:t>1996 (incorporated by reference to Exhibit 10.2 to Icahn Enterprises' Form 8-K (SEC File No. 1-9516), filed on August 16, 1996).</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Amendment No. 2 to the Amended and Restated Agreement of Limited Partnership of Icahn Enterprises Holdings, dated June 14, 2002</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(incorporated by reference to Exhibit 3.9 to Icahn Enterprises' Form 10-K for the year ended December 31, 2002 (SEC File No. 1-9516),</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filed on March 31, 2003).</w:t>
              </w:r>
            </w:hyperlink>
          </w:p>
        </w:tc>
        <w:tc>
          <w:tcPr>
            <w:tcW w:w="7980" w:type="dxa"/>
            <w:vAlign w:val="bottom"/>
            <w:tcBorders>
              <w:top w:val="single" w:sz="8" w:color="0000FF"/>
            </w:tcBorders>
            <w:gridSpan w:val="27"/>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Amendment No. 3 to the Amended and Restated Agreement of Limited Partnership of Icahn Enterprises Holdings, dated June 29, 2005</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(incorporated by reference to Exhibit 3.2 to Icahn Enterprises' Form 10-Q for the quarter ended June 30, 2005 (SEC File No. 1-9516),</w:t>
              </w:r>
            </w:hyperlink>
          </w:p>
        </w:tc>
        <w:tc>
          <w:tcPr>
            <w:tcW w:w="100" w:type="dxa"/>
            <w:vAlign w:val="bottom"/>
            <w:tcBorders>
              <w:top w:val="single" w:sz="8" w:color="0000FF"/>
            </w:tcBorders>
            <w:gridSpan w:val="4"/>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filed on August 9, 2005).</w:t>
              </w:r>
            </w:hyperlink>
          </w:p>
        </w:tc>
        <w:tc>
          <w:tcPr>
            <w:tcW w:w="8080" w:type="dxa"/>
            <w:vAlign w:val="bottom"/>
            <w:gridSpan w:val="31"/>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Amendment No. 4 to the Amended and Restated Agreement of Limited Partnership of Icahn Enterprises Holdings, dated September 17,</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2007 (incorporated by reference to Exhibit 3.11 to Icahn Enterprises' Form 10-K for the year ended December 31, 2007 (SEC File No. 1-</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9516)</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on March 17, 2008).</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23"/>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Form of Transfer Application (incorporated by reference to Exhibit 4.4 to Icahn Enterprises' Form 10-K for the year ended December</w:t>
              </w:r>
            </w:hyperlink>
          </w:p>
        </w:tc>
        <w:tc>
          <w:tcPr>
            <w:tcW w:w="280" w:type="dxa"/>
            <w:vAlign w:val="bottom"/>
            <w:gridSpan w:val="11"/>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31, 2004 (SEC File No. 1-9516), filed on March 16, 2005).</w:t>
              </w:r>
            </w:hyperlink>
          </w:p>
        </w:tc>
        <w:tc>
          <w:tcPr>
            <w:tcW w:w="5640" w:type="dxa"/>
            <w:vAlign w:val="bottom"/>
            <w:gridSpan w:val="24"/>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3"/>
              </w:rPr>
            </w:pPr>
            <w:hyperlink r:id="rId94">
              <w:r>
                <w:rPr>
                  <w:rFonts w:ascii="Arial" w:cs="Arial" w:eastAsia="Arial" w:hAnsi="Arial"/>
                  <w:sz w:val="18"/>
                  <w:szCs w:val="18"/>
                  <w:color w:val="0000FF"/>
                  <w:w w:val="93"/>
                </w:rPr>
                <w:t>Specimen Depositary Receipt (incorporated by reference to Exhibit 4.3 to Icahn Enterprises' Form 10-K for the year ended December</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31, 2014 (SEC File No. 1-9516), filed on March 16, 2005).</w:t>
              </w:r>
            </w:hyperlink>
          </w:p>
        </w:tc>
        <w:tc>
          <w:tcPr>
            <w:tcW w:w="5360" w:type="dxa"/>
            <w:vAlign w:val="bottom"/>
            <w:tcBorders>
              <w:top w:val="single" w:sz="8" w:color="0000FF"/>
            </w:tcBorders>
            <w:gridSpan w:val="13"/>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20" w:type="dxa"/>
            <w:vAlign w:val="bottom"/>
            <w:tcBorders>
              <w:bottom w:val="single" w:sz="8" w:color="0000FF"/>
            </w:tcBorders>
            <w:gridSpan w:val="18"/>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Specimen Depositary Certificate (incorporated by reference to Exhibit 4.1 to Icahn Enterprises' Form 10-Q for the quarterly period</w:t>
              </w:r>
            </w:hyperlink>
          </w:p>
        </w:tc>
        <w:tc>
          <w:tcPr>
            <w:tcW w:w="480" w:type="dxa"/>
            <w:vAlign w:val="bottom"/>
            <w:gridSpan w:val="1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ended June 30, 2016 (SEC File No. 1-9516), filed on August 4, 2016).</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6"/>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tcBorders>
              <w:bottom w:val="single" w:sz="8" w:color="0000FF"/>
            </w:tcBorders>
            <w:gridSpan w:val="28"/>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Specimen Certificate representing preferred units (incorporated by reference to Exhibit 4.9 to Icahn Enterprises' Form S-3/A (SEC File</w:t>
              </w:r>
            </w:hyperlink>
          </w:p>
        </w:tc>
        <w:tc>
          <w:tcPr>
            <w:tcW w:w="160" w:type="dxa"/>
            <w:vAlign w:val="bottom"/>
            <w:gridSpan w:val="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No. 33-54767), filed on February 22, 1995).</w:t>
              </w:r>
            </w:hyperlink>
          </w:p>
        </w:tc>
        <w:tc>
          <w:tcPr>
            <w:tcW w:w="6720" w:type="dxa"/>
            <w:vAlign w:val="bottom"/>
            <w:gridSpan w:val="28"/>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4"/>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Registration Rights Agreement between Icahn Enterprises and High Coast Limited Partnership (f/k/a X LP) (incorporated by reference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top w:val="single" w:sz="8" w:color="0000FF"/>
            </w:tcBorders>
            <w:gridSpan w:val="27"/>
          </w:tcPr>
          <w:p>
            <w:pPr>
              <w:spacing w:after="0" w:line="196"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to Exhibit 10.2 to Icahn Enterprises' Form 10-K for the year ended December 31, 2004 (SEC File No. 1-9516), filed on March 16,</w:t>
              </w:r>
            </w:hyperlink>
          </w:p>
        </w:tc>
        <w:tc>
          <w:tcPr>
            <w:tcW w:w="20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97">
              <w:r>
                <w:rPr>
                  <w:rFonts w:ascii="Arial" w:cs="Arial" w:eastAsia="Arial" w:hAnsi="Arial"/>
                  <w:sz w:val="18"/>
                  <w:szCs w:val="18"/>
                  <w:color w:val="0000FF"/>
                  <w:w w:val="86"/>
                </w:rPr>
                <w:t>2005).</w:t>
              </w:r>
            </w:hyperlink>
          </w:p>
        </w:tc>
        <w:tc>
          <w:tcPr>
            <w:tcW w:w="8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Registration Rights Agreement, dated June 30, 2005 between Icahn Enterprises and Highcrest Investors Corp., Amos Corp., Cyprus,</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40" w:type="dxa"/>
            <w:vAlign w:val="bottom"/>
            <w:gridSpan w:val="21"/>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LLC and Gascon Partners (incorporated by reference to Exhibit 10.6 to Icahn Enterprises' Form 10-Q (SEC File No. 1-9516), filed on</w:t>
              </w:r>
            </w:hyperlink>
          </w:p>
        </w:tc>
        <w:tc>
          <w:tcPr>
            <w:tcW w:w="240" w:type="dxa"/>
            <w:vAlign w:val="bottom"/>
            <w:gridSpan w:val="9"/>
          </w:tcPr>
          <w:p>
            <w:pPr>
              <w:spacing w:after="0"/>
              <w:rPr>
                <w:sz w:val="17"/>
                <w:szCs w:val="17"/>
                <w:color w:val="auto"/>
              </w:rPr>
            </w:pPr>
          </w:p>
        </w:tc>
      </w:tr>
    </w:tbl>
    <w:p>
      <w:pPr>
        <w:spacing w:after="0" w:line="13" w:lineRule="exact"/>
        <w:rPr>
          <w:sz w:val="20"/>
          <w:szCs w:val="20"/>
          <w:color w:val="auto"/>
        </w:rPr>
      </w:pPr>
    </w:p>
    <w:p>
      <w:pPr>
        <w:ind w:left="1520" w:right="380"/>
        <w:spacing w:after="0" w:line="308" w:lineRule="auto"/>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August 9, 2005), as amended by Amendment No. 1 thereto, dated as of August 8, 2007 (incorporated by reference to Exhibit 10.5 to</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Icahn Enterprises' Form 10-Q for the quarter ended June 30, 2007 (SEC File No. 1-9516), filed on August 9, 2007).</w:t>
        </w:r>
      </w:hyperlink>
    </w:p>
    <w:p>
      <w:pPr>
        <w:sectPr>
          <w:pgSz w:w="11900" w:h="16838" w:orient="portrait"/>
          <w:cols w:equalWidth="0" w:num="1">
            <w:col w:w="11420"/>
          </w:cols>
          <w:pgMar w:left="240" w:top="364"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1420"/>
          </w:cols>
          <w:pgMar w:left="240" w:top="364" w:right="239"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980" w:type="dxa"/>
            <w:vAlign w:val="bottom"/>
          </w:tcPr>
          <w:p>
            <w:pPr>
              <w:jc w:val="center"/>
              <w:ind w:right="590"/>
              <w:spacing w:after="0"/>
              <w:rPr>
                <w:sz w:val="20"/>
                <w:szCs w:val="20"/>
                <w:color w:val="auto"/>
              </w:rPr>
            </w:pPr>
            <w:r>
              <w:rPr>
                <w:rFonts w:ascii="Arial" w:cs="Arial" w:eastAsia="Arial" w:hAnsi="Arial"/>
                <w:sz w:val="18"/>
                <w:szCs w:val="18"/>
                <w:color w:val="auto"/>
                <w:w w:val="87"/>
              </w:rPr>
              <w:t>4.7</w:t>
            </w:r>
          </w:p>
        </w:tc>
        <w:tc>
          <w:tcPr>
            <w:tcW w:w="9880" w:type="dxa"/>
            <w:vAlign w:val="bottom"/>
            <w:gridSpan w:val="36"/>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Amended and Restated Depositary Agreement among Icahn Enterprises, Icahn Enterprises GP and Registrar and Transfer Company,</w:t>
              </w:r>
            </w:hyperlink>
          </w:p>
        </w:tc>
      </w:tr>
      <w:tr>
        <w:trPr>
          <w:trHeight w:val="20"/>
        </w:trPr>
        <w:tc>
          <w:tcPr>
            <w:tcW w:w="9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dated as of August 23, 2013 (incorporated by reference to Exhibit 10.1 to Icahn Enterprises' Form 8-K (SEC File No. 1-9516), filed on</w:t>
              </w:r>
            </w:hyperlink>
          </w:p>
        </w:tc>
      </w:tr>
      <w:tr>
        <w:trPr>
          <w:trHeight w:val="196"/>
        </w:trPr>
        <w:tc>
          <w:tcPr>
            <w:tcW w:w="980" w:type="dxa"/>
            <w:vAlign w:val="bottom"/>
          </w:tcPr>
          <w:p>
            <w:pPr>
              <w:spacing w:after="0"/>
              <w:rPr>
                <w:sz w:val="17"/>
                <w:szCs w:val="17"/>
                <w:color w:val="auto"/>
              </w:rPr>
            </w:pPr>
          </w:p>
        </w:tc>
        <w:tc>
          <w:tcPr>
            <w:tcW w:w="97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August 23, 2013).</w:t>
              </w:r>
            </w:hyperlink>
          </w:p>
        </w:tc>
        <w:tc>
          <w:tcPr>
            <w:tcW w:w="180" w:type="dxa"/>
            <w:vAlign w:val="bottom"/>
            <w:gridSpan w:val="7"/>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jc w:val="center"/>
              <w:ind w:right="590"/>
              <w:spacing w:after="0"/>
              <w:rPr>
                <w:sz w:val="20"/>
                <w:szCs w:val="20"/>
                <w:color w:val="auto"/>
              </w:rPr>
            </w:pPr>
            <w:r>
              <w:rPr>
                <w:rFonts w:ascii="Arial" w:cs="Arial" w:eastAsia="Arial" w:hAnsi="Arial"/>
                <w:sz w:val="18"/>
                <w:szCs w:val="18"/>
                <w:color w:val="auto"/>
                <w:w w:val="87"/>
              </w:rPr>
              <w:t>4.8</w:t>
            </w:r>
          </w:p>
        </w:tc>
        <w:tc>
          <w:tcPr>
            <w:tcW w:w="9680" w:type="dxa"/>
            <w:vAlign w:val="bottom"/>
            <w:tcBorders>
              <w:bottom w:val="single" w:sz="8" w:color="0000FF"/>
            </w:tcBorders>
            <w:gridSpan w:val="28"/>
          </w:tcPr>
          <w:p>
            <w:pPr>
              <w:spacing w:after="0"/>
              <w:rPr>
                <w:rFonts w:ascii="Arial" w:cs="Arial" w:eastAsia="Arial" w:hAnsi="Arial"/>
                <w:sz w:val="18"/>
                <w:szCs w:val="18"/>
                <w:color w:val="0000FF"/>
                <w:w w:val="89"/>
              </w:rPr>
            </w:pPr>
            <w:hyperlink r:id="rId100">
              <w:r>
                <w:rPr>
                  <w:rFonts w:ascii="Arial" w:cs="Arial" w:eastAsia="Arial" w:hAnsi="Arial"/>
                  <w:sz w:val="18"/>
                  <w:szCs w:val="18"/>
                  <w:color w:val="0000FF"/>
                  <w:w w:val="89"/>
                </w:rPr>
                <w:t>Indenture, dated as of August 1, 2013, among Icahn Enterprises, Icahn Enterprises Finance, Icahn Enterprises Holdings, as Guarantor,</w:t>
              </w:r>
            </w:hyperlink>
          </w:p>
        </w:tc>
        <w:tc>
          <w:tcPr>
            <w:tcW w:w="200" w:type="dxa"/>
            <w:vAlign w:val="bottom"/>
            <w:gridSpan w:val="8"/>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and Wilmington Trust Company, as Trustee relating to the 6.000% Senior Notes Due 2020 (incorporated by reference to Exhibit 4.1 to</w:t>
              </w:r>
            </w:hyperlink>
          </w:p>
        </w:tc>
      </w:tr>
      <w:tr>
        <w:trPr>
          <w:trHeight w:val="196"/>
        </w:trPr>
        <w:tc>
          <w:tcPr>
            <w:tcW w:w="98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Icahn Enterprises' and Icahn Enterprises Holdings' joint Form 8-K (SEC File Nos. 1-9516 and 333-118021-01, respectively), filed on</w:t>
              </w:r>
            </w:hyperlink>
          </w:p>
        </w:tc>
        <w:tc>
          <w:tcPr>
            <w:tcW w:w="100" w:type="dxa"/>
            <w:vAlign w:val="bottom"/>
            <w:tcBorders>
              <w:top w:val="single" w:sz="8" w:color="0000FF"/>
            </w:tcBorders>
            <w:gridSpan w:val="3"/>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2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August 1, 2013).</w:t>
              </w:r>
            </w:hyperlink>
          </w:p>
        </w:tc>
        <w:tc>
          <w:tcPr>
            <w:tcW w:w="8660" w:type="dxa"/>
            <w:vAlign w:val="bottom"/>
            <w:gridSpan w:val="35"/>
          </w:tcPr>
          <w:p>
            <w:pPr>
              <w:spacing w:after="0"/>
              <w:rPr>
                <w:sz w:val="17"/>
                <w:szCs w:val="17"/>
                <w:color w:val="auto"/>
              </w:rPr>
            </w:pPr>
          </w:p>
        </w:tc>
      </w:tr>
      <w:tr>
        <w:trPr>
          <w:trHeight w:val="250"/>
        </w:trPr>
        <w:tc>
          <w:tcPr>
            <w:tcW w:w="980" w:type="dxa"/>
            <w:vAlign w:val="bottom"/>
          </w:tcPr>
          <w:p>
            <w:pPr>
              <w:jc w:val="center"/>
              <w:ind w:right="590"/>
              <w:spacing w:after="0"/>
              <w:rPr>
                <w:sz w:val="20"/>
                <w:szCs w:val="20"/>
                <w:color w:val="auto"/>
              </w:rPr>
            </w:pPr>
            <w:r>
              <w:rPr>
                <w:rFonts w:ascii="Arial" w:cs="Arial" w:eastAsia="Arial" w:hAnsi="Arial"/>
                <w:sz w:val="18"/>
                <w:szCs w:val="18"/>
                <w:color w:val="auto"/>
                <w:w w:val="87"/>
              </w:rPr>
              <w:t>4.9</w:t>
            </w:r>
          </w:p>
        </w:tc>
        <w:tc>
          <w:tcPr>
            <w:tcW w:w="9880" w:type="dxa"/>
            <w:vAlign w:val="bottom"/>
            <w:gridSpan w:val="36"/>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Indenture, dated as of January 29, 2014, among Icahn Enterprises, Icahn Enterprises Finance, Icahn Enterprises Holdings, as Guarantor,</w:t>
              </w:r>
            </w:hyperlink>
          </w:p>
        </w:tc>
      </w:tr>
      <w:tr>
        <w:trPr>
          <w:trHeight w:val="196"/>
        </w:trPr>
        <w:tc>
          <w:tcPr>
            <w:tcW w:w="980" w:type="dxa"/>
            <w:vAlign w:val="bottom"/>
          </w:tcPr>
          <w:p>
            <w:pPr>
              <w:spacing w:after="0"/>
              <w:rPr>
                <w:sz w:val="17"/>
                <w:szCs w:val="17"/>
                <w:color w:val="auto"/>
              </w:rPr>
            </w:pPr>
          </w:p>
        </w:tc>
        <w:tc>
          <w:tcPr>
            <w:tcW w:w="9780" w:type="dxa"/>
            <w:vAlign w:val="bottom"/>
            <w:tcBorders>
              <w:top w:val="single" w:sz="8" w:color="0000FF"/>
            </w:tcBorders>
            <w:gridSpan w:val="33"/>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and Wilmington Trust Company, as Trustee relating to the 5.875% Senior Notes Due 2022 (incorporated by reference to Exhibit 4.1 to</w:t>
              </w:r>
            </w:hyperlink>
          </w:p>
        </w:tc>
        <w:tc>
          <w:tcPr>
            <w:tcW w:w="10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76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Icahn Enterprises' and Icahn Enterprises Holdings' joint Form 8-K/A (SEC File Nos. 1-9516 and 333-118021-01, respectively), filed on</w:t>
              </w:r>
            </w:hyperlink>
          </w:p>
        </w:tc>
        <w:tc>
          <w:tcPr>
            <w:tcW w:w="12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January 30, 2014).</w:t>
              </w:r>
            </w:hyperlink>
          </w:p>
        </w:tc>
      </w:tr>
      <w:tr>
        <w:trPr>
          <w:trHeight w:val="20"/>
        </w:trPr>
        <w:tc>
          <w:tcPr>
            <w:tcW w:w="9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4.10</w:t>
            </w:r>
          </w:p>
        </w:tc>
        <w:tc>
          <w:tcPr>
            <w:tcW w:w="9880" w:type="dxa"/>
            <w:vAlign w:val="bottom"/>
            <w:gridSpan w:val="36"/>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Indenture, dated as of January 18, 2017, among Icahn Enterprises, Icahn Enterprises Finance, Icahn Enterprises Holdings, as Guarantor,</w:t>
              </w:r>
            </w:hyperlink>
          </w:p>
        </w:tc>
      </w:tr>
      <w:tr>
        <w:trPr>
          <w:trHeight w:val="196"/>
        </w:trPr>
        <w:tc>
          <w:tcPr>
            <w:tcW w:w="980" w:type="dxa"/>
            <w:vAlign w:val="bottom"/>
          </w:tcPr>
          <w:p>
            <w:pPr>
              <w:spacing w:after="0"/>
              <w:rPr>
                <w:sz w:val="17"/>
                <w:szCs w:val="17"/>
                <w:color w:val="auto"/>
              </w:rPr>
            </w:pPr>
          </w:p>
        </w:tc>
        <w:tc>
          <w:tcPr>
            <w:tcW w:w="9780" w:type="dxa"/>
            <w:vAlign w:val="bottom"/>
            <w:tcBorders>
              <w:top w:val="single" w:sz="8" w:color="0000FF"/>
            </w:tcBorders>
            <w:gridSpan w:val="33"/>
          </w:tcPr>
          <w:p>
            <w:pPr>
              <w:spacing w:after="0" w:line="196" w:lineRule="exact"/>
              <w:rPr>
                <w:rFonts w:ascii="Arial" w:cs="Arial" w:eastAsia="Arial" w:hAnsi="Arial"/>
                <w:sz w:val="18"/>
                <w:szCs w:val="18"/>
                <w:color w:val="0000FF"/>
                <w:w w:val="96"/>
              </w:rPr>
            </w:pPr>
            <w:hyperlink r:id="rId102">
              <w:r>
                <w:rPr>
                  <w:rFonts w:ascii="Arial" w:cs="Arial" w:eastAsia="Arial" w:hAnsi="Arial"/>
                  <w:sz w:val="18"/>
                  <w:szCs w:val="18"/>
                  <w:color w:val="0000FF"/>
                  <w:w w:val="96"/>
                </w:rPr>
                <w:t>and Wilmington Trust Company, as Trustee relating to the 6.250% Senior Notes Due 2022 and 6.750% Senior Notes Due 2024</w:t>
              </w:r>
            </w:hyperlink>
          </w:p>
        </w:tc>
        <w:tc>
          <w:tcPr>
            <w:tcW w:w="10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6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(incorporated by reference to Exhibit 4.1 to Icahn Enterprises' and Icahn Enterprises Holdings' joint Form 8-K (SEC File Nos. 1-9516</w:t>
              </w:r>
            </w:hyperlink>
          </w:p>
        </w:tc>
        <w:tc>
          <w:tcPr>
            <w:tcW w:w="24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and 333-118021-01, respectively), filed on January 18, 2017).</w:t>
              </w:r>
            </w:hyperlink>
          </w:p>
        </w:tc>
        <w:tc>
          <w:tcPr>
            <w:tcW w:w="5420" w:type="dxa"/>
            <w:vAlign w:val="bottom"/>
            <w:gridSpan w:val="29"/>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4.11</w:t>
            </w:r>
          </w:p>
        </w:tc>
        <w:tc>
          <w:tcPr>
            <w:tcW w:w="9880" w:type="dxa"/>
            <w:vAlign w:val="bottom"/>
            <w:gridSpan w:val="36"/>
          </w:tcPr>
          <w:p>
            <w:pPr>
              <w:spacing w:after="0"/>
              <w:rPr>
                <w:rFonts w:ascii="Arial" w:cs="Arial" w:eastAsia="Arial" w:hAnsi="Arial"/>
                <w:sz w:val="18"/>
                <w:szCs w:val="18"/>
                <w:color w:val="0000FF"/>
                <w:w w:val="89"/>
              </w:rPr>
            </w:pPr>
            <w:hyperlink r:id="rId103">
              <w:r>
                <w:rPr>
                  <w:rFonts w:ascii="Arial" w:cs="Arial" w:eastAsia="Arial" w:hAnsi="Arial"/>
                  <w:sz w:val="18"/>
                  <w:szCs w:val="18"/>
                  <w:color w:val="0000FF"/>
                  <w:w w:val="89"/>
                </w:rPr>
                <w:t>Indenture, dated as of December 6, 2017, among Icahn Enterprises, Icahn Enterprises Finance, Icahn Enterprises Holdings, as Guarantor,</w:t>
              </w:r>
            </w:hyperlink>
          </w:p>
        </w:tc>
      </w:tr>
      <w:tr>
        <w:trPr>
          <w:trHeight w:val="196"/>
        </w:trPr>
        <w:tc>
          <w:tcPr>
            <w:tcW w:w="98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27"/>
          </w:tcPr>
          <w:p>
            <w:pPr>
              <w:spacing w:after="0" w:line="19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and Wilmington Trust Company, as Trustee relating to the 6.375% Senior Notes Due 2025 incorporated by reference to Exhibit 4.1 to</w:t>
              </w:r>
            </w:hyperlink>
          </w:p>
        </w:tc>
        <w:tc>
          <w:tcPr>
            <w:tcW w:w="22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58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Icahn Enterprises' and Icahn Enterprises Holdings' joint Form 8-K (SEC File Nos. 1-9516 and 333-118021-01, respectively), filed on</w:t>
              </w:r>
            </w:hyperlink>
          </w:p>
        </w:tc>
        <w:tc>
          <w:tcPr>
            <w:tcW w:w="300" w:type="dxa"/>
            <w:vAlign w:val="bottom"/>
            <w:gridSpan w:val="1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03">
              <w:r>
                <w:rPr>
                  <w:rFonts w:ascii="Arial" w:cs="Arial" w:eastAsia="Arial" w:hAnsi="Arial"/>
                  <w:sz w:val="18"/>
                  <w:szCs w:val="18"/>
                  <w:color w:val="0000FF"/>
                  <w:w w:val="89"/>
                </w:rPr>
                <w:t>December 6, 2017).</w:t>
              </w:r>
            </w:hyperlink>
          </w:p>
        </w:tc>
        <w:tc>
          <w:tcPr>
            <w:tcW w:w="8440" w:type="dxa"/>
            <w:vAlign w:val="bottom"/>
            <w:gridSpan w:val="32"/>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10.1</w:t>
            </w:r>
          </w:p>
        </w:tc>
        <w:tc>
          <w:tcPr>
            <w:tcW w:w="9880" w:type="dxa"/>
            <w:vAlign w:val="bottom"/>
            <w:gridSpan w:val="36"/>
          </w:tcPr>
          <w:p>
            <w:pPr>
              <w:spacing w:after="0"/>
              <w:rPr>
                <w:rFonts w:ascii="Arial" w:cs="Arial" w:eastAsia="Arial" w:hAnsi="Arial"/>
                <w:sz w:val="18"/>
                <w:szCs w:val="18"/>
                <w:color w:val="0000FF"/>
                <w:w w:val="94"/>
              </w:rPr>
            </w:pPr>
            <w:hyperlink r:id="rId104">
              <w:r>
                <w:rPr>
                  <w:rFonts w:ascii="Arial" w:cs="Arial" w:eastAsia="Arial" w:hAnsi="Arial"/>
                  <w:sz w:val="18"/>
                  <w:szCs w:val="18"/>
                  <w:color w:val="0000FF"/>
                  <w:w w:val="94"/>
                </w:rPr>
                <w:t>Amended and Restated Agency Agreement (incorporated by reference to Exhibit 10.12 to Icahn Enterprises' Form 10-K for the year</w:t>
              </w:r>
            </w:hyperlink>
          </w:p>
        </w:tc>
      </w:tr>
      <w:tr>
        <w:trPr>
          <w:trHeight w:val="196"/>
        </w:trPr>
        <w:tc>
          <w:tcPr>
            <w:tcW w:w="98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ended December 31, 1994 (SEC File No. 1-9516), filed on March 31, 1995).</w:t>
              </w:r>
            </w:hyperlink>
          </w:p>
        </w:tc>
        <w:tc>
          <w:tcPr>
            <w:tcW w:w="4000" w:type="dxa"/>
            <w:vAlign w:val="bottom"/>
            <w:tcBorders>
              <w:top w:val="single" w:sz="8" w:color="0000FF"/>
            </w:tcBorders>
            <w:gridSpan w:val="12"/>
          </w:tcPr>
          <w:p>
            <w:pPr>
              <w:spacing w:after="0"/>
              <w:rPr>
                <w:sz w:val="17"/>
                <w:szCs w:val="17"/>
                <w:color w:val="auto"/>
              </w:rPr>
            </w:pPr>
          </w:p>
        </w:tc>
        <w:tc>
          <w:tcPr>
            <w:tcW w:w="360" w:type="dxa"/>
            <w:vAlign w:val="bottom"/>
            <w:gridSpan w:val="13"/>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10.2</w:t>
            </w:r>
          </w:p>
        </w:tc>
        <w:tc>
          <w:tcPr>
            <w:tcW w:w="9300" w:type="dxa"/>
            <w:vAlign w:val="bottom"/>
            <w:tcBorders>
              <w:bottom w:val="single" w:sz="8" w:color="0000FF"/>
            </w:tcBorders>
            <w:gridSpan w:val="19"/>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Undertaking, dated November 20, 1998, by Starfire Holding Corporation, for the benefit of Icahn Enterprises and its subsidiaries</w:t>
              </w:r>
            </w:hyperlink>
          </w:p>
        </w:tc>
        <w:tc>
          <w:tcPr>
            <w:tcW w:w="580" w:type="dxa"/>
            <w:vAlign w:val="bottom"/>
            <w:gridSpan w:val="17"/>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w w:val="93"/>
              </w:rPr>
            </w:pPr>
            <w:hyperlink r:id="rId105">
              <w:r>
                <w:rPr>
                  <w:rFonts w:ascii="Arial" w:cs="Arial" w:eastAsia="Arial" w:hAnsi="Arial"/>
                  <w:sz w:val="18"/>
                  <w:szCs w:val="18"/>
                  <w:color w:val="0000FF"/>
                  <w:w w:val="93"/>
                </w:rPr>
                <w:t>(incorporated by reference to Exhibit 10.42 to Icahn Enterprises' Form 10-K for the year ended December 31, 2005 (SEC File No. 1-</w:t>
              </w:r>
            </w:hyperlink>
          </w:p>
        </w:tc>
      </w:tr>
      <w:tr>
        <w:trPr>
          <w:trHeight w:val="196"/>
        </w:trPr>
        <w:tc>
          <w:tcPr>
            <w:tcW w:w="980" w:type="dxa"/>
            <w:vAlign w:val="bottom"/>
          </w:tcPr>
          <w:p>
            <w:pPr>
              <w:spacing w:after="0"/>
              <w:rPr>
                <w:sz w:val="17"/>
                <w:szCs w:val="17"/>
                <w:color w:val="auto"/>
              </w:rPr>
            </w:pPr>
          </w:p>
        </w:tc>
        <w:tc>
          <w:tcPr>
            <w:tcW w:w="95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9516)</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on March 16, 2006).</w:t>
              </w:r>
            </w:hyperlink>
          </w:p>
        </w:tc>
        <w:tc>
          <w:tcPr>
            <w:tcW w:w="32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10.3</w:t>
            </w:r>
          </w:p>
        </w:tc>
        <w:tc>
          <w:tcPr>
            <w:tcW w:w="9740" w:type="dxa"/>
            <w:vAlign w:val="bottom"/>
            <w:tcBorders>
              <w:bottom w:val="single" w:sz="8" w:color="0000FF"/>
            </w:tcBorders>
            <w:gridSpan w:val="31"/>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Covered Affiliate and Shared Expenses Agreement by and among Icahn Enterprises, Icahn Partners LP, Icahn Fund Ltd., Icahn Fund II</w:t>
              </w:r>
            </w:hyperlink>
          </w:p>
        </w:tc>
        <w:tc>
          <w:tcPr>
            <w:tcW w:w="140" w:type="dxa"/>
            <w:vAlign w:val="bottom"/>
            <w:gridSpan w:val="5"/>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Ltd., Icahn Fund III Ltd., Icahn Partners Master Fund L.P., Icahn Partners Master Fund II L.P., Icahn Partners Master Fund III L.P.,</w:t>
              </w:r>
            </w:hyperlink>
          </w:p>
        </w:tc>
        <w:tc>
          <w:tcPr>
            <w:tcW w:w="440" w:type="dxa"/>
            <w:vAlign w:val="bottom"/>
            <w:gridSpan w:val="1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Icahn Cayman Partners, L.P. and Icahn Partners Master Fund II Feeder LP (incorporated by reference to Exhibit 10.4 to Icahn</w:t>
              </w:r>
            </w:hyperlink>
          </w:p>
        </w:tc>
        <w:tc>
          <w:tcPr>
            <w:tcW w:w="820" w:type="dxa"/>
            <w:vAlign w:val="bottom"/>
            <w:gridSpan w:val="2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8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Enterprises' Form 10-Q for the quarter ended June 30, 2007 (SEC File No. 1-9516), filed on August 9, 2007).</w:t>
              </w:r>
            </w:hyperlink>
          </w:p>
        </w:tc>
        <w:tc>
          <w:tcPr>
            <w:tcW w:w="2000" w:type="dxa"/>
            <w:vAlign w:val="bottom"/>
            <w:gridSpan w:val="22"/>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10.4</w:t>
            </w:r>
          </w:p>
        </w:tc>
        <w:tc>
          <w:tcPr>
            <w:tcW w:w="9680" w:type="dxa"/>
            <w:vAlign w:val="bottom"/>
            <w:tcBorders>
              <w:bottom w:val="single" w:sz="8" w:color="0000FF"/>
            </w:tcBorders>
            <w:gridSpan w:val="28"/>
          </w:tcPr>
          <w:p>
            <w:pPr>
              <w:spacing w:after="0"/>
              <w:rPr>
                <w:rFonts w:ascii="Arial" w:cs="Arial" w:eastAsia="Arial" w:hAnsi="Arial"/>
                <w:sz w:val="18"/>
                <w:szCs w:val="18"/>
                <w:color w:val="0000FF"/>
                <w:w w:val="89"/>
              </w:rPr>
            </w:pPr>
            <w:hyperlink r:id="rId107">
              <w:r>
                <w:rPr>
                  <w:rFonts w:ascii="Arial" w:cs="Arial" w:eastAsia="Arial" w:hAnsi="Arial"/>
                  <w:sz w:val="18"/>
                  <w:szCs w:val="18"/>
                  <w:color w:val="0000FF"/>
                  <w:w w:val="89"/>
                </w:rPr>
                <w:t>Agreement dated as of March 31, 2011 among Icahn Enterprises L.P., Icahn Enterprises Holdings L.P. and Icahn Enterprises G.P. Inc.,</w:t>
              </w:r>
            </w:hyperlink>
          </w:p>
        </w:tc>
        <w:tc>
          <w:tcPr>
            <w:tcW w:w="200" w:type="dxa"/>
            <w:vAlign w:val="bottom"/>
            <w:gridSpan w:val="8"/>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Icahn Onshore LP, Icahn Offshore LP and Icahn Capital LP, Icahn Partners LP, Icahn Partners Master Fund LP, Icahn Partners Master</w:t>
              </w:r>
            </w:hyperlink>
          </w:p>
        </w:tc>
        <w:tc>
          <w:tcPr>
            <w:tcW w:w="26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Fund II LP, Icahn Partners Master Fund III LP, Carl C. Icahn, Brett Icahn, Samuel Merksamer, David Schechter, Vincent Intrieri and</w:t>
              </w:r>
            </w:hyperlink>
          </w:p>
        </w:tc>
      </w:tr>
      <w:tr>
        <w:trPr>
          <w:trHeight w:val="20"/>
        </w:trPr>
        <w:tc>
          <w:tcPr>
            <w:tcW w:w="980" w:type="dxa"/>
            <w:vAlign w:val="bottom"/>
          </w:tcPr>
          <w:p>
            <w:pPr>
              <w:spacing w:after="0" w:line="20" w:lineRule="exact"/>
              <w:rPr>
                <w:sz w:val="1"/>
                <w:szCs w:val="1"/>
                <w:color w:val="auto"/>
              </w:rPr>
            </w:pPr>
          </w:p>
        </w:tc>
        <w:tc>
          <w:tcPr>
            <w:tcW w:w="390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David Yim (incorporated by reference to Exhibit 10.2 to Icahn Enterprises' Form 10-Q (SEC File No. 1-9516), filed on August 9, 2011).</w:t>
              </w:r>
            </w:hyperlink>
          </w:p>
        </w:tc>
        <w:tc>
          <w:tcPr>
            <w:tcW w:w="60" w:type="dxa"/>
            <w:vAlign w:val="bottom"/>
            <w:gridSpan w:val="2"/>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10.5</w:t>
            </w:r>
          </w:p>
        </w:tc>
        <w:tc>
          <w:tcPr>
            <w:tcW w:w="9620" w:type="dxa"/>
            <w:vAlign w:val="bottom"/>
            <w:tcBorders>
              <w:bottom w:val="single" w:sz="8" w:color="0000FF"/>
            </w:tcBorders>
            <w:gridSpan w:val="26"/>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Contribution Agreement, dated February 29, 2016, among Icahn Enterprises L.P. and IRL Holding LLC (incorporated by reference to</w:t>
              </w:r>
            </w:hyperlink>
          </w:p>
        </w:tc>
        <w:tc>
          <w:tcPr>
            <w:tcW w:w="260" w:type="dxa"/>
            <w:vAlign w:val="bottom"/>
            <w:gridSpan w:val="10"/>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4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Exhibit 1 to Icahn Enterprises' Form 8-K (SEC File No. 1-9516), filed on March 1, 2016).</w:t>
              </w:r>
            </w:hyperlink>
          </w:p>
        </w:tc>
        <w:tc>
          <w:tcPr>
            <w:tcW w:w="3400" w:type="dxa"/>
            <w:vAlign w:val="bottom"/>
            <w:gridSpan w:val="23"/>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10.6</w:t>
            </w:r>
          </w:p>
        </w:tc>
        <w:tc>
          <w:tcPr>
            <w:tcW w:w="9720" w:type="dxa"/>
            <w:vAlign w:val="bottom"/>
            <w:tcBorders>
              <w:bottom w:val="single" w:sz="8" w:color="0000FF"/>
            </w:tcBorders>
            <w:gridSpan w:val="30"/>
          </w:tcPr>
          <w:p>
            <w:pPr>
              <w:spacing w:after="0"/>
              <w:rPr>
                <w:rFonts w:ascii="Arial" w:cs="Arial" w:eastAsia="Arial" w:hAnsi="Arial"/>
                <w:sz w:val="18"/>
                <w:szCs w:val="18"/>
                <w:color w:val="0000FF"/>
                <w:w w:val="90"/>
              </w:rPr>
            </w:pPr>
            <w:hyperlink r:id="rId109">
              <w:r>
                <w:rPr>
                  <w:rFonts w:ascii="Arial" w:cs="Arial" w:eastAsia="Arial" w:hAnsi="Arial"/>
                  <w:sz w:val="18"/>
                  <w:szCs w:val="18"/>
                  <w:color w:val="0000FF"/>
                  <w:w w:val="90"/>
                </w:rPr>
                <w:t>Senior Term Loan Credit Agreement, dated April 1, 2016, by and among CVR Partners, LP, as Borrower, and American Entertainment</w:t>
              </w:r>
            </w:hyperlink>
          </w:p>
        </w:tc>
        <w:tc>
          <w:tcPr>
            <w:tcW w:w="160" w:type="dxa"/>
            <w:vAlign w:val="bottom"/>
            <w:gridSpan w:val="6"/>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972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Properties Corp., as Lender (incorporated by reference to Exhibit 10.1 to Icahn Enterprises' and Icahn Enterprises Holdings' joint Form</w:t>
              </w:r>
            </w:hyperlink>
          </w:p>
        </w:tc>
        <w:tc>
          <w:tcPr>
            <w:tcW w:w="16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8-K (SEC File Nos. 1-9516 and 333-118021-01, respectively), filed on April 7, 2016).</w:t>
              </w:r>
            </w:hyperlink>
          </w:p>
        </w:tc>
      </w:tr>
      <w:tr>
        <w:trPr>
          <w:trHeight w:val="20"/>
        </w:trPr>
        <w:tc>
          <w:tcPr>
            <w:tcW w:w="980" w:type="dxa"/>
            <w:vAlign w:val="bottom"/>
          </w:tcPr>
          <w:p>
            <w:pPr>
              <w:spacing w:after="0" w:line="20" w:lineRule="exact"/>
              <w:rPr>
                <w:sz w:val="1"/>
                <w:szCs w:val="1"/>
                <w:color w:val="auto"/>
              </w:rPr>
            </w:pPr>
          </w:p>
        </w:tc>
        <w:tc>
          <w:tcPr>
            <w:tcW w:w="390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10.7</w:t>
            </w:r>
          </w:p>
        </w:tc>
        <w:tc>
          <w:tcPr>
            <w:tcW w:w="9880" w:type="dxa"/>
            <w:vAlign w:val="bottom"/>
            <w:gridSpan w:val="36"/>
          </w:tcPr>
          <w:p>
            <w:pPr>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Senior Term Loan Credit Agreement, dated April 1, 2016, by and among CVR Partners, LP, as Borrower, and Coffeyville Resources,</w:t>
              </w:r>
            </w:hyperlink>
          </w:p>
        </w:tc>
      </w:tr>
      <w:tr>
        <w:trPr>
          <w:trHeight w:val="20"/>
        </w:trPr>
        <w:tc>
          <w:tcPr>
            <w:tcW w:w="980" w:type="dxa"/>
            <w:vAlign w:val="bottom"/>
          </w:tcPr>
          <w:p>
            <w:pPr>
              <w:spacing w:after="0" w:line="20" w:lineRule="exact"/>
              <w:rPr>
                <w:sz w:val="1"/>
                <w:szCs w:val="1"/>
                <w:color w:val="auto"/>
              </w:rPr>
            </w:pPr>
          </w:p>
        </w:tc>
        <w:tc>
          <w:tcPr>
            <w:tcW w:w="390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6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LLC, as Lender (incorporated by reference to Exhibit 10.2 to Icahn Enterprises' and Icahn Enterprises Holdings' joint Form 8-K (SEC</w:t>
              </w:r>
            </w:hyperlink>
          </w:p>
        </w:tc>
        <w:tc>
          <w:tcPr>
            <w:tcW w:w="24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File Nos. 1-9516 and 333-118021-01, respectively), filed on April 7, 2016).</w:t>
              </w:r>
            </w:hyperlink>
          </w:p>
        </w:tc>
      </w:tr>
      <w:tr>
        <w:trPr>
          <w:trHeight w:val="20"/>
        </w:trPr>
        <w:tc>
          <w:tcPr>
            <w:tcW w:w="980" w:type="dxa"/>
            <w:vAlign w:val="bottom"/>
          </w:tcPr>
          <w:p>
            <w:pPr>
              <w:spacing w:after="0" w:line="20" w:lineRule="exact"/>
              <w:rPr>
                <w:sz w:val="1"/>
                <w:szCs w:val="1"/>
                <w:color w:val="auto"/>
              </w:rPr>
            </w:pPr>
          </w:p>
        </w:tc>
        <w:tc>
          <w:tcPr>
            <w:tcW w:w="390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10.8</w:t>
            </w:r>
          </w:p>
        </w:tc>
        <w:tc>
          <w:tcPr>
            <w:tcW w:w="9880" w:type="dxa"/>
            <w:vAlign w:val="bottom"/>
            <w:gridSpan w:val="36"/>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Registration Rights Agreement, dated January 18, 2017, among Icahn Enterprises, Icahn Enterprises Finance, Icahn Enterprises</w:t>
              </w:r>
            </w:hyperlink>
          </w:p>
        </w:tc>
      </w:tr>
      <w:tr>
        <w:trPr>
          <w:trHeight w:val="20"/>
        </w:trPr>
        <w:tc>
          <w:tcPr>
            <w:tcW w:w="980" w:type="dxa"/>
            <w:vAlign w:val="bottom"/>
          </w:tcPr>
          <w:p>
            <w:pPr>
              <w:spacing w:after="0" w:line="20" w:lineRule="exact"/>
              <w:rPr>
                <w:sz w:val="1"/>
                <w:szCs w:val="1"/>
                <w:color w:val="auto"/>
              </w:rPr>
            </w:pPr>
          </w:p>
        </w:tc>
        <w:tc>
          <w:tcPr>
            <w:tcW w:w="390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92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Holdings, as Guarantor, and Jefferies LLC, as the Initial Purchaser (incorporated by reference to Exhibit 10.1 to Icahn Enterprises' and</w:t>
              </w:r>
            </w:hyperlink>
          </w:p>
        </w:tc>
      </w:tr>
      <w:tr>
        <w:trPr>
          <w:trHeight w:val="196"/>
        </w:trPr>
        <w:tc>
          <w:tcPr>
            <w:tcW w:w="980" w:type="dxa"/>
            <w:vAlign w:val="bottom"/>
          </w:tcPr>
          <w:p>
            <w:pPr>
              <w:spacing w:after="0"/>
              <w:rPr>
                <w:sz w:val="17"/>
                <w:szCs w:val="17"/>
                <w:color w:val="auto"/>
              </w:rPr>
            </w:pPr>
          </w:p>
        </w:tc>
        <w:tc>
          <w:tcPr>
            <w:tcW w:w="9680" w:type="dxa"/>
            <w:vAlign w:val="bottom"/>
            <w:tcBorders>
              <w:top w:val="single" w:sz="8" w:color="0000FF"/>
            </w:tcBorders>
            <w:gridSpan w:val="28"/>
          </w:tcPr>
          <w:p>
            <w:pPr>
              <w:spacing w:after="0" w:line="196" w:lineRule="exact"/>
              <w:rPr>
                <w:rFonts w:ascii="Arial" w:cs="Arial" w:eastAsia="Arial" w:hAnsi="Arial"/>
                <w:sz w:val="18"/>
                <w:szCs w:val="18"/>
                <w:color w:val="0000FF"/>
                <w:w w:val="94"/>
              </w:rPr>
            </w:pPr>
            <w:hyperlink r:id="rId111">
              <w:r>
                <w:rPr>
                  <w:rFonts w:ascii="Arial" w:cs="Arial" w:eastAsia="Arial" w:hAnsi="Arial"/>
                  <w:sz w:val="18"/>
                  <w:szCs w:val="18"/>
                  <w:color w:val="0000FF"/>
                  <w:w w:val="94"/>
                </w:rPr>
                <w:t>Icahn Enterprises Holdings' joint Form 8-K (SEC File Nos. 1-9516 and 333-118021-01, respectively), filed on January 18, 2017).</w:t>
              </w:r>
            </w:hyperlink>
          </w:p>
        </w:tc>
        <w:tc>
          <w:tcPr>
            <w:tcW w:w="200" w:type="dxa"/>
            <w:vAlign w:val="bottom"/>
            <w:gridSpan w:val="8"/>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10.9</w:t>
            </w:r>
          </w:p>
        </w:tc>
        <w:tc>
          <w:tcPr>
            <w:tcW w:w="928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89"/>
              </w:rPr>
            </w:pPr>
            <w:hyperlink r:id="rId112">
              <w:r>
                <w:rPr>
                  <w:rFonts w:ascii="Arial" w:cs="Arial" w:eastAsia="Arial" w:hAnsi="Arial"/>
                  <w:sz w:val="18"/>
                  <w:szCs w:val="18"/>
                  <w:color w:val="0000FF"/>
                  <w:w w:val="89"/>
                </w:rPr>
                <w:t>Registration Rights Agreement, dated December 6, 2017, among Icahn Enterprises, Icahn Enterprises Finance, Icahn Enterprises</w:t>
              </w:r>
            </w:hyperlink>
          </w:p>
        </w:tc>
        <w:tc>
          <w:tcPr>
            <w:tcW w:w="40" w:type="dxa"/>
            <w:vAlign w:val="bottom"/>
            <w:tcBorders>
              <w:top w:val="single" w:sz="8" w:color="0000FF"/>
            </w:tcBorders>
            <w:gridSpan w:val="2"/>
          </w:tcPr>
          <w:p>
            <w:pPr>
              <w:spacing w:after="0"/>
              <w:rPr>
                <w:sz w:val="21"/>
                <w:szCs w:val="21"/>
                <w:color w:val="auto"/>
              </w:rPr>
            </w:pPr>
          </w:p>
        </w:tc>
        <w:tc>
          <w:tcPr>
            <w:tcW w:w="560" w:type="dxa"/>
            <w:vAlign w:val="bottom"/>
            <w:gridSpan w:val="16"/>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9880" w:type="dxa"/>
            <w:vAlign w:val="bottom"/>
            <w:gridSpan w:val="36"/>
          </w:tcPr>
          <w:p>
            <w:pPr>
              <w:spacing w:after="0" w:line="19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Holdings, as Guarantor, and Jefferies LLC, as the Initial Purchaser (incorporated by reference to Exhibit 10.1 to Icahn Enterprises' and</w:t>
              </w:r>
            </w:hyperlink>
          </w:p>
        </w:tc>
      </w:tr>
      <w:tr>
        <w:trPr>
          <w:trHeight w:val="196"/>
        </w:trPr>
        <w:tc>
          <w:tcPr>
            <w:tcW w:w="980" w:type="dxa"/>
            <w:vAlign w:val="bottom"/>
          </w:tcPr>
          <w:p>
            <w:pPr>
              <w:spacing w:after="0"/>
              <w:rPr>
                <w:sz w:val="17"/>
                <w:szCs w:val="17"/>
                <w:color w:val="auto"/>
              </w:rPr>
            </w:pPr>
          </w:p>
        </w:tc>
        <w:tc>
          <w:tcPr>
            <w:tcW w:w="94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Icahn Enterprises Holdings' joint Form 8-K (SEC File Nos. 1-9516 and 333-118021-01, respectively), filed on December 6, 2017).</w:t>
              </w:r>
            </w:hyperlink>
          </w:p>
        </w:tc>
        <w:tc>
          <w:tcPr>
            <w:tcW w:w="260" w:type="dxa"/>
            <w:vAlign w:val="bottom"/>
            <w:tcBorders>
              <w:top w:val="single" w:sz="8" w:color="0000FF"/>
            </w:tcBorders>
            <w:gridSpan w:val="7"/>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12.1</w:t>
            </w:r>
          </w:p>
        </w:tc>
        <w:tc>
          <w:tcPr>
            <w:tcW w:w="39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60">
              <w:r>
                <w:rPr>
                  <w:rFonts w:ascii="Arial" w:cs="Arial" w:eastAsia="Arial" w:hAnsi="Arial"/>
                  <w:sz w:val="18"/>
                  <w:szCs w:val="18"/>
                  <w:color w:val="0000FF"/>
                  <w:w w:val="90"/>
                </w:rPr>
                <w:t>Ratio of earnings to fixed charges (Icahn Enterprises).</w:t>
              </w:r>
            </w:hyperlink>
          </w:p>
        </w:tc>
        <w:tc>
          <w:tcPr>
            <w:tcW w:w="5980" w:type="dxa"/>
            <w:vAlign w:val="bottom"/>
            <w:gridSpan w:val="30"/>
          </w:tcPr>
          <w:p>
            <w:pPr>
              <w:spacing w:after="0"/>
              <w:rPr>
                <w:sz w:val="21"/>
                <w:szCs w:val="21"/>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12.2</w:t>
            </w:r>
          </w:p>
        </w:tc>
        <w:tc>
          <w:tcPr>
            <w:tcW w:w="9880" w:type="dxa"/>
            <w:vAlign w:val="bottom"/>
            <w:gridSpan w:val="36"/>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Ratio of earnings to fixed charges (Icahn Enterprises Holdings).</w:t>
              </w:r>
            </w:hyperlink>
          </w:p>
        </w:tc>
      </w:tr>
      <w:tr>
        <w:trPr>
          <w:trHeight w:val="20"/>
        </w:trPr>
        <w:tc>
          <w:tcPr>
            <w:tcW w:w="980" w:type="dxa"/>
            <w:vAlign w:val="bottom"/>
          </w:tcPr>
          <w:p>
            <w:pPr>
              <w:spacing w:after="0" w:line="20" w:lineRule="exact"/>
              <w:rPr>
                <w:sz w:val="1"/>
                <w:szCs w:val="1"/>
                <w:color w:val="auto"/>
              </w:rPr>
            </w:pPr>
          </w:p>
        </w:tc>
        <w:tc>
          <w:tcPr>
            <w:tcW w:w="4600" w:type="dxa"/>
            <w:vAlign w:val="bottom"/>
            <w:gridSpan w:val="8"/>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40" w:type="dxa"/>
            <w:vAlign w:val="bottom"/>
            <w:gridSpan w:val="20"/>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50"/>
        </w:trPr>
        <w:tc>
          <w:tcPr>
            <w:tcW w:w="980" w:type="dxa"/>
            <w:vAlign w:val="bottom"/>
          </w:tcPr>
          <w:p>
            <w:pPr>
              <w:jc w:val="center"/>
              <w:ind w:right="570"/>
              <w:spacing w:after="0"/>
              <w:rPr>
                <w:sz w:val="20"/>
                <w:szCs w:val="20"/>
                <w:color w:val="auto"/>
              </w:rPr>
            </w:pPr>
            <w:r>
              <w:rPr>
                <w:rFonts w:ascii="Arial" w:cs="Arial" w:eastAsia="Arial" w:hAnsi="Arial"/>
                <w:sz w:val="18"/>
                <w:szCs w:val="18"/>
                <w:color w:val="auto"/>
                <w:w w:val="91"/>
              </w:rPr>
              <w:t>14.1</w:t>
            </w:r>
          </w:p>
        </w:tc>
        <w:tc>
          <w:tcPr>
            <w:tcW w:w="9880" w:type="dxa"/>
            <w:vAlign w:val="bottom"/>
            <w:gridSpan w:val="36"/>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Code of Business Conduct and Ethics (incorporated by reference to Exhibit 14.1 to Icahn Enterprises' Form 10-Q for the quarter ended</w:t>
              </w:r>
            </w:hyperlink>
          </w:p>
        </w:tc>
      </w:tr>
      <w:tr>
        <w:trPr>
          <w:trHeight w:val="196"/>
        </w:trPr>
        <w:tc>
          <w:tcPr>
            <w:tcW w:w="980" w:type="dxa"/>
            <w:vAlign w:val="bottom"/>
          </w:tcPr>
          <w:p>
            <w:pPr>
              <w:spacing w:after="0"/>
              <w:rPr>
                <w:sz w:val="17"/>
                <w:szCs w:val="17"/>
                <w:color w:val="auto"/>
              </w:rPr>
            </w:pPr>
          </w:p>
        </w:tc>
        <w:tc>
          <w:tcPr>
            <w:tcW w:w="97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September 30, 2012 (SEC File No. 1-9516), filed on November 7, 2012).</w:t>
              </w:r>
            </w:hyperlink>
          </w:p>
        </w:tc>
        <w:tc>
          <w:tcPr>
            <w:tcW w:w="180" w:type="dxa"/>
            <w:vAlign w:val="bottom"/>
            <w:gridSpan w:val="7"/>
          </w:tcPr>
          <w:p>
            <w:pPr>
              <w:spacing w:after="0"/>
              <w:rPr>
                <w:sz w:val="17"/>
                <w:szCs w:val="17"/>
                <w:color w:val="auto"/>
              </w:rPr>
            </w:pPr>
          </w:p>
        </w:tc>
      </w:tr>
      <w:tr>
        <w:trPr>
          <w:trHeight w:val="507"/>
        </w:trPr>
        <w:tc>
          <w:tcPr>
            <w:tcW w:w="980" w:type="dxa"/>
            <w:vAlign w:val="bottom"/>
          </w:tcPr>
          <w:p>
            <w:pPr>
              <w:spacing w:after="0"/>
              <w:rPr>
                <w:sz w:val="24"/>
                <w:szCs w:val="24"/>
                <w:color w:val="auto"/>
              </w:rPr>
            </w:pPr>
          </w:p>
        </w:tc>
        <w:tc>
          <w:tcPr>
            <w:tcW w:w="4460" w:type="dxa"/>
            <w:vAlign w:val="bottom"/>
            <w:tcBorders>
              <w:top w:val="single" w:sz="8" w:color="0000FF"/>
            </w:tcBorders>
            <w:gridSpan w:val="7"/>
          </w:tcPr>
          <w:p>
            <w:pPr>
              <w:ind w:left="4060"/>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780" w:top="513" w:right="25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1"/>
              </w:rPr>
              <w:t>18.1</w:t>
            </w:r>
          </w:p>
        </w:tc>
        <w:tc>
          <w:tcPr>
            <w:tcW w:w="9460" w:type="dxa"/>
            <w:vAlign w:val="bottom"/>
            <w:tcBorders>
              <w:bottom w:val="single" w:sz="8" w:color="0000FF"/>
            </w:tcBorders>
            <w:gridSpan w:val="8"/>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Preferability letter received from Grant Thornton LLP, dated November 7, 2007 (incorporated by reference to Exhibit 18.1 to Icahn</w:t>
              </w:r>
            </w:hyperlink>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5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Enterprises' Form 10-Q for the quarter ended September 30, 2007 (SEC File No. 1-9516), filed on November 9, 2007).</w:t>
              </w:r>
            </w:hyperlink>
          </w:p>
        </w:tc>
        <w:tc>
          <w:tcPr>
            <w:tcW w:w="940" w:type="dxa"/>
            <w:vAlign w:val="bottom"/>
            <w:gridSpan w:val="4"/>
          </w:tcPr>
          <w:p>
            <w:pPr>
              <w:spacing w:after="0"/>
              <w:rPr>
                <w:sz w:val="17"/>
                <w:szCs w:val="17"/>
                <w:color w:val="auto"/>
              </w:rPr>
            </w:pPr>
          </w:p>
        </w:tc>
      </w:tr>
      <w:tr>
        <w:trPr>
          <w:trHeight w:val="25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1"/>
              </w:rPr>
              <w:t>21.1</w:t>
            </w:r>
          </w:p>
        </w:tc>
        <w:tc>
          <w:tcPr>
            <w:tcW w:w="9500" w:type="dxa"/>
            <w:vAlign w:val="bottom"/>
            <w:gridSpan w:val="9"/>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Subsidiaries of the Registrants.</w:t>
              </w:r>
            </w:hyperlink>
          </w:p>
        </w:tc>
      </w:tr>
      <w:tr>
        <w:trPr>
          <w:trHeight w:val="20"/>
        </w:trPr>
        <w:tc>
          <w:tcPr>
            <w:tcW w:w="116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1"/>
              </w:rPr>
              <w:t>23.1</w:t>
            </w:r>
          </w:p>
        </w:tc>
        <w:tc>
          <w:tcPr>
            <w:tcW w:w="9500" w:type="dxa"/>
            <w:vAlign w:val="bottom"/>
            <w:gridSpan w:val="9"/>
          </w:tcPr>
          <w:p>
            <w:pPr>
              <w:spacing w:after="0"/>
              <w:rPr>
                <w:rFonts w:ascii="Arial" w:cs="Arial" w:eastAsia="Arial" w:hAnsi="Arial"/>
                <w:sz w:val="18"/>
                <w:szCs w:val="18"/>
                <w:color w:val="0000FF"/>
              </w:rPr>
            </w:pPr>
            <w:hyperlink w:anchor="page174">
              <w:r>
                <w:rPr>
                  <w:rFonts w:ascii="Arial" w:cs="Arial" w:eastAsia="Arial" w:hAnsi="Arial"/>
                  <w:sz w:val="18"/>
                  <w:szCs w:val="18"/>
                  <w:color w:val="0000FF"/>
                </w:rPr>
                <w:t>Consent of Grant Thornton LLP.</w:t>
              </w:r>
            </w:hyperlink>
          </w:p>
        </w:tc>
      </w:tr>
      <w:tr>
        <w:trPr>
          <w:trHeight w:val="20"/>
        </w:trPr>
        <w:tc>
          <w:tcPr>
            <w:tcW w:w="116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1"/>
              </w:rPr>
              <w:t>31.1</w:t>
            </w:r>
          </w:p>
        </w:tc>
        <w:tc>
          <w:tcPr>
            <w:tcW w:w="92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75">
              <w:r>
                <w:rPr>
                  <w:rFonts w:ascii="Arial" w:cs="Arial" w:eastAsia="Arial" w:hAnsi="Arial"/>
                  <w:sz w:val="18"/>
                  <w:szCs w:val="18"/>
                  <w:color w:val="0000FF"/>
                  <w:w w:val="91"/>
                </w:rPr>
                <w:t>Certification of Chief Executive Officer pursuant to Section 302(a) of the Sarbanes-Oxley Act of 2002 and Rule 13a-14(a) of the</w:t>
              </w:r>
            </w:hyperlink>
          </w:p>
        </w:tc>
        <w:tc>
          <w:tcPr>
            <w:tcW w:w="220" w:type="dxa"/>
            <w:vAlign w:val="bottom"/>
            <w:gridSpan w:val="2"/>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4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175">
              <w:r>
                <w:rPr>
                  <w:rFonts w:ascii="Arial" w:cs="Arial" w:eastAsia="Arial" w:hAnsi="Arial"/>
                  <w:sz w:val="18"/>
                  <w:szCs w:val="18"/>
                  <w:color w:val="0000FF"/>
                  <w:w w:val="90"/>
                </w:rPr>
                <w:t>Securities Exchange Act of 1934.</w:t>
              </w:r>
            </w:hyperlink>
          </w:p>
        </w:tc>
        <w:tc>
          <w:tcPr>
            <w:tcW w:w="7080" w:type="dxa"/>
            <w:vAlign w:val="bottom"/>
            <w:gridSpan w:val="6"/>
          </w:tcPr>
          <w:p>
            <w:pPr>
              <w:spacing w:after="0"/>
              <w:rPr>
                <w:sz w:val="17"/>
                <w:szCs w:val="17"/>
                <w:color w:val="auto"/>
              </w:rPr>
            </w:pPr>
          </w:p>
        </w:tc>
      </w:tr>
      <w:tr>
        <w:trPr>
          <w:trHeight w:val="25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1"/>
              </w:rPr>
              <w:t>31.2</w:t>
            </w:r>
          </w:p>
        </w:tc>
        <w:tc>
          <w:tcPr>
            <w:tcW w:w="9500" w:type="dxa"/>
            <w:vAlign w:val="bottom"/>
            <w:gridSpan w:val="9"/>
          </w:tcPr>
          <w:p>
            <w:pPr>
              <w:spacing w:after="0"/>
              <w:rPr>
                <w:rFonts w:ascii="Arial" w:cs="Arial" w:eastAsia="Arial" w:hAnsi="Arial"/>
                <w:sz w:val="18"/>
                <w:szCs w:val="18"/>
                <w:color w:val="0000FF"/>
                <w:w w:val="94"/>
              </w:rPr>
            </w:pPr>
            <w:hyperlink w:anchor="page176">
              <w:r>
                <w:rPr>
                  <w:rFonts w:ascii="Arial" w:cs="Arial" w:eastAsia="Arial" w:hAnsi="Arial"/>
                  <w:sz w:val="18"/>
                  <w:szCs w:val="18"/>
                  <w:color w:val="0000FF"/>
                  <w:w w:val="94"/>
                </w:rPr>
                <w:t>Certification of Chief Financial Officer pursuant to Section 302(a) of the Sarbanes-Oxley Act of 2002 and Rule 13a-14(a) of the</w:t>
              </w:r>
            </w:hyperlink>
          </w:p>
        </w:tc>
      </w:tr>
      <w:tr>
        <w:trPr>
          <w:trHeight w:val="196"/>
        </w:trPr>
        <w:tc>
          <w:tcPr>
            <w:tcW w:w="116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176">
              <w:r>
                <w:rPr>
                  <w:rFonts w:ascii="Arial" w:cs="Arial" w:eastAsia="Arial" w:hAnsi="Arial"/>
                  <w:sz w:val="18"/>
                  <w:szCs w:val="18"/>
                  <w:color w:val="0000FF"/>
                  <w:w w:val="90"/>
                </w:rPr>
                <w:t>Securities Exchange Act of 1934.</w:t>
              </w:r>
            </w:hyperlink>
          </w:p>
        </w:tc>
        <w:tc>
          <w:tcPr>
            <w:tcW w:w="6800" w:type="dxa"/>
            <w:vAlign w:val="bottom"/>
            <w:tcBorders>
              <w:top w:val="single" w:sz="8" w:color="0000FF"/>
            </w:tcBorders>
            <w:gridSpan w:val="3"/>
          </w:tcPr>
          <w:p>
            <w:pPr>
              <w:spacing w:after="0"/>
              <w:rPr>
                <w:sz w:val="17"/>
                <w:szCs w:val="17"/>
                <w:color w:val="auto"/>
              </w:rPr>
            </w:pPr>
          </w:p>
        </w:tc>
        <w:tc>
          <w:tcPr>
            <w:tcW w:w="280" w:type="dxa"/>
            <w:vAlign w:val="bottom"/>
            <w:gridSpan w:val="3"/>
          </w:tcPr>
          <w:p>
            <w:pPr>
              <w:spacing w:after="0"/>
              <w:rPr>
                <w:sz w:val="17"/>
                <w:szCs w:val="17"/>
                <w:color w:val="auto"/>
              </w:rPr>
            </w:pPr>
          </w:p>
        </w:tc>
      </w:tr>
      <w:tr>
        <w:trPr>
          <w:trHeight w:val="25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1"/>
              </w:rPr>
              <w:t>32.1</w:t>
            </w:r>
          </w:p>
        </w:tc>
        <w:tc>
          <w:tcPr>
            <w:tcW w:w="950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77">
              <w:r>
                <w:rPr>
                  <w:rFonts w:ascii="Arial" w:cs="Arial" w:eastAsia="Arial" w:hAnsi="Arial"/>
                  <w:sz w:val="18"/>
                  <w:szCs w:val="18"/>
                  <w:color w:val="0000FF"/>
                  <w:w w:val="92"/>
                </w:rPr>
                <w:t>Certification of Chief Executive Officer and Chief Financial Officer pursuant to Section 906 of the Sarbanes-Oxley Act of 2002 (18</w:t>
              </w:r>
            </w:hyperlink>
          </w:p>
        </w:tc>
      </w:tr>
      <w:tr>
        <w:trPr>
          <w:trHeight w:val="196"/>
        </w:trPr>
        <w:tc>
          <w:tcPr>
            <w:tcW w:w="1160" w:type="dxa"/>
            <w:vAlign w:val="bottom"/>
          </w:tcPr>
          <w:p>
            <w:pPr>
              <w:spacing w:after="0"/>
              <w:rPr>
                <w:sz w:val="17"/>
                <w:szCs w:val="17"/>
                <w:color w:val="auto"/>
              </w:rPr>
            </w:pPr>
          </w:p>
        </w:tc>
        <w:tc>
          <w:tcPr>
            <w:tcW w:w="53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77">
              <w:r>
                <w:rPr>
                  <w:rFonts w:ascii="Arial" w:cs="Arial" w:eastAsia="Arial" w:hAnsi="Arial"/>
                  <w:sz w:val="18"/>
                  <w:szCs w:val="18"/>
                  <w:color w:val="0000FF"/>
                  <w:w w:val="90"/>
                </w:rPr>
                <w:t>U.S.C. 1350) and Rule 13a-14(b) of the Securities Exchange Act of 1934.</w:t>
              </w:r>
            </w:hyperlink>
          </w:p>
        </w:tc>
        <w:tc>
          <w:tcPr>
            <w:tcW w:w="4180" w:type="dxa"/>
            <w:vAlign w:val="bottom"/>
            <w:gridSpan w:val="5"/>
          </w:tcPr>
          <w:p>
            <w:pPr>
              <w:spacing w:after="0"/>
              <w:rPr>
                <w:sz w:val="17"/>
                <w:szCs w:val="17"/>
                <w:color w:val="auto"/>
              </w:rPr>
            </w:pPr>
          </w:p>
        </w:tc>
      </w:tr>
      <w:tr>
        <w:trPr>
          <w:trHeight w:val="291"/>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2"/>
              </w:rPr>
              <w:t>101.INS</w:t>
            </w:r>
          </w:p>
        </w:tc>
        <w:tc>
          <w:tcPr>
            <w:tcW w:w="95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160" w:type="dxa"/>
            <w:vAlign w:val="bottom"/>
          </w:tcPr>
          <w:p>
            <w:pPr>
              <w:jc w:val="center"/>
              <w:ind w:right="410"/>
              <w:spacing w:after="0"/>
              <w:rPr>
                <w:sz w:val="20"/>
                <w:szCs w:val="20"/>
                <w:color w:val="auto"/>
              </w:rPr>
            </w:pPr>
            <w:r>
              <w:rPr>
                <w:rFonts w:ascii="Arial" w:cs="Arial" w:eastAsia="Arial" w:hAnsi="Arial"/>
                <w:sz w:val="18"/>
                <w:szCs w:val="18"/>
                <w:color w:val="auto"/>
                <w:w w:val="90"/>
              </w:rPr>
              <w:t>101.SCH</w:t>
            </w:r>
          </w:p>
        </w:tc>
        <w:tc>
          <w:tcPr>
            <w:tcW w:w="95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7"/>
              </w:rPr>
              <w:t>101.CAL</w:t>
            </w:r>
          </w:p>
        </w:tc>
        <w:tc>
          <w:tcPr>
            <w:tcW w:w="95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8"/>
              </w:rPr>
              <w:t>101.LAB</w:t>
            </w:r>
          </w:p>
        </w:tc>
        <w:tc>
          <w:tcPr>
            <w:tcW w:w="95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88"/>
              </w:rPr>
              <w:t>101.PRE</w:t>
            </w:r>
          </w:p>
        </w:tc>
        <w:tc>
          <w:tcPr>
            <w:tcW w:w="95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160" w:type="dxa"/>
            <w:vAlign w:val="bottom"/>
          </w:tcPr>
          <w:p>
            <w:pPr>
              <w:jc w:val="center"/>
              <w:ind w:right="410"/>
              <w:spacing w:after="0"/>
              <w:rPr>
                <w:sz w:val="20"/>
                <w:szCs w:val="20"/>
                <w:color w:val="auto"/>
              </w:rPr>
            </w:pPr>
            <w:r>
              <w:rPr>
                <w:rFonts w:ascii="Arial" w:cs="Arial" w:eastAsia="Arial" w:hAnsi="Arial"/>
                <w:sz w:val="18"/>
                <w:szCs w:val="18"/>
                <w:color w:val="auto"/>
                <w:w w:val="92"/>
              </w:rPr>
              <w:t>101.DEF</w:t>
            </w:r>
          </w:p>
        </w:tc>
        <w:tc>
          <w:tcPr>
            <w:tcW w:w="95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660"/>
          </w:cols>
          <w:pgMar w:left="600" w:top="514" w:right="639" w:bottom="1440" w:gutter="0" w:footer="0" w:header="0"/>
        </w:sectPr>
      </w:pPr>
    </w:p>
    <w:bookmarkStart w:id="159" w:name="page160"/>
    <w:bookmarkEnd w:id="159"/>
    <w:p>
      <w:pPr>
        <w:ind w:left="10280"/>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ratio)</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Income (loss) from continuing operations before income taxes,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Dollar shortfall</w:t>
            </w:r>
          </w:p>
        </w:tc>
        <w:tc>
          <w:tcPr>
            <w:tcW w:w="260" w:type="dxa"/>
            <w:vAlign w:val="bottom"/>
          </w:tcPr>
          <w:p>
            <w:pPr>
              <w:spacing w:after="0"/>
              <w:rPr>
                <w:sz w:val="21"/>
                <w:szCs w:val="21"/>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60" w:name="page161"/>
    <w:bookmarkEnd w:id="160"/>
    <w:p>
      <w:pPr>
        <w:ind w:left="10280"/>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ratio)</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Income (loss) from continuing operations before income taxes,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Dollar shortfall</w:t>
            </w:r>
          </w:p>
        </w:tc>
        <w:tc>
          <w:tcPr>
            <w:tcW w:w="260" w:type="dxa"/>
            <w:vAlign w:val="bottom"/>
          </w:tcPr>
          <w:p>
            <w:pPr>
              <w:spacing w:after="0"/>
              <w:rPr>
                <w:sz w:val="21"/>
                <w:szCs w:val="21"/>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1" w:right="2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ind w:left="1480"/>
              <w:spacing w:after="0"/>
              <w:rPr>
                <w:sz w:val="20"/>
                <w:szCs w:val="20"/>
                <w:color w:val="auto"/>
              </w:rPr>
            </w:pPr>
            <w:r>
              <w:rPr>
                <w:rFonts w:ascii="Arial" w:cs="Arial" w:eastAsia="Arial" w:hAnsi="Arial"/>
                <w:sz w:val="18"/>
                <w:szCs w:val="18"/>
                <w:b w:val="1"/>
                <w:bCs w:val="1"/>
                <w:color w:val="auto"/>
              </w:rPr>
              <w:t>EXHIBIT 21.1</w:t>
            </w:r>
          </w:p>
        </w:tc>
      </w:tr>
      <w:tr>
        <w:trPr>
          <w:trHeight w:val="234"/>
        </w:trPr>
        <w:tc>
          <w:tcPr>
            <w:tcW w:w="4140" w:type="dxa"/>
            <w:vAlign w:val="bottom"/>
          </w:tcPr>
          <w:p>
            <w:pPr>
              <w:spacing w:after="0"/>
              <w:rPr>
                <w:sz w:val="20"/>
                <w:szCs w:val="20"/>
                <w:color w:val="auto"/>
              </w:rPr>
            </w:pPr>
          </w:p>
        </w:tc>
        <w:tc>
          <w:tcPr>
            <w:tcW w:w="7280" w:type="dxa"/>
            <w:vAlign w:val="bottom"/>
            <w:gridSpan w:val="3"/>
          </w:tcPr>
          <w:p>
            <w:pPr>
              <w:ind w:left="400"/>
              <w:spacing w:after="0"/>
              <w:rPr>
                <w:sz w:val="20"/>
                <w:szCs w:val="20"/>
                <w:color w:val="auto"/>
              </w:rPr>
            </w:pPr>
            <w:r>
              <w:rPr>
                <w:rFonts w:ascii="Arial" w:cs="Arial" w:eastAsia="Arial" w:hAnsi="Arial"/>
                <w:sz w:val="18"/>
                <w:szCs w:val="18"/>
                <w:b w:val="1"/>
                <w:bCs w:val="1"/>
                <w:color w:val="auto"/>
              </w:rPr>
              <w:t>Subsidiaries of the Registrants</w:t>
            </w:r>
          </w:p>
        </w:tc>
      </w:tr>
      <w:tr>
        <w:trPr>
          <w:trHeight w:val="554"/>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Formation</w:t>
            </w:r>
          </w:p>
        </w:tc>
      </w:tr>
      <w:tr>
        <w:trPr>
          <w:trHeight w:val="27"/>
        </w:trPr>
        <w:tc>
          <w:tcPr>
            <w:tcW w:w="414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76"/>
        </w:trPr>
        <w:tc>
          <w:tcPr>
            <w:tcW w:w="4140" w:type="dxa"/>
            <w:vAlign w:val="bottom"/>
          </w:tcPr>
          <w:p>
            <w:pPr>
              <w:ind w:left="40"/>
              <w:spacing w:after="0" w:line="276" w:lineRule="exact"/>
              <w:rPr>
                <w:sz w:val="20"/>
                <w:szCs w:val="20"/>
                <w:color w:val="auto"/>
              </w:rPr>
            </w:pPr>
            <w:r>
              <w:rPr>
                <w:rFonts w:ascii="Arial" w:cs="Arial" w:eastAsia="Arial" w:hAnsi="Arial"/>
                <w:sz w:val="18"/>
                <w:szCs w:val="18"/>
                <w:color w:val="auto"/>
              </w:rPr>
              <w:t>Icahn Enterprises Holdings L.P.</w:t>
            </w:r>
            <w:r>
              <w:rPr>
                <w:rFonts w:ascii="Arial" w:cs="Arial" w:eastAsia="Arial" w:hAnsi="Arial"/>
                <w:sz w:val="25"/>
                <w:szCs w:val="25"/>
                <w:color w:val="auto"/>
                <w:vertAlign w:val="superscript"/>
              </w:rPr>
              <w:t>(1)</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140" w:type="dxa"/>
            <w:vAlign w:val="bottom"/>
          </w:tcPr>
          <w:p>
            <w:pPr>
              <w:ind w:left="40"/>
              <w:spacing w:after="0"/>
              <w:rPr>
                <w:sz w:val="20"/>
                <w:szCs w:val="20"/>
                <w:color w:val="auto"/>
              </w:rPr>
            </w:pPr>
            <w:r>
              <w:rPr>
                <w:rFonts w:ascii="Arial" w:cs="Arial" w:eastAsia="Arial" w:hAnsi="Arial"/>
                <w:sz w:val="18"/>
                <w:szCs w:val="18"/>
                <w:color w:val="auto"/>
              </w:rPr>
              <w:t>American Entertainment Properties Corp.</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ACE Nevada Corp.</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AEP Rail RemainCo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AEP Rail Corp.</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AEP Real Estate Holdings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AEP Serafima Manager Holding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AEPC RemainCo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(RAY)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Concord Holdings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Hudson Street Managing Member</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Hudson Street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Oil &amp; Gas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Windsor Locks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Debt HoldCo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Florida Holdings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KH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New York Holdings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Real Estate Holdings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Sands Holding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Aretex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Atlantic Coast Entertainment Holdings, Inc.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Bayswater Brokerage New York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Bayswater Development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Bayswater Falling Waters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Bayswater Flat Pond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Bayswater Hammond Ridge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Bayswater Pondview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Baywater Cottages at New Seabury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Bayswater Seaside II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Bio-Investor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Cloud Holding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GH Vero Beach Development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GH Vero Holdings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GHG Asset Management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Grand Harbor Golf &amp; Beach Club, Inc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Grand Harbor Golf Club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Grand Harbor North Land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Greenville Holding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Automotive Service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Automotive Group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767 Auto Leasing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Building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Enterprises Onshore/Offshore Investors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Nevada Gaming Acquisition LLC</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Nevada Management Corp.</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420"/>
          </w:cols>
          <w:pgMar w:left="240" w:top="580" w:right="2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Icahn Strategy 2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Icahn Strategy Holding Corp.</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ICM GP Holdings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ARI Holdings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Auto Parts Holding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BioPharma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Canton Ohio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Chalmette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Coraopolis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Gretna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GH Management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Investment I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Investment II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Loop Road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Merger Sub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Portland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Sarafima GP Holding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Sherman Drive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SP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Venture Investments I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Viskase Holdings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IEH Warwick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Dallas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Energy Holding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Energy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Ferrous Brazil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Ferrous Brazil Sub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Morris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AC Holdings LP</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AC Plaza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87"/>
              </w:rPr>
              <w:t>New Jersey</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TERH LP, Inc.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TMA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87"/>
              </w:rPr>
              <w:t>New Jersey</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TTM Associates</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87"/>
              </w:rPr>
              <w:t>New Jersey</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Trump Entertainment Resorts, Inc.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Parts Acquisition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Peachtree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Valley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IEP Viga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LV Fairfield Holdings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Meadow Star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New Seabury Development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New Seabury Golf Club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New Seabury Private Sewer Treatment Facility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New Seabury Properties L.L.C .</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New Seabury Real Estate Holdings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New Seabury Residential Properties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NS Beach Club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VB Community Management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Vero Beach Acquisition II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Vero Beach Acquisition LLC</w:t>
            </w:r>
          </w:p>
        </w:tc>
        <w:tc>
          <w:tcPr>
            <w:tcW w:w="376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480"/>
          </w:cols>
          <w:pgMar w:left="280" w:top="747" w:right="11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ICM GP LLC</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IPH GP LLC</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Icahn Capital Management LP</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Icahn Capital LP</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Icahn Onshore LP</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Icahn Offshore LP</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Icahn Partners LP</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Icahn Agency Services LLC</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IEH Investments I LLC</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Icahn Partners Master Fund LP</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LLC</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 Mogul Argentina SA.</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0"/>
              </w:rPr>
              <w:t>Argentina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Plasticos Puntanos, S.A.</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0"/>
              </w:rPr>
              <w:t>Argentina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Pty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4"/>
              </w:rPr>
              <w:t>Australia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Automotive Pty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4"/>
              </w:rPr>
              <w:t>Australia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FM Motorparts Pty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4"/>
              </w:rPr>
              <w:t>Australia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S.A.</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5"/>
              </w:rPr>
              <w:t>Belgium</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EMEA Distribution Services, BVBA</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5"/>
              </w:rPr>
              <w:t>Belgium</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Global Aftermarket EMEA BVBA</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5"/>
              </w:rPr>
              <w:t>Belgium</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Coventry Assurance,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0"/>
              </w:rPr>
              <w:t>Bermuda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 Mogul Componentes de Motores Ltda.</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Friction Products Sorocaba - Sistemas Automotivos Ltda.</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Industria de Autopecas Ltda.</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Sistemas Automotivos Ltda.</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Sistemas de Limpadores de Para-Brisas Ltda.</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Sorocaba-Holding Ltda</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FM Participacoes e Investimentos, LTDA</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Canada Limited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5"/>
              </w:rPr>
              <w:t>Canada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(Changshu) Automotive Parts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(China)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(Chongqing) Friction Materials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(Langfang) Automotive Components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(Shanghai) Automotive Parts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(Tianjin) Surface Treatment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ARN (Anqing) Powder Metallurgy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Dongsuh (Qingdao) Pistons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Friction Products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Dalian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Deva (Qingdao) Automotive Parts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Motorparts (Qingdao)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Motorparts Management (Shanghai)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Motorparts (Zhejiang) Limited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Qingdao Pistons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Sealing System (Nanchang)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Shanghai Bearings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Shanghai Compound Material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Zhengsheng (Changsha) Piston Ring Co., LTD</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Motorparts Colombia S.A.S</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92"/>
              </w:rPr>
              <w:t>Colombia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Federal-Mogul de Costa Rica, S.A.</w:t>
            </w:r>
          </w:p>
        </w:tc>
        <w:tc>
          <w:tcPr>
            <w:tcW w:w="2980" w:type="dxa"/>
            <w:vAlign w:val="bottom"/>
          </w:tcPr>
          <w:p>
            <w:pPr>
              <w:jc w:val="center"/>
              <w:ind w:left="2110"/>
              <w:spacing w:after="0"/>
              <w:rPr>
                <w:sz w:val="20"/>
                <w:szCs w:val="20"/>
                <w:color w:val="auto"/>
              </w:rPr>
            </w:pPr>
            <w:r>
              <w:rPr>
                <w:rFonts w:ascii="Arial" w:cs="Arial" w:eastAsia="Arial" w:hAnsi="Arial"/>
                <w:sz w:val="18"/>
                <w:szCs w:val="18"/>
                <w:color w:val="auto"/>
                <w:w w:val="88"/>
              </w:rPr>
              <w:t>Costa Rica</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Sapav Marketing Ltd.</w:t>
            </w:r>
          </w:p>
        </w:tc>
        <w:tc>
          <w:tcPr>
            <w:tcW w:w="2980" w:type="dxa"/>
            <w:vAlign w:val="bottom"/>
          </w:tcPr>
          <w:p>
            <w:pPr>
              <w:jc w:val="center"/>
              <w:ind w:left="2130"/>
              <w:spacing w:after="0"/>
              <w:rPr>
                <w:sz w:val="20"/>
                <w:szCs w:val="20"/>
                <w:color w:val="auto"/>
              </w:rPr>
            </w:pPr>
            <w:r>
              <w:rPr>
                <w:rFonts w:ascii="Arial" w:cs="Arial" w:eastAsia="Arial" w:hAnsi="Arial"/>
                <w:sz w:val="18"/>
                <w:szCs w:val="18"/>
                <w:color w:val="auto"/>
                <w:w w:val="91"/>
              </w:rPr>
              <w:t>Cyprus</w:t>
            </w:r>
          </w:p>
        </w:tc>
      </w:tr>
    </w:tbl>
    <w:p>
      <w:pPr>
        <w:sectPr>
          <w:pgSz w:w="11900" w:h="16838" w:orient="portrait"/>
          <w:cols w:equalWidth="0" w:num="1">
            <w:col w:w="10460"/>
          </w:cols>
          <w:pgMar w:left="280" w:top="747" w:right="115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Sibirica Energy Limited</w:t>
            </w:r>
          </w:p>
        </w:tc>
        <w:tc>
          <w:tcPr>
            <w:tcW w:w="3160" w:type="dxa"/>
            <w:vAlign w:val="bottom"/>
          </w:tcPr>
          <w:p>
            <w:pPr>
              <w:jc w:val="center"/>
              <w:ind w:left="2230"/>
              <w:spacing w:after="0"/>
              <w:rPr>
                <w:sz w:val="20"/>
                <w:szCs w:val="20"/>
                <w:color w:val="auto"/>
              </w:rPr>
            </w:pPr>
            <w:r>
              <w:rPr>
                <w:rFonts w:ascii="Arial" w:cs="Arial" w:eastAsia="Arial" w:hAnsi="Arial"/>
                <w:sz w:val="18"/>
                <w:szCs w:val="18"/>
                <w:color w:val="auto"/>
                <w:w w:val="91"/>
              </w:rPr>
              <w:t>Cyprus</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Friction Products 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7"/>
              </w:rPr>
              <w:t>Czech Rep.</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Valvetrain s.r.o</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7"/>
              </w:rPr>
              <w:t>Czech Rep.</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Aftermarket Egypt LTD</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91"/>
              </w:rPr>
              <w:t>Egypt</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Ateliers Juliette Adam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 Mogul Aftermarket France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Financial Services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Garennes SAS (fka Federal-Mogul Piston Rings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Ignition Products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 Mogul Operations France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Services Sarl</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Systems Protection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Valvetrain La Source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Valvetrain Schirmeck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Fonciere de Liberation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Saxid SAS</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France</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Aftermarket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Automotive GmbH &amp; Co. KG</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Automotive Verwaltungs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Betriebsgrundstücke Burscheid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Bremsbelag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Burscheid Beteiligungs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Burscheid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Deva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Friction Products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Friction Products International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Friedberg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Germany Investments Holding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Holding Deutschland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Ignition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Motorparts Holding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Nurenberg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Powertrain Russia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R&amp;L Freidberg Casting GmbH &amp; Co. KG</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Sealing Systems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TP Europe GmbH &amp; Co. KG</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TP Piston Rings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Valvetrain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Vermogensverwaltungs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Verwaltungs und Beteiligungs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Wiesbaden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Goetze Wohnungsbau GmbH .</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ISA Installations-,Steurerungs und Automatisierungs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VTD Vakuumtecknik Dresden GmbH</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9"/>
              </w:rPr>
              <w:t>Germany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de Guatemala, S.A.</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88"/>
              </w:rPr>
              <w:t>Guatemala</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(T&amp;N) Hong Kong Limited</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95"/>
              </w:rPr>
              <w:t>Hong Kong</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World Trade (Asia) Limited</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95"/>
              </w:rPr>
              <w:t>Hong Kong</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Federal-Mogul Hungary Kft</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91"/>
              </w:rPr>
              <w:t>Hungary</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Federal Mogul Wipers Hungary Kft</w:t>
            </w:r>
          </w:p>
        </w:tc>
        <w:tc>
          <w:tcPr>
            <w:tcW w:w="3160" w:type="dxa"/>
            <w:vAlign w:val="bottom"/>
          </w:tcPr>
          <w:p>
            <w:pPr>
              <w:jc w:val="center"/>
              <w:ind w:left="2210"/>
              <w:spacing w:after="0"/>
              <w:rPr>
                <w:sz w:val="20"/>
                <w:szCs w:val="20"/>
                <w:color w:val="auto"/>
              </w:rPr>
            </w:pPr>
            <w:r>
              <w:rPr>
                <w:rFonts w:ascii="Arial" w:cs="Arial" w:eastAsia="Arial" w:hAnsi="Arial"/>
                <w:sz w:val="18"/>
                <w:szCs w:val="18"/>
                <w:color w:val="auto"/>
                <w:w w:val="91"/>
              </w:rPr>
              <w:t>Hungary</w:t>
            </w:r>
          </w:p>
        </w:tc>
      </w:tr>
    </w:tbl>
    <w:p>
      <w:pPr>
        <w:sectPr>
          <w:pgSz w:w="11900" w:h="16838" w:orient="portrait"/>
          <w:cols w:equalWidth="0" w:num="1">
            <w:col w:w="10500"/>
          </w:cols>
          <w:pgMar w:left="280" w:top="746" w:right="111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Federal-Mogul Systems Protection Hungary Kft.</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1"/>
              </w:rPr>
              <w:t>Hungary</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Anand Bearings India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Anand Sealings India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Ignition Products India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Goetze (India)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Motorparts (India)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Powertrain Solutions India Private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TPR (India)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Motocare India Private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7"/>
              </w:rPr>
              <w:t>India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Italy S.r.l.</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rPr>
              <w:t>Italy</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Powertrain Italy S.r.l</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rPr>
              <w:t>Italy</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Saxid s.r.l.</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rPr>
              <w:t>Italy</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 Mogul Japan K.K.</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5"/>
              </w:rPr>
              <w:t>Japan</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Asia Investments Holding Korea, Ltd.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7"/>
              </w:rPr>
              <w:t>Korea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Sejong Co., Ltd (fka KFM Bearing Co., Ltd).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7"/>
              </w:rPr>
              <w:t>Korea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Sejong Tech Ltd (fka KFM Innovative Technology Company Limited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7"/>
              </w:rPr>
              <w:t>Korea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Luxembourg S. a. r. l.</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3"/>
              </w:rPr>
              <w:t>Luxembourg</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Holdings, Ltd.</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3"/>
              </w:rPr>
              <w:t>Mauritius Is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F-M Holding Mexico, S.A.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de Matamoros,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de Mexico,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Distribution de Mexico,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FIL-P43,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FIL-S43,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Lighting,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Juarez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SP Mexico,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Powertrain Mexico Distribution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Valve Train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Forjas y Maquinas,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McCord Payen de Mexico S. de R.L.</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Productos de Frenos Automotrices de Calidad S.A.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Raimsa,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Servicios Administrativos Industriales,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Servicio de Componentes Automotrices,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Subensambles Internacionales, S. de R.L. de C.V.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T&amp;N de Mexico S.de R.L</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Mexico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Systems Protection Morocco SARL AU</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5"/>
              </w:rPr>
              <w:t>Morocco</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Cooperatief Federal-Mogul Dutch Investments B.A.</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Investments B.V.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Motorparts (Netherlands) B.V.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Motorparts Holding B.V.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Motorparts Minority Holding B.V.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Powertrain (Netherlands) B.V.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Powertrain Eastern Europe B.V.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VCS Holding B.V.</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8"/>
              </w:rPr>
              <w:t>Netherlands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Motorparts Philippines, Inc.</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94"/>
              </w:rPr>
              <w:t>Philippines</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Bimet Spolka Akcyjna</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9"/>
              </w:rPr>
              <w:t>Poland</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Federal-Mogul Financial Services Poland Sp.z.o.o.</w:t>
            </w:r>
          </w:p>
        </w:tc>
        <w:tc>
          <w:tcPr>
            <w:tcW w:w="2660" w:type="dxa"/>
            <w:vAlign w:val="bottom"/>
          </w:tcPr>
          <w:p>
            <w:pPr>
              <w:jc w:val="center"/>
              <w:ind w:left="1630"/>
              <w:spacing w:after="0"/>
              <w:rPr>
                <w:sz w:val="20"/>
                <w:szCs w:val="20"/>
                <w:color w:val="auto"/>
              </w:rPr>
            </w:pPr>
            <w:r>
              <w:rPr>
                <w:rFonts w:ascii="Arial" w:cs="Arial" w:eastAsia="Arial" w:hAnsi="Arial"/>
                <w:sz w:val="18"/>
                <w:szCs w:val="18"/>
                <w:color w:val="auto"/>
                <w:w w:val="89"/>
              </w:rPr>
              <w:t>Poland</w:t>
            </w:r>
          </w:p>
        </w:tc>
      </w:tr>
    </w:tbl>
    <w:p>
      <w:pPr>
        <w:sectPr>
          <w:pgSz w:w="11900" w:h="16838" w:orient="portrait"/>
          <w:cols w:equalWidth="0" w:num="1">
            <w:col w:w="10540"/>
          </w:cols>
          <w:pgMar w:left="280" w:top="747" w:right="107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Federal-Mogul Gorzyce S.A.</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Poland</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Motorparts Poland sp.z.o.o.</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Poland</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Friction Products Ploiesti s.r.l.</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Romania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Friction Services s.r.l.</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Romania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Motorparts Ploiesti s.r.l.</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Romania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Dimitrovgrad LLC</w:t>
            </w:r>
          </w:p>
        </w:tc>
        <w:tc>
          <w:tcPr>
            <w:tcW w:w="3840" w:type="dxa"/>
            <w:vAlign w:val="bottom"/>
          </w:tcPr>
          <w:p>
            <w:pPr>
              <w:jc w:val="center"/>
              <w:ind w:left="2550"/>
              <w:spacing w:after="0"/>
              <w:rPr>
                <w:sz w:val="20"/>
                <w:szCs w:val="20"/>
                <w:color w:val="auto"/>
              </w:rPr>
            </w:pPr>
            <w:r>
              <w:rPr>
                <w:rFonts w:ascii="Arial" w:cs="Arial" w:eastAsia="Arial" w:hAnsi="Arial"/>
                <w:sz w:val="18"/>
                <w:szCs w:val="18"/>
                <w:color w:val="auto"/>
                <w:w w:val="87"/>
              </w:rPr>
              <w:t>Russia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Naberezhyne Chelny LLC</w:t>
            </w:r>
          </w:p>
        </w:tc>
        <w:tc>
          <w:tcPr>
            <w:tcW w:w="3840" w:type="dxa"/>
            <w:vAlign w:val="bottom"/>
          </w:tcPr>
          <w:p>
            <w:pPr>
              <w:jc w:val="center"/>
              <w:ind w:left="2550"/>
              <w:spacing w:after="0"/>
              <w:rPr>
                <w:sz w:val="20"/>
                <w:szCs w:val="20"/>
                <w:color w:val="auto"/>
              </w:rPr>
            </w:pPr>
            <w:r>
              <w:rPr>
                <w:rFonts w:ascii="Arial" w:cs="Arial" w:eastAsia="Arial" w:hAnsi="Arial"/>
                <w:sz w:val="18"/>
                <w:szCs w:val="18"/>
                <w:color w:val="auto"/>
                <w:w w:val="87"/>
              </w:rPr>
              <w:t>Russia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Naberezhyne Chelny Metallurgy LLC</w:t>
            </w:r>
          </w:p>
        </w:tc>
        <w:tc>
          <w:tcPr>
            <w:tcW w:w="3840" w:type="dxa"/>
            <w:vAlign w:val="bottom"/>
          </w:tcPr>
          <w:p>
            <w:pPr>
              <w:jc w:val="center"/>
              <w:ind w:left="2550"/>
              <w:spacing w:after="0"/>
              <w:rPr>
                <w:sz w:val="20"/>
                <w:szCs w:val="20"/>
                <w:color w:val="auto"/>
              </w:rPr>
            </w:pPr>
            <w:r>
              <w:rPr>
                <w:rFonts w:ascii="Arial" w:cs="Arial" w:eastAsia="Arial" w:hAnsi="Arial"/>
                <w:sz w:val="18"/>
                <w:szCs w:val="18"/>
                <w:color w:val="auto"/>
                <w:w w:val="87"/>
              </w:rPr>
              <w:t>Russia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Powertrain Vostok OOO</w:t>
            </w:r>
          </w:p>
        </w:tc>
        <w:tc>
          <w:tcPr>
            <w:tcW w:w="3840" w:type="dxa"/>
            <w:vAlign w:val="bottom"/>
          </w:tcPr>
          <w:p>
            <w:pPr>
              <w:jc w:val="center"/>
              <w:ind w:left="2550"/>
              <w:spacing w:after="0"/>
              <w:rPr>
                <w:sz w:val="20"/>
                <w:szCs w:val="20"/>
                <w:color w:val="auto"/>
              </w:rPr>
            </w:pPr>
            <w:r>
              <w:rPr>
                <w:rFonts w:ascii="Arial" w:cs="Arial" w:eastAsia="Arial" w:hAnsi="Arial"/>
                <w:sz w:val="18"/>
                <w:szCs w:val="18"/>
                <w:color w:val="auto"/>
                <w:w w:val="87"/>
              </w:rPr>
              <w:t>Russia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VCS OOO</w:t>
            </w:r>
          </w:p>
        </w:tc>
        <w:tc>
          <w:tcPr>
            <w:tcW w:w="3840" w:type="dxa"/>
            <w:vAlign w:val="bottom"/>
          </w:tcPr>
          <w:p>
            <w:pPr>
              <w:jc w:val="center"/>
              <w:ind w:left="2550"/>
              <w:spacing w:after="0"/>
              <w:rPr>
                <w:sz w:val="20"/>
                <w:szCs w:val="20"/>
                <w:color w:val="auto"/>
              </w:rPr>
            </w:pPr>
            <w:r>
              <w:rPr>
                <w:rFonts w:ascii="Arial" w:cs="Arial" w:eastAsia="Arial" w:hAnsi="Arial"/>
                <w:sz w:val="18"/>
                <w:szCs w:val="18"/>
                <w:color w:val="auto"/>
                <w:w w:val="87"/>
              </w:rPr>
              <w:t>Russia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Motorparts (Singapore) Pte. Ltd.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0"/>
              </w:rPr>
              <w:t>Singapore</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Singapore Investments Pte. Ltd.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0"/>
              </w:rPr>
              <w:t>Singapore</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(Proprietary)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South Africa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Aftermarket Southern Africa (Pty)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South Africa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of South Africa (Pty) Ltd.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South Africa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Powertrain Systems SA (Pty) Ltd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South Africa</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Aftermarket Espana S.A.</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Spain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Friction Products Barcelona S.L.</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Spain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Friction Products SA</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Spain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Friction Spain S.L.</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Spain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Iberica, S.L</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1"/>
              </w:rPr>
              <w:t>Spain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F-M Holding Daros AB</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Sweden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Goteborg AB</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Sweden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Holding Sweden AB</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Sweden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GmbH</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2"/>
              </w:rPr>
              <w:t>Switzerland</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Taiwan Federal-Mogul Motorparts Co.,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2"/>
              </w:rPr>
              <w:t>Taiwan</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(Thailand) Ltd.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Thailand</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Motorparts (Thailand)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Thailand</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Serina Co., Ltd.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Thailand</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Parts Zone (Thailand) Co., Ltd.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89"/>
              </w:rPr>
              <w:t>Thailand</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A.E. Group Machines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AE International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F-M Motorparts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F-M Trademarks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FDML Holdings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Aftermarket United Kingdom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Asia Investments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Bradford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Controlled Power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Coventry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Employee Trust Administration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Engineering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Friction Products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Global Growth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Technology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United Kingdom Investments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 Mogul United Kingdom Powertrain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Federal-Mogul Valvetrain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Ferodo Limited</w:t>
            </w:r>
          </w:p>
        </w:tc>
        <w:tc>
          <w:tcPr>
            <w:tcW w:w="3840" w:type="dxa"/>
            <w:vAlign w:val="bottom"/>
          </w:tcPr>
          <w:p>
            <w:pPr>
              <w:jc w:val="center"/>
              <w:ind w:left="2530"/>
              <w:spacing w:after="0"/>
              <w:rPr>
                <w:sz w:val="20"/>
                <w:szCs w:val="20"/>
                <w:color w:val="auto"/>
              </w:rPr>
            </w:pPr>
            <w:r>
              <w:rPr>
                <w:rFonts w:ascii="Arial" w:cs="Arial" w:eastAsia="Arial" w:hAnsi="Arial"/>
                <w:sz w:val="18"/>
                <w:szCs w:val="18"/>
                <w:color w:val="auto"/>
                <w:w w:val="95"/>
              </w:rPr>
              <w:t>United Kingdom</w:t>
            </w:r>
          </w:p>
        </w:tc>
      </w:tr>
    </w:tbl>
    <w:p>
      <w:pPr>
        <w:sectPr>
          <w:pgSz w:w="11900" w:h="16838" w:orient="portrait"/>
          <w:cols w:equalWidth="0" w:num="1">
            <w:col w:w="10680"/>
          </w:cols>
          <w:pgMar w:left="280" w:top="746" w:right="93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Leeds Piston Ring &amp; Engineering Co. Ltd.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5"/>
              </w:rPr>
              <w:t>United Kingdom</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Payen International Limited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5"/>
              </w:rPr>
              <w:t>United Kingdom</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Piston Rings (United Kingdom) Ltd.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5"/>
              </w:rPr>
              <w:t>United Kingdom</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Saxid Limited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5"/>
              </w:rPr>
              <w:t>United Kingdom</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Sintration Limited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5"/>
              </w:rPr>
              <w:t>United Kingdom</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Wellworthy Limited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5"/>
              </w:rPr>
              <w:t>United Kingdom</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Beck Arnley Holdings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Carter Automotive Company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Chassis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Filtration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Finance 1,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Finance 2,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Financing Corporation</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Ignition Company</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Piston Rings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Powertrain IP,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Risk Advisory Serivces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Transaction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Motorparts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Valve Train International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Ferodo America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F-M Motorparts TSC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F-M TSC Real Estate Holdings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Felt Products Mfg. Co.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FM International,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Gasket Holdings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Muzzy-Lyon Auto Parts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T&amp;N Industries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Powertrain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7"/>
              </w:rPr>
              <w:t>Michigan</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World Wide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7"/>
              </w:rPr>
              <w:t>Michigan</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Speyside Real Estate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7"/>
              </w:rPr>
              <w:t>Michigan</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Products, Inc.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8"/>
              </w:rPr>
              <w:t>Missouri</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Sevierville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83"/>
              </w:rPr>
              <w:t>Tennessee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de Venezuela, C.A.</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86"/>
              </w:rPr>
              <w:t>Venezuala</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Federal-Mogul (Vietnam) Ltd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3"/>
              </w:rPr>
              <w:t>Vietnam</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The Pep Boys Manny Moe &amp; Jack (287 "Pep Boys" stores omitted)</w:t>
            </w:r>
          </w:p>
        </w:tc>
        <w:tc>
          <w:tcPr>
            <w:tcW w:w="2920" w:type="dxa"/>
            <w:vAlign w:val="bottom"/>
          </w:tcPr>
          <w:p>
            <w:pPr>
              <w:jc w:val="center"/>
              <w:ind w:left="1630"/>
              <w:spacing w:after="0"/>
              <w:rPr>
                <w:sz w:val="20"/>
                <w:szCs w:val="20"/>
                <w:color w:val="auto"/>
              </w:rPr>
            </w:pPr>
            <w:r>
              <w:rPr>
                <w:rFonts w:ascii="Arial" w:cs="Arial" w:eastAsia="Arial" w:hAnsi="Arial"/>
                <w:sz w:val="18"/>
                <w:szCs w:val="18"/>
                <w:color w:val="auto"/>
                <w:w w:val="89"/>
              </w:rPr>
              <w:t>Pennsylvania</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Tire Stores Holding Corp.</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Big 10 Tire Stores, LLC (80 "Big 10 Tires" stores omitted)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Pep Boys - Manny, Moe &amp; Jack of Puerto Rico, Inc. (28 "Pep Boys" stores omitted)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Carrus Supply Corporation</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PB Acquisition Company Florida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PB Acquisition Company Indiana LLC (1 "Pep Boys" store omitted)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PB Acquisition Company North Carolina LLC (1 "Pep Boys" store omitted)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PB Acquisition Company Tennessee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Colchester Insurance Company</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1"/>
              </w:rPr>
              <w:t>Vermont</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Pep Boys - Manny, Moe &amp; Jack of Delaware, Inc. (196 "Pep Boys" stores omitted)</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Car Sales US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Car Sales of New York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Car Sales of California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Car Sales of Georgia LLC</w:t>
            </w:r>
          </w:p>
        </w:tc>
        <w:tc>
          <w:tcPr>
            <w:tcW w:w="2920" w:type="dxa"/>
            <w:vAlign w:val="bottom"/>
          </w:tcPr>
          <w:p>
            <w:pPr>
              <w:jc w:val="center"/>
              <w:ind w:left="161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680"/>
          </w:cols>
          <w:pgMar w:left="280" w:top="747" w:right="9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Car Sales of Pennsylvania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The Pep Boys - Manny, Moe &amp; Jack of California (236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7"/>
              </w:rPr>
              <w:t>California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San Diego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Arizona LLC (15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Alameda LLC (1 "Pep Boys" store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Illinois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Hartford LLC (1 "Pep Boys" store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Massachusettes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Michigan LLC (1 "Pep Boys" store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Nassau LLC (2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Washington LLC (10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Holdings,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CTEX LLC (17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CO LLC (14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AZ LLC (9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GA LLC (10 "Pep Boys" and 2 "Just Brakes"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NV LLC (11 "Pep Boys" and 2 "Just Brakes"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NTEX LLC (22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FL LLC (25 "Pep Boys" and 1 "Just Brakes"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STEX LLC (14 "Pep Boys"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Auto Care, Inc. (48 "Precision Tune"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Printing,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WE JAC Corporation</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Tune Auto Care,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PTAC Operating Centers,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PTW,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0"/>
              </w:rPr>
              <w:t>Washington</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Franchising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PT Auto Care Canada,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85"/>
              </w:rPr>
              <w:t>Canada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ACC-U-TUNE</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7"/>
              </w:rPr>
              <w:t>California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National 60 Minute Tune,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0"/>
              </w:rPr>
              <w:t>Washington</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Colorado Tune,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0"/>
              </w:rPr>
              <w:t>Colorado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Miracle Industries, Inc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4"/>
              </w:rPr>
              <w:t>Ohio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PAC Mexican Delaware Holding Company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Auto Care Mexico II, S. de R.l.</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Auto Care Mexico I, S. de R.l.</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Promotora de Franquicas Praxis, S.A. de C.V.</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Praxis Afinaciones Puerto Rico,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Afinaciones Puerto Rico,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Praxis Autopartes S.S. de C.V.</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Praxis Afinaciones S.A. de C.V.</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Premier Accessories S.A. de C.V.</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Afinaciones S.A. de C.V.</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Guadalajara S.A. de C.V.</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Occidente, S.A.</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4"/>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Miracle Partners,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Building Solutions,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IEH BA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IEH AIM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Icahn Automotive Service Partners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500"/>
          </w:cols>
          <w:pgMar w:left="280" w:top="747" w:right="111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IEH Auto Parts LLC (312 "Auto Plus" stores omitted)</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AP Acquisition Company Clark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AP Acquisition Company Gordon LLC (1 "Auto Plus" store omitted)</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AP Acquisition Company Missouri LLC (1 "Auto Plus" store omitted)</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AP Acquisition Company Washington LLC (1 "Auto Plus" store omitted)</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AP Acquisition Company New York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AAMCO Transmissions, LLC</w:t>
            </w:r>
          </w:p>
        </w:tc>
        <w:tc>
          <w:tcPr>
            <w:tcW w:w="3120" w:type="dxa"/>
            <w:vAlign w:val="bottom"/>
          </w:tcPr>
          <w:p>
            <w:pPr>
              <w:jc w:val="center"/>
              <w:ind w:left="2070"/>
              <w:spacing w:after="0"/>
              <w:rPr>
                <w:sz w:val="20"/>
                <w:szCs w:val="20"/>
                <w:color w:val="auto"/>
              </w:rPr>
            </w:pPr>
            <w:r>
              <w:rPr>
                <w:rFonts w:ascii="Arial" w:cs="Arial" w:eastAsia="Arial" w:hAnsi="Arial"/>
                <w:sz w:val="18"/>
                <w:szCs w:val="18"/>
                <w:color w:val="auto"/>
                <w:w w:val="89"/>
              </w:rPr>
              <w:t>Pennsylvania</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AAMCO Canada,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85"/>
              </w:rPr>
              <w:t>Canada</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American Driveline Technical Services, LLC</w:t>
            </w:r>
          </w:p>
        </w:tc>
        <w:tc>
          <w:tcPr>
            <w:tcW w:w="3120" w:type="dxa"/>
            <w:vAlign w:val="bottom"/>
          </w:tcPr>
          <w:p>
            <w:pPr>
              <w:jc w:val="center"/>
              <w:ind w:left="2070"/>
              <w:spacing w:after="0"/>
              <w:rPr>
                <w:sz w:val="20"/>
                <w:szCs w:val="20"/>
                <w:color w:val="auto"/>
              </w:rPr>
            </w:pPr>
            <w:r>
              <w:rPr>
                <w:rFonts w:ascii="Arial" w:cs="Arial" w:eastAsia="Arial" w:hAnsi="Arial"/>
                <w:sz w:val="18"/>
                <w:szCs w:val="18"/>
                <w:color w:val="auto"/>
                <w:w w:val="89"/>
              </w:rPr>
              <w:t>Pennsylvania</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American Driveline Centers, LLC</w:t>
            </w:r>
          </w:p>
        </w:tc>
        <w:tc>
          <w:tcPr>
            <w:tcW w:w="3120" w:type="dxa"/>
            <w:vAlign w:val="bottom"/>
          </w:tcPr>
          <w:p>
            <w:pPr>
              <w:jc w:val="center"/>
              <w:ind w:left="2070"/>
              <w:spacing w:after="0"/>
              <w:rPr>
                <w:sz w:val="20"/>
                <w:szCs w:val="20"/>
                <w:color w:val="auto"/>
              </w:rPr>
            </w:pPr>
            <w:r>
              <w:rPr>
                <w:rFonts w:ascii="Arial" w:cs="Arial" w:eastAsia="Arial" w:hAnsi="Arial"/>
                <w:sz w:val="18"/>
                <w:szCs w:val="18"/>
                <w:color w:val="auto"/>
                <w:w w:val="89"/>
              </w:rPr>
              <w:t>Pennsylvania</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Cottman Transmission Systems,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Ross Advertising, LLC</w:t>
            </w:r>
          </w:p>
        </w:tc>
        <w:tc>
          <w:tcPr>
            <w:tcW w:w="3120" w:type="dxa"/>
            <w:vAlign w:val="bottom"/>
          </w:tcPr>
          <w:p>
            <w:pPr>
              <w:jc w:val="center"/>
              <w:ind w:left="2070"/>
              <w:spacing w:after="0"/>
              <w:rPr>
                <w:sz w:val="20"/>
                <w:szCs w:val="20"/>
                <w:color w:val="auto"/>
              </w:rPr>
            </w:pPr>
            <w:r>
              <w:rPr>
                <w:rFonts w:ascii="Arial" w:cs="Arial" w:eastAsia="Arial" w:hAnsi="Arial"/>
                <w:sz w:val="18"/>
                <w:szCs w:val="18"/>
                <w:color w:val="auto"/>
                <w:w w:val="89"/>
              </w:rPr>
              <w:t>Pennsylvania</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Energy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Refining &amp; Marketing Holdings,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Refining &amp; Marketing,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Nitrogen Fertilizers,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Crude Transportation,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Terminal,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Pipeline,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CL JV Holdings,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Resources,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Resources Refining &amp; Marketing,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Resources Crude Transportation,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Resources Terminal,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Resources Pipeline,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GP,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Partners, LP</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Resources Nitrogen Fertilizers,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Coffeyville Finance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Wynnewood Energy Company,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Wynnewood Refining Company,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Refining Holdings,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Refining Holdings Sub,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Refining,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Wynnewood Insurance Corporation</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Hawaii</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Refining, LP</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Refining GP,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Nitrogen GP,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Nitrogen, LP</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CVR Nitrogen Finance Corporation</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East Dubuque Nitrogen Fertlizers,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American Railcar Industries,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North Dakota</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ARI Fleet Services of Canada,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85"/>
              </w:rPr>
              <w:t>Canada</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ARI Component Venture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ARI Longtrain, Inc.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Longtrain Leasing I,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Longtrain Leasing II,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Longtrain Leasing III,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Castings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Blue Lagoon Realty, LLC</w:t>
            </w: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560"/>
          </w:cols>
          <w:pgMar w:left="280" w:top="746" w:right="105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ARI Railcar Services,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Southwest Steel Casting Company,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5"/>
              </w:rPr>
              <w:t>Texas</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Property Bude,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Property Brookhaven,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Property Goodrich,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Longview,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Mobile Repair Services,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Property North Kansas,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Property Tennille,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Southwest Steel Property,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ARI Leasing,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Entertainment, Inc.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Atlantic City Corp.</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7"/>
              </w:rPr>
              <w:t>New Jersey</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AC Sub Corp.</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7"/>
              </w:rPr>
              <w:t>New Jersey</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New Tropicana Holdings, Inc.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New Tropicana OpCo, Inc.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Aztar Riverboat Holding Company,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1"/>
              </w:rPr>
              <w:t>Indiana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Aztar Indiana Gaming Company,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1"/>
              </w:rPr>
              <w:t>Indiana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New Jazz Enterprises,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6"/>
              </w:rPr>
              <w:t>Nevada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Catfish Queen Partnership in Commendam</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0"/>
              </w:rPr>
              <w:t>Louisiana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Centroplex Centre Convention Hotel,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0"/>
              </w:rPr>
              <w:t>Louisiana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Columbia Properties Tahoe,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6"/>
              </w:rPr>
              <w:t>Nevada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MB Development,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6"/>
              </w:rPr>
              <w:t>Nevada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Laughlin,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6"/>
              </w:rPr>
              <w:t>Nevada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Lighthouse Point,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4"/>
              </w:rPr>
              <w:t>Mississippi</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Ent. Cayman Holdings Co. Ltd</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8"/>
              </w:rPr>
              <w:t>Cayman Islands</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Aruba Development Corp VBA</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5"/>
              </w:rPr>
              <w:t>Aruba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Aruba Casino Operating Co. N.V.</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5"/>
              </w:rPr>
              <w:t>Aruba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Aruba Resort Operating Corp. VBA</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5"/>
              </w:rPr>
              <w:t>Aruba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Tropicana St. Louis,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TEI (STLH),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TEI (ES),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TEI (St. Louis) RE,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TLH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SE Inlet Properties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TropWorld Games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86"/>
              </w:rPr>
              <w:t>Nevada</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TEI R7 Investment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TEI Management Services LLC</w:t>
            </w:r>
          </w:p>
        </w:tc>
        <w:tc>
          <w:tcPr>
            <w:tcW w:w="42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Inc.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M W Recycling, LLC (dba PSC Metals)</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TAP USA,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Carbon Plate Steel Products,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Akron,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Aliquippa,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Alliance,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Beaver Falls,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Canton,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CAW,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Chattanooga,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PSC Metals - D&amp;L, LLC</w:t>
            </w: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89"/>
              </w:rPr>
              <w:t>Pennsylvania</w:t>
            </w:r>
          </w:p>
        </w:tc>
      </w:tr>
    </w:tbl>
    <w:p>
      <w:pPr>
        <w:sectPr>
          <w:pgSz w:w="11900" w:h="16838" w:orient="portrait"/>
          <w:cols w:equalWidth="0" w:num="1">
            <w:col w:w="10640"/>
          </w:cols>
          <w:pgMar w:left="280" w:top="747" w:right="97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PSC Metals - Elyria,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Garn,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Joyce,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Knoxville,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Massillon,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Metallics,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Mitco,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New York,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New York</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Newark,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Rockwood,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South Knoxville,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St. Louis,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PSC Metals - Wooster, LLC</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4"/>
              </w:rPr>
              <w:t>Ohio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CAPPCO Tubular Products Canada, Inc.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5"/>
              </w:rPr>
              <w:t>Canada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CAPPCO Tubular Products USA,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0"/>
              </w:rPr>
              <w:t>Georgia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Ferrous Limited</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3"/>
              </w:rPr>
              <w:t>Isle of Man</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Ferrous Resources Limited</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5"/>
              </w:rPr>
              <w:t>United Kingdom</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Mediterranean Iron Limited</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5"/>
              </w:rPr>
              <w:t>Malta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Atlantic Iron Sarl</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3"/>
              </w:rPr>
              <w:t>Luxembourg</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Ferrous Resources Do Brasil S.A.</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Empresa de Mineracao Esperanca S.A.</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Mineracao Jacuipe Ltda</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Companies, Inc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WSC Corp.</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Films, Inc.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del Norte, S.A. de C.V.</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Mexico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Servicos Viskase del Norte, S.A. de C.V.</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Mexico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S.A.S.</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France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SpA</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rPr>
              <w:t>Italy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Gmbh</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Polska SP.ZO.O</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Poland</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Spain SL</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1"/>
              </w:rPr>
              <w:t>Spain</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Brasil Embalagens Ltda</w:t>
            </w:r>
          </w:p>
        </w:tc>
        <w:tc>
          <w:tcPr>
            <w:tcW w:w="4600" w:type="dxa"/>
            <w:vAlign w:val="bottom"/>
          </w:tcPr>
          <w:p>
            <w:pPr>
              <w:jc w:val="center"/>
              <w:ind w:left="299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Asia Pacific Corp</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Philippines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Sales Philippines Inc.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Philippines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Holdings, Inc.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Darmex Casings SP.ZO.O</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Poland</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Walsroder Casings GmbH</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Walsroder Casings Polska Sp.zo.o</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Poland</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CT Casings Beteiligungs GmbH</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Holding,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Coopertief</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8"/>
              </w:rPr>
              <w:t>Netherlands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Asia Ltd.</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Pakistan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IP,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Trademarks,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Property Holdings I,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Property Holdings II,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Stores, LLC</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840"/>
          </w:cols>
          <w:pgMar w:left="280" w:top="746" w:right="779" w:bottom="1440" w:gutter="0" w:footer="0" w:header="0"/>
        </w:sectPr>
      </w:pPr>
    </w:p>
    <w:bookmarkStart w:id="172" w:name="page173"/>
    <w:bookmarkEnd w:id="172"/>
    <w:p>
      <w:pPr>
        <w:spacing w:after="0" w:line="1" w:lineRule="exact"/>
        <w:rPr>
          <w:sz w:val="20"/>
          <w:szCs w:val="20"/>
          <w:color w:val="auto"/>
        </w:rPr>
      </w:pPr>
    </w:p>
    <w:tbl>
      <w:tblPr>
        <w:tblLayout w:type="fixed"/>
        <w:tblInd w:w="32"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WP Sales, Inc.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2"/>
              </w:rPr>
              <w:t>Delaware</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WPH - Nostalgia LLC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2"/>
              </w:rPr>
              <w:t>Delaware</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WP Properties Lanier/Carter, LLC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2"/>
              </w:rPr>
              <w:t>Delaware</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WP Properties Lumberton, LLC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2"/>
              </w:rPr>
              <w:t>Delaware</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WP Properties Wagram, LLC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2"/>
              </w:rPr>
              <w:t>Delaware</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WP Properties Clemson, LLC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2"/>
              </w:rPr>
              <w:t>Delaware</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WP Properties Wagram Facility, LLC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2"/>
              </w:rPr>
              <w:t>Delaware</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WestPoint Home (Netherlands) B.V.</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WestPoint Home (Bahrain) W.L.L.</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93"/>
              </w:rPr>
              <w:t>Bahrain</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WestPoint Home (Shanghai) Inc.</w:t>
            </w:r>
          </w:p>
        </w:tc>
        <w:tc>
          <w:tcPr>
            <w:tcW w:w="4840" w:type="dxa"/>
            <w:vAlign w:val="bottom"/>
          </w:tcPr>
          <w:p>
            <w:pPr>
              <w:jc w:val="center"/>
              <w:ind w:left="3210"/>
              <w:spacing w:after="0"/>
              <w:rPr>
                <w:sz w:val="20"/>
                <w:szCs w:val="20"/>
                <w:color w:val="auto"/>
              </w:rPr>
            </w:pPr>
            <w:r>
              <w:rPr>
                <w:rFonts w:ascii="Arial" w:cs="Arial" w:eastAsia="Arial" w:hAnsi="Arial"/>
                <w:sz w:val="18"/>
                <w:szCs w:val="18"/>
                <w:color w:val="auto"/>
                <w:w w:val="89"/>
              </w:rPr>
              <w:t>China</w:t>
            </w:r>
          </w:p>
        </w:tc>
      </w:tr>
    </w:tbl>
    <w:p>
      <w:pPr>
        <w:spacing w:after="0" w:line="251" w:lineRule="exact"/>
        <w:rPr>
          <w:sz w:val="20"/>
          <w:szCs w:val="20"/>
          <w:color w:val="auto"/>
        </w:rPr>
      </w:pPr>
    </w:p>
    <w:p>
      <w:pPr>
        <w:ind w:left="172" w:hanging="172"/>
        <w:spacing w:after="0" w:line="302" w:lineRule="auto"/>
        <w:tabs>
          <w:tab w:leader="none" w:pos="146" w:val="left"/>
        </w:tabs>
        <w:numPr>
          <w:ilvl w:val="0"/>
          <w:numId w:val="37"/>
        </w:numPr>
        <w:rPr>
          <w:rFonts w:ascii="Arial" w:cs="Arial" w:eastAsia="Arial" w:hAnsi="Arial"/>
          <w:sz w:val="17"/>
          <w:szCs w:val="17"/>
          <w:color w:val="auto"/>
          <w:vertAlign w:val="superscript"/>
        </w:rPr>
      </w:pPr>
      <w:r>
        <w:rPr>
          <w:rFonts w:ascii="Arial" w:cs="Arial" w:eastAsia="Arial" w:hAnsi="Arial"/>
          <w:sz w:val="14"/>
          <w:szCs w:val="14"/>
          <w:color w:val="auto"/>
        </w:rPr>
        <w:t>Icahn Enterprises Holdings L.P. is a 99% owned subsidiary of Icahn Enterprises L.P. All other subsidiaries listed above are subsidiaries of Icahn Enterprises Holdings L.P. and therefore are also subsidiaries of Icahn Enterprises L.P.</w:t>
      </w:r>
    </w:p>
    <w:p>
      <w:pPr>
        <w:sectPr>
          <w:pgSz w:w="11900" w:h="16838" w:orient="portrait"/>
          <w:cols w:equalWidth="0" w:num="1">
            <w:col w:w="11212"/>
          </w:cols>
          <w:pgMar w:left="248" w:top="747" w:right="4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March 1, 2018, with respect to the consolidated financial statements, schedule and internal control over financial reporting of Icahn Enterprises L.P. and subsidiaries included in the joint Annual Report of Icahn Enterprises L.P. and Icahn Enterprises Holdings L.P. on Form 10-K for the year ended December 31, 2017. We consent to the incorporation by reference of said reports in the Registration Statements of Icahn Enterprises L.P. and subsidiaries on Form S-3 (File No. 333-213563) and on Form S-8 (File No. 333-216934).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58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2017;</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ectPr>
          <w:pgSz w:w="11900" w:h="16838" w:orient="portrait"/>
          <w:cols w:equalWidth="0" w:num="1">
            <w:col w:w="11420"/>
          </w:cols>
          <w:pgMar w:left="240" w:top="58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2017;</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ectPr>
          <w:pgSz w:w="11900" w:h="16838" w:orient="portrait"/>
          <w:cols w:equalWidth="0" w:num="1">
            <w:col w:w="11420"/>
          </w:cols>
          <w:pgMar w:left="240" w:top="5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joint annual report on Form 10-K of Icahn Enterprises L.P. and Icahn Enterprises Holdings L.P., for the year ended December 31, 2017, the undersigned certify that, to the best of his knowledge, based upon a review of the Icahn Enterprises L.P. and Icahn Enterprises Holdings L.P. joint annual report on Form 10-K for the year ended December 31, 2017:</w:t>
      </w:r>
    </w:p>
    <w:p>
      <w:pPr>
        <w:spacing w:after="0" w:line="181" w:lineRule="exact"/>
        <w:rPr>
          <w:sz w:val="20"/>
          <w:szCs w:val="20"/>
          <w:color w:val="auto"/>
        </w:rPr>
      </w:pPr>
    </w:p>
    <w:p>
      <w:pPr>
        <w:ind w:left="580" w:hanging="248"/>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Roman"/>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Roman"/>
      <w:start w:val="3"/>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2"/>
    </w:lvl>
  </w:abstractNum>
  <w:abstractNum w:abstractNumId="15">
    <w:nsid w:val="2CA88611"/>
    <w:multiLevelType w:val="hybridMultilevel"/>
    <w:lvl w:ilvl="0">
      <w:lvlJc w:val="left"/>
      <w:lvlText w:val="%1."/>
      <w:numFmt w:val="decimal"/>
      <w:start w:val="3"/>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4"/>
    </w:lvl>
  </w:abstractNum>
  <w:abstractNum w:abstractNumId="18">
    <w:nsid w:val="3A95F874"/>
    <w:multiLevelType w:val="hybridMultilevel"/>
    <w:lvl w:ilvl="0">
      <w:lvlJc w:val="left"/>
      <w:lvlText w:val="%1."/>
      <w:numFmt w:val="decimal"/>
      <w:start w:val="5"/>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6"/>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8"/>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lvl w:ilvl="1">
      <w:lvlJc w:val="left"/>
      <w:lvlText w:val="(%2)"/>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4"/>
    </w:lvl>
  </w:abstractNum>
  <w:abstractNum w:abstractNumId="32">
    <w:nsid w:val="3804823E"/>
    <w:multiLevelType w:val="hybridMultilevel"/>
    <w:lvl w:ilvl="0">
      <w:lvlJc w:val="left"/>
      <w:lvlText w:val="(%1)"/>
      <w:numFmt w:val="lowerLetter"/>
      <w:start w:val="1"/>
    </w:lvl>
    <w:lvl w:ilvl="1">
      <w:lvlJc w:val="left"/>
      <w:lvlText w:val="(%2)"/>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82" Type="http://schemas.openxmlformats.org/officeDocument/2006/relationships/hyperlink" Target="http://www.sec.gov/Archives/edgar/data/813762/000110465915087353/a15-24890_2ex2d1.htm" TargetMode="External"/><Relationship Id="rId83" Type="http://schemas.openxmlformats.org/officeDocument/2006/relationships/hyperlink" Target="http://www.sec.gov/Archives/edgar/data/813762/000110465916143329/a16-17984_1ex2d1.htm" TargetMode="External"/><Relationship Id="rId84" Type="http://schemas.openxmlformats.org/officeDocument/2006/relationships/hyperlink" Target="http://www.sec.gov/Archives/edgar/data/813762/000114420416140174/v449727_ex2-1.htm" TargetMode="External"/><Relationship Id="rId85" Type="http://schemas.openxmlformats.org/officeDocument/2006/relationships/hyperlink" Target="http://www.sec.gov/Archives/edgar/data/813762/000114420407050385/v088216_ex3-1.htm" TargetMode="External"/><Relationship Id="rId86" Type="http://schemas.openxmlformats.org/officeDocument/2006/relationships/hyperlink" Target="http://www.sec.gov/Archives/edgar/data/813762/000114420408015862/v106776_ex3-9.htm" TargetMode="External"/><Relationship Id="rId87" Type="http://schemas.openxmlformats.org/officeDocument/2006/relationships/hyperlink" Target="http://www.sec.gov/Archives/edgar/data/813762/000081376216000089/iep-ex31_amendedandrestate.htm" TargetMode="External"/><Relationship Id="rId88" Type="http://schemas.openxmlformats.org/officeDocument/2006/relationships/hyperlink" Target="http://www.sec.gov/Archives/edgar/data/813762/000095012304006078/y97041exv3w5.txt" TargetMode="External"/><Relationship Id="rId89" Type="http://schemas.openxmlformats.org/officeDocument/2006/relationships/hyperlink" Target="http://www.sec.gov/Archives/edgar/data/813762/0000897204-96-000093-index.html" TargetMode="External"/><Relationship Id="rId90" Type="http://schemas.openxmlformats.org/officeDocument/2006/relationships/hyperlink" Target="http://www.sec.gov/Archives/edgar/data/813762/000095011703001233/ex3-9.txt" TargetMode="External"/><Relationship Id="rId91" Type="http://schemas.openxmlformats.org/officeDocument/2006/relationships/hyperlink" Target="http://www.sec.gov/Archives/edgar/data/813762/000095012305009643/y11364exv3w2.htm" TargetMode="External"/><Relationship Id="rId92" Type="http://schemas.openxmlformats.org/officeDocument/2006/relationships/hyperlink" Target="http://www.sec.gov/Archives/edgar/data/813762/000114420408015862/v106776_ex3-11.htm" TargetMode="External"/><Relationship Id="rId93" Type="http://schemas.openxmlformats.org/officeDocument/2006/relationships/hyperlink" Target="http://www.sec.gov/Archives/edgar/data/813762/000095012305003242/y06341exv4w4.htm" TargetMode="External"/><Relationship Id="rId94" Type="http://schemas.openxmlformats.org/officeDocument/2006/relationships/hyperlink" Target="http://www.sec.gov/Archives/edgar/data/813762/000095012305003242/y06341exv4w3.htm" TargetMode="External"/><Relationship Id="rId95" Type="http://schemas.openxmlformats.org/officeDocument/2006/relationships/hyperlink" Target="http://www.sec.gov/Archives/edgar/data/813762/000081376216000089/iep-ex41_certificatex8416.htm" TargetMode="External"/><Relationship Id="rId96" Type="http://schemas.openxmlformats.org/officeDocument/2006/relationships/hyperlink" Target="http://www.sec.gov/Archives/edgar/data/813762/0000897204-95-000016-index.html" TargetMode="External"/><Relationship Id="rId97" Type="http://schemas.openxmlformats.org/officeDocument/2006/relationships/hyperlink" Target="http://www.sec.gov/Archives/edgar/data/813762/000095012305003242/y06341exv10w2.htm" TargetMode="External"/><Relationship Id="rId98" Type="http://schemas.openxmlformats.org/officeDocument/2006/relationships/hyperlink" Target="http://www.sec.gov/Archives/edgar/data/813762/000114420407041620/v083035_ex10-5.htm" TargetMode="External"/><Relationship Id="rId99" Type="http://schemas.openxmlformats.org/officeDocument/2006/relationships/hyperlink" Target="http://www.sec.gov/Archives/edgar/data/813762/000114420413047710/v353661_ex10-1.htm" TargetMode="External"/><Relationship Id="rId100" Type="http://schemas.openxmlformats.org/officeDocument/2006/relationships/hyperlink" Target="http://www.sec.gov/Archives/edgar/data/813762/000114420413042533/v351461_ex4-1.htm" TargetMode="External"/><Relationship Id="rId101" Type="http://schemas.openxmlformats.org/officeDocument/2006/relationships/hyperlink" Target="http://www.sec.gov/Archives/edgar/data/813762/000114420414004986/v366725_ex4-1.htm" TargetMode="External"/><Relationship Id="rId102" Type="http://schemas.openxmlformats.org/officeDocument/2006/relationships/hyperlink" Target="http://www.sec.gov/Archives/edgar/data/813762/000114420417002748/v457095_ex4-1.htm" TargetMode="External"/><Relationship Id="rId103" Type="http://schemas.openxmlformats.org/officeDocument/2006/relationships/hyperlink" Target="http://www.sec.gov/Archives/edgar/data/813762/000114420417062610/tv480904_ex4-1.htm" TargetMode="External"/><Relationship Id="rId104" Type="http://schemas.openxmlformats.org/officeDocument/2006/relationships/hyperlink" Target="http://www.sec.gov/Archives/edgar/data/813762/0000897204-95-000029-index.html" TargetMode="External"/><Relationship Id="rId105" Type="http://schemas.openxmlformats.org/officeDocument/2006/relationships/hyperlink" Target="http://www.sec.gov/Archives/edgar/data/813762/000095012306003289/y18546exv10w42.htm" TargetMode="External"/><Relationship Id="rId106" Type="http://schemas.openxmlformats.org/officeDocument/2006/relationships/hyperlink" Target="http://www.sec.gov/Archives/edgar/data/813762/000114420407041620/v083035_ex10-4.htm" TargetMode="External"/><Relationship Id="rId107" Type="http://schemas.openxmlformats.org/officeDocument/2006/relationships/hyperlink" Target="http://www.sec.gov/Archives/edgar/data/813762/000081376211000033/iepex102icahnagreement.htm" TargetMode="External"/><Relationship Id="rId108" Type="http://schemas.openxmlformats.org/officeDocument/2006/relationships/hyperlink" Target="http://www.sec.gov/Archives/edgar/data/813762/000092846416000156/iep8k030116ex1.htm" TargetMode="External"/><Relationship Id="rId109" Type="http://schemas.openxmlformats.org/officeDocument/2006/relationships/hyperlink" Target="http://www.sec.gov/Archives/edgar/data/813762/000114420416093293/v436021_ex10-1.htm" TargetMode="External"/><Relationship Id="rId110" Type="http://schemas.openxmlformats.org/officeDocument/2006/relationships/hyperlink" Target="http://www.sec.gov/Archives/edgar/data/813762/000114420416093293/v436021_ex10-2.htm" TargetMode="External"/><Relationship Id="rId111" Type="http://schemas.openxmlformats.org/officeDocument/2006/relationships/hyperlink" Target="http://www.sec.gov/Archives/edgar/data/813762/000114420417002748/v457095_ex10-1.htm" TargetMode="External"/><Relationship Id="rId112" Type="http://schemas.openxmlformats.org/officeDocument/2006/relationships/hyperlink" Target="http://www.sec.gov/Archives/edgar/data/813762/000114420417062610/tv480904_ex10-1.htm" TargetMode="External"/><Relationship Id="rId113" Type="http://schemas.openxmlformats.org/officeDocument/2006/relationships/hyperlink" Target="http://www.sec.gov/Archives/edgar/data/813762/000081376212000064/iep-ex141_93012xcodeofethi.htm" TargetMode="External"/><Relationship Id="rId114" Type="http://schemas.openxmlformats.org/officeDocument/2006/relationships/hyperlink" Target="http://www.sec.gov/Archives/edgar/data/813762/000114420407059478/v092368_ex1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2019-12-28T23:56:14Z</dcterms:created>
  <dcterms:modified xsi:type="dcterms:W3CDTF">2019-12-28T23:56:14Z</dcterms:modified>
</cp:coreProperties>
</file>