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411480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(Mark one)</w:t>
      </w:r>
    </w:p>
    <w:p>
      <w:pPr>
        <w:spacing w:after="0" w:line="12" w:lineRule="exact"/>
        <w:rPr>
          <w:sz w:val="24"/>
          <w:szCs w:val="24"/>
          <w:color w:val="auto"/>
        </w:rPr>
      </w:pPr>
    </w:p>
    <w:p>
      <w:pPr>
        <w:ind w:left="3640" w:right="2720" w:hanging="3630"/>
        <w:spacing w:after="0" w:line="427" w:lineRule="auto"/>
        <w:tabs>
          <w:tab w:leader="none" w:pos="18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2025</w:t>
      </w:r>
    </w:p>
    <w:p>
      <w:pPr>
        <w:spacing w:after="0" w:line="211"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3300" w:type="dxa"/>
            <w:vAlign w:val="bottom"/>
          </w:tcPr>
          <w:p>
            <w:pPr>
              <w:spacing w:after="0"/>
              <w:rPr>
                <w:sz w:val="24"/>
                <w:szCs w:val="24"/>
                <w:color w:val="auto"/>
              </w:rPr>
            </w:pPr>
          </w:p>
        </w:tc>
        <w:tc>
          <w:tcPr>
            <w:tcW w:w="3520" w:type="dxa"/>
            <w:vAlign w:val="bottom"/>
            <w:gridSpan w:val="5"/>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(State or Other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vMerge w:val="continue"/>
          </w:tcPr>
          <w:p>
            <w:pPr>
              <w:spacing w:after="0"/>
              <w:rPr>
                <w:sz w:val="12"/>
                <w:szCs w:val="12"/>
                <w:color w:val="auto"/>
              </w:rPr>
            </w:pP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8"/>
        </w:trPr>
        <w:tc>
          <w:tcPr>
            <w:tcW w:w="33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(Commission File Number)</w:t>
            </w:r>
          </w:p>
        </w:tc>
        <w:tc>
          <w:tcPr>
            <w:tcW w:w="3520" w:type="dxa"/>
            <w:vAlign w:val="bottom"/>
            <w:gridSpan w:val="5"/>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rPr>
              <w:t>Organization)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11"/>
        </w:trPr>
        <w:tc>
          <w:tcPr>
            <w:tcW w:w="3300" w:type="dxa"/>
            <w:vAlign w:val="bottom"/>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13-3398766</w:t>
            </w:r>
          </w:p>
        </w:tc>
        <w:tc>
          <w:tcPr>
            <w:tcW w:w="0" w:type="dxa"/>
            <w:vAlign w:val="bottom"/>
          </w:tcPr>
          <w:p>
            <w:pPr>
              <w:spacing w:after="0"/>
              <w:rPr>
                <w:sz w:val="1"/>
                <w:szCs w:val="1"/>
                <w:color w:val="auto"/>
              </w:rPr>
            </w:pPr>
          </w:p>
        </w:tc>
      </w:tr>
      <w:tr>
        <w:trPr>
          <w:trHeight w:val="242"/>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16690 Collins Avenue, PH-1</w:t>
            </w:r>
          </w:p>
        </w:tc>
        <w:tc>
          <w:tcPr>
            <w:tcW w:w="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52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Pr>
          <w:p>
            <w:pPr>
              <w:spacing w:after="0"/>
              <w:rPr>
                <w:sz w:val="24"/>
                <w:szCs w:val="24"/>
                <w:color w:val="auto"/>
              </w:rPr>
            </w:pPr>
          </w:p>
        </w:tc>
        <w:tc>
          <w:tcPr>
            <w:tcW w:w="3400" w:type="dxa"/>
            <w:vAlign w:val="bottom"/>
            <w:gridSpan w:val="2"/>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0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Depositary Units of Icahn Enterprises L.P.</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5"/>
              </w:rPr>
              <w:t>IEP</w:t>
            </w:r>
          </w:p>
        </w:tc>
        <w:tc>
          <w:tcPr>
            <w:tcW w:w="500" w:type="dxa"/>
            <w:vAlign w:val="bottom"/>
          </w:tcPr>
          <w:p>
            <w:pPr>
              <w:spacing w:after="0"/>
              <w:rPr>
                <w:sz w:val="19"/>
                <w:szCs w:val="19"/>
                <w:color w:val="auto"/>
              </w:rPr>
            </w:pPr>
          </w:p>
        </w:tc>
        <w:tc>
          <w:tcPr>
            <w:tcW w:w="340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88"/>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Representing Limited Partner Interests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ind w:left="20"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65" w:lineRule="exact"/>
        <w:rPr>
          <w:sz w:val="24"/>
          <w:szCs w:val="24"/>
          <w:color w:val="auto"/>
        </w:rPr>
      </w:pPr>
    </w:p>
    <w:p>
      <w:pPr>
        <w:ind w:left="20"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5" w:lineRule="exact"/>
        <w:rPr>
          <w:sz w:val="24"/>
          <w:szCs w:val="24"/>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1"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78" w:lineRule="exact"/>
        <w:rPr>
          <w:sz w:val="24"/>
          <w:szCs w:val="24"/>
          <w:color w:val="auto"/>
        </w:rPr>
      </w:pPr>
    </w:p>
    <w:p>
      <w:pPr>
        <w:ind w:left="20" w:right="16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7, 2025, there were 546,086,101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5"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gridSpan w:val="10"/>
            <w:vMerge w:val="restart"/>
          </w:tcPr>
          <w:p>
            <w:pPr>
              <w:ind w:left="200"/>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 No</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gridSpan w:val="10"/>
            <w:vMerge w:val="continue"/>
          </w:tcPr>
          <w:p>
            <w:pPr>
              <w:spacing w:after="0"/>
              <w:rPr>
                <w:sz w:val="15"/>
                <w:szCs w:val="15"/>
                <w:color w:val="auto"/>
              </w:rPr>
            </w:pPr>
          </w:p>
        </w:tc>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560" w:type="dxa"/>
            <w:vAlign w:val="bottom"/>
            <w:tcBorders>
              <w:left w:val="single" w:sz="8" w:color="0000EE"/>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r>
              <w:rPr>
                <w:rFonts w:ascii="Times New Roman" w:cs="Times New Roman" w:eastAsia="Times New Roman" w:hAnsi="Times New Roman"/>
                <w:sz w:val="18"/>
                <w:szCs w:val="18"/>
                <w:color w:val="000000"/>
              </w:rPr>
              <w:t>.</w:t>
            </w: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488"/>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Legal Proceedings</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4"/>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or Proceeds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4"/>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5.</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market conditions,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92"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the impacts from the Russia/Ukraine conflict and ongoing conflict in the Middle East, including economic volatility and the impacts of export controls and other economic sanctions; risks related to our investment activities, including the nature of the investments made by the private funds in which we invest, including the impact of the use of leverage through options, short sales, swaps, forwards and other derivative instruments; risk related to our ability to comply with the covenants in our senior notes and the risk of foreclosure on the assets securing our notes;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be taxed as a corporation; risks relating to short sellers and associated litigation and regulatory inquires;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volatile commodity pricing and higher industry utilization and oversupply risks relating to potential strategic transactions involving our Energy segment, and the impact of tariffs; risks related to our automotive activities and exposure to adverse conditions in the automotive industry, including as a result of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and risks related to our home fashion operations, including changes in the availability and price of raw materials, manufacturing disruptions, and changes in transportation costs and delivery times; political and regulatory uncertainty, including changing economic policy and the imposition of tariffs. These risks and uncertainties also include the risks and uncertainties described in our Annual Report on Form 10-K for the year ended December 31, 2024.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 except</w:t>
            </w:r>
          </w:p>
        </w:tc>
        <w:tc>
          <w:tcPr>
            <w:tcW w:w="1100" w:type="dxa"/>
            <w:vAlign w:val="bottom"/>
            <w:gridSpan w:val="2"/>
          </w:tcPr>
          <w:p>
            <w:pPr>
              <w:jc w:val="right"/>
              <w:ind w:right="90"/>
              <w:spacing w:after="0" w:line="129" w:lineRule="exact"/>
              <w:rPr>
                <w:sz w:val="20"/>
                <w:szCs w:val="20"/>
                <w:color w:val="auto"/>
              </w:rPr>
            </w:pPr>
            <w:r>
              <w:rPr>
                <w:rFonts w:ascii="Times New Roman" w:cs="Times New Roman" w:eastAsia="Times New Roman" w:hAnsi="Times New Roman"/>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522,736,315 units issued and outstanding at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31, 2025 and 522,736,315 units issued and outstanding at December 31, 2024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investment activities</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disposition of assets, net</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expense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net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Icahn Enterprises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Icahn Enterprises allocated to:</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income loss per LP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Distributions declared per LP unit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Icahn Enterprises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Icahn Enterprises allocated to:</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80" w:type="dxa"/>
            <w:vAlign w:val="bottom"/>
            <w:gridSpan w:val="10"/>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gridSpan w:val="14"/>
          </w:tcPr>
          <w:p>
            <w:pPr>
              <w:ind w:left="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Purchase of additional interests in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2,563</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1,968</w:t>
            </w: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6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5"/>
                <w:szCs w:val="15"/>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(580)</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from securities transactions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securities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(942)</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sales of securities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to cover securities sold, not yet purchased</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(626)</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securities sold, not yet purchased</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receivables and payables relating to securities transactions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derivative assets and liabilities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disposition of assets,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(72)</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(88)</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Turnaround expenditures</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disposition of businesses and assets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equity method investment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of equity method investment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segment distributions to non-controlling interests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Partnership contributions</w:t>
            </w:r>
          </w:p>
        </w:tc>
        <w:tc>
          <w:tcPr>
            <w:tcW w:w="24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additional interests in consolidated subsidiaries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and distributions to non-controlling interests in subsidiaries</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subsidiary borrowings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subsidiary borrowings</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169"/>
        </w:trPr>
        <w:tc>
          <w:tcPr>
            <w:tcW w:w="63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 and restricted</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 and restricted cash and restricted cash</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r>
      <w:tr>
        <w:trPr>
          <w:trHeight w:val="19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restricted cash equivalents, beginning of</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w:t>
            </w: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restricted cash equivalents, end of period</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“we,” “our” or “us” herein include both Icahn Enterprises and Icahn Enterprises Holdings L.P. (“Icahn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Enterprises Holdings”) and their subsidiaries, unless the context otherwise requires.</w:t>
      </w:r>
    </w:p>
    <w:p>
      <w:pPr>
        <w:spacing w:after="0" w:line="20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2025, representing an aggregate 1.99% general partner interest in Icahn Enterprises and Icahn Enterprises Holdings. Mr. Icahn and his affiliates owned approximately 86% of our outstanding depositary units as of March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Continuing Operating Businesses</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$2.5 billion and $2.7 billion as of March 31, 2025 and December 31, 2024, respectively.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conduct our Energy segment through our majority owned subsidiary, CVR Energy, Inc. (“CVR Energy”), along with our interest in CVR Partners, LP, a publicly traded limited partnership (“CVR Partners”) and subsidiary of CVR Energy. CVR Energy is a diversified holding company primarily engaged in the petroleum refining and marketing businesses, the renewable fuels businesses, as well as in the nitrogen fertilizer manufacturing and distribution businesses through its holdings in CVR Partners. CVR Energy is an independent petroleum refiner and marketer of high value transportation fuels primarily in the form of gasoline, diesel, jet fuel and distillates. The renewables business refines feedstocks, such as soybean oil, corn oil, and other related renewable feedstocks, into renewable diesel and markets renewable products. CVR Partners produces and markets nitrogen fertilizers in the form of urea ammonium nitrate (“UAN”) and ammonia. CVR Energy holds 100% of the general partner interest and approximately 37% of the outstanding common units of CVR Partners as of March 31, 2025. As of March 31, 2025 we owned approximately 68% of the total outstanding common stock of CVR Energy and 2% of the outstanding common units of CVR Partners.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We conduct our Automotive segment through our wholly owned subsidiary, Icahn Automotive Group LLC (“Icahn Automotive”).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We exited the Aftermarket Parts business in the first quarter of 2025. In addition to its primary businesses, the Automotive segment leases available and excess real estate in certain locations under long-term operating leases.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conduct our Food Packaging segment through our majority owned subsidiary, Viskase Companies, Inc. (“Viskase”). Viskase is a producer of cellulosic, fibrous and plastic casings used to prepare and package processed meat products.</w:t>
      </w:r>
    </w:p>
    <w:p>
      <w:pPr>
        <w:spacing w:after="0" w:line="1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March 2025, Viskase completed an equity private placement whereby we acquired an additional 7,142,858 shares of Viskase common stock for $15 million. As of March 31, 2025, we owned approximately 91% of the total outstanding common stock of Viskase.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conduct our Real Estate segment through various wholly owned subsidiaries. Our Real Estate segment consists of investment properties which includes land, retail, office and industrial properties leased to corporate tenants, the development and sale of single-family homes, and the operations of a resort and two country clubs.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Home Fashion segment through our wholly owned subsidiary, WestPoint Home LLC (“WPH”).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WPH’s business consists of manufacturing, sourcing, marketing, distributing and selling home fashion consumer products.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We conduct our Pharma segment through our wholly owned subsidiary, Vivus LLC, formerly Vivus, Inc. (“Vivus”). Vivus is a specialty pharmaceutical company with two approved therapies, two product candidates in active clinical development and two product candidates in early-stage development.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8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Events beyond our control, including significant appreciation or depreciation in the market value of certain of our publicly traded holdings or adverse developments with respect to our ownership of certain of our subsidiaries, could result in us inadvertently becoming an investment company that is required to register under the Investment Company Act. Following such events or certain transactions (such as the sale of an operating business),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should be read in conjunction with our consolidated financial statements and related notes contained in our Annual Report on Form 10-K for the year ended December 31, 2024.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w:t>
      </w:r>
    </w:p>
    <w:p>
      <w:pPr>
        <w:spacing w:after="0" w:line="194"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Except for our Investment segment and Holding Company, for equity investments in which we own 50% or less but greater than 20%, we generally account for such investments using the equity method. All other such equity investments are accounted for at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established a captive insurance program to supplement the insurance coverage of the officers, directors, employees and agents of the Company, its subsidiaries and our general partner, in addition to our established commercial insurance program. We hold assets in a protected cell, which we are the primary beneficiary of, and therefore consolidate the protected cell. Our total assets related to the protected cell were $109 million and $108 million as of March 31, 2025 and December 31, 2024, respectively, and included in restricted cash in the condensed consolidated balance sheet.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8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4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2025 was approximately $6.8 billion and $6.5 billion, respectively. The carrying value and estimated fair value of our long-term debt as of December 31, 2024 was approximately $6.8 billion and $6.6 billion, respectively.</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02" w:lineRule="exact"/>
        <w:rPr>
          <w:sz w:val="20"/>
          <w:szCs w:val="20"/>
          <w:color w:val="auto"/>
        </w:rPr>
      </w:pPr>
    </w:p>
    <w:p>
      <w:pPr>
        <w:jc w:val="both"/>
        <w:ind w:left="60" w:right="819"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Held at Consolidated Affiliated Partnerships and Restricted Cash</w:t>
      </w:r>
    </w:p>
    <w:p>
      <w:pPr>
        <w:spacing w:after="0" w:line="18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cash held at consolidated affiliated partnerships balance was $897 million and $915 million as of March 31, 2025 and December 31, 2024,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spacing w:after="0" w:line="153"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Our restricted cash balance was $1.8 billion and $1.7 billion as of March 31, 2025 and December 31, 2024, respectively. Restricted cash includes, but is not limited to, our Investment segment’s cash pledged and held for margin requirements on derivative transactions and cash held related to our captive insurance program.</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and Contract Balances</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Due to the nature of our business, we derive revenue from various sources in various industries. With the exception of all of our Investment segment’s and our Holding Company’s revenues, and our Real Estate segment’s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Energy segment’s deferred revenue is a contract liability that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As of March 31, 2025, our Energy segment had $7 million of remaining performance obligations for contracts with an original expected duration of more than one year. Our Energy segment expects to recognize $3 million of these performance obligations as revenue by the end of 2025, $3 million during 2026, and the remaining balance in 2027.</w:t>
      </w:r>
    </w:p>
    <w:p>
      <w:pPr>
        <w:spacing w:after="0" w:line="188" w:lineRule="exact"/>
        <w:rPr>
          <w:sz w:val="20"/>
          <w:szCs w:val="20"/>
          <w:color w:val="auto"/>
        </w:rPr>
      </w:pPr>
    </w:p>
    <w:p>
      <w:pPr>
        <w:ind w:left="60" w:right="79" w:firstLine="369"/>
        <w:spacing w:after="0" w:line="277" w:lineRule="auto"/>
        <w:rPr>
          <w:sz w:val="20"/>
          <w:szCs w:val="20"/>
          <w:color w:val="auto"/>
        </w:rPr>
      </w:pPr>
      <w:r>
        <w:rPr>
          <w:rFonts w:ascii="Times New Roman" w:cs="Times New Roman" w:eastAsia="Times New Roman" w:hAnsi="Times New Roman"/>
          <w:sz w:val="17"/>
          <w:szCs w:val="17"/>
          <w:color w:val="auto"/>
        </w:rPr>
        <w:t>In addition, deferred revenue includes agreements entered into with third-party investors that has allowed our Energy segment to monetize certain tax credits available under Section 45Q of the Internal Revenue Code (the “45Q Transaction”). Our Energy segment had deferred revenue of $62 million and $78 million as of March 31, 2025 and December 31, 2024, respectively. For the three months ended March 31, 2025 and 2024, our Energy segment recognized revenue of $23 million and $5 million, respectively, with respect to deferred revenue outstanding as of the beginning of each respective period.</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Automotive segment had deferred revenue with respect to extended warranty plans of $34 million and $37 million as of March 31, 2025 and December 31, 2024, respectively, which are included in accrued expenses and other liabilities on the condensed consolidated balance sheets. For each of the three months ended March 31, 2025 and 2024, our Automotive segment recorded deferred revenue of $6 million and $6 million, respectively, outstanding as of the beginning of each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227"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 Update (“ASU”) 2023-07, </w:t>
      </w:r>
      <w:r>
        <w:rPr>
          <w:rFonts w:ascii="Times New Roman" w:cs="Times New Roman" w:eastAsia="Times New Roman" w:hAnsi="Times New Roman"/>
          <w:sz w:val="18"/>
          <w:szCs w:val="18"/>
          <w:i w:val="1"/>
          <w:iCs w:val="1"/>
          <w:color w:val="auto"/>
        </w:rPr>
        <w:t>Segment Reporting (Topic 280)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with its 2024 Form 10-K, and included all disclosures required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guidance and all existing segment disclosures under the FASB Accounting Standards Codification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Effective with this Quarterly Report on Form 10-Q, the Company adopted this ASU for its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See Note 12, “Segment Reporting,” for the required segment disclosures.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which requires enhanced income tax disclosures that reflect how operations and related tax risks,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tax planning and operational opportunities, affect the tax rate and prospects for future cash flows. This standard is effective for the Company’s annual reporting period beginning January 1, 2025, with early adoption permitted. We are currently assessing the impact of adopting this standard on our consolidated financial statements.</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and in January 2025, the FASB issued ASU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The ASU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as clarified by ASU 2025-01, is effective for the Company’s annual reporting period beginning January 1, 2027 and interim reporting periods beginning January 1, 2028 and should be applied on a retrospective or prospective basis, with early adoption permitted. We are currently assessing the impact of adopting this standard on our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third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w:t>
      </w:r>
    </w:p>
    <w:p>
      <w:pPr>
        <w:spacing w:after="0" w:line="229"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the total fair market value of investments in the Investment Funds made by Mr. Icahn and his affiliates (excluding us and Brett Icahn) was approximately $1.4 billion and $1.5 billion, respectively, representing approximately 35% of the Investment Funds’ assets under management as of each respective date. Mr. Icahn and his affiliates (excluding us and Brett Icahn) made no redemptions from the Investment Funds during the three months ended March 31, 2025 and 2024.</w:t>
      </w:r>
    </w:p>
    <w:p>
      <w:pPr>
        <w:spacing w:after="0" w:line="183"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March 31, 2025 and 2024, $3 million and $5 million, respectively, was allocated to the Investment Funds based on this expense-sharing arrangement.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Agreements</w:t>
      </w:r>
    </w:p>
    <w:p>
      <w:pPr>
        <w:spacing w:after="0" w:line="162"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no redemptions during the three months ended March 31, 2025, and had $5 million net redemptions in the three months ended March 31, 2024. As of March 31, 2025 and December 31, 2024 Brett Icahn had investments in the Investment Funds with a total fair market value of $15 million and $17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8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60" w:right="659" w:firstLine="324"/>
        <w:spacing w:after="0" w:line="312" w:lineRule="auto"/>
        <w:rPr>
          <w:sz w:val="20"/>
          <w:szCs w:val="20"/>
          <w:color w:val="auto"/>
        </w:rPr>
      </w:pPr>
      <w:r>
        <w:rPr>
          <w:rFonts w:ascii="Times New Roman" w:cs="Times New Roman" w:eastAsia="Times New Roman" w:hAnsi="Times New Roman"/>
          <w:sz w:val="17"/>
          <w:szCs w:val="17"/>
          <w:color w:val="auto"/>
        </w:rPr>
        <w:t>The portion of unrealized losses that related to securities still held by our Investment segment, primarily equity securities, were $223 million and $339 million for the three months ended March 31, 2025 and 2024, respectively.</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Segments and Holding Company</w:t>
      </w:r>
    </w:p>
    <w:p>
      <w:pPr>
        <w:spacing w:after="0" w:line="202" w:lineRule="exact"/>
        <w:rPr>
          <w:sz w:val="20"/>
          <w:szCs w:val="20"/>
          <w:color w:val="auto"/>
        </w:rPr>
      </w:pPr>
    </w:p>
    <w:p>
      <w:pPr>
        <w:jc w:val="both"/>
        <w:ind w:left="60" w:right="499" w:firstLine="324"/>
        <w:spacing w:after="0" w:line="312" w:lineRule="auto"/>
        <w:rPr>
          <w:sz w:val="20"/>
          <w:szCs w:val="20"/>
          <w:color w:val="auto"/>
        </w:rPr>
      </w:pPr>
      <w:r>
        <w:rPr>
          <w:rFonts w:ascii="Times New Roman" w:cs="Times New Roman" w:eastAsia="Times New Roman" w:hAnsi="Times New Roman"/>
          <w:sz w:val="17"/>
          <w:szCs w:val="17"/>
          <w:color w:val="auto"/>
        </w:rPr>
        <w:t>With the exception of certain equity method investments at our operating subsidiaries and our Holding Company disclosed in the table below, our investments are measured at fair value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investments held by our other segments and our Holding Company consist of the following:</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to maturity debt investments measured at amortized cost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6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There were no unrealized gains and (losses) that relates to equity securities still held by our other segments and Holding Company for each of the three months ended March 31, 2025 and 2024.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0"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and reported at fair value are classified and disclosed in one of the following categories: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and liabilities as of the reporting date.</w:t>
      </w:r>
    </w:p>
    <w:p>
      <w:pPr>
        <w:spacing w:after="0" w:line="185" w:lineRule="exact"/>
        <w:rPr>
          <w:sz w:val="20"/>
          <w:szCs w:val="20"/>
          <w:color w:val="auto"/>
        </w:rPr>
      </w:pPr>
    </w:p>
    <w:p>
      <w:pPr>
        <w:ind w:left="380" w:right="559"/>
        <w:spacing w:after="0" w:line="258"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56" w:lineRule="exact"/>
        <w:rPr>
          <w:sz w:val="20"/>
          <w:szCs w:val="20"/>
          <w:color w:val="auto"/>
        </w:rPr>
      </w:pPr>
    </w:p>
    <w:p>
      <w:pPr>
        <w:ind w:left="380" w:right="59"/>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3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0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assets and liabilities by the above fair value hierarchy levels measured on a recurring basis: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2"/>
        </w:trPr>
        <w:tc>
          <w:tcPr>
            <w:tcW w:w="286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(Note 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$ 2,203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$ 2,275</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net (Note 6)</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$ 2,203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$ 2,297</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Securities sold, not yet purchased</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$ 1,153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$ 1,373</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net (Note 6)</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RFS obligations (Note 16)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1,350</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$ 1,159</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1,293</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$ 2,452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 for Which We Use Level 3 Inputs to Determine Fair Value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CVR Partners performed a non-recurring fair value measurement of the equity interest received as part of the 45Q Transaction. Such valuation used a combination of the market approach and the discounted cash flow methodology with key inputs including the discount rate, contractual and expected future cash flows, and market multiples. CVR Partners determined the estimated fair value of the consideration received to be $46 million.</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spacing w:after="0" w:line="187"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terms of such agreements, they are entitled to receive or obligated to pay other amounts, including interest, dividends and other distributions made in respect of the underlying shares, debt and other instruments during the specified time frame. They are also entitled to receive from or required to pay to the counterparty a floating interest rate equal to the product of the notional amount multiplied by an agreed-upon rate. They also receive interest on any cash collateral that they post to the counterparty and pay interest on any cash collateral posted by the counterparty at an agreed-upon rate.</w:t>
      </w:r>
    </w:p>
    <w:p>
      <w:pPr>
        <w:spacing w:after="0" w:line="183"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3"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8"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March 31, 2025 and December 31, 2024.</w:t>
      </w:r>
    </w:p>
    <w:p>
      <w:pPr>
        <w:spacing w:after="0" w:line="18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volume of our Investment segment’s derivative activities based on their notional exposure, categorized by primary underlying risk:</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18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18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20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0" w:type="dxa"/>
            <w:vAlign w:val="bottom"/>
          </w:tcPr>
          <w:p>
            <w:pPr>
              <w:spacing w:after="0"/>
              <w:rPr>
                <w:sz w:val="1"/>
                <w:szCs w:val="1"/>
                <w:color w:val="auto"/>
              </w:rPr>
            </w:pPr>
          </w:p>
        </w:tc>
      </w:tr>
      <w:tr>
        <w:trPr>
          <w:trHeight w:val="213"/>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Primary underlying risk:</w:t>
            </w: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40" w:type="dxa"/>
            <w:vAlign w:val="bottom"/>
            <w:gridSpan w:val="2"/>
            <w:vMerge w:val="continue"/>
          </w:tcPr>
          <w:p>
            <w:pPr>
              <w:spacing w:after="0"/>
              <w:rPr>
                <w:sz w:val="17"/>
                <w:szCs w:val="17"/>
                <w:color w:val="auto"/>
              </w:rPr>
            </w:pPr>
          </w:p>
        </w:tc>
        <w:tc>
          <w:tcPr>
            <w:tcW w:w="3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contracts</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Credit contracts</w:t>
            </w:r>
            <w:r>
              <w:rPr>
                <w:rFonts w:ascii="Times New Roman" w:cs="Times New Roman" w:eastAsia="Times New Roman" w:hAnsi="Times New Roman"/>
                <w:sz w:val="25"/>
                <w:szCs w:val="25"/>
                <w:color w:val="auto"/>
                <w:vertAlign w:val="superscript"/>
              </w:rPr>
              <w:t>(1)</w:t>
            </w:r>
          </w:p>
        </w:tc>
        <w:tc>
          <w:tcPr>
            <w:tcW w:w="30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30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319" w:hanging="330"/>
        <w:spacing w:after="0" w:line="241" w:lineRule="auto"/>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short notional amount on our credit default swap positions was approximately $210 million and $213 million at March 31, 2025 and December 31, 2024, respectively. However, because credit spreads cannot compress below zero, our downside short notional exposure to loss is approximately $53 million and $55 million as of March 31, 2025 and December 31, 2024, respectively.</w:t>
      </w:r>
    </w:p>
    <w:p>
      <w:pPr>
        <w:spacing w:after="0" w:line="18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0"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our Investment segment’s derivatives that are not designated as hedging instruments in accordance with U.S. GAAP:</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Pr>
          <w:p>
            <w:pPr>
              <w:spacing w:after="0"/>
              <w:rPr>
                <w:sz w:val="18"/>
                <w:szCs w:val="18"/>
                <w:color w:val="auto"/>
              </w:rPr>
            </w:pPr>
          </w:p>
        </w:tc>
      </w:tr>
      <w:tr>
        <w:trPr>
          <w:trHeight w:val="216"/>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 w:type="dxa"/>
            <w:vAlign w:val="bottom"/>
          </w:tcPr>
          <w:p>
            <w:pPr>
              <w:spacing w:after="0"/>
              <w:rPr>
                <w:sz w:val="18"/>
                <w:szCs w:val="18"/>
                <w:color w:val="auto"/>
              </w:rPr>
            </w:pPr>
          </w:p>
        </w:tc>
      </w:tr>
      <w:tr>
        <w:trPr>
          <w:trHeight w:val="190"/>
        </w:trPr>
        <w:tc>
          <w:tcPr>
            <w:tcW w:w="232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Netting across contract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320" w:type="dxa"/>
            <w:vAlign w:val="bottom"/>
            <w:gridSpan w:val="2"/>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types</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8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1"/>
                <w:szCs w:val="21"/>
                <w:color w:val="auto"/>
              </w:rPr>
            </w:pPr>
          </w:p>
        </w:tc>
      </w:tr>
      <w:tr>
        <w:trPr>
          <w:trHeight w:val="210"/>
        </w:trPr>
        <w:tc>
          <w:tcPr>
            <w:tcW w:w="23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8" w:lineRule="exact"/>
        <w:rPr>
          <w:sz w:val="20"/>
          <w:szCs w:val="20"/>
          <w:color w:val="auto"/>
        </w:rPr>
      </w:pPr>
    </w:p>
    <w:p>
      <w:pPr>
        <w:jc w:val="both"/>
        <w:ind w:left="380" w:right="219" w:hanging="330"/>
        <w:spacing w:after="0" w:line="180" w:lineRule="auto"/>
        <w:tabs>
          <w:tab w:leader="none" w:pos="380" w:val="left"/>
        </w:tabs>
        <w:numPr>
          <w:ilvl w:val="0"/>
          <w:numId w:val="4"/>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3"/>
          <w:szCs w:val="13"/>
          <w:color w:val="auto"/>
        </w:rPr>
        <w:t>Excludes netting of cash collateral received and posted. The total collateral posted at March 31, 2025 and December 31, 2024 was $1.6 billion and $1.5 billion, respectively, across all counterparties, which are included in cash held at consolidated affiliated partnerships and restricted cash in the condensed consolidated balance sheets.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condensed consolidated statements of operations for our Investment segment’s derivatives not designated as hedging instruments:</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8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Borders>
              <w:top w:val="single" w:sz="8" w:color="auto"/>
              <w:bottom w:val="single" w:sz="8" w:color="auto"/>
            </w:tcBorders>
          </w:tcPr>
          <w:p>
            <w:pPr>
              <w:spacing w:after="0"/>
              <w:rPr>
                <w:sz w:val="19"/>
                <w:szCs w:val="19"/>
                <w:color w:val="auto"/>
              </w:rPr>
            </w:pPr>
          </w:p>
        </w:tc>
      </w:tr>
      <w:tr>
        <w:trPr>
          <w:trHeight w:val="209"/>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r>
      <w:tr>
        <w:trPr>
          <w:trHeight w:val="142"/>
        </w:trPr>
        <w:tc>
          <w:tcPr>
            <w:tcW w:w="22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r>
    </w:tbl>
    <w:p>
      <w:pPr>
        <w:spacing w:after="0" w:line="58" w:lineRule="exact"/>
        <w:rPr>
          <w:sz w:val="20"/>
          <w:szCs w:val="20"/>
          <w:color w:val="auto"/>
        </w:rPr>
      </w:pPr>
    </w:p>
    <w:p>
      <w:pPr>
        <w:ind w:left="380" w:right="419" w:hanging="330"/>
        <w:spacing w:after="0" w:line="26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(losses) recognized on derivatives are classified in net (loss) gain from investment activities in our condensed consolidated statements of operations for our Investment segment.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as such instruments are not designated as hedge instruments. CVR Energy may enter into forward purchase or sale contracts associated with its feedstocks, expected future gasoline and diesel production and/or renewable identification numbers (“RINs”).</w:t>
      </w:r>
    </w:p>
    <w:p>
      <w:pPr>
        <w:spacing w:after="0" w:line="18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CVR Energy had swap positions for crack spreads that offset to less than 1 million barrels at each period. As of March 31, 2025 and December 31, 2024, CVR Energy had 1 million barrels and zero futures contracts, respectively. As of March 31, 2025 and December 31, 2024, CVR Energy had forward contracts of less than 1 million barrels at each period. As of March 31, 2025 and December 31, 2024, CVR Energy had open fixed-price commitments to purchase a net 6 million and 7 million RINs, respectively.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fair value of our Energy segment’s derivatives and the effect of the collateral netting: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0" w:type="dxa"/>
            <w:vAlign w:val="bottom"/>
          </w:tcPr>
          <w:p>
            <w:pPr>
              <w:spacing w:after="0"/>
              <w:rPr>
                <w:sz w:val="18"/>
                <w:szCs w:val="18"/>
                <w:color w:val="auto"/>
              </w:rPr>
            </w:pPr>
          </w:p>
        </w:tc>
      </w:tr>
      <w:tr>
        <w:trPr>
          <w:trHeight w:val="196"/>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190"/>
        </w:trPr>
        <w:tc>
          <w:tcPr>
            <w:tcW w:w="23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Netting across contract</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320" w:type="dxa"/>
            <w:vAlign w:val="bottom"/>
          </w:tcPr>
          <w:p>
            <w:pPr>
              <w:ind w:left="120"/>
              <w:spacing w:after="0" w:line="242" w:lineRule="exact"/>
              <w:rPr>
                <w:sz w:val="20"/>
                <w:szCs w:val="20"/>
                <w:color w:val="auto"/>
              </w:rPr>
            </w:pPr>
            <w:r>
              <w:rPr>
                <w:rFonts w:ascii="Times New Roman" w:cs="Times New Roman" w:eastAsia="Times New Roman" w:hAnsi="Times New Roman"/>
                <w:sz w:val="18"/>
                <w:szCs w:val="18"/>
                <w:color w:val="auto"/>
              </w:rPr>
              <w:t>types</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232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89" w:lineRule="exact"/>
        <w:rPr>
          <w:sz w:val="20"/>
          <w:szCs w:val="20"/>
          <w:color w:val="auto"/>
        </w:rPr>
      </w:pPr>
    </w:p>
    <w:p>
      <w:pPr>
        <w:ind w:left="720" w:right="539" w:hanging="319"/>
        <w:spacing w:after="0" w:line="261" w:lineRule="auto"/>
        <w:tabs>
          <w:tab w:leader="none" w:pos="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netting of derivatives primarily related to initial margin requirements of $6 million and $3 million at March 31, 2025 and December 31, 2024, respectively, which was not offset against derivatives liabilities, net in the condensed consolidated balance sheets.</w:t>
      </w:r>
    </w:p>
    <w:p>
      <w:pPr>
        <w:spacing w:after="0" w:line="16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As of March 31, 2025 and December 31, 2024, there were no derivative liabilities in our Energy segment’s derivative instruments with credit-risk-related contingent features.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Gains and (losses) recognized on derivatives for our Energy segment were $15 million and ($18) million for the three months ended March 31, 2025 and 2024, respectively. Gains and losses recognized on derivatives for our Energy segment are included in cost of goods sold on the condensed consolidated statements of operations.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7. Inventories, Net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3"/>
        </w:trPr>
        <w:tc>
          <w:tcPr>
            <w:tcW w:w="662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10"/>
        </w:trPr>
        <w:tc>
          <w:tcPr>
            <w:tcW w:w="6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left="380" w:right="5999" w:hanging="330"/>
        <w:spacing w:after="0" w:line="538" w:lineRule="auto"/>
        <w:tabs>
          <w:tab w:leader="none" w:pos="28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Net </w:t>
      </w:r>
      <w:r>
        <w:rPr>
          <w:rFonts w:ascii="Times New Roman" w:cs="Times New Roman" w:eastAsia="Times New Roman" w:hAnsi="Times New Roman"/>
          <w:sz w:val="17"/>
          <w:szCs w:val="17"/>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20" w:type="dxa"/>
            <w:vAlign w:val="bottom"/>
            <w:tcBorders>
              <w:bottom w:val="single" w:sz="8" w:color="auto"/>
            </w:tcBorders>
          </w:tcPr>
          <w:p>
            <w:pPr>
              <w:spacing w:after="0"/>
              <w:rPr>
                <w:sz w:val="20"/>
                <w:szCs w:val="20"/>
                <w:color w:val="auto"/>
              </w:rPr>
            </w:pPr>
          </w:p>
        </w:tc>
      </w:tr>
      <w:tr>
        <w:trPr>
          <w:trHeight w:val="187"/>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6820" w:type="dxa"/>
            <w:vAlign w:val="bottom"/>
            <w:gridSpan w:val="20"/>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8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Pharma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620" w:type="dxa"/>
            <w:vAlign w:val="bottom"/>
            <w:tcBorders>
              <w:bottom w:val="single" w:sz="8" w:color="auto"/>
            </w:tcBorders>
          </w:tcPr>
          <w:p>
            <w:pPr>
              <w:spacing w:after="0"/>
              <w:rPr>
                <w:sz w:val="20"/>
                <w:szCs w:val="20"/>
                <w:color w:val="auto"/>
              </w:rPr>
            </w:pPr>
          </w:p>
        </w:tc>
      </w:t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3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000" w:type="dxa"/>
            <w:vAlign w:val="bottom"/>
          </w:tcPr>
          <w:p>
            <w:pPr>
              <w:spacing w:after="0"/>
              <w:rPr>
                <w:sz w:val="18"/>
                <w:szCs w:val="18"/>
                <w:color w:val="auto"/>
              </w:rPr>
            </w:pPr>
          </w:p>
        </w:tc>
        <w:tc>
          <w:tcPr>
            <w:tcW w:w="59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30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2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6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6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was $14 million and $14 million for the three months ended March 31, 2025 and 2024,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utilize the straight-line method of amortization, recognized over the estimated useful lives of the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 Segments and Holding Company</w:t>
      </w:r>
    </w:p>
    <w:p>
      <w:pPr>
        <w:spacing w:after="0" w:line="22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and lease liabilities are as follows: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3"/>
        </w:trPr>
        <w:tc>
          <w:tcPr>
            <w:tcW w:w="6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29"/>
        </w:trPr>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(accrued expenses and other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(property, plant and equipment,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(debt)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98"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Additional information with respect to our operating leases as of March 31, 2025 and December 31, 2024 is presented below. The lease terms and discount rates for our Energy, Automotive and Food Packaging segments represent weighted averages based on their respective lease liability balances.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3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March 31, 2025</w:t>
            </w:r>
          </w:p>
        </w:tc>
        <w:tc>
          <w:tcPr>
            <w:tcW w:w="180" w:type="dxa"/>
            <w:vAlign w:val="bottom"/>
          </w:tcPr>
          <w:p>
            <w:pPr>
              <w:spacing w:after="0"/>
              <w:rPr>
                <w:sz w:val="20"/>
                <w:szCs w:val="20"/>
                <w:color w:val="auto"/>
              </w:rPr>
            </w:pPr>
          </w:p>
        </w:tc>
        <w:tc>
          <w:tcPr>
            <w:tcW w:w="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 w:type="dxa"/>
            <w:vAlign w:val="bottom"/>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right"/>
              <w:ind w:right="37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5.2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5.4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8.4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December 31, 2024</w:t>
            </w: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20"/>
                <w:szCs w:val="20"/>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41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5.4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5.4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9.1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lease cost was comprised of (i) operating lease cost of $44 million and $42 million, respectively, (ii) amortization of financing lease right-of-use assets of $2 million and $2 million, respectively, and (iii) interest expense on financing lease liabilities of $1 million and $2 million, respectively.</w:t>
      </w:r>
    </w:p>
    <w:p>
      <w:pPr>
        <w:spacing w:after="0" w:line="176"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Our Automotive segment accounted for $31 million and $33 million of total lease cost for each of the three months ended March 31,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Our Automotive segment leases available and excess real estate in certain locations under long-term operating leases. Our Automotive segment’s revenues from operating leases were $14 million and $15 million for the three months ended March 31, 2025 and 2024, respectively. Revenues from operating leases are included in other revenue from operations in the condensed consolidated statements of operations. Our Automotive segment’s expenses from operating leases including variable lease costs were $24 million and $24 million for the three months ended March 31, 2025 and 2024, respectively. Expenses from operating leases are included in other expenses from operations in the condensed consolidated statements of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Real Estate segment leases real estate, primarily commercial properties under long-term operating leases. As of March 31, 2025 and December 31, 2024, our Real Estate segment had assets leased to others included in property, plant and equipment of $268 million and $236 million, respectively, net of accumulated depreciation. Our Real Estate segment’s revenue from operating leases were $3 million and $3 million for the three months ended March 31, 2025 and 2024, respectively. Revenues from operating leases are included in other revenue from operations in the condensed consolidated statements of operations.</w:t>
      </w:r>
    </w:p>
    <w:p>
      <w:pPr>
        <w:spacing w:after="0" w:line="183"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29"/>
        </w:trPr>
        <w:tc>
          <w:tcPr>
            <w:tcW w:w="6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56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Holding Company: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notes due 2026</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notes due 2027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9.750% senior notes due 2029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10.000% senior notes due 2029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9.000% senior notes due 2030</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10"/>
        </w:trPr>
        <w:tc>
          <w:tcPr>
            <w:tcW w:w="6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Segments: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6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total availability under CVR Energy’s Amended and Restated ABL Credit Agreement (“CVR Energy ABL”) and CVR Partners ABL Credit Agreement (“CVR Partners ABL”) facilities aggregated to $371 million. The CVR Energy ABL had $24 million of letters of credit outstanding as of March 31, 2025. The CVR Energy ABL matures on June 30, 2027, and the CVR Partners ABL on September 26, 2028.</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Non-Cash Charges to Interest Expense</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deferred financing costs and debt discounts and premiums included in interest expense in the condensed consolidated statements of operations were $1 million for each of the three months ended March 31, 2025 and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Net Income (Loss) Per LP Unit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the computation of basic and diluted income per LP unit of Icahn Enterprises are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Icahn Enterprises</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bottom w:val="single" w:sz="8" w:color="CCEEFF"/>
            </w:tcBorders>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Icahn Enterprises allocated to limited partners (98.01%</w:t>
            </w: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980" w:type="dxa"/>
            <w:vAlign w:val="bottom"/>
            <w:gridSpan w:val="2"/>
            <w:vMerge w:val="continue"/>
          </w:tcPr>
          <w:p>
            <w:pPr>
              <w:spacing w:after="0"/>
              <w:rPr>
                <w:sz w:val="13"/>
                <w:szCs w:val="13"/>
                <w:color w:val="auto"/>
              </w:rPr>
            </w:pP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1"/>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allocation)</w:t>
            </w:r>
          </w:p>
        </w:tc>
        <w:tc>
          <w:tcPr>
            <w:tcW w:w="60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income (loss) per LP unit:</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bottom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Basic and diluted weighted average LP units outstanding </w:t>
            </w:r>
            <w:r>
              <w:rPr>
                <w:rFonts w:ascii="Times New Roman" w:cs="Times New Roman" w:eastAsia="Times New Roman" w:hAnsi="Times New Roman"/>
                <w:sz w:val="22"/>
                <w:szCs w:val="22"/>
                <w:color w:val="auto"/>
                <w:vertAlign w:val="superscript"/>
              </w:rPr>
              <w:t>(1)</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20" w:right="219" w:hanging="319"/>
        <w:spacing w:after="0" w:line="261" w:lineRule="auto"/>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their effect would have been anti-dilutive, approximately 13 million and ten million weighted average units have been excluded from the calculation of diluted net income per LP unit for the three months ended March 31, 2025 and 2024, respectively.</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LP Unit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 Distributions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On February 24, 2025, we declared a quarterly distribution in the amount of $0.50 per depositary unit in which each depositary unitholder had the option to make an election to receive either cash or additional depositary units. Because the depositary unitholders had the election to receive the distribution either in cash or additional depositary units, we recorded a unit distribution liability of $267 million as the unit distribution had not been made as of March 31, 2025.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92"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In April 2025, we distributed 23,349,786 depositary units to unitholders who did not elect to receive cash, of which 21,962,413 depositary units were distributed to Mr. Icahn and his affiliates. In connection with these distributions, aggregate cash distributions to all depositary unitholders that made a timely election to receive cash was $75 million, of which $50 million was distributed to Mr. Icahn and his affiliates in April 2025.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continue to have effective Open Market Sale Agreements and Icahn Enterprises may sell its depositary units for up to an additional $47 million in aggregate gross sale proceeds pursuant to its Open Market Sales Agreement entered into November 21, 2022 and up to $400 million in aggregate gross sale proceeds pursuant to its Open Market Sales Agreement entered into August 26, 2024.</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March 31, 2025, the Company has not repurchased any of the Company’s depositary units and the Company has repurchased $269 million worth of senior notes in aggregate under the Repurchase Program. On November 6, 2024, the Board re-approved the Repurchase Program, and, pursuant to the reapproved Program, we are authorized to repurchase up to an additional $500 million worth of our outstanding fixed-rate senior notes, in addition to the approximately $269 million we have already repurchased under the Repurchase Program, and we remain authorized to repurchase up to $500 million of our depositary units, in each case subject to restrictions on use of our cash contained in the indentures governing our indebtedness.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w:t>
      </w:r>
    </w:p>
    <w:p>
      <w:pPr>
        <w:spacing w:after="0" w:line="18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reportable segments reflect the way the Company is managed, and for which separate financial information is available and evaluated regularly by the Company’s Chief Operating Decision Maker (“CODM”) in deciding how to allocate resources and assess performance. The Chairman of the Board of Directors of our general partner, who is our CODM, reviews financial information for each segment and evaluates the results in relation to our broader business strategies. Accordingly, segment operating results are assessed based on net income from continuing operations attributable to Icahn Enterprises. Assets provided to the CODM are consistent with those reported in the condensed consolidated balance sheets, and there are no intra-entity sales or transfers, or significant expense categories regularly reviewed by the CODM beyond those disclosed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11"/>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2025</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1"/>
              </w:rPr>
              <w:t>(in</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5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80"/>
              </w:rPr>
              <w:t>millions)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(394)</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(394)</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disposition of assets,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income (loss), net</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1,657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1,867</w:t>
            </w:r>
          </w:p>
        </w:tc>
        <w:tc>
          <w:tcPr>
            <w:tcW w:w="0" w:type="dxa"/>
            <w:vAlign w:val="bottom"/>
          </w:tcPr>
          <w:p>
            <w:pPr>
              <w:spacing w:after="0"/>
              <w:rPr>
                <w:sz w:val="1"/>
                <w:szCs w:val="1"/>
                <w:color w:val="auto"/>
              </w:rPr>
            </w:pPr>
          </w:p>
        </w:tc>
      </w:tr>
      <w:tr>
        <w:trPr>
          <w:trHeight w:val="129"/>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expense</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Impairment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29"/>
        </w:trPr>
        <w:tc>
          <w:tcPr>
            <w:tcW w:w="29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1,827</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385</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128"/>
        </w:trPr>
        <w:tc>
          <w:tcPr>
            <w:tcW w:w="29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income before income tax (expense) benefit</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(654)</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benefit</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(580)</w:t>
            </w: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w:t>
            </w:r>
          </w:p>
        </w:tc>
        <w:tc>
          <w:tcPr>
            <w:tcW w:w="2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(422)</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64"/>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4"/>
                <w:szCs w:val="14"/>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bl>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11"/>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2024</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1"/>
              </w:rPr>
              <w:t>(in</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5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80"/>
              </w:rPr>
              <w:t>millions)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2,253</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gain on disposition of assets, net</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income (loss), net</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1,879</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2,470</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expense</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29"/>
        </w:trPr>
        <w:tc>
          <w:tcPr>
            <w:tcW w:w="29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1,788</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393</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2,489</w:t>
            </w:r>
          </w:p>
        </w:tc>
        <w:tc>
          <w:tcPr>
            <w:tcW w:w="0" w:type="dxa"/>
            <w:vAlign w:val="bottom"/>
          </w:tcPr>
          <w:p>
            <w:pPr>
              <w:spacing w:after="0"/>
              <w:rPr>
                <w:sz w:val="1"/>
                <w:szCs w:val="1"/>
                <w:color w:val="auto"/>
              </w:rPr>
            </w:pPr>
          </w:p>
        </w:tc>
      </w:tr>
      <w:tr>
        <w:trPr>
          <w:trHeight w:val="128"/>
        </w:trPr>
        <w:tc>
          <w:tcPr>
            <w:tcW w:w="29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income before income tax (expense) benefit</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2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29"/>
        </w:trPr>
        <w:tc>
          <w:tcPr>
            <w:tcW w:w="29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64"/>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4"/>
                <w:szCs w:val="14"/>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60" w:right="109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condensed statements of operations by reporting segment above, we provide additional disaggregated revenue information for our Energy and Automotive segments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Petroleum products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Renewable products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Nitrogen fertilizer products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Services</w:t>
            </w:r>
          </w:p>
        </w:tc>
        <w:tc>
          <w:tcPr>
            <w:tcW w:w="110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Aftermarket Parts</w:t>
            </w: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customers</w:t>
            </w:r>
          </w:p>
        </w:tc>
        <w:tc>
          <w:tcPr>
            <w:tcW w:w="8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Lease revenue outside the scope of ASC 606</w:t>
            </w: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Automotive net sales and other revenues from operations</w:t>
            </w: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0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08"/>
        </w:trPr>
        <w:tc>
          <w:tcPr>
            <w:tcW w:w="2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6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55"/>
        </w:trPr>
        <w:tc>
          <w:tcPr>
            <w:tcW w:w="248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80" w:type="dxa"/>
            <w:vAlign w:val="bottom"/>
          </w:tcPr>
          <w:p>
            <w:pPr>
              <w:spacing w:after="0"/>
              <w:rPr>
                <w:sz w:val="13"/>
                <w:szCs w:val="13"/>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r>
      <w:tr>
        <w:trPr>
          <w:trHeight w:val="115"/>
        </w:trPr>
        <w:tc>
          <w:tcPr>
            <w:tcW w:w="2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w w:val="86"/>
              </w:rPr>
              <w:t>(in millions)</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35"/>
        </w:trPr>
        <w:tc>
          <w:tcPr>
            <w:tcW w:w="2480" w:type="dxa"/>
            <w:vAlign w:val="bottom"/>
            <w:shd w:val="clear" w:color="auto" w:fill="CCEEFF"/>
          </w:tcPr>
          <w:p>
            <w:pPr>
              <w:ind w:left="9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695</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12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1,318</w:t>
            </w:r>
          </w:p>
        </w:tc>
        <w:tc>
          <w:tcPr>
            <w:tcW w:w="120" w:type="dxa"/>
            <w:vAlign w:val="bottom"/>
          </w:tcPr>
          <w:p>
            <w:pPr>
              <w:spacing w:after="0"/>
              <w:rPr>
                <w:sz w:val="11"/>
                <w:szCs w:val="11"/>
                <w:color w:val="auto"/>
              </w:rPr>
            </w:pP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2,183</w:t>
            </w:r>
          </w:p>
        </w:tc>
      </w:tr>
      <w:tr>
        <w:trPr>
          <w:trHeight w:val="117"/>
        </w:trPr>
        <w:tc>
          <w:tcPr>
            <w:tcW w:w="24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Cash held at consolidated affiliated</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5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partnerships and restricted cash</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w:t>
            </w: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2,073</w:t>
            </w: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503</w:t>
            </w: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1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2,484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3,824</w:t>
            </w: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1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w:t>
            </w: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462</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2,523</w:t>
            </w:r>
          </w:p>
        </w:tc>
      </w:tr>
      <w:tr>
        <w:trPr>
          <w:trHeight w:val="168"/>
        </w:trPr>
        <w:tc>
          <w:tcPr>
            <w:tcW w:w="248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5,730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4,722</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1,881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274</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1,708</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15,481</w:t>
            </w:r>
          </w:p>
        </w:tc>
      </w:tr>
      <w:tr>
        <w:trPr>
          <w:trHeight w:val="116"/>
        </w:trPr>
        <w:tc>
          <w:tcPr>
            <w:tcW w:w="2480" w:type="dxa"/>
            <w:vAlign w:val="bottom"/>
            <w:shd w:val="clear" w:color="auto" w:fill="CCEEFF"/>
          </w:tcPr>
          <w:p>
            <w:pPr>
              <w:ind w:left="38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17"/>
        </w:trPr>
        <w:tc>
          <w:tcPr>
            <w:tcW w:w="24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1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2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4,049</w:t>
            </w:r>
          </w:p>
        </w:tc>
      </w:tr>
      <w:tr>
        <w:trPr>
          <w:trHeight w:val="117"/>
        </w:trPr>
        <w:tc>
          <w:tcPr>
            <w:tcW w:w="24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Securities sold, not yet purchased, at fair</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5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value</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6,794</w:t>
            </w:r>
          </w:p>
        </w:tc>
      </w:tr>
      <w:tr>
        <w:trPr>
          <w:trHeight w:val="128"/>
        </w:trPr>
        <w:tc>
          <w:tcPr>
            <w:tcW w:w="2480" w:type="dxa"/>
            <w:vAlign w:val="bottom"/>
            <w:tcBorders>
              <w:top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3,528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811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5,074</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11,739</w:t>
            </w:r>
          </w:p>
        </w:tc>
      </w:tr>
      <w:tr>
        <w:trPr>
          <w:trHeight w:val="128"/>
        </w:trPr>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2,479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(3,366)</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1,774</w:t>
            </w: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1,968</w:t>
            </w:r>
          </w:p>
        </w:tc>
      </w:tr>
      <w:tr>
        <w:trPr>
          <w:trHeight w:val="128"/>
        </w:trPr>
        <w:tc>
          <w:tcPr>
            <w:tcW w:w="2480" w:type="dxa"/>
            <w:vAlign w:val="bottom"/>
            <w:tcBorders>
              <w:top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3,850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1,194</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1,070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215</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(3,366)</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3,742</w:t>
            </w:r>
          </w:p>
        </w:tc>
      </w:tr>
      <w:tr>
        <w:trPr>
          <w:trHeight w:val="129"/>
        </w:trPr>
        <w:tc>
          <w:tcPr>
            <w:tcW w:w="248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5,730</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4,722</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1,881</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434</w:t>
            </w: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512</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220</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1,708</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15,481</w:t>
            </w:r>
          </w:p>
        </w:tc>
      </w:tr>
      <w:tr>
        <w:trPr>
          <w:trHeight w:val="20"/>
        </w:trPr>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Packaging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12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3"/>
                <w:szCs w:val="13"/>
                <w:color w:val="auto"/>
                <w:w w:val="83"/>
              </w:rPr>
              <w:t>(in millions)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987</w:t>
            </w:r>
          </w:p>
        </w:tc>
        <w:tc>
          <w:tcPr>
            <w:tcW w:w="300" w:type="dxa"/>
            <w:vAlign w:val="bottom"/>
            <w:gridSpan w:val="2"/>
          </w:tcPr>
          <w:p>
            <w:pPr>
              <w:jc w:val="right"/>
              <w:ind w:right="6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24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w:t>
            </w:r>
          </w:p>
        </w:tc>
        <w:tc>
          <w:tcPr>
            <w:tcW w:w="10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2,603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7"/>
              </w:rPr>
              <w:t>Cash held at consolidated affiliated partnerships</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restricted cash</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1,660</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6,390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4,751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495</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220</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16,279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shd w:val="clear" w:color="auto" w:fill="CCEEFF"/>
          </w:tcPr>
          <w:p>
            <w:pPr>
              <w:ind w:left="40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liabilities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30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3"/>
                <w:szCs w:val="13"/>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Securities sold, not yet purchased, at fair value</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1,919</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4,699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6,809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2,190</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3,428</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4,776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11,658</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(2,998)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1,323</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452</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(2,998)</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6,390</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4,751</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1,939</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425</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281</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1,778</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we recorded an income tax benefit of $74 million on pre-tax loss of $654 million compared to an income tax expense of $7 million on pre-tax loss of $19 million for the three months ended March 31, 2024. Our effective income tax rate was 11.2% and (36.8%) for the three months ended March 31, 2025 and 2024, respectively.</w:t>
      </w:r>
    </w:p>
    <w:p>
      <w:pPr>
        <w:spacing w:after="0" w:line="180"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effective tax rate was lower than the statutory federal rate of 21%, for corporations, primarily due to partnership loss for which there was no tax benefit as such income is allocated to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partners. For the three months ended March 31, 2024, the effective tax rate was lower than the statutory federal rate of 21%, for corporations, primarily due to partnership loss for which there was no tax benefit as such losses are allocated to the partners.</w:t>
      </w:r>
    </w:p>
    <w:p>
      <w:pPr>
        <w:spacing w:after="0" w:line="172"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Accumulated Other Comprehensive Loss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Benefits, Net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2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2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8"/>
        </w:trPr>
        <w:tc>
          <w:tcPr>
            <w:tcW w:w="4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Benefits, Net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0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8"/>
        </w:trPr>
        <w:tc>
          <w:tcPr>
            <w:tcW w:w="4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Net</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income,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228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Our consolidated environmental liabilities on an undiscounted basis were $4 million and $3 million as of March 31, 2025 and December 31, 2024,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RFS Disputes </w:t>
      </w:r>
      <w:r>
        <w:rPr>
          <w:rFonts w:ascii="Times New Roman" w:cs="Times New Roman" w:eastAsia="Times New Roman" w:hAnsi="Times New Roman"/>
          <w:sz w:val="18"/>
          <w:szCs w:val="18"/>
          <w:color w:val="auto"/>
        </w:rPr>
        <w:t>- CVR Energy’s obligated-party subsidiaries are subject to the Renewable Fuel Standard (“RFS”)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by the U.S. Environmental Protection Agency (“EPA”) which, absent any exemption or waiver, requires refiners to either blend renewable fuels into their transportation fuels or purchase renewable fuel credits, known as RINs, in lieu of blending, in an amount equal to the renewable volume obligation (“RVO”) for the applicable compliance year. CVR Energy’s obligated-party subsidiaries are not able to blend the substantial majority of their transportation fuels and, unless their obligations are waived or exempted by the EPA, must either purchase RINs on the open market or obtain waiver credits for cellulosic biofuels in order to comply with the RFS. CVR Energy’s obligated-party subsidiaries also purchase RINs generated from its renewable diesel operations to partially satisfy their RFS obligations.</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One of CVR Energy’s obligated-party subsidiaries, Wynnewood Refining Company, LLC (“WRC”), qualifies as a “small refinery” defined under the RFS as a refinery with an average aggregate daily crude oil throughput for a calendar year no greater than 75,000 barrels, which enables WRC to seek small refinery exemptions (“SREs”) under the RFS should it be able to establish it suffered disproportionate economic hardship. WRC has submitted SRE petitions for the 2017 through 2024 compliance periods, which petitions are in various stages of review by the EPA and/or various courts.</w:t>
      </w:r>
    </w:p>
    <w:p>
      <w:pPr>
        <w:spacing w:after="0" w:line="183"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Regarding WRC’s SRE petitions for the 2017 to 2021 compliance periods which, together with the SRE petitions from certain other small refineries, had been denied by the EPA in 2022 (the “2022 Denials”), the EPA has yet to act on those petitions after its denials were vacated by the United States Court of Appeals for the Fifth Circuit (the “Fifth Circuit”) in November 2023 and remanded back to the EPA on the grounds that the EPA’s denials were impermissibly retroactive and that the EPA’s interpretation was contrary to law and arbitrary and capricious as applied to petitioners’ exemptions. The EPA and certain biofuels groups sought certiorari before the Supreme Court of the United States (“SCOTUS”) seeking review of whether venue for these challenges to the 2022 Denials lies exclusively in the United States Court of Appeals for the District of Colombia Circuit (the “DC Circuit”), which certiorari was granted in October 2024. Oral argument was held in March 2025 with a ruling from SCOTUS currently expected in the second quarter of 2025. While WRC believes venue was proper in the Fifth Circuit, should SCOTUS determine venue lies exclusively in the DC Circuit, WRC expects the November 2023 decision of the Fifth Circuit vacating the EPA’s denials of WRC’s petitions for the 2017 to 2021 compliance periods, as well as petitions from certain other small refineries, would be vacated and ultimately become subject to July 2024 decision of the DC Circuit which ruled in favor of certain small refineries also challenging the 2022 Denials, holding that the 2022 Denials as applicable to those small refineries was arbitrary and capricious, vacating such denials and remanding such petitions back to the EPA. Also in March 2025, the Fifth Circuit granted WRC’s unopposed motion to stay its 2023 compliance obligations under the RFS in connection with the lawsuit filed by WRC against the EPA in the Fifth Circuit challenging the EPA’s January 2025 denial of WRC’s petition seeking exemption for the 2023 compliance period. As these matters are in various stages, CVR Energy cannot yet determine at this time the outcomes of these matters. While CVR Energy intends to prosecute these actions vigorously, if these matters are ultimately concluded in a manner adverse to them, they could have a material effect on CVR Energy’s financial position, results of operations, or cash flows.</w:t>
      </w:r>
    </w:p>
    <w:p>
      <w:pPr>
        <w:spacing w:after="0" w:line="188" w:lineRule="exact"/>
        <w:rPr>
          <w:sz w:val="20"/>
          <w:szCs w:val="20"/>
          <w:color w:val="auto"/>
        </w:rPr>
      </w:pPr>
    </w:p>
    <w:p>
      <w:pPr>
        <w:ind w:left="60" w:right="159" w:firstLine="333"/>
        <w:spacing w:after="0" w:line="253" w:lineRule="auto"/>
        <w:rPr>
          <w:sz w:val="20"/>
          <w:szCs w:val="20"/>
          <w:color w:val="auto"/>
        </w:rPr>
      </w:pPr>
      <w:r>
        <w:rPr>
          <w:rFonts w:ascii="Times New Roman" w:cs="Times New Roman" w:eastAsia="Times New Roman" w:hAnsi="Times New Roman"/>
          <w:sz w:val="18"/>
          <w:szCs w:val="18"/>
          <w:color w:val="auto"/>
        </w:rPr>
        <w:t>Our Energy segment recognized, net of RINS sales, an expense of $123 million and a benefit of $51 million for the three months ended March 31, 2025 and 2024, respectively, for CVR Energy’s obligated-party subsidiaries’ compliance with the RFS (based on the 2020 through 2025 annual RVO, excluding the impacts of any exemptions or waivers to which the obligated-party subsidiaries may be entitled). These recognized amounts are included in cost of goods sold in the consolidated statements of operations and represent costs to comply with the RFS obligation through purchasing of RINs not otherwise reduced by blending of ethanol, biodiesel, or renewable diesel. At each reporting period, to the extent RINs purchased or generated through blending are less than the RFS obligation (excluding the impact of exemptions or waivers to which CVR Energy’s obligated-party subsidiaries may be entitled), the remaining position is valued using RIN market prices at period end using each specific or closest vintage year. As of March 31, 2025 and December 31, 2024, CVR Energy’s obligated-party subsidiaries’ RFS position was $438 million and $323 million, respectively, and is included in accrued expenses and other liabilities in the condensed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45Q Transaction</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is subject to fees of up to $15 million per year, with an overall cap at $45 million, should it fail to perform.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 See the matters described under the caption “Other”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Call Option Coverage Cases </w:t>
      </w:r>
      <w:r>
        <w:rPr>
          <w:rFonts w:ascii="Times New Roman" w:cs="Times New Roman" w:eastAsia="Times New Roman" w:hAnsi="Times New Roman"/>
          <w:sz w:val="18"/>
          <w:szCs w:val="18"/>
          <w:color w:val="auto"/>
        </w:rPr>
        <w:t>- The appeal filed in the Texas First Court of Appeals by CVR Energy and certain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(the “Call Defendants”) of the entry of summary judgment by the lower court in the declaratory judgment action (the “Texas Case”) filed by CVR Energy’s primary and excess insurers (the “Insurers”) seeking determination that the Insurers owe no indemnity coverage under policies with coverage limits of $50 million for the August 2022 settlement by the Call Defendants of the consolidated lawsuits filed by purported former unitholders of CVR Refining, L.P. on behalf of themselves and an alleged class of similarly situated unitholders has been fully briefed, though no decision has yet been issued. The Delaware action filed by the Call Defendants against the Insurers seeking recovery of all amounts paid in connection with settlement August 2022 settlement remains pending. While both cases remain pending, CVR Energy does not expect the outcome of these lawsuits to have a material adverse impact on its financial position, results of operations, or cash flows.</w:t>
      </w:r>
    </w:p>
    <w:p>
      <w:pPr>
        <w:spacing w:after="0" w:line="185" w:lineRule="exact"/>
        <w:rPr>
          <w:sz w:val="20"/>
          <w:szCs w:val="20"/>
          <w:color w:val="auto"/>
        </w:rPr>
      </w:pPr>
    </w:p>
    <w:p>
      <w:pPr>
        <w:ind w:left="60" w:right="2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Guaranty Dispute </w:t>
      </w:r>
      <w:r>
        <w:rPr>
          <w:rFonts w:ascii="Times New Roman" w:cs="Times New Roman" w:eastAsia="Times New Roman" w:hAnsi="Times New Roman"/>
          <w:sz w:val="18"/>
          <w:szCs w:val="18"/>
          <w:color w:val="auto"/>
        </w:rPr>
        <w:t>– In April 2025, a subsidiary of CVR Energy filed an amended complaint in the Superior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disputing the validity of an alleged guaranty claimed by XOM to have been issued in its favor in 1993 by a subsidiary of CVR Energy, under which XOM has demanded that such subsidiary defend and indemnify it against claims by numerous property owners in Louisiana alleging contamination from historic well operations. As this matter remains in its early stages, the Company cannot yet determine whether its outcome will have a material adverse impact on the Company’s financial position, results of operations, or cash flows.</w:t>
      </w: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Pension Obligations</w:t>
      </w:r>
    </w:p>
    <w:p>
      <w:pPr>
        <w:spacing w:after="0" w:line="133" w:lineRule="exact"/>
        <w:rPr>
          <w:sz w:val="20"/>
          <w:szCs w:val="20"/>
          <w:color w:val="auto"/>
        </w:rPr>
      </w:pPr>
    </w:p>
    <w:p>
      <w:pPr>
        <w:ind w:left="60" w:right="59" w:firstLine="324"/>
        <w:spacing w:after="0" w:line="235"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86% of Icahn Enterprises’ outstanding depositary units as of March 31, 2025.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07" w:lineRule="exact"/>
        <w:rPr>
          <w:sz w:val="20"/>
          <w:szCs w:val="20"/>
          <w:color w:val="auto"/>
        </w:rPr>
      </w:pPr>
    </w:p>
    <w:p>
      <w:pPr>
        <w:ind w:left="60" w:right="79" w:firstLine="324"/>
        <w:spacing w:after="0" w:line="235"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 the liabilities of a pension plan sponsored by Viskase. All the minimum funding requirements of the Internal Revenue Code, as amended, and the Employee Retirement Income Security Act of 1974, as amended, for the Viskase plan have been met as of March 31, 2025. If the plan was voluntarily terminated, it would be underfunded by approximately $21 million as of March 31, 2025. These results are based on the most recent information provided by the plans’ actuary. This liability could increase or decrease, depending on a number of factors, including future changes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spacing w:after="0" w:line="238" w:lineRule="auto"/>
        <w:rPr>
          <w:sz w:val="20"/>
          <w:szCs w:val="20"/>
          <w:color w:val="auto"/>
        </w:rPr>
      </w:pPr>
      <w:r>
        <w:rPr>
          <w:rFonts w:ascii="Times New Roman" w:cs="Times New Roman" w:eastAsia="Times New Roman" w:hAnsi="Times New Roman"/>
          <w:sz w:val="18"/>
          <w:szCs w:val="18"/>
          <w:color w:val="auto"/>
        </w:rPr>
        <w:t>benefits, investment returns, and the assumptions used to calculate the liability. As members of the controlled group, we would be liable for any failure of Viskase to make ongoing pension contributions or to pay the unfunded liabilities upon a termination of the Viskase pension plan. In addition, other entities now or in the future within the controlled group in which we are included may have pension plan obligations that are, or may become, underfunded and we would be liable for any failure of such entity to make ongoing pension contributions or to pay the unfunded liabilities upon termination of such plan.</w:t>
      </w:r>
    </w:p>
    <w:p>
      <w:pPr>
        <w:spacing w:after="0" w:line="105" w:lineRule="exact"/>
        <w:rPr>
          <w:sz w:val="20"/>
          <w:szCs w:val="20"/>
          <w:color w:val="auto"/>
        </w:rPr>
      </w:pPr>
    </w:p>
    <w:p>
      <w:pPr>
        <w:ind w:left="60" w:right="139" w:firstLine="324"/>
        <w:spacing w:after="0"/>
        <w:rPr>
          <w:sz w:val="20"/>
          <w:szCs w:val="20"/>
          <w:color w:val="auto"/>
        </w:rPr>
      </w:pPr>
      <w:r>
        <w:rPr>
          <w:rFonts w:ascii="Times New Roman" w:cs="Times New Roman" w:eastAsia="Times New Roman" w:hAnsi="Times New Roman"/>
          <w:sz w:val="18"/>
          <w:szCs w:val="18"/>
          <w:color w:val="auto"/>
        </w:rPr>
        <w:t>The current underfunded status of the Viskase pension plan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spacing w:after="0" w:line="104" w:lineRule="exact"/>
        <w:rPr>
          <w:sz w:val="20"/>
          <w:szCs w:val="20"/>
          <w:color w:val="auto"/>
        </w:rPr>
      </w:pPr>
    </w:p>
    <w:p>
      <w:pPr>
        <w:ind w:left="60" w:right="99" w:firstLine="324"/>
        <w:spacing w:after="0" w:line="235"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and his affiliates (excluding us and Brett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Icahn Enterprises L.P. was contacted on May 3, 2023 by the U.S. Attorney’s office for the Southern District of New York, seeking production of information relating to the Company and certain of its affiliates’ corporate governance, capitalization, securities offerings, disclosure, dividends, valuation, marketing materials, due diligence and other materials. The Company produced documents in response to that inquiry and has had no substantive communication with the U.S. Attorney’s office since the initial inquiry on May 3, 2023.</w:t>
      </w:r>
    </w:p>
    <w:p>
      <w:pPr>
        <w:spacing w:after="0" w:line="179" w:lineRule="exact"/>
        <w:rPr>
          <w:sz w:val="20"/>
          <w:szCs w:val="20"/>
          <w:color w:val="auto"/>
        </w:rPr>
      </w:pPr>
    </w:p>
    <w:p>
      <w:pPr>
        <w:ind w:left="360" w:hanging="310"/>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cash flow information consists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4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29"/>
        </w:trPr>
        <w:tc>
          <w:tcPr>
            <w:tcW w:w="4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1"/>
                <w:szCs w:val="1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21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(100)</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 income taxes, net of payments</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5, 2025, the Board of Directors of the general partner of Icahn Enterprises declared a quarterly distribution in the amount of $0.50 per depositary unit, which will be paid on or about June 25, 2025 to depositary unitholders of record at the close of business on May 19, 2025. Depositary unitholders will have until June 12, 2025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20, 2025. Icahn Enterprises will make a cash payment in lieu of issuing fractional depositary units to any unitholders electing to receive (or who are deemed to have elected to receive) depositary units.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Funds Redemption</w:t>
      </w:r>
    </w:p>
    <w:p>
      <w:pPr>
        <w:spacing w:after="0" w:line="227"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In April 2025, Mr. Icahn and his affiliates (excluding us and Brett Icahn) redeemed $208 million from his personal interest in the Investment Funds included in the Investment segment, which was paid to Mr. Icahn and his affiliates on April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March 31, 2025 (this “Report”), as well as our Annual Report on Form 10-K for the year ended December 31, 2024 filed with the Securities and Exchange Commission on February 26,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spacing w:after="0" w:line="18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2025 representing an aggregate 1.99% general partner interest in Icahn Enterprises and Icahn Enterprises Holdings. Mr. Icahn and his affiliates owned approximately 86% of Icahn Enterprises’ outstanding depositary units as of March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Viskase Private Placement</w:t>
      </w:r>
    </w:p>
    <w:p>
      <w:pPr>
        <w:spacing w:after="0" w:line="227"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March 2025, Viskase Companies, Inc. (“Viskase”) completed an equity private placement whereby we acquired an additional 7,142,858 shares of Viskase common stock for a purchase price $15 million. As of March 31, 2025, we owned approximately 91% of the total outstanding common stock of Viskase.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Potential Strategic Transactions</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previously disclosed, we are considering, with CVR Energy, Inc. (“CVR Energy”), potential strategic transactions available to CVR Energy and its subsidiaries, which may include the acquisition of additional entities, assets or businesses, including the acquisition of material amounts of refining assets through negotiated mergers and/or stock or asset purchase agreements by CVR Energy or its subsidiaries, and/or strategic options involving CVR Partners, LP, a controlled subsidiary of CVR Energy (“CVR Partners”). There is no assurance that any of the aforementioned or previously disclosed or other transactions will develop or materialize, or if they do, as to their timing. On January 8, 2025, we completed a tender offer to acquire additional shares of CVR Energy’s common stock, purchasing a total of 878,212 shares, bringing our aggregate percentage ownership to approximately 67% of CVR Energy’s outstanding shares of common stock. On February 21, 2025, AEPC entered into a Rule 10b5-1 trading plan to purchase up to 13,356,539 shares of common stock of CVR Energy. The plan will terminate on February 21, 2026, if not earlier terminated by its terms. To the extent we become the owner of 80% or more of the outstanding shares of CVR Energy, this ownership would allow for tax consolidation of CVR Energy within the tax group of which American Entertainment Property Corp. (“AEPC”) is the common parent (and such tax group, the “AEPC Group”) for U.S. federal income tax purposes.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On December 20, 2024, AEPC entered into a Rule 10b5-1 trading plan to purchase up to 320,000 common units of CVR Partners. The plan will terminate on June 1, 2025 if not earlier terminated by its terms.</w:t>
      </w:r>
    </w:p>
    <w:p>
      <w:pPr>
        <w:spacing w:after="0" w:line="16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As of May 1, 2025, we acquired additional shares in cash and now own approximately 70% of the total outstanding common stock of CVR Energy and 3% of the total outstanding common units of CVR Partners.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Viskase, our majority owned subsidiary, is currently considering a potential transaction involving</w:t>
      </w:r>
    </w:p>
    <w:p>
      <w:pPr>
        <w:spacing w:after="0" w:line="27" w:lineRule="exact"/>
        <w:rPr>
          <w:sz w:val="20"/>
          <w:szCs w:val="20"/>
          <w:color w:val="auto"/>
        </w:rPr>
      </w:pPr>
    </w:p>
    <w:p>
      <w:pPr>
        <w:jc w:val="both"/>
        <w:ind w:left="60" w:right="119"/>
        <w:spacing w:after="0" w:line="255" w:lineRule="auto"/>
        <w:rPr>
          <w:sz w:val="20"/>
          <w:szCs w:val="20"/>
          <w:color w:val="auto"/>
        </w:rPr>
      </w:pPr>
      <w:r>
        <w:rPr>
          <w:rFonts w:ascii="Times New Roman" w:cs="Times New Roman" w:eastAsia="Times New Roman" w:hAnsi="Times New Roman"/>
          <w:sz w:val="18"/>
          <w:szCs w:val="18"/>
          <w:color w:val="auto"/>
        </w:rPr>
        <w:t>Enzon Pharmaceuticals, Inc. (“Enzon”), of which we own approximately 49% of the outstanding common stock, through a negotiated merger transaction or otherwise. In connection therewith, we may engage in other activities, discussions and/or negotiations regarding a potential transaction involving Viskase and Enzon.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 Redemption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“Investment Funds Redemptions” below under “Liquidity and Capital Resources.”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Potential supply chain disruptions, geopolitical and economic instability, volatility in energy prices, the impacts of increasing electric vehicles and liquid natural gas and other improvements in fuel efficiencies and changes in regulatory policies could adversely affect operations, in particular in our Energy segment. Our ability to generate sufficient cash from our operating activities in the current commodity price environment, sell non-core assets, access capital markets, incur additional debt or take any other action to improve our liquidity is subject to the risks discussed in this Quarterly Report on Form 10-Q and elsewhere in our periodic reports and the other risks and uncertainties that exist in our industry, and depends on our future operational performance, which is subject to general economic, political, financial, competitive, and other factors, some of which may be beyond our control. Furthermore, shifts in demand and tightening credit market conditions could impact our financial stability. Increased tariffs, both by the U.S. and globally, ongoing and future trade conflicts and changes in U.S. economic trade policy, and economic uncertainly has led to increased volatility. The impact of tariffs has not been significant as of March 31,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The comparability of our summarized consolidated financial results presented below is affected primarily by the performance of the Investment Funds and the results of operations of our Energy segment, impacted by the demand and pricing for its products. Refer to our respective segment discussions and “Other Consolidated Results of Operations,” below for further discussion.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tcPr>
          <w:p>
            <w:pPr>
              <w:spacing w:after="0"/>
              <w:rPr>
                <w:sz w:val="13"/>
                <w:szCs w:val="13"/>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5"/>
            <w:vMerge w:val="continue"/>
          </w:tcPr>
          <w:p>
            <w:pPr>
              <w:spacing w:after="0"/>
              <w:rPr>
                <w:sz w:val="15"/>
                <w:szCs w:val="15"/>
                <w:color w:val="auto"/>
              </w:rPr>
            </w:pP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Borders>
              <w:top w:val="single" w:sz="8" w:color="auto"/>
              <w:bottom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2"/>
                <w:szCs w:val="12"/>
                <w:color w:val="auto"/>
              </w:rPr>
            </w:pPr>
          </w:p>
        </w:tc>
        <w:tc>
          <w:tcPr>
            <w:tcW w:w="204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Holding Company</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Operating Segments: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Energy</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Food Packaging</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Home Fashion</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Pharma</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operating segments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2,182</w:t>
            </w: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(166)</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1,867</w:t>
            </w:r>
          </w:p>
        </w:tc>
        <w:tc>
          <w:tcPr>
            <w:tcW w:w="20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2,470</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(580)</w:t>
            </w: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(422)</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We invest our proprietary capital through various private investment funds (“Investment Funds”). As of March 31, 2025 and December 31, 2024, we had investments with a fair market value of approximately $2.5 billion and $2.7 billion, respectively in the Investment Funds. As of March 31, 2025 and December 31, 2024, the total fair market value of investments in the Investment Funds made by Mr. Icahn and his affiliates (excluding us and Brett Icahn) was approximately $1.4 billion and $1.5 billion, respectively. As of March 31, 2025, Mr. Icahn and his affiliates have pledged approximately $1.0 billion of interests in the Investment Funds.</w:t>
      </w:r>
    </w:p>
    <w:p>
      <w:pPr>
        <w:spacing w:after="0" w:line="145" w:lineRule="exact"/>
        <w:rPr>
          <w:sz w:val="20"/>
          <w:szCs w:val="20"/>
          <w:color w:val="auto"/>
        </w:rPr>
      </w:pPr>
    </w:p>
    <w:p>
      <w:pPr>
        <w:ind w:left="60" w:right="79" w:firstLine="324"/>
        <w:spacing w:after="0" w:line="232" w:lineRule="auto"/>
        <w:rPr>
          <w:sz w:val="20"/>
          <w:szCs w:val="20"/>
          <w:color w:val="auto"/>
        </w:rPr>
      </w:pPr>
      <w:r>
        <w:rPr>
          <w:rFonts w:ascii="Times New Roman" w:cs="Times New Roman" w:eastAsia="Times New Roman" w:hAnsi="Times New Roman"/>
          <w:sz w:val="18"/>
          <w:szCs w:val="18"/>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March 31, 2025.</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2024, our Investment Funds’ returns were (8.4)% and (0.8)%, respectively. Our Investment Funds’ returns represent a weighted-average composite of the average returns, net of expenses. The Other category is primarily comprised of interest income earned on cash balances, collateral posted to counterparties and short rebates.</w:t>
      </w:r>
    </w:p>
    <w:p>
      <w:pPr>
        <w:spacing w:after="0" w:line="180"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set forth the performance attribution and net income (loss) for the Investment Funds’ returns for the three months ended March 31, 2025 and 2024, respectively, and includes performance of all investment and derivative position types including the impact of the use of leverage through options, short sales, swaps, forwards and other derivative instruments.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7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09"/>
        </w:trPr>
        <w:tc>
          <w:tcPr>
            <w:tcW w:w="61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0.9 %</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r>
      <w:tr>
        <w:trPr>
          <w:trHeight w:val="210"/>
        </w:trPr>
        <w:tc>
          <w:tcPr>
            <w:tcW w:w="6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2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3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42"/>
        </w:trPr>
        <w:tc>
          <w:tcPr>
            <w:tcW w:w="6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(398)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6380" w:type="dxa"/>
            <w:vAlign w:val="bottom"/>
          </w:tcPr>
          <w:p>
            <w:pPr>
              <w:spacing w:after="0"/>
              <w:rPr>
                <w:sz w:val="18"/>
                <w:szCs w:val="18"/>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(350)</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 and 2024</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the Investment Funds’ negative performance was primarily driven by net losses in long positions, offset in part by net gains in short positions. The negative performance of our Investment segment’s long positions was driven primarily by net losses from the healthcare, consumer, cyclical and industrials sectors of $529 million, offset in part by net gains from the utilities sector of $119 million. The positive performance of our Investment segment’s short positions was primarily driven by gains from broad market hedges of $85 million, offset in part by net losses in the utilities and energy sectors of $78 million.</w:t>
      </w:r>
    </w:p>
    <w:p>
      <w:pPr>
        <w:spacing w:after="0" w:line="187"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2024, the Investment Funds’ negative performance was primarily driven by net losses in short positions. The negative performance of our Investment segment’s short positions was driven primarily by losses from our energy hedges totaling $341 million, losses from a broad market hedge of $177 million, and the aggregate performance of short positions with net losses across various sectors of $181 million. The positive performance of our Investment segment’s long positions was driven primarily by gains from the healthcare, utilities, and energy sectors totaling $559 million, and the aggregate performance of long positions with net gains across various sectors of $37 million.</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Energy segment is primarily engaged in the petroleum refining, renewable fuels and nitrogen fertilizer manufacturing businesses. The petroleum business accounted for approximately 90% and 92% of our Energy segment’s net sales for the three months ended March 31, 2025 and 2024, respectively.</w:t>
      </w:r>
    </w:p>
    <w:p>
      <w:pPr>
        <w:spacing w:after="0" w:line="17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partially influenced by the rate at which the processing of Refined Products adjusts to reflect these changes.</w:t>
      </w:r>
    </w:p>
    <w:p>
      <w:pPr>
        <w:spacing w:after="0" w:line="188"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7"/>
          <w:szCs w:val="17"/>
          <w:color w:val="auto"/>
        </w:rPr>
        <w:t>In addition to geopolitical conditions, such as the ongoing conflict in the Middle East and the impact of the Russia/Ukraine conflict, there are long-term factors such as increased tariffs, ongoing and future trade conflicts and changes in U.S. economic trade policy that may impact the demand for and inventory of refined products. These factors include mandated renewable fuels standards, proposed and enacted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purchase renewable identification numbers (“RINs”), to the extent available,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transportation fuel and renewable diesel production levels and pricing, the availability of alternative or supporting credits for renewable fuel producers,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16, “Commitments and Contingencies,” to the consolidated financial statements for further discussion of RINs.</w:t>
      </w:r>
    </w:p>
    <w:p>
      <w:pPr>
        <w:spacing w:after="0" w:line="177" w:lineRule="exact"/>
        <w:rPr>
          <w:sz w:val="20"/>
          <w:szCs w:val="20"/>
          <w:color w:val="auto"/>
        </w:rPr>
      </w:pPr>
    </w:p>
    <w:p>
      <w:pPr>
        <w:ind w:left="60" w:right="399" w:firstLine="324"/>
        <w:spacing w:after="0" w:line="256" w:lineRule="auto"/>
        <w:rPr>
          <w:sz w:val="20"/>
          <w:szCs w:val="20"/>
          <w:color w:val="auto"/>
        </w:rPr>
      </w:pPr>
      <w:r>
        <w:rPr>
          <w:rFonts w:ascii="Times New Roman" w:cs="Times New Roman" w:eastAsia="Times New Roman" w:hAnsi="Times New Roman"/>
          <w:sz w:val="18"/>
          <w:szCs w:val="18"/>
          <w:color w:val="auto"/>
        </w:rPr>
        <w:t>The conflict in the Middle East and the ongoing Russian/Ukraine conflict can significantly impact the global oil, fertilizer, and agriculture markets. Such conflicts pose significant geopolitical risks to global markets, raise concerns of major implications, such as enforcement of sanctions, can contribute to further oil price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Energy segment’s net sales, cost of goods sold and gross profit: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profit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 and 2024</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Net sales for our Energy segment decreased by $217 million (12%) for the three months ended March 31, 2025 as compared to the comparable prior year period due to a decrease in our petroleum business’ net sales of $243 million, offset in part by an increase in our renewable business’ net sales of $11 million and an increase in our nitrogen fertilizer business’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by $15 million over the comparable period. The decrease in the petroleum business’ net sales was driven by lower sales volumes as a result of planned maintenance at the Coffeyville Refinery, resulting in lower production, and lower refined product prices resulting from elevated inventory levels and reduced demand. Our renewables business’ net sales increased due to higher production and sales volumes coupled with increased biodiesel RIN prices. Our nitrogen fertilizer business’ net sales increased primarily due to favorable urea ammonium nitrate (“UAN”) sales volumes, higher ammonia pricing, and favorable sale of other products, partially offset by unfavorable ammonia sales volumes and UAN sales prices.</w:t>
      </w:r>
    </w:p>
    <w:p>
      <w:pPr>
        <w:spacing w:after="0" w:line="18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Cost of goods sold for our Energy segment increased by $35 million (2%) for the three months ended March 31, 2025 as compared to the comparable prior year period. The increase was primarily from our petroleum business, mainly due to higher direct purchases resulting from lower production and increased RFS expenses of $185 million, which includes unfavorable RINs liability revaluation of $203 million. The increase was offset in part by reduction of crude oil consumption due to the planned maintenance and a favorable derivative impact in the current period. Gross profit for our Energy segment decreased by $252 million for the three months ended March 31, 2025 as compared to the comparable prior year period. Gross margin was (6%) and 8% for the three months ended March 31, 2025 and 2024, respectively. The decrease in gross margin was primarily attributable to the petroleum business, as a result of lower refining margins driven by increased RFS expenses in the current year, unfavorable sales volume impacts related to the Coffeyville Refinery 2025 planned maintenance and decreased crack spreads, offset in part by favorable derivative impacts of $31 million.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Automotive segment’s results of operations are generally driven by the demand for automotive service and maintenance, which is impacted by general economic factors, vehicle miles traveled, and the average age of vehicles on the road, among other factors.</w:t>
      </w:r>
    </w:p>
    <w:p>
      <w:pPr>
        <w:spacing w:after="0" w:line="17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Automotive segment has been in the process of a multi-year transformation plan. As part of this plan, our Automotive segment completed the separation of certain of its Automotive Services and Aftermarket Parts businesses into two separate operating companies. Auto Plus, which operated the majority of our Aftermarket Parts business, began operating in locations owned and leased by the Automotive Services business from 2021 until 2023.</w:t>
      </w:r>
    </w:p>
    <w:p>
      <w:pPr>
        <w:spacing w:after="0" w:line="180" w:lineRule="exact"/>
        <w:rPr>
          <w:sz w:val="20"/>
          <w:szCs w:val="20"/>
          <w:color w:val="auto"/>
        </w:rPr>
      </w:pPr>
    </w:p>
    <w:p>
      <w:pPr>
        <w:ind w:left="60" w:right="339" w:firstLine="324"/>
        <w:spacing w:after="0" w:line="289" w:lineRule="auto"/>
        <w:rPr>
          <w:sz w:val="20"/>
          <w:szCs w:val="20"/>
          <w:color w:val="auto"/>
        </w:rPr>
      </w:pPr>
      <w:r>
        <w:rPr>
          <w:rFonts w:ascii="Times New Roman" w:cs="Times New Roman" w:eastAsia="Times New Roman" w:hAnsi="Times New Roman"/>
          <w:sz w:val="17"/>
          <w:szCs w:val="17"/>
          <w:color w:val="auto"/>
        </w:rPr>
        <w:t>In January 2023, Auto Plus filed a voluntary bankruptcy petition seeking relief under Chapter 11 of the Bankruptcy Code, resulting in its cessation of operations and deconsolidation, which reduced our Automotive segment’s assets. Following the bankruptcy, Auto Plus exited the Automotive Services locations within which it operated.</w:t>
      </w:r>
    </w:p>
    <w:p>
      <w:pPr>
        <w:spacing w:after="0" w:line="15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its transformation plan, the Automotive segment leases available and excess real estate in certain locations under long-term operating leases previously utilized by the Aftermarket Parts business. During this multi-year transformation plan, the Automotive segment will continue investing capital to repurpose these locations for future multi-tenant use and we anticipate increased leasing revenues as a result. During the fourth quarter of 2024, the Automotive segment entered into an agreement with a tenant to terminate a group of leases, effective March 31, 2025. As a result of this termination, the segment has additional excess real estate available to lease. This change may delay certain aspects of the ongoing transformation plan and could result in reduced cash flows during the anticipated lease-up period. Our Automotive segment’s priorities include:</w:t>
      </w:r>
    </w:p>
    <w:p>
      <w:pPr>
        <w:spacing w:after="0" w:line="192" w:lineRule="exact"/>
        <w:rPr>
          <w:sz w:val="20"/>
          <w:szCs w:val="20"/>
          <w:color w:val="auto"/>
        </w:rPr>
      </w:pPr>
    </w:p>
    <w:p>
      <w:pPr>
        <w:ind w:left="880" w:right="459" w:hanging="317"/>
        <w:spacing w:after="0" w:line="268"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the Automotive Services broad offerings to take advantage of opportunities in the do-it-for-me market and vehicle fleets;</w:t>
      </w:r>
    </w:p>
    <w:p>
      <w:pPr>
        <w:spacing w:after="0" w:line="1" w:lineRule="exact"/>
        <w:rPr>
          <w:rFonts w:ascii="Times New Roman" w:cs="Times New Roman" w:eastAsia="Times New Roman" w:hAnsi="Times New Roman"/>
          <w:sz w:val="18"/>
          <w:szCs w:val="18"/>
          <w:color w:val="auto"/>
        </w:rPr>
      </w:pPr>
    </w:p>
    <w:p>
      <w:pPr>
        <w:ind w:left="880" w:right="299" w:hanging="317"/>
        <w:spacing w:after="0" w:line="260"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our current store footprint to keep pace with shifting market dynamics, with strategic investment in opening new locations with attractive growth potential and simultaneously closing our lowest and underperforming locations;</w:t>
      </w:r>
    </w:p>
    <w:p>
      <w:pPr>
        <w:spacing w:after="0" w:line="2" w:lineRule="exact"/>
        <w:rPr>
          <w:rFonts w:ascii="Times New Roman" w:cs="Times New Roman" w:eastAsia="Times New Roman" w:hAnsi="Times New Roman"/>
          <w:sz w:val="18"/>
          <w:szCs w:val="18"/>
          <w:color w:val="auto"/>
        </w:rPr>
      </w:pPr>
    </w:p>
    <w:p>
      <w:pPr>
        <w:ind w:left="880" w:right="239" w:hanging="317"/>
        <w:spacing w:after="0" w:line="258"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and strategic review of, capital projects within Icahn Automotive’s owned and leased locations to increase leasing revenue, restructure lease liabilities, and reduce occupancy costs;</w:t>
      </w:r>
    </w:p>
    <w:p>
      <w:pPr>
        <w:ind w:left="880" w:hanging="317"/>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of Store and Distribution Center network while improving inventory and cost position;</w:t>
      </w:r>
    </w:p>
    <w:p>
      <w:pPr>
        <w:spacing w:after="0" w:line="9"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to improve the overall customer experience through process, facilities and automation;</w:t>
      </w:r>
    </w:p>
    <w:p>
      <w:pPr>
        <w:spacing w:after="0" w:line="22"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employees with focus on training and career development;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right="199" w:hanging="317"/>
        <w:spacing w:after="0" w:line="297"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improvements and sharing best practices through investments in people, technology, and our overall supply chain.</w:t>
      </w:r>
    </w:p>
    <w:p>
      <w:pPr>
        <w:spacing w:after="0" w:line="14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and other revenues from operations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and other expenses from operations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3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w:t>
            </w:r>
          </w:p>
        </w:tc>
        <w:tc>
          <w:tcPr>
            <w:tcW w:w="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 and 2024</w:t>
      </w:r>
    </w:p>
    <w:p>
      <w:pPr>
        <w:spacing w:after="0" w:line="227" w:lineRule="exact"/>
        <w:rPr>
          <w:sz w:val="20"/>
          <w:szCs w:val="20"/>
          <w:color w:val="auto"/>
        </w:rPr>
      </w:pPr>
    </w:p>
    <w:p>
      <w:pPr>
        <w:jc w:val="both"/>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Net sales and other revenues from operations for our Automotive segment for the three months ended March 31, 2025 decreased by $34 million (9%) as compared to the comparable prior year period. The decrease was primarily attributable to lower pricing across most major automotive service categories and a shift in consumer behavior towards a lower price mix of parts and services in the current period. In addition, Aftermarket Parts revenues decreased by $11 million due to the exit of the Aftermarket Parts business during the first quarter of 2025.</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Cost of goods sold and other expenses from operations for the three months ended March 31, 2025 decreased by $11 million (4%) as compared to the comparable prior year period. The decrease was primarily attributable to lower revenues in Autmotmotive Services and a decrease of the Aftermarket Parts business of $3 million due to the exit of the business. Gross profit for the three months ended March 31, 2025 decreased by $23 million (23%) from the comparable prior year period. Gross margin was 24% and 28% for the three months ended March 31, 2025 and 2024, respectively. The decline in gross margin was primarily due to lower margin mix of products and services as well as increased store labor expense.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229"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7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During the quarter, the segment commenced implementation of a restructuring plan designed to enhance operational efficiency and margin performance. The plan includes the consolidation of our North American facilities into a single, centralized location, along with investments in upgraded equipment at that facility. These actions are intended to support increased production volumes while reducing costs and waste. Upon completion of the plan, we anticipate that we will be able to maintain global production volumes while achieving improved margins. The restructuring activities are expected to be substantially completed by the second half of 2025. During the quarter, the segment has recognized $7 million of restructuring expenses, which include employee severance costs and facility consolidation expenses, as well as $10 million of asset impairment charges.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 and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sales for the three months ended March 31, 2025 decreased $7 million (7%) as compared to the comparable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period. The decrease was primarily due to lower volumes of $4 million, unfavorable effects of foreign exchange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$2 million and a decrease in price and product mix of $1 million. Cost of goods sold for the three months ended March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 2025 was flat as compared to the comparable prior year period primarily due to effects of lower manufacturing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performance and raw material price inflation. Gross margin as a percentage of net sales was 15% and 21%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months ended March 31, 2025 and 2024,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Our Real Estate segment consists of investment properties which includes land, retail, office and industrial properties leased to corporate tenants, the development and sale of single-family homes, and the operations of a resort and two country clubs. Sales of single-family homes and investment properties are included in net sales in our consolidated statements of operations. Results from operations at investment properties and our country clubs are included in other revenues from operations in our consolidated statements of operations. Revenue from our real estate operations for the three months ended March 31, 2025 and 2024 was primarily derived from the sale of single-family homes and country club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 and 2024</w:t>
      </w:r>
    </w:p>
    <w:p>
      <w:pPr>
        <w:spacing w:after="0" w:line="227" w:lineRule="exact"/>
        <w:rPr>
          <w:sz w:val="20"/>
          <w:szCs w:val="20"/>
          <w:color w:val="auto"/>
        </w:rPr>
      </w:pPr>
    </w:p>
    <w:p>
      <w:pPr>
        <w:ind w:left="60" w:right="139" w:firstLine="324"/>
        <w:spacing w:after="0" w:line="281" w:lineRule="auto"/>
        <w:rPr>
          <w:sz w:val="20"/>
          <w:szCs w:val="20"/>
          <w:color w:val="auto"/>
        </w:rPr>
      </w:pPr>
      <w:r>
        <w:rPr>
          <w:rFonts w:ascii="Times New Roman" w:cs="Times New Roman" w:eastAsia="Times New Roman" w:hAnsi="Times New Roman"/>
          <w:sz w:val="17"/>
          <w:szCs w:val="17"/>
          <w:color w:val="auto"/>
        </w:rPr>
        <w:t>Net sales for the three months ended March 31, 2025 decreased $1 million (100%) as compared to the comparable prior year period. Single-family home sales decreased by $1 million as inventory is nearly fully sold out in one country club. Cost of goods sold for the three months ended March 31, 2025 decreased $1 million (100%) as compared to the prior year period. Gross margin as a percentage of net sales was 0% for both the three months ended March 31, 2025 and 2024.</w:t>
      </w:r>
    </w:p>
    <w:p>
      <w:pPr>
        <w:spacing w:after="0" w:line="164"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Other revenues from operations for the three months ended March 31, 2025 was flat as compared to the comparable prior year period. Other expenses from operations for the three months ended March 31, 2025 increased by $2 million (14%) as compared to the comparable prior year period.</w:t>
      </w:r>
    </w:p>
    <w:p>
      <w:pPr>
        <w:spacing w:after="0" w:line="176"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The Real Estate segment is actively marketing certain properties for sale. In November 2024, we entered into an agreement to sell certain properties, which is expected to close in the second quarter of 2025. These properties have historically generated approximately $3 million in annual revenue. As a result, we anticipate a reduction in future other revenues from operations by this amount following the completion of the sale of these properties.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Our Home Fashion segment is significantly influenced by the overall economic environment, including consumer spending, at the retail level, for home textile products.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 and 2024</w:t>
      </w:r>
    </w:p>
    <w:p>
      <w:pPr>
        <w:spacing w:after="0" w:line="22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March 31, 2025 increased by $5 million (14%) as compared to the comparable prior year period mostly due to higher demand from our UK hospitality and international business. Cost of goods sold for the three months ended March 31, 2025 increased by $4 million (15%) compared to the comparable prior year period mostly due to customer mix. Gross margin as a percentage of net sales was 24% and 25% for the three months ended March 31, 2025 and 2024,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Pharma</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Our Pharma segment derives revenues primarily from the sale of its products directly to customers, wholesalers and pharmacies. Drugs in active clinical development may generate positive cash flow if successful, but there is also the risk that these drugs may not progress through clinical trials, resulting in no return. Additionally, we incur research and development costs associated with these drugs.</w:t>
      </w:r>
    </w:p>
    <w:p>
      <w:pPr>
        <w:spacing w:after="0" w:line="18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Pursuant to previously announced settlement agreements, at the end of 2024, a competitor became, and in the second half of 2025, a second competitor will be, permitted to launch competing generic products to the patent protected weight loss treatment sold within our Pharma segment in the United States, which we anticipate will cause a moderate reduction of prescription volume in the retail pharmacy market in the United States. In the third quarter of 2024, our Pharma segment began selling certain products to wholesalers and pharmacies in Europe.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 and 2024</w:t>
      </w:r>
    </w:p>
    <w:p>
      <w:pPr>
        <w:spacing w:after="0" w:line="227" w:lineRule="exact"/>
        <w:rPr>
          <w:sz w:val="20"/>
          <w:szCs w:val="20"/>
          <w:color w:val="auto"/>
        </w:rPr>
      </w:pPr>
    </w:p>
    <w:p>
      <w:pPr>
        <w:jc w:val="both"/>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March 31, 2025 was down $1 million (4%) as compared to the comparable prior year period. Cost of goods sold for the three months ended March 31, 2025 decreased $1 million (7%) as compared to the comparable prior year period primarily due to improved inventory management. Gross margin as a percentage of net sales was 43% and 42% for the three months ended March 31, 2025 and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Our Holding Company’s results of operations primarily reflect the interest expense on its senior notes for each of the three months ended March 31, 2025 and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 and 2024</w:t>
      </w:r>
    </w:p>
    <w:p>
      <w:pPr>
        <w:spacing w:after="0" w:line="22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Our consolidated selling, general and administrative costs during the three months ended March 31, 2025 increased by $8 million (4%) as compared to the comparable prior year period. The increase was primarily due to higher costs in the Automotive segment and the Pharma segment.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2025 and 2024</w:t>
      </w:r>
    </w:p>
    <w:p>
      <w:pPr>
        <w:spacing w:after="0" w:line="227"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Our consolidated interest expense during the three months ended March 31, 2025 decreased by $8 million (6%) as compared to the comparable prior year period. The decrease was primarily due to lower interest expense for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Investment segment of $19 million attributable to changes in short exposure composition. The decrease was offset in part by higher interest expense in our Holding Company segment of $8 million mainly due to the refinancing of bonds at higher rates than the comparable prior year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October 2024, CVR Energy, our subsidiary in our Energy segment, elected to suspend payment of its cash dividend, and continued not to pay dividends in the first quarter of 2025, which reduced our cash flow for the relevant periods.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2025, our Holding Company had cash and cash equivalents of approximately $1.3 billion and total debt of approximately $4.7 billion. As of March 31, 2025, our Holding Company had investments in the Investment Funds with a total fair market value of approximately $2.5 billion. We may redeem our direct investment in the Investment Funds upon notice. See “Investment Segment Liquidity,” including under “Investment Funds Redemptions,” below for additional information with respect to our Investment segment liquidity. See “Consolidated Cash Flows” below for additional information with respect to our Holding Company liquidity.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Holding Company Borrowings and Availability</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78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Holding Company aggregate outstanding face amount of senior notes consist of the following:</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3"/>
        </w:trPr>
        <w:tc>
          <w:tcPr>
            <w:tcW w:w="22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29"/>
        </w:trPr>
        <w:tc>
          <w:tcPr>
            <w:tcW w:w="22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tcPr>
          <w:p>
            <w:pPr>
              <w:ind w:left="7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1"/>
                <w:szCs w:val="1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6.250% senior notes due 2026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5.250% senior notes due 2027</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9.750% senior notes due 2029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10.000% senior notes due 2029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9.000% senior notes due 2030</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9"/>
        </w:trPr>
        <w:tc>
          <w:tcPr>
            <w:tcW w:w="22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discounts, premiums, and debt issuance costs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5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Notes held in treasury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r>
      <w:tr>
        <w:trPr>
          <w:trHeight w:val="20"/>
        </w:trPr>
        <w:tc>
          <w:tcPr>
            <w:tcW w:w="2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58" w:lineRule="exact"/>
        <w:rPr>
          <w:sz w:val="20"/>
          <w:szCs w:val="20"/>
          <w:color w:val="auto"/>
        </w:rPr>
      </w:pPr>
    </w:p>
    <w:p>
      <w:pPr>
        <w:ind w:left="380" w:right="139" w:hanging="330"/>
        <w:spacing w:after="0" w:line="241"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2025 and December 31, 2024, total debt is net of notes held in treasury of $31 million aggregate principal amount of our 6.250% senior notes due 2026, $73 million aggregate principal amount of our 5.250% senior notes due 2027, and $92 million aggregate principal amount of our 4.375% senior notes due 2029.</w:t>
      </w:r>
    </w:p>
    <w:p>
      <w:pPr>
        <w:spacing w:after="0" w:line="181"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Holding Company debt consists of various issues of fixed-rate senior notes issued by Icahn Enterprises and Icahn Enterprises Finance Corp. (together the “Issuers”) and guaranteed by Icahn Enterprises Holdings (the “Guarantor”). Interest on each tranche of senior notes is payable semi-annually.</w:t>
      </w:r>
    </w:p>
    <w:p>
      <w:pPr>
        <w:spacing w:after="0" w:line="14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Each of our senior notes and the related guarantees are the senior obligations of the Issuers and rank equally with all of the Issuers’ and the Guarantor’s existing and future senior indebtedness and senior to all of the Issuers’ and the Guarantor’s existing and future subordinated indebtedness. Each of our senior notes and the related guarantees are effectively subordinated to the Issuers’ and the Guarantor’s existing and future secured indebtedness to the extent of the collateral securing such indebtedness. Each of our senior notes and the related guarantees are also effectively subordinated to all indebtedness and other liabilities of the Issuers’ subsidiaries other than the Guarantor.</w:t>
      </w:r>
    </w:p>
    <w:p>
      <w:pPr>
        <w:spacing w:after="0" w:line="14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indentures governing our senior notes described above restrict the payment of cash distributions, the purchase of equity interests or the purchase, redemption, defeasance or acquisition of debt subordinated to the senior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Upon the closing of our secured debt offering in November of 2024, all of our notes are now secured and, as a result, will be excluded from the calculation of the ratio test under these covenants. As a result, we no longer have a material amount of unsecured indebtedness, and we and our subsidiaries have substantially more capacity under these covenants to incur additional unsecured indebtedness (but subject to the other covenants in the indentures governing our senior notes that restrict the ability of the Issuers and the Guarantors, as well as the ability of our non-guarantor subsidiaries, to incur incremental indebtedness). The indentures also restrict the creation of liens, mergers, consolidations and sales of substantially all of our assets, and transactions with affiliates. Additionally, each of the 5.250% senior notes due 2027, the 4.375% senior notes due 2029, the 10.000% senior notes due 2029 and the 9.000% senior notes due 2030 are subject to optional redemption premiums in the event we redeem any of the notes prior to six months before maturity. The 9.750% senior notes due 2029 are subject to optional redemption premiums in the event we redeem these notes prior to three months before maturity.</w:t>
      </w:r>
    </w:p>
    <w:p>
      <w:pPr>
        <w:spacing w:after="0" w:line="195"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we were in compliance with all covenants, including maintaining certain minimum financial ratios, as defined in the indentures. Additionally, as of March 31, 2025, based on covenants in the indentures governing our senior notes, we are not permitted to incur additional indebtedness; however, we are permitted to issue new notes in connection with debt refinancings of existing notes.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In May 2019, Icahn Enterprises entered into an Open Market Sale Agreement for the sale of depositary units, from time to time, for up to $400 million in aggregate sale proceeds, under its ongoing “at-the-market” offering. This agreement has been subsequently terminated and superseded by subsequent agreements with substantially the same terms. During the three months ended March 31, 2025, we did not sell any depositary units pursuant to the existing agreement. We continue to have effective Open Market Sale Agreements and Icahn Enterprises may sell its depositary units for up to an additional $47 million in aggregate gross sale proceeds pursuant to its Open Market Sales Agreement entered into November 21, 2022 and up to $400 million in aggregate gross sales proceeds pursuant to its Open Market Sales Agreement entered into August 26, 2024. No assurance can be made that any or all amounts will be sold during the term of the agreements, and we have no obligation to sell additional depositary units under these Open Market Sale Agreements. Depending on market conditions, we may continue to sell depositary units under the Open Market Sale Agreements, and, if appropriate, enter into a new Open Market Sale Agreement to continue our “at-the-market” sales program once we have sold the full amount of our existing Open Market Sale Agreements. Our ability to access remaining capital under our “at-the-market” program may be limited by market conditions at the time of any future potential sale. While we were able to sell depositary units during the three months ended March 31, 2025, there can be no assurance that any future capital will be available on acceptable terms or at all under this program.</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Distributions</w:t>
      </w:r>
    </w:p>
    <w:p>
      <w:pPr>
        <w:spacing w:after="0" w:line="227"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On February 24, 2025, Icahn Enterprises declared a quarterly distribution in the amount of $0.50 per depositary unit in which each depositary unitholder had the option to make an election to receive either cash or additional depositary units. In connection with this distribution, aggregate cash distributions to all depositary unitholders that made a timely election to receive cash was $75 million, of which $50 million was distributed to Mr. Icahn and his affiliates in April 2025.</w:t>
      </w:r>
    </w:p>
    <w:p>
      <w:pPr>
        <w:spacing w:after="0" w:line="164"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5, 2025, the Board of Directors of the general partner of Icahn Enterprises declared a quarterly distribution in the amount of $0.50 per depositary unit, which will be paid on or about June 25, 2025 to depositary unitholders of record at the close of business on May 19, 2025. Depositary unitholders will have until June 12, 2025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20, 2025. Icahn Enterprises will make a cash payment in lieu of issuing fractional depositary units to any unitholders electing to receive (or who are deemed to have elected to receive) depositary units.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On May 9, 2023, the Board of Directors of Icahn Enterprises GP, the Company’s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March 31, 2025, the Company has not repurchased any of the Company’s depositary units and the Company has repurchased $269 million worth of senior notes in aggregate under the Repurchase Program. On November 6, 2024, the Board re-approved the Repurchase Program, and, pursuant to the reapproved Program, we are authorized to repurchase up to an additional $500 million worth of our outstanding fixed-rate senior notes, in addition to the approximately $269 million we have already repurchased under the Repurchase Program, and we remain authorized to repurchase up to $500 million of our depositary units, in each case subject to restrictions on use of our cash contained in the indentures governing our indebtedness.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Liquidity</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6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cash held at consolidated affiliated partnerships balance was $0.9 billion as of March 31, 2025 and December 31, 2024. Cash held at consolidated affiliated partnerships relates to our Investment segment and consists of cash and cash equivalents held by the Investment Funds that, although not legally restricted, are not used for the general operating needs of Icahn Enterprises.</w:t>
      </w:r>
    </w:p>
    <w:p>
      <w:pPr>
        <w:spacing w:after="0" w:line="180"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Additionally, our Investment segment liquidity is driven by the investment activities and performance of the Investment Funds. As of March 31, 2025, the Investment Funds had a net long notional exposure of 20%. The Investment Funds’ long exposure was 95% (95% long equity) and its short exposure was 74% (70% short equity, 1% short credit and 3% short commodity). The notional exposure represents the ratio of the notional exposure of the Investment Funds’ invested capital to the net asset value of the Investment Funds at March 31, 2025.</w:t>
      </w:r>
    </w:p>
    <w:p>
      <w:pPr>
        <w:spacing w:after="0" w:line="18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Of the Investment Funds’ 95% long exposure, 53% was comprised of the fair value of its long positions and 41% was comprised mostly of single name equity forward and swap contracts. Of the Investment Funds’ 74% short exposure, 23% was comprised of the fair value of its short positions and 51% was comprised mostly of short broad market index swap derivative contracts, short credit default swap contracts and short commodity contracts.</w:t>
      </w:r>
    </w:p>
    <w:p>
      <w:pPr>
        <w:spacing w:after="0" w:line="180"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(53% long exposure) and our short positions that are not notionalized (23%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With respect to the notional value of our other long positions (41% long exposure) and short positions (51%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Funds Redemption</w:t>
      </w:r>
    </w:p>
    <w:p>
      <w:pPr>
        <w:spacing w:after="0" w:line="227"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Mr. Icahn and his affiliates (excluding us and Brett Icahn) redeemed $208 million from his personal interest in the Investment Funds included in the Investment segment, which was paid to Mr. Icahn and his affiliates on April 16, 2025.</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Cash and Cash Equivalents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Segment Borrowings and Availability</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28"/>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6640" w:type="dxa"/>
            <w:vAlign w:val="bottom"/>
          </w:tcPr>
          <w:p>
            <w:pPr>
              <w:spacing w:after="0"/>
              <w:rPr>
                <w:sz w:val="18"/>
                <w:szCs w:val="18"/>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Refer to our Annual Report on Form 10-K for the year ended December 31, 2024 for information concerning terms, restrictions and covenants pertaining to our subsidiaries’ debt. As of March 31, 2025, all of our subsidiaries were in compliance with all debt covenants.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segments have additional borrowing availability under certain revolving credit facilities as summarized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Energy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Food Packaging</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Home Fashion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228"/>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635</wp:posOffset>
            </wp:positionV>
            <wp:extent cx="56489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848" w:hanging="848"/>
        <w:spacing w:after="0"/>
        <w:tabs>
          <w:tab w:leader="none" w:pos="8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w:t>
      </w:r>
    </w:p>
    <w:p>
      <w:pPr>
        <w:spacing w:after="0" w:line="7" w:lineRule="exact"/>
        <w:rPr>
          <w:rFonts w:ascii="Times New Roman" w:cs="Times New Roman" w:eastAsia="Times New Roman" w:hAnsi="Times New Roman"/>
          <w:sz w:val="18"/>
          <w:szCs w:val="18"/>
          <w:color w:val="auto"/>
        </w:rPr>
      </w:pPr>
    </w:p>
    <w:p>
      <w:pPr>
        <w:ind w:left="9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9" w:lineRule="exact"/>
        <w:rPr>
          <w:rFonts w:ascii="Times New Roman" w:cs="Times New Roman" w:eastAsia="Times New Roman" w:hAnsi="Times New Roman"/>
          <w:sz w:val="18"/>
          <w:szCs w:val="18"/>
          <w:color w:val="auto"/>
        </w:rPr>
      </w:pPr>
    </w:p>
    <w:p>
      <w:pPr>
        <w:ind w:left="10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-130810</wp:posOffset>
            </wp:positionV>
            <wp:extent cx="564896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848" w:hanging="848"/>
        <w:spacing w:after="0"/>
        <w:tabs>
          <w:tab w:leader="none" w:pos="8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46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46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52" w:space="720"/>
            <w:col w:w="1247"/>
          </w:cols>
          <w:pgMar w:left="1440" w:top="513" w:right="1440"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above outstanding debt and additional borrowing availability with respect to each of our continued operating segments reflects third-party obligations.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18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flow information for Icahn Enterprises’ reporting segments and our Holding Company:</w:t>
      </w:r>
    </w:p>
    <w:p>
      <w:pPr>
        <w:sectPr>
          <w:pgSz w:w="11900" w:h="16838" w:orient="portrait"/>
          <w:cols w:equalWidth="0" w:num="1">
            <w:col w:w="9019"/>
          </w:cols>
          <w:pgMar w:left="1440" w:top="513" w:right="1440" w:bottom="1440" w:gutter="0" w:footer="0" w:header="0"/>
        </w:sectPr>
      </w:pPr>
    </w:p>
    <w:p>
      <w:pPr>
        <w:spacing w:after="0" w:line="169"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7620</wp:posOffset>
            </wp:positionV>
            <wp:extent cx="17399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Net Cash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-3175</wp:posOffset>
            </wp:positionV>
            <wp:extent cx="17399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ind w:left="3340"/>
        <w:spacing w:after="0" w:line="222" w:lineRule="auto"/>
        <w:tabs>
          <w:tab w:leader="none" w:pos="4300" w:val="left"/>
          <w:tab w:leader="none" w:pos="5260" w:val="left"/>
        </w:tabs>
        <w:rPr>
          <w:sz w:val="20"/>
          <w:szCs w:val="20"/>
          <w:color w:val="auto"/>
        </w:rPr>
      </w:pPr>
      <w:r>
        <w:rPr>
          <w:rFonts w:ascii="Times New Roman" w:cs="Times New Roman" w:eastAsia="Times New Roman" w:hAnsi="Times New Roman"/>
          <w:sz w:val="14"/>
          <w:szCs w:val="14"/>
          <w:b w:val="1"/>
          <w:bCs w:val="1"/>
          <w:color w:val="auto"/>
        </w:rPr>
        <w:t>Operating</w:t>
      </w:r>
      <w:r>
        <w:rPr>
          <w:sz w:val="20"/>
          <w:szCs w:val="20"/>
          <w:color w:val="auto"/>
        </w:rPr>
        <w:tab/>
      </w:r>
      <w:r>
        <w:rPr>
          <w:rFonts w:ascii="Times New Roman" w:cs="Times New Roman" w:eastAsia="Times New Roman" w:hAnsi="Times New Roman"/>
          <w:sz w:val="14"/>
          <w:szCs w:val="14"/>
          <w:b w:val="1"/>
          <w:bCs w:val="1"/>
          <w:color w:val="auto"/>
        </w:rPr>
        <w:t>Investing</w:t>
      </w:r>
      <w:r>
        <w:rPr>
          <w:sz w:val="20"/>
          <w:szCs w:val="20"/>
          <w:color w:val="auto"/>
        </w:rPr>
        <w:tab/>
      </w:r>
      <w:r>
        <w:rPr>
          <w:rFonts w:ascii="Times New Roman" w:cs="Times New Roman" w:eastAsia="Times New Roman" w:hAnsi="Times New Roman"/>
          <w:sz w:val="14"/>
          <w:szCs w:val="14"/>
          <w:b w:val="1"/>
          <w:bCs w:val="1"/>
          <w:color w:val="auto"/>
        </w:rPr>
        <w:t>Financing</w:t>
      </w:r>
    </w:p>
    <w:p>
      <w:pPr>
        <w:spacing w:after="0" w:line="1" w:lineRule="exact"/>
        <w:rPr>
          <w:sz w:val="20"/>
          <w:szCs w:val="20"/>
          <w:color w:val="auto"/>
        </w:rPr>
      </w:pPr>
    </w:p>
    <w:p>
      <w:pPr>
        <w:ind w:left="3360"/>
        <w:spacing w:after="0"/>
        <w:tabs>
          <w:tab w:leader="none" w:pos="4300" w:val="left"/>
          <w:tab w:leader="none" w:pos="5280" w:val="left"/>
        </w:tabs>
        <w:rPr>
          <w:sz w:val="20"/>
          <w:szCs w:val="20"/>
          <w:color w:val="auto"/>
        </w:rPr>
      </w:pPr>
      <w:r>
        <w:rPr>
          <w:rFonts w:ascii="Times New Roman" w:cs="Times New Roman" w:eastAsia="Times New Roman" w:hAnsi="Times New Roman"/>
          <w:sz w:val="14"/>
          <w:szCs w:val="14"/>
          <w:b w:val="1"/>
          <w:bCs w:val="1"/>
          <w:color w:val="auto"/>
        </w:rPr>
        <w:t>Activities</w:t>
      </w:r>
      <w:r>
        <w:rPr>
          <w:sz w:val="20"/>
          <w:szCs w:val="20"/>
          <w:color w:val="auto"/>
        </w:rPr>
        <w:tab/>
      </w:r>
      <w:r>
        <w:rPr>
          <w:rFonts w:ascii="Times New Roman" w:cs="Times New Roman" w:eastAsia="Times New Roman" w:hAnsi="Times New Roman"/>
          <w:sz w:val="14"/>
          <w:szCs w:val="14"/>
          <w:b w:val="1"/>
          <w:bCs w:val="1"/>
          <w:color w:val="auto"/>
        </w:rPr>
        <w:t>Activities</w:t>
      </w:r>
      <w:r>
        <w:rPr>
          <w:sz w:val="20"/>
          <w:szCs w:val="20"/>
          <w:color w:val="auto"/>
        </w:rPr>
        <w:tab/>
      </w:r>
      <w:r>
        <w:rPr>
          <w:rFonts w:ascii="Times New Roman" w:cs="Times New Roman" w:eastAsia="Times New Roman" w:hAnsi="Times New Roman"/>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-3175</wp:posOffset>
            </wp:positionV>
            <wp:extent cx="17399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7620</wp:posOffset>
            </wp:positionV>
            <wp:extent cx="17748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-3175</wp:posOffset>
            </wp:positionV>
            <wp:extent cx="17748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222" w:lineRule="auto"/>
        <w:tabs>
          <w:tab w:leader="none" w:pos="1000" w:val="left"/>
          <w:tab w:leader="none" w:pos="1960" w:val="left"/>
        </w:tabs>
        <w:rPr>
          <w:sz w:val="20"/>
          <w:szCs w:val="20"/>
          <w:color w:val="auto"/>
        </w:rPr>
      </w:pPr>
      <w:r>
        <w:rPr>
          <w:rFonts w:ascii="Times New Roman" w:cs="Times New Roman" w:eastAsia="Times New Roman" w:hAnsi="Times New Roman"/>
          <w:sz w:val="14"/>
          <w:szCs w:val="14"/>
          <w:b w:val="1"/>
          <w:bCs w:val="1"/>
          <w:color w:val="auto"/>
        </w:rPr>
        <w:t>Operating</w:t>
      </w:r>
      <w:r>
        <w:rPr>
          <w:sz w:val="20"/>
          <w:szCs w:val="20"/>
          <w:color w:val="auto"/>
        </w:rPr>
        <w:tab/>
      </w:r>
      <w:r>
        <w:rPr>
          <w:rFonts w:ascii="Times New Roman" w:cs="Times New Roman" w:eastAsia="Times New Roman" w:hAnsi="Times New Roman"/>
          <w:sz w:val="14"/>
          <w:szCs w:val="14"/>
          <w:b w:val="1"/>
          <w:bCs w:val="1"/>
          <w:color w:val="auto"/>
        </w:rPr>
        <w:t>Investing</w:t>
      </w:r>
      <w:r>
        <w:rPr>
          <w:sz w:val="20"/>
          <w:szCs w:val="20"/>
          <w:color w:val="auto"/>
        </w:rPr>
        <w:tab/>
      </w:r>
      <w:r>
        <w:rPr>
          <w:rFonts w:ascii="Times New Roman" w:cs="Times New Roman" w:eastAsia="Times New Roman" w:hAnsi="Times New Roman"/>
          <w:sz w:val="14"/>
          <w:szCs w:val="14"/>
          <w:b w:val="1"/>
          <w:bCs w:val="1"/>
          <w:color w:val="auto"/>
        </w:rPr>
        <w:t>Financing</w:t>
      </w:r>
    </w:p>
    <w:p>
      <w:pPr>
        <w:spacing w:after="0" w:line="1" w:lineRule="exact"/>
        <w:rPr>
          <w:sz w:val="20"/>
          <w:szCs w:val="20"/>
          <w:color w:val="auto"/>
        </w:rPr>
      </w:pPr>
    </w:p>
    <w:p>
      <w:pPr>
        <w:ind w:left="20"/>
        <w:spacing w:after="0"/>
        <w:tabs>
          <w:tab w:leader="none" w:pos="980" w:val="left"/>
          <w:tab w:leader="none" w:pos="1980" w:val="left"/>
        </w:tabs>
        <w:rPr>
          <w:sz w:val="20"/>
          <w:szCs w:val="20"/>
          <w:color w:val="auto"/>
        </w:rPr>
      </w:pPr>
      <w:r>
        <w:rPr>
          <w:rFonts w:ascii="Times New Roman" w:cs="Times New Roman" w:eastAsia="Times New Roman" w:hAnsi="Times New Roman"/>
          <w:sz w:val="14"/>
          <w:szCs w:val="14"/>
          <w:b w:val="1"/>
          <w:bCs w:val="1"/>
          <w:color w:val="auto"/>
        </w:rPr>
        <w:t>Activities</w:t>
      </w:r>
      <w:r>
        <w:rPr>
          <w:sz w:val="20"/>
          <w:szCs w:val="20"/>
          <w:color w:val="auto"/>
        </w:rPr>
        <w:tab/>
      </w:r>
      <w:r>
        <w:rPr>
          <w:rFonts w:ascii="Times New Roman" w:cs="Times New Roman" w:eastAsia="Times New Roman" w:hAnsi="Times New Roman"/>
          <w:sz w:val="14"/>
          <w:szCs w:val="14"/>
          <w:b w:val="1"/>
          <w:bCs w:val="1"/>
          <w:color w:val="auto"/>
        </w:rPr>
        <w:t>Activities</w:t>
      </w:r>
      <w:r>
        <w:rPr>
          <w:sz w:val="20"/>
          <w:szCs w:val="20"/>
          <w:color w:val="auto"/>
        </w:rPr>
        <w:tab/>
      </w:r>
      <w:r>
        <w:rPr>
          <w:rFonts w:ascii="Times New Roman" w:cs="Times New Roman" w:eastAsia="Times New Roman" w:hAnsi="Times New Roman"/>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-3175</wp:posOffset>
            </wp:positionV>
            <wp:extent cx="17748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5900" w:space="340"/>
            <w:col w:w="277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Segments:</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Energy</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Packaging</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Home Fashion</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Pharma</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operating segments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before eliminations</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Eliminations</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7"/>
        </w:trPr>
        <w:tc>
          <w:tcPr>
            <w:tcW w:w="6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41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interest on senior unsecured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receipts for income taxes, net of payments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transactions with subsidiaries</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from operating segments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to operating segments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acquire additional interests in subsidiaries</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51"/>
        </w:trPr>
        <w:tc>
          <w:tcPr>
            <w:tcW w:w="6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Increase in cash and cash equivalents and restricted cash and restricted cash</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1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Operating transactions with subsidiaries includes the reimbursement of operating expenses to our Investment segment based on an expense-sharing agreement.</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Cash from operating segments is made up of dividends, distributions, and repayments of intercompany loans that are eliminated in consolidation. During the three months ended March 31, 2025, this includes cash distributions received from our Real Estate segment of $21 million, cash distributions from our Automotive segment of $3 million and repayments of intercompany loans from our Pharma segment of $2 million. During the three months ended March 31, 2024, this includes cash dividends received from our Energy segment of $33 million, cash distributions from our Real Estate and Investment segments totaling $3 million, and repayments of intercompany loans from our Pharma segment of $15 million.</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Cash to operating segments is made up of intercompany loans and contributions to operating segments that are eliminated in consolidation. During the three months ended March 31, 2025, changes in cash to operating segments was mainly attributable to cash paid to our Home Fashion segment of $6 million, Real Estate segment of $5 million and Automotive segment of $1 million. During the three months ended March 31, 2024, this includes cash paid to our Real Estate segment of $5 million.</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Partnership contributions represent sales in connection with our At-The-Market offerings pursuant to our Open Market Sale Agreements, as discussed above.</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Payments to acquire additional interests in subsidiaries represent payments to acquire additional interests in CVR Energy and CVR Partners of $33 million and $2 million, respectively, and the private placement of Viskase of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Investment Segment</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Our Investment segment’s cash flows from operating activities for the comparable periods were attributable to its net investment transactions.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Operating Segments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412"/>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cash flow from operating activities before changes in operating assets and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Turnaround expenditures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equity method investments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of equity method investment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other borrowings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from Holding Company</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to Holding Company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 and</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4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Decrease (increase) in cash and cash equivalents and restricted cash and restricted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Our other operating segments’ cash flows from operating activities before changes in operating assets and liabilities were primarily attributable to the results of our Energy segment during both periods. The change in cash flows from operating activities for the three months ended March 31, 2025 as compared to the comparable prior year was primarily due to a decrease in the operating results of our Energy segment primarily associated with a decrease in our petroleum business’ margin driven by decreased crack spreads and unfavorable sales volume impacts related to the Coffeyville Refinery 2025 planned turnaround. In addition, operating cash flow at our Energy segment decreased from changes in working capital driven by the Coffeyville Refinery 2025 planned turnaround.</w:t>
      </w:r>
    </w:p>
    <w:p>
      <w:pPr>
        <w:spacing w:after="0" w:line="18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Capital expenditures and turnaround expenditures are primarily from our Energy and Automotive segments and are primarily for maintenance and growth, including the planned maintenance of one of the Energy segment’s refineries in both periods.</w:t>
      </w:r>
    </w:p>
    <w:p>
      <w:pPr>
        <w:spacing w:after="0" w:line="176" w:lineRule="exact"/>
        <w:rPr>
          <w:sz w:val="20"/>
          <w:szCs w:val="20"/>
          <w:color w:val="auto"/>
        </w:rPr>
      </w:pPr>
    </w:p>
    <w:p>
      <w:pPr>
        <w:ind w:left="60" w:right="139" w:firstLine="369"/>
        <w:spacing w:after="0" w:line="282" w:lineRule="auto"/>
        <w:rPr>
          <w:sz w:val="20"/>
          <w:szCs w:val="20"/>
          <w:color w:val="auto"/>
        </w:rPr>
      </w:pPr>
      <w:r>
        <w:rPr>
          <w:rFonts w:ascii="Times New Roman" w:cs="Times New Roman" w:eastAsia="Times New Roman" w:hAnsi="Times New Roman"/>
          <w:sz w:val="18"/>
          <w:szCs w:val="18"/>
          <w:color w:val="auto"/>
        </w:rPr>
        <w:t>Repayments of other borrowings are related to our Energy segment’s redemption of $600 million principal amount of its 5.25% senior notes due February 2025.</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Distributions to non-controlling interests were from our Energy segment related to its regular quarterly dividends and distributions, excluding payments made to us.</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Cash from Holding Company is made up of intercompany loans and contributions between our Holding Company and subsidiaries that are eliminated in consolidation. During the three months ended March 31, 2025, changes in cash to operating segments was mainly attributable to cash paid to our Home Fashion segment of $6 million, Real Estate segment of $5 million, Automotive segment of $1 million, and the Food Packaging private placement of $15 million. During the three months ended March 31, 2024, this includes cash paid to our Real Estate segment of $5 million.</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Cash to Holding Company is made up of dividends, distributions, and repayments of intercompany loans that are eliminated in consolidation. During the three months ended March 31, 2025, this includes cash distributions paid from our Real Estate segment of $21 million, cash distributions from our Automotive segment of $3 million and repayments of intercompany loans from our Pharma segment of $2 million. During the three months ended March 31, 2024, this includes cash dividends received from our Energy segment of $33 million, cash distributions from our Real Estate segment totaling $2 million, and repayments of intercompany loans from our Pharma segment of $15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Capital Expenditures</w:t>
      </w:r>
    </w:p>
    <w:p>
      <w:pPr>
        <w:spacing w:after="0" w:line="229" w:lineRule="exact"/>
        <w:rPr>
          <w:sz w:val="20"/>
          <w:szCs w:val="20"/>
          <w:color w:val="auto"/>
        </w:rPr>
      </w:pPr>
    </w:p>
    <w:p>
      <w:pPr>
        <w:ind w:left="60" w:right="739"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to our planned capital expenditures as compared to the estimated capital expenditures for 2024 reported in our Annual Report on Form 10-K for the year ended December 31, 2024.</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12" w:lineRule="auto"/>
        <w:rPr>
          <w:sz w:val="20"/>
          <w:szCs w:val="20"/>
          <w:color w:val="auto"/>
        </w:rPr>
      </w:pPr>
      <w:r>
        <w:rPr>
          <w:rFonts w:ascii="Times New Roman" w:cs="Times New Roman" w:eastAsia="Times New Roman" w:hAnsi="Times New Roman"/>
          <w:sz w:val="17"/>
          <w:szCs w:val="17"/>
          <w:color w:val="auto"/>
        </w:rPr>
        <w:t>Refer to Note 2, “Basis of Presentation and Summary of Significant Accounting Policies,” to the condensed consolidated financial statements for a discussion of recent accounting pronouncements applicable to us.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Except as discussed below, information about our quantitative and qualitative disclosures about market risk did not differ materially from those disclosed in our Annual Report on Form 10-K for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predominant exposure to market risk is related to our Investment segment and the sensitivities to movements in the fair value of the Investment Funds’ investments.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2025, we estimate that in the event of a 10% adverse change in the fair value of these investments, the fair values of securities owned, securities sold, not yet purchased and derivatives would be negatively impacted by approximately $204 million, $90 million and $365 million, respectively. However, as of March 31, 2025, we estimate that the impact to our share of the net gain (loss) from investment activities reported in our condensed consolidated statement of operations would be less than the change in fair value since we have an interest of approximately 64% in the Investment Funds.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2025,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quarter ended March 31, 2025 that have materially affected, or are reasonably likely to materially affect, our internal control over financial reporting.</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18, there were no material changes to our lawsuits and proceedings as compared to those reported in our Annual Report on Form 10-K for the year ended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risk factors during the three months ended March 31, 2025 as compared to those reported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or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repurchase any depositary units pursuant to our approved repurchase program discussed above.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16a-f(1), adopted or terminated a “Rule 10b5-1 trading arrangement” or a “non-Rule 10b5-1 trading arrangement,” each as defined in Regulation S-K Item 408.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0" w:type="dxa"/>
            <w:vAlign w:val="bottom"/>
            <w:gridSpan w:val="9"/>
          </w:tcPr>
          <w:p>
            <w:pPr>
              <w:ind w:left="9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vMerge w:val="continue"/>
          </w:tcPr>
          <w:p>
            <w:pPr>
              <w:spacing w:after="0"/>
              <w:rPr>
                <w:sz w:val="14"/>
                <w:szCs w:val="14"/>
                <w:color w:val="auto"/>
              </w:rPr>
            </w:pPr>
          </w:p>
        </w:tc>
        <w:tc>
          <w:tcPr>
            <w:tcW w:w="7620" w:type="dxa"/>
            <w:vAlign w:val="bottom"/>
            <w:tcBorders>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Third Amended and Restated Agreement of Limited Partnership of Icahn Enterprises L.P., dated February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24, 2025 (incorporated by reference to Exhibit 3.3 to the Company’s Annual Report on Form 10-K filed</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12"/>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on February 26,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9"/>
                <w:szCs w:val="19"/>
                <w:color w:val="auto"/>
              </w:rPr>
            </w:pPr>
          </w:p>
        </w:tc>
        <w:tc>
          <w:tcPr>
            <w:tcW w:w="76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Second Amended and Restated Agreement of Limited Partnership of Icahn Enterprises Holdings, dated as</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of February 24, 2025 (incorporated by reference to Exhibit 3.4 to the Company’s Annual Report on Form</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10-K filed on February 26, 2025).</w:t>
              </w:r>
            </w:hyperlink>
          </w:p>
        </w:tc>
        <w:tc>
          <w:tcPr>
            <w:tcW w:w="5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73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302(a) of the Sarbanes-Oxley Act of 2002</w:t>
            </w: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and Rule 13a 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7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302(a) of the Sarbanes-Oxley Act of 2002 and</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of the Securities Exchange Act of 1934.</w:t>
            </w:r>
          </w:p>
        </w:tc>
        <w:tc>
          <w:tcPr>
            <w:tcW w:w="36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9"/>
                <w:szCs w:val="19"/>
                <w:color w:val="auto"/>
              </w:rPr>
            </w:pPr>
          </w:p>
        </w:tc>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Section 906 of the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(18 U.S.C. 1350) and Rule 13a-14(b) of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1934.</w:t>
            </w:r>
          </w:p>
        </w:tc>
        <w:tc>
          <w:tcPr>
            <w:tcW w:w="1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101.SCH</w:t>
            </w:r>
          </w:p>
        </w:tc>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101.CAL</w:t>
            </w:r>
          </w:p>
        </w:tc>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101.LAB</w:t>
            </w:r>
          </w:p>
        </w:tc>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101.PRE</w:t>
            </w:r>
          </w:p>
        </w:tc>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101.DEF</w:t>
            </w:r>
          </w:p>
        </w:tc>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300" w:hanging="90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Icahn Enterprises G.P. Inc., its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Andrew Teno</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23" w:lineRule="exact"/>
        <w:rPr>
          <w:sz w:val="20"/>
          <w:szCs w:val="20"/>
          <w:color w:val="auto"/>
        </w:rPr>
      </w:pPr>
    </w:p>
    <w:p>
      <w:pPr>
        <w:ind w:left="5280"/>
        <w:spacing w:after="0"/>
        <w:tabs>
          <w:tab w:leader="none" w:pos="8120" w:val="left"/>
        </w:tabs>
        <w:rPr>
          <w:sz w:val="20"/>
          <w:szCs w:val="20"/>
          <w:color w:val="auto"/>
        </w:rPr>
      </w:pPr>
      <w:r>
        <w:rPr>
          <w:rFonts w:ascii="Times New Roman" w:cs="Times New Roman" w:eastAsia="Times New Roman" w:hAnsi="Times New Roman"/>
          <w:sz w:val="18"/>
          <w:szCs w:val="18"/>
          <w:color w:val="auto"/>
        </w:rPr>
        <w:t>Chief Financial Officer and Director</w:t>
      </w:r>
      <w:r>
        <w:rPr>
          <w:sz w:val="20"/>
          <w:szCs w:val="20"/>
          <w:color w:val="auto"/>
        </w:rPr>
        <w:tab/>
      </w:r>
      <w:r>
        <w:rPr>
          <w:rFonts w:ascii="Times New Roman" w:cs="Times New Roman" w:eastAsia="Times New Roman" w:hAnsi="Times New Roman"/>
          <w:sz w:val="17"/>
          <w:szCs w:val="17"/>
          <w:color w:val="auto"/>
        </w:rPr>
        <w:t>(Principal</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/s/ Robert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Robert Flint</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Teno, certify that:</w:t>
      </w:r>
    </w:p>
    <w:p>
      <w:pPr>
        <w:spacing w:after="0" w:line="225" w:lineRule="exact"/>
        <w:rPr>
          <w:sz w:val="20"/>
          <w:szCs w:val="20"/>
          <w:color w:val="auto"/>
        </w:rPr>
      </w:pPr>
    </w:p>
    <w:p>
      <w:pPr>
        <w:ind w:left="500" w:hanging="179"/>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March 31, 2025;</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20" w:firstLine="321"/>
        <w:spacing w:after="0" w:line="266"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17145</wp:posOffset>
            </wp:positionV>
            <wp:extent cx="331787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317875" cy="25400"/>
                    </a:xfrm>
                    <a:prstGeom prst="rect">
                      <a:avLst/>
                    </a:prstGeom>
                    <a:noFill/>
                  </pic:spPr>
                </pic:pic>
              </a:graphicData>
            </a:graphic>
          </wp:anchor>
        </w:drawing>
      </w:r>
    </w:p>
    <w:p>
      <w:pPr>
        <w:spacing w:after="0" w:line="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Andrew Teno</w:t>
      </w:r>
    </w:p>
    <w:p>
      <w:pPr>
        <w:spacing w:after="0" w:line="63" w:lineRule="exact"/>
        <w:rPr>
          <w:sz w:val="20"/>
          <w:szCs w:val="20"/>
          <w:color w:val="auto"/>
        </w:rPr>
      </w:pPr>
    </w:p>
    <w:p>
      <w:pPr>
        <w:ind w:left="4240" w:right="24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March 31, 2025;</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0" w:firstLine="321"/>
        <w:spacing w:after="0" w:line="266"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50"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57" w:name="page58"/>
    <w:bookmarkEnd w:id="57"/>
    <w:p>
      <w:pPr>
        <w:ind w:left="8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Icahn Enterprises L.P., for the period ended March 31, 2025, the undersigned certify that, to the best of his knowledge, based upon a review of the Icahn Enterprises L.P. quarterly report on Form 10-Q for the period ended March 31, 2025:</w:t>
      </w:r>
    </w:p>
    <w:p>
      <w:pPr>
        <w:spacing w:after="0" w:line="176" w:lineRule="exact"/>
        <w:rPr>
          <w:sz w:val="20"/>
          <w:szCs w:val="20"/>
          <w:color w:val="auto"/>
        </w:rPr>
      </w:pPr>
    </w:p>
    <w:p>
      <w:pPr>
        <w:ind w:right="460" w:firstLine="321"/>
        <w:spacing w:after="0" w:line="282" w:lineRule="auto"/>
        <w:tabs>
          <w:tab w:leader="none" w:pos="5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500" w:firstLine="321"/>
        <w:spacing w:after="0" w:line="282" w:lineRule="auto"/>
        <w:tabs>
          <w:tab w:leader="none" w:pos="5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17145</wp:posOffset>
            </wp:positionV>
            <wp:extent cx="341185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11855" cy="26035"/>
                    </a:xfrm>
                    <a:prstGeom prst="rect">
                      <a:avLst/>
                    </a:prstGeom>
                    <a:noFill/>
                  </pic:spPr>
                </pic:pic>
              </a:graphicData>
            </a:graphic>
          </wp:anchor>
        </w:drawing>
      </w:r>
    </w:p>
    <w:p>
      <w:pPr>
        <w:spacing w:after="0" w:line="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Andrew Teno</w:t>
      </w:r>
    </w:p>
    <w:p>
      <w:pPr>
        <w:spacing w:after="0" w:line="63" w:lineRule="exact"/>
        <w:rPr>
          <w:sz w:val="20"/>
          <w:szCs w:val="20"/>
          <w:color w:val="auto"/>
        </w:rPr>
      </w:pPr>
    </w:p>
    <w:p>
      <w:pPr>
        <w:ind w:left="4080" w:right="12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386455" cy="26035"/>
                    </a:xfrm>
                    <a:prstGeom prst="rect">
                      <a:avLst/>
                    </a:prstGeom>
                    <a:noFill/>
                  </pic:spPr>
                </pic:pic>
              </a:graphicData>
            </a:graphic>
          </wp:anchor>
        </w:drawing>
      </w:r>
    </w:p>
    <w:p>
      <w:pPr>
        <w:spacing w:after="0" w:line="7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63"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8"/>
    </w:lvl>
  </w:abstractNum>
  <w:abstractNum w:abstractNumId="7">
    <w:nsid w:val="7FDCC233"/>
    <w:multiLevelType w:val="hybridMultilevel"/>
    <w:lvl w:ilvl="0">
      <w:lvlJc w:val="left"/>
      <w:lvlText w:val="%1."/>
      <w:numFmt w:val="decimal"/>
      <w:start w:val="10"/>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4"/>
    </w:lvl>
  </w:abstractNum>
  <w:abstractNum w:abstractNumId="10">
    <w:nsid w:val="6B68079A"/>
    <w:multiLevelType w:val="hybridMultilevel"/>
    <w:lvl w:ilvl="0">
      <w:lvlJc w:val="left"/>
      <w:lvlText w:val="%1."/>
      <w:numFmt w:val="decimal"/>
      <w:start w:val="15"/>
    </w:lvl>
  </w:abstractNum>
  <w:abstractNum w:abstractNumId="11">
    <w:nsid w:val="4E6AFB66"/>
    <w:multiLevelType w:val="hybridMultilevel"/>
    <w:lvl w:ilvl="0">
      <w:lvlJc w:val="left"/>
      <w:lvlText w:val="%1."/>
      <w:numFmt w:val="decimal"/>
      <w:start w:val="17"/>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75" Type="http://schemas.openxmlformats.org/officeDocument/2006/relationships/hyperlink" Target="https://www.sec.gov/Archives/edgar/data/813762/000155837025001612/tmb-20241231xex3d3.htm" TargetMode="External"/><Relationship Id="rId76" Type="http://schemas.openxmlformats.org/officeDocument/2006/relationships/hyperlink" Target="https://www.sec.gov/Archives/edgar/data/813762/000155837025001612/tmb-20241231xex3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2025-05-07T16:11:59Z</dcterms:created>
  <dcterms:modified xsi:type="dcterms:W3CDTF">2025-05-07T16:11:59Z</dcterms:modified>
</cp:coreProperties>
</file>