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UNITED STATES 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10-Q</w:t>
      </w:r>
    </w:p>
    <w:p>
      <w:pPr>
        <w:spacing w:after="0" w:line="100" w:lineRule="exact"/>
        <w:rPr>
          <w:sz w:val="24"/>
          <w:szCs w:val="24"/>
          <w:color w:val="auto"/>
        </w:rPr>
      </w:pPr>
    </w:p>
    <w:p>
      <w:pPr>
        <w:ind w:left="20"/>
        <w:spacing w:after="0"/>
        <w:rPr>
          <w:sz w:val="20"/>
          <w:szCs w:val="20"/>
          <w:color w:val="auto"/>
        </w:rPr>
      </w:pPr>
      <w:r>
        <w:rPr>
          <w:rFonts w:ascii="Arial" w:cs="Arial" w:eastAsia="Arial" w:hAnsi="Arial"/>
          <w:sz w:val="14"/>
          <w:szCs w:val="14"/>
          <w:color w:val="auto"/>
        </w:rPr>
        <w:t>(Mark one)</w:t>
      </w:r>
    </w:p>
    <w:p>
      <w:pPr>
        <w:spacing w:after="0" w:line="8" w:lineRule="exact"/>
        <w:rPr>
          <w:sz w:val="24"/>
          <w:szCs w:val="24"/>
          <w:color w:val="auto"/>
        </w:rPr>
      </w:pPr>
    </w:p>
    <w:p>
      <w:pPr>
        <w:ind w:left="3700" w:right="2720" w:hanging="3690"/>
        <w:spacing w:after="0" w:line="424" w:lineRule="auto"/>
        <w:tabs>
          <w:tab w:leader="none" w:pos="183"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June 30, 2021</w:t>
      </w:r>
    </w:p>
    <w:p>
      <w:pPr>
        <w:spacing w:after="0" w:line="217" w:lineRule="exact"/>
        <w:rPr>
          <w:sz w:val="24"/>
          <w:szCs w:val="24"/>
          <w:color w:val="auto"/>
        </w:rPr>
      </w:pPr>
    </w:p>
    <w:p>
      <w:pPr>
        <w:ind w:left="180" w:hanging="170"/>
        <w:spacing w:after="0"/>
        <w:tabs>
          <w:tab w:leader="none" w:pos="1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302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Transition Period from</w:t>
            </w:r>
          </w:p>
        </w:tc>
        <w:tc>
          <w:tcPr>
            <w:tcW w:w="500" w:type="dxa"/>
            <w:vAlign w:val="bottom"/>
          </w:tcPr>
          <w:p>
            <w:pPr>
              <w:ind w:left="120"/>
              <w:spacing w:after="0"/>
              <w:rPr>
                <w:sz w:val="20"/>
                <w:szCs w:val="20"/>
                <w:color w:val="auto"/>
              </w:rPr>
            </w:pPr>
            <w:r>
              <w:rPr>
                <w:rFonts w:ascii="Arial" w:cs="Arial" w:eastAsia="Arial" w:hAnsi="Arial"/>
                <w:sz w:val="14"/>
                <w:szCs w:val="14"/>
                <w:b w:val="1"/>
                <w:bCs w:val="1"/>
                <w:color w:val="auto"/>
              </w:rPr>
              <w:t>to</w:t>
            </w: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7"/>
        </w:trPr>
        <w:tc>
          <w:tcPr>
            <w:tcW w:w="3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tcPr>
          <w:p>
            <w:pPr>
              <w:jc w:val="center"/>
              <w:ind w:left="808"/>
              <w:spacing w:after="0"/>
              <w:rPr>
                <w:sz w:val="20"/>
                <w:szCs w:val="20"/>
                <w:color w:val="auto"/>
              </w:rPr>
            </w:pPr>
            <w:r>
              <w:rPr>
                <w:rFonts w:ascii="Arial" w:cs="Arial" w:eastAsia="Arial" w:hAnsi="Arial"/>
                <w:sz w:val="14"/>
                <w:szCs w:val="14"/>
                <w:color w:val="auto"/>
                <w:w w:val="92"/>
              </w:rPr>
              <w:t>(State or Other</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300" w:type="dxa"/>
            <w:vAlign w:val="bottom"/>
          </w:tcPr>
          <w:p>
            <w:pPr>
              <w:spacing w:after="0"/>
              <w:rPr>
                <w:sz w:val="13"/>
                <w:szCs w:val="13"/>
                <w:color w:val="auto"/>
              </w:rPr>
            </w:pPr>
          </w:p>
        </w:tc>
        <w:tc>
          <w:tcPr>
            <w:tcW w:w="3520" w:type="dxa"/>
            <w:vAlign w:val="bottom"/>
            <w:gridSpan w:val="5"/>
          </w:tcPr>
          <w:p>
            <w:pPr>
              <w:jc w:val="center"/>
              <w:ind w:left="88"/>
              <w:spacing w:after="0" w:line="154" w:lineRule="exact"/>
              <w:rPr>
                <w:sz w:val="20"/>
                <w:szCs w:val="20"/>
                <w:color w:val="auto"/>
              </w:rPr>
            </w:pPr>
            <w:r>
              <w:rPr>
                <w:rFonts w:ascii="Arial" w:cs="Arial" w:eastAsia="Arial" w:hAnsi="Arial"/>
                <w:sz w:val="14"/>
                <w:szCs w:val="14"/>
                <w:color w:val="auto"/>
                <w:w w:val="93"/>
              </w:rPr>
              <w:t>(Exact Name of Registrant as Specified in Its Charter)</w:t>
            </w:r>
          </w:p>
        </w:tc>
        <w:tc>
          <w:tcPr>
            <w:tcW w:w="2100" w:type="dxa"/>
            <w:vAlign w:val="bottom"/>
          </w:tcPr>
          <w:p>
            <w:pPr>
              <w:jc w:val="center"/>
              <w:ind w:left="808"/>
              <w:spacing w:after="0" w:line="154" w:lineRule="exact"/>
              <w:rPr>
                <w:sz w:val="20"/>
                <w:szCs w:val="20"/>
                <w:color w:val="auto"/>
              </w:rPr>
            </w:pPr>
            <w:r>
              <w:rPr>
                <w:rFonts w:ascii="Arial" w:cs="Arial" w:eastAsia="Arial" w:hAnsi="Arial"/>
                <w:sz w:val="14"/>
                <w:szCs w:val="14"/>
                <w:color w:val="auto"/>
                <w:w w:val="95"/>
              </w:rPr>
              <w:t>Jurisdiction of</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3520" w:type="dxa"/>
            <w:vAlign w:val="bottom"/>
            <w:gridSpan w:val="5"/>
          </w:tcPr>
          <w:p>
            <w:pPr>
              <w:jc w:val="center"/>
              <w:ind w:left="68"/>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2100" w:type="dxa"/>
            <w:vAlign w:val="bottom"/>
          </w:tcPr>
          <w:p>
            <w:pPr>
              <w:jc w:val="center"/>
              <w:ind w:left="808"/>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4"/>
              </w:rPr>
              <w:t>(IRS Employer</w:t>
            </w:r>
          </w:p>
        </w:tc>
        <w:tc>
          <w:tcPr>
            <w:tcW w:w="0" w:type="dxa"/>
            <w:vAlign w:val="bottom"/>
          </w:tcPr>
          <w:p>
            <w:pPr>
              <w:spacing w:after="0"/>
              <w:rPr>
                <w:sz w:val="1"/>
                <w:szCs w:val="1"/>
                <w:color w:val="auto"/>
              </w:rPr>
            </w:pPr>
          </w:p>
        </w:tc>
      </w:tr>
      <w:tr>
        <w:trPr>
          <w:trHeight w:val="190"/>
        </w:trPr>
        <w:tc>
          <w:tcPr>
            <w:tcW w:w="3300" w:type="dxa"/>
            <w:vAlign w:val="bottom"/>
          </w:tcPr>
          <w:p>
            <w:pPr>
              <w:ind w:left="520"/>
              <w:spacing w:after="0"/>
              <w:rPr>
                <w:sz w:val="20"/>
                <w:szCs w:val="20"/>
                <w:color w:val="auto"/>
              </w:rPr>
            </w:pPr>
            <w:r>
              <w:rPr>
                <w:rFonts w:ascii="Arial" w:cs="Arial" w:eastAsia="Arial" w:hAnsi="Arial"/>
                <w:sz w:val="14"/>
                <w:szCs w:val="14"/>
                <w:color w:val="auto"/>
              </w:rPr>
              <w:t>(Commission File Number)</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(Telephone Number)</w:t>
            </w:r>
          </w:p>
        </w:tc>
        <w:tc>
          <w:tcPr>
            <w:tcW w:w="500" w:type="dxa"/>
            <w:vAlign w:val="bottom"/>
          </w:tcPr>
          <w:p>
            <w:pPr>
              <w:spacing w:after="0"/>
              <w:rPr>
                <w:sz w:val="16"/>
                <w:szCs w:val="16"/>
                <w:color w:val="auto"/>
              </w:rPr>
            </w:pPr>
          </w:p>
        </w:tc>
        <w:tc>
          <w:tcPr>
            <w:tcW w:w="2100" w:type="dxa"/>
            <w:vAlign w:val="bottom"/>
          </w:tcPr>
          <w:p>
            <w:pPr>
              <w:jc w:val="center"/>
              <w:ind w:left="788"/>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297"/>
        </w:trPr>
        <w:tc>
          <w:tcPr>
            <w:tcW w:w="3300" w:type="dxa"/>
            <w:vAlign w:val="bottom"/>
          </w:tcPr>
          <w:p>
            <w:pPr>
              <w:jc w:val="right"/>
              <w:ind w:right="1728"/>
              <w:spacing w:after="0"/>
              <w:rPr>
                <w:sz w:val="20"/>
                <w:szCs w:val="20"/>
                <w:color w:val="auto"/>
              </w:rPr>
            </w:pPr>
            <w:r>
              <w:rPr>
                <w:rFonts w:ascii="Arial" w:cs="Arial" w:eastAsia="Arial" w:hAnsi="Arial"/>
                <w:sz w:val="14"/>
                <w:szCs w:val="14"/>
                <w:b w:val="1"/>
                <w:bCs w:val="1"/>
                <w:color w:val="auto"/>
              </w:rPr>
              <w:t>1-9516</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ICAHN ENTERPRISES L.P.</w:t>
            </w:r>
          </w:p>
        </w:tc>
        <w:tc>
          <w:tcPr>
            <w:tcW w:w="500" w:type="dxa"/>
            <w:vAlign w:val="bottom"/>
          </w:tcPr>
          <w:p>
            <w:pPr>
              <w:spacing w:after="0"/>
              <w:rPr>
                <w:sz w:val="24"/>
                <w:szCs w:val="24"/>
                <w:color w:val="auto"/>
              </w:rPr>
            </w:pPr>
          </w:p>
        </w:tc>
        <w:tc>
          <w:tcPr>
            <w:tcW w:w="2100" w:type="dxa"/>
            <w:vAlign w:val="bottom"/>
          </w:tcPr>
          <w:p>
            <w:pPr>
              <w:jc w:val="center"/>
              <w:ind w:left="808"/>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13-3398766</w:t>
            </w:r>
          </w:p>
        </w:tc>
        <w:tc>
          <w:tcPr>
            <w:tcW w:w="0" w:type="dxa"/>
            <w:vAlign w:val="bottom"/>
          </w:tcPr>
          <w:p>
            <w:pPr>
              <w:spacing w:after="0"/>
              <w:rPr>
                <w:sz w:val="1"/>
                <w:szCs w:val="1"/>
                <w:color w:val="auto"/>
              </w:rPr>
            </w:pPr>
          </w:p>
        </w:tc>
      </w:tr>
      <w:tr>
        <w:trPr>
          <w:trHeight w:val="475"/>
        </w:trPr>
        <w:tc>
          <w:tcPr>
            <w:tcW w:w="3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16690 Collins Avenue, PH-1</w:t>
            </w:r>
          </w:p>
        </w:tc>
        <w:tc>
          <w:tcPr>
            <w:tcW w:w="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Sunny Isles Beach, FL 33160</w:t>
            </w: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278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3"/>
              </w:rPr>
              <w:t>(305) 422-4100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3300" w:type="dxa"/>
            <w:vAlign w:val="bottom"/>
          </w:tcPr>
          <w:p>
            <w:pPr>
              <w:jc w:val="right"/>
              <w:ind w:right="1488"/>
              <w:spacing w:after="0"/>
              <w:rPr>
                <w:sz w:val="20"/>
                <w:szCs w:val="20"/>
                <w:color w:val="auto"/>
              </w:rPr>
            </w:pPr>
            <w:r>
              <w:rPr>
                <w:rFonts w:ascii="Arial" w:cs="Arial" w:eastAsia="Arial" w:hAnsi="Arial"/>
                <w:sz w:val="14"/>
                <w:szCs w:val="14"/>
                <w:b w:val="1"/>
                <w:bCs w:val="1"/>
                <w:color w:val="auto"/>
              </w:rPr>
              <w:t>333-118021-01</w:t>
            </w:r>
          </w:p>
        </w:tc>
        <w:tc>
          <w:tcPr>
            <w:tcW w:w="3520" w:type="dxa"/>
            <w:vAlign w:val="bottom"/>
            <w:gridSpan w:val="5"/>
          </w:tcPr>
          <w:p>
            <w:pPr>
              <w:jc w:val="center"/>
              <w:ind w:left="88"/>
              <w:spacing w:after="0"/>
              <w:rPr>
                <w:sz w:val="20"/>
                <w:szCs w:val="20"/>
                <w:color w:val="auto"/>
              </w:rPr>
            </w:pPr>
            <w:r>
              <w:rPr>
                <w:rFonts w:ascii="Arial" w:cs="Arial" w:eastAsia="Arial" w:hAnsi="Arial"/>
                <w:sz w:val="14"/>
                <w:szCs w:val="14"/>
                <w:b w:val="1"/>
                <w:bCs w:val="1"/>
                <w:color w:val="auto"/>
              </w:rPr>
              <w:t>ICAHN ENTERPRISES HOLDINGS L.P.</w:t>
            </w:r>
          </w:p>
        </w:tc>
        <w:tc>
          <w:tcPr>
            <w:tcW w:w="2100" w:type="dxa"/>
            <w:vAlign w:val="bottom"/>
          </w:tcPr>
          <w:p>
            <w:pPr>
              <w:jc w:val="center"/>
              <w:ind w:left="808"/>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13-3398767</w:t>
            </w:r>
          </w:p>
        </w:tc>
        <w:tc>
          <w:tcPr>
            <w:tcW w:w="0" w:type="dxa"/>
            <w:vAlign w:val="bottom"/>
          </w:tcPr>
          <w:p>
            <w:pPr>
              <w:spacing w:after="0"/>
              <w:rPr>
                <w:sz w:val="1"/>
                <w:szCs w:val="1"/>
                <w:color w:val="auto"/>
              </w:rPr>
            </w:pPr>
          </w:p>
        </w:tc>
      </w:tr>
      <w:tr>
        <w:trPr>
          <w:trHeight w:val="475"/>
        </w:trPr>
        <w:tc>
          <w:tcPr>
            <w:tcW w:w="3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16690 Collins Avenue, PH-1</w:t>
            </w:r>
          </w:p>
        </w:tc>
        <w:tc>
          <w:tcPr>
            <w:tcW w:w="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Sunny Isles Beach, FL 33160</w:t>
            </w: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278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3"/>
              </w:rPr>
              <w:t>(305) 422-4100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3520" w:type="dxa"/>
            <w:vAlign w:val="bottom"/>
            <w:gridSpan w:val="5"/>
          </w:tcPr>
          <w:p>
            <w:pPr>
              <w:jc w:val="center"/>
              <w:ind w:left="4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2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3300" w:type="dxa"/>
            <w:vAlign w:val="bottom"/>
          </w:tcPr>
          <w:p>
            <w:pPr>
              <w:jc w:val="center"/>
              <w:ind w:left="528"/>
              <w:spacing w:after="0"/>
              <w:rPr>
                <w:sz w:val="20"/>
                <w:szCs w:val="20"/>
                <w:color w:val="auto"/>
              </w:rPr>
            </w:pPr>
            <w:r>
              <w:rPr>
                <w:rFonts w:ascii="Arial" w:cs="Arial" w:eastAsia="Arial" w:hAnsi="Arial"/>
                <w:sz w:val="14"/>
                <w:szCs w:val="14"/>
                <w:b w:val="1"/>
                <w:bCs w:val="1"/>
                <w:color w:val="auto"/>
                <w:w w:val="91"/>
              </w:rPr>
              <w:t>Title of Each Class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Trading Symbol(s)</w:t>
            </w:r>
          </w:p>
        </w:tc>
        <w:tc>
          <w:tcPr>
            <w:tcW w:w="500" w:type="dxa"/>
            <w:vAlign w:val="bottom"/>
          </w:tcPr>
          <w:p>
            <w:pPr>
              <w:spacing w:after="0"/>
              <w:rPr>
                <w:sz w:val="24"/>
                <w:szCs w:val="24"/>
                <w:color w:val="auto"/>
              </w:rPr>
            </w:pPr>
          </w:p>
        </w:tc>
        <w:tc>
          <w:tcPr>
            <w:tcW w:w="34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
        </w:trPr>
        <w:tc>
          <w:tcPr>
            <w:tcW w:w="3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300" w:type="dxa"/>
            <w:vAlign w:val="bottom"/>
          </w:tcPr>
          <w:p>
            <w:pPr>
              <w:jc w:val="center"/>
              <w:ind w:left="488"/>
              <w:spacing w:after="0"/>
              <w:rPr>
                <w:sz w:val="20"/>
                <w:szCs w:val="20"/>
                <w:color w:val="auto"/>
              </w:rPr>
            </w:pPr>
            <w:r>
              <w:rPr>
                <w:rFonts w:ascii="Arial" w:cs="Arial" w:eastAsia="Arial" w:hAnsi="Arial"/>
                <w:sz w:val="14"/>
                <w:szCs w:val="14"/>
                <w:color w:val="auto"/>
                <w:w w:val="94"/>
              </w:rPr>
              <w:t>Depositary Units of Icahn Enterprises L.P.</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88"/>
              </w:rPr>
              <w:t>IEP</w:t>
            </w:r>
          </w:p>
        </w:tc>
        <w:tc>
          <w:tcPr>
            <w:tcW w:w="500" w:type="dxa"/>
            <w:vAlign w:val="bottom"/>
          </w:tcPr>
          <w:p>
            <w:pPr>
              <w:spacing w:after="0"/>
              <w:rPr>
                <w:sz w:val="15"/>
                <w:szCs w:val="15"/>
                <w:color w:val="auto"/>
              </w:rPr>
            </w:pPr>
          </w:p>
        </w:tc>
        <w:tc>
          <w:tcPr>
            <w:tcW w:w="3400" w:type="dxa"/>
            <w:vAlign w:val="bottom"/>
            <w:gridSpan w:val="2"/>
            <w:vMerge w:val="restart"/>
          </w:tcPr>
          <w:p>
            <w:pPr>
              <w:ind w:left="68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r>
        <w:trPr>
          <w:trHeight w:val="94"/>
        </w:trPr>
        <w:tc>
          <w:tcPr>
            <w:tcW w:w="3300" w:type="dxa"/>
            <w:vAlign w:val="bottom"/>
            <w:vMerge w:val="restart"/>
          </w:tcPr>
          <w:p>
            <w:pPr>
              <w:jc w:val="center"/>
              <w:ind w:left="528"/>
              <w:spacing w:after="0"/>
              <w:rPr>
                <w:sz w:val="20"/>
                <w:szCs w:val="20"/>
                <w:color w:val="auto"/>
              </w:rPr>
            </w:pPr>
            <w:r>
              <w:rPr>
                <w:rFonts w:ascii="Arial" w:cs="Arial" w:eastAsia="Arial" w:hAnsi="Arial"/>
                <w:sz w:val="14"/>
                <w:szCs w:val="14"/>
                <w:color w:val="auto"/>
                <w:w w:val="92"/>
              </w:rPr>
              <w:t>Representing Limited Partner Interests</w:t>
            </w: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8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3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3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3" w:lineRule="exact"/>
        <w:rPr>
          <w:sz w:val="24"/>
          <w:szCs w:val="24"/>
          <w:color w:val="auto"/>
        </w:rPr>
      </w:pPr>
    </w:p>
    <w:p>
      <w:pPr>
        <w:ind w:left="20" w:right="240"/>
        <w:spacing w:after="0" w:line="290"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3" w:lineRule="exact"/>
        <w:rPr>
          <w:sz w:val="24"/>
          <w:szCs w:val="24"/>
          <w:color w:val="auto"/>
        </w:rPr>
      </w:pPr>
    </w:p>
    <w:p>
      <w:pPr>
        <w:ind w:left="1520"/>
        <w:spacing w:after="0" w:line="161" w:lineRule="exact"/>
        <w:tabs>
          <w:tab w:leader="none" w:pos="6320" w:val="left"/>
        </w:tabs>
        <w:rPr>
          <w:sz w:val="20"/>
          <w:szCs w:val="20"/>
          <w:color w:val="auto"/>
        </w:rPr>
      </w:pPr>
      <w:r>
        <w:rPr>
          <w:rFonts w:ascii="Arial" w:cs="Arial" w:eastAsia="Arial" w:hAnsi="Arial"/>
          <w:sz w:val="14"/>
          <w:szCs w:val="14"/>
          <w:color w:val="auto"/>
        </w:rPr>
        <w:t xml:space="preserve">Icahn Enterprises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Icahn Enterprises Holdings L.P.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4" w:lineRule="exact"/>
        <w:rPr>
          <w:sz w:val="24"/>
          <w:szCs w:val="24"/>
          <w:color w:val="auto"/>
        </w:rPr>
      </w:pPr>
    </w:p>
    <w:p>
      <w:pPr>
        <w:ind w:left="20" w:right="600"/>
        <w:spacing w:after="0" w:line="2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65" w:lineRule="exact"/>
        <w:rPr>
          <w:sz w:val="24"/>
          <w:szCs w:val="24"/>
          <w:color w:val="auto"/>
        </w:rPr>
      </w:pPr>
    </w:p>
    <w:p>
      <w:pPr>
        <w:ind w:left="1520"/>
        <w:spacing w:after="0" w:line="161" w:lineRule="exact"/>
        <w:tabs>
          <w:tab w:leader="none" w:pos="6320" w:val="left"/>
        </w:tabs>
        <w:rPr>
          <w:sz w:val="20"/>
          <w:szCs w:val="20"/>
          <w:color w:val="auto"/>
        </w:rPr>
      </w:pPr>
      <w:r>
        <w:rPr>
          <w:rFonts w:ascii="Arial" w:cs="Arial" w:eastAsia="Arial" w:hAnsi="Arial"/>
          <w:sz w:val="14"/>
          <w:szCs w:val="14"/>
          <w:color w:val="auto"/>
        </w:rPr>
        <w:t xml:space="preserve">Icahn Enterprises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Icahn Enterprises Holdings L.P.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7" w:lineRule="exact"/>
        <w:rPr>
          <w:sz w:val="24"/>
          <w:szCs w:val="24"/>
          <w:color w:val="auto"/>
        </w:rPr>
      </w:pPr>
    </w:p>
    <w:p>
      <w:pPr>
        <w:ind w:left="20" w:right="140"/>
        <w:spacing w:after="0" w:line="23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820" w:type="dxa"/>
        <w:tblCellMar>
          <w:top w:w="0" w:type="dxa"/>
          <w:left w:w="0" w:type="dxa"/>
          <w:bottom w:w="0" w:type="dxa"/>
          <w:right w:w="0" w:type="dxa"/>
        </w:tblCellMar>
      </w:tblPr>
      <w:tr>
        <w:trPr>
          <w:trHeight w:val="142"/>
        </w:trPr>
        <w:tc>
          <w:tcPr>
            <w:tcW w:w="2660" w:type="dxa"/>
            <w:vAlign w:val="bottom"/>
            <w:gridSpan w:val="5"/>
          </w:tcPr>
          <w:p>
            <w:pPr>
              <w:ind w:left="1080"/>
              <w:spacing w:after="0" w:line="142" w:lineRule="exact"/>
              <w:rPr>
                <w:sz w:val="20"/>
                <w:szCs w:val="20"/>
                <w:color w:val="auto"/>
              </w:rPr>
            </w:pPr>
            <w:r>
              <w:rPr>
                <w:rFonts w:ascii="Arial" w:cs="Arial" w:eastAsia="Arial" w:hAnsi="Arial"/>
                <w:sz w:val="14"/>
                <w:szCs w:val="14"/>
                <w:color w:val="auto"/>
              </w:rPr>
              <w:t>Icahn Enterprises L.P.</w:t>
            </w:r>
          </w:p>
        </w:tc>
        <w:tc>
          <w:tcPr>
            <w:tcW w:w="1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320" w:type="dxa"/>
            <w:vAlign w:val="bottom"/>
            <w:gridSpan w:val="4"/>
          </w:tcPr>
          <w:p>
            <w:pPr>
              <w:spacing w:after="0" w:line="142" w:lineRule="exact"/>
              <w:rPr>
                <w:sz w:val="20"/>
                <w:szCs w:val="20"/>
                <w:color w:val="auto"/>
              </w:rPr>
            </w:pPr>
            <w:r>
              <w:rPr>
                <w:rFonts w:ascii="Arial" w:cs="Arial" w:eastAsia="Arial" w:hAnsi="Arial"/>
                <w:sz w:val="14"/>
                <w:szCs w:val="14"/>
                <w:color w:val="auto"/>
              </w:rPr>
              <w:t>Icahn Enterprises Holdings L.P.</w:t>
            </w:r>
          </w:p>
        </w:tc>
      </w:tr>
      <w:tr>
        <w:trPr>
          <w:trHeight w:val="136"/>
        </w:trPr>
        <w:tc>
          <w:tcPr>
            <w:tcW w:w="1080" w:type="dxa"/>
            <w:vAlign w:val="bottom"/>
          </w:tcPr>
          <w:p>
            <w:pPr>
              <w:spacing w:after="0" w:line="137" w:lineRule="exact"/>
              <w:rPr>
                <w:sz w:val="20"/>
                <w:szCs w:val="20"/>
                <w:color w:val="auto"/>
              </w:rPr>
            </w:pPr>
            <w:r>
              <w:rPr>
                <w:rFonts w:ascii="Arial" w:cs="Arial" w:eastAsia="Arial" w:hAnsi="Arial"/>
                <w:sz w:val="14"/>
                <w:szCs w:val="14"/>
                <w:color w:val="auto"/>
                <w:w w:val="93"/>
              </w:rPr>
              <w:t>Large Accelerated</w:t>
            </w:r>
          </w:p>
        </w:tc>
        <w:tc>
          <w:tcPr>
            <w:tcW w:w="3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5"/>
              </w:rPr>
              <w:t>Filer</w:t>
            </w:r>
          </w:p>
        </w:tc>
        <w:tc>
          <w:tcPr>
            <w:tcW w:w="520" w:type="dxa"/>
            <w:vAlign w:val="bottom"/>
            <w:tcBorders>
              <w:top w:val="single" w:sz="8" w:color="auto"/>
            </w:tcBorders>
          </w:tcPr>
          <w:p>
            <w:pPr>
              <w:ind w:left="60"/>
              <w:spacing w:after="0" w:line="136" w:lineRule="exact"/>
              <w:rPr>
                <w:sz w:val="20"/>
                <w:szCs w:val="20"/>
                <w:color w:val="auto"/>
              </w:rPr>
            </w:pPr>
            <w:r>
              <w:rPr>
                <w:rFonts w:ascii="MS PGothic" w:cs="MS PGothic" w:eastAsia="MS PGothic" w:hAnsi="MS PGothic"/>
                <w:sz w:val="14"/>
                <w:szCs w:val="14"/>
                <w:color w:val="auto"/>
              </w:rPr>
              <w:t>☒</w:t>
            </w:r>
          </w:p>
        </w:tc>
        <w:tc>
          <w:tcPr>
            <w:tcW w:w="4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980" w:type="dxa"/>
            <w:vAlign w:val="bottom"/>
          </w:tcPr>
          <w:p>
            <w:pPr>
              <w:spacing w:after="0" w:line="137"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1380" w:type="dxa"/>
            <w:vAlign w:val="bottom"/>
          </w:tcPr>
          <w:p>
            <w:pPr>
              <w:ind w:left="500"/>
              <w:spacing w:after="0" w:line="137" w:lineRule="exact"/>
              <w:rPr>
                <w:sz w:val="20"/>
                <w:szCs w:val="20"/>
                <w:color w:val="auto"/>
              </w:rPr>
            </w:pPr>
            <w:r>
              <w:rPr>
                <w:rFonts w:ascii="Arial" w:cs="Arial" w:eastAsia="Arial" w:hAnsi="Arial"/>
                <w:sz w:val="14"/>
                <w:szCs w:val="14"/>
                <w:color w:val="auto"/>
                <w:w w:val="75"/>
              </w:rPr>
              <w:t>Large Accelerated</w:t>
            </w:r>
          </w:p>
        </w:tc>
        <w:tc>
          <w:tcPr>
            <w:tcW w:w="5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Filer</w:t>
            </w:r>
          </w:p>
        </w:tc>
        <w:tc>
          <w:tcPr>
            <w:tcW w:w="520" w:type="dxa"/>
            <w:vAlign w:val="bottom"/>
            <w:tcBorders>
              <w:top w:val="single" w:sz="8" w:color="auto"/>
            </w:tcBorders>
          </w:tcPr>
          <w:p>
            <w:pPr>
              <w:ind w:left="60"/>
              <w:spacing w:after="0" w:line="136" w:lineRule="exact"/>
              <w:rPr>
                <w:sz w:val="20"/>
                <w:szCs w:val="20"/>
                <w:color w:val="auto"/>
              </w:rPr>
            </w:pPr>
            <w:r>
              <w:rPr>
                <w:rFonts w:ascii="MS PGothic" w:cs="MS PGothic" w:eastAsia="MS PGothic" w:hAnsi="MS PGothic"/>
                <w:sz w:val="14"/>
                <w:szCs w:val="14"/>
                <w:color w:val="auto"/>
              </w:rPr>
              <w:t>☐</w:t>
            </w:r>
          </w:p>
        </w:tc>
        <w:tc>
          <w:tcPr>
            <w:tcW w:w="760" w:type="dxa"/>
            <w:vAlign w:val="bottom"/>
            <w:tcBorders>
              <w:top w:val="single" w:sz="8" w:color="auto"/>
            </w:tcBorders>
          </w:tcPr>
          <w:p>
            <w:pPr>
              <w:spacing w:after="0"/>
              <w:rPr>
                <w:sz w:val="11"/>
                <w:szCs w:val="11"/>
                <w:color w:val="auto"/>
              </w:rPr>
            </w:pPr>
          </w:p>
        </w:tc>
        <w:tc>
          <w:tcPr>
            <w:tcW w:w="1500" w:type="dxa"/>
            <w:vAlign w:val="bottom"/>
          </w:tcPr>
          <w:p>
            <w:pPr>
              <w:spacing w:after="0" w:line="137"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176"/>
        </w:trPr>
        <w:tc>
          <w:tcPr>
            <w:tcW w:w="1420" w:type="dxa"/>
            <w:vAlign w:val="bottom"/>
            <w:gridSpan w:val="2"/>
          </w:tcPr>
          <w:p>
            <w:pPr>
              <w:jc w:val="right"/>
              <w:spacing w:after="0"/>
              <w:rPr>
                <w:sz w:val="20"/>
                <w:szCs w:val="20"/>
                <w:color w:val="auto"/>
              </w:rPr>
            </w:pPr>
            <w:r>
              <w:rPr>
                <w:rFonts w:ascii="Arial" w:cs="Arial" w:eastAsia="Arial" w:hAnsi="Arial"/>
                <w:sz w:val="14"/>
                <w:szCs w:val="14"/>
                <w:color w:val="auto"/>
              </w:rPr>
              <w:t>Non-accelerated Filer</w:t>
            </w:r>
          </w:p>
        </w:tc>
        <w:tc>
          <w:tcPr>
            <w:tcW w:w="52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2700" w:type="dxa"/>
            <w:vAlign w:val="bottom"/>
            <w:gridSpan w:val="3"/>
          </w:tcPr>
          <w:p>
            <w:pPr>
              <w:ind w:left="30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c>
          <w:tcPr>
            <w:tcW w:w="1920" w:type="dxa"/>
            <w:vAlign w:val="bottom"/>
            <w:gridSpan w:val="2"/>
          </w:tcPr>
          <w:p>
            <w:pPr>
              <w:jc w:val="right"/>
              <w:spacing w:after="0"/>
              <w:rPr>
                <w:sz w:val="20"/>
                <w:szCs w:val="20"/>
                <w:color w:val="auto"/>
              </w:rPr>
            </w:pPr>
            <w:r>
              <w:rPr>
                <w:rFonts w:ascii="Arial" w:cs="Arial" w:eastAsia="Arial" w:hAnsi="Arial"/>
                <w:sz w:val="14"/>
                <w:szCs w:val="14"/>
                <w:color w:val="auto"/>
              </w:rPr>
              <w:t>Non-accelerated Filer</w:t>
            </w:r>
          </w:p>
        </w:tc>
        <w:tc>
          <w:tcPr>
            <w:tcW w:w="52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2260" w:type="dxa"/>
            <w:vAlign w:val="bottom"/>
            <w:gridSpan w:val="2"/>
          </w:tcPr>
          <w:p>
            <w:pPr>
              <w:ind w:left="340"/>
              <w:spacing w:after="0" w:line="161" w:lineRule="exact"/>
              <w:rPr>
                <w:sz w:val="20"/>
                <w:szCs w:val="20"/>
                <w:color w:val="auto"/>
              </w:rPr>
            </w:pPr>
            <w:r>
              <w:rPr>
                <w:rFonts w:ascii="Arial" w:cs="Arial" w:eastAsia="Arial" w:hAnsi="Arial"/>
                <w:sz w:val="14"/>
                <w:szCs w:val="14"/>
                <w:color w:val="auto"/>
                <w:w w:val="96"/>
              </w:rPr>
              <w:t xml:space="preserve">Smaller Reporting Company  </w:t>
            </w:r>
            <w:r>
              <w:rPr>
                <w:rFonts w:ascii="MS PGothic" w:cs="MS PGothic" w:eastAsia="MS PGothic" w:hAnsi="MS PGothic"/>
                <w:sz w:val="14"/>
                <w:szCs w:val="14"/>
                <w:color w:val="auto"/>
                <w:w w:val="96"/>
              </w:rPr>
              <w:t>☐</w:t>
            </w:r>
          </w:p>
        </w:tc>
      </w:tr>
      <w:tr>
        <w:trPr>
          <w:trHeight w:val="226"/>
        </w:trPr>
        <w:tc>
          <w:tcPr>
            <w:tcW w:w="2660" w:type="dxa"/>
            <w:vAlign w:val="bottom"/>
            <w:gridSpan w:val="5"/>
          </w:tcPr>
          <w:p>
            <w:pPr>
              <w:ind w:left="1020"/>
              <w:spacing w:after="0"/>
              <w:rPr>
                <w:sz w:val="20"/>
                <w:szCs w:val="20"/>
                <w:color w:val="auto"/>
              </w:rPr>
            </w:pPr>
            <w:r>
              <w:rPr>
                <w:rFonts w:ascii="Arial" w:cs="Arial" w:eastAsia="Arial" w:hAnsi="Arial"/>
                <w:sz w:val="14"/>
                <w:szCs w:val="14"/>
                <w:color w:val="auto"/>
                <w:w w:val="93"/>
              </w:rPr>
              <w:t>Emerging Growth Company</w:t>
            </w:r>
          </w:p>
        </w:tc>
        <w:tc>
          <w:tcPr>
            <w:tcW w:w="19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1380" w:type="dxa"/>
            <w:vAlign w:val="bottom"/>
          </w:tcPr>
          <w:p>
            <w:pPr>
              <w:spacing w:after="0"/>
              <w:rPr>
                <w:sz w:val="19"/>
                <w:szCs w:val="19"/>
                <w:color w:val="auto"/>
              </w:rPr>
            </w:pPr>
          </w:p>
        </w:tc>
        <w:tc>
          <w:tcPr>
            <w:tcW w:w="3320" w:type="dxa"/>
            <w:vAlign w:val="bottom"/>
            <w:gridSpan w:val="4"/>
          </w:tcPr>
          <w:p>
            <w:pPr>
              <w:ind w:left="1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r>
    </w:tbl>
    <w:p>
      <w:pPr>
        <w:spacing w:after="0" w:line="180" w:lineRule="exact"/>
        <w:rPr>
          <w:sz w:val="24"/>
          <w:szCs w:val="24"/>
          <w:color w:val="auto"/>
        </w:rPr>
      </w:pPr>
    </w:p>
    <w:p>
      <w:pPr>
        <w:ind w:left="20" w:right="2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2" w:lineRule="exact"/>
        <w:rPr>
          <w:sz w:val="24"/>
          <w:szCs w:val="24"/>
          <w:color w:val="auto"/>
        </w:rPr>
      </w:pPr>
    </w:p>
    <w:p>
      <w:pPr>
        <w:ind w:left="2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95" w:lineRule="exact"/>
        <w:rPr>
          <w:sz w:val="24"/>
          <w:szCs w:val="24"/>
          <w:color w:val="auto"/>
        </w:rPr>
      </w:pPr>
    </w:p>
    <w:p>
      <w:pPr>
        <w:ind w:left="1520"/>
        <w:spacing w:after="0" w:line="161" w:lineRule="exact"/>
        <w:tabs>
          <w:tab w:leader="none" w:pos="6320" w:val="left"/>
        </w:tabs>
        <w:rPr>
          <w:sz w:val="20"/>
          <w:szCs w:val="20"/>
          <w:color w:val="auto"/>
        </w:rPr>
      </w:pPr>
      <w:r>
        <w:rPr>
          <w:rFonts w:ascii="Arial" w:cs="Arial" w:eastAsia="Arial" w:hAnsi="Arial"/>
          <w:sz w:val="14"/>
          <w:szCs w:val="14"/>
          <w:color w:val="auto"/>
        </w:rPr>
        <w:t xml:space="preserve">Icahn Enterprises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Icahn Enterprises Holdings L.P.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7"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August 6, 2021, there were 264,531,252 of Icahn Enterprises’ depositary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483870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72390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106680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5" w:right="8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40" w:type="dxa"/>
            <w:vAlign w:val="bottom"/>
            <w:gridSpan w:val="6"/>
            <w:vMerge w:val="restart"/>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Explanatory Note and Forward-Looking Statements</w:t>
              </w:r>
            </w:hyperlink>
          </w:p>
        </w:tc>
        <w:tc>
          <w:tcPr>
            <w:tcW w:w="3160" w:type="dxa"/>
            <w:vAlign w:val="bottom"/>
            <w:gridSpan w:val="3"/>
            <w:vMerge w:val="restart"/>
          </w:tcPr>
          <w:p>
            <w:pPr>
              <w:spacing w:after="0"/>
              <w:rPr>
                <w:sz w:val="14"/>
                <w:szCs w:val="14"/>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 No</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740" w:type="dxa"/>
            <w:vAlign w:val="bottom"/>
            <w:tcBorders>
              <w:bottom w:val="single" w:sz="8" w:color="0000EE"/>
            </w:tcBorders>
            <w:gridSpan w:val="6"/>
            <w:vMerge w:val="continue"/>
          </w:tcPr>
          <w:p>
            <w:pPr>
              <w:spacing w:after="0"/>
              <w:rPr>
                <w:sz w:val="15"/>
                <w:szCs w:val="15"/>
                <w:color w:val="auto"/>
              </w:rPr>
            </w:pPr>
          </w:p>
        </w:tc>
        <w:tc>
          <w:tcPr>
            <w:tcW w:w="3160" w:type="dxa"/>
            <w:vAlign w:val="bottom"/>
            <w:gridSpan w:val="3"/>
            <w:vMerge w:val="continue"/>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4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40" w:type="dxa"/>
            <w:vAlign w:val="bottom"/>
            <w:gridSpan w:val="5"/>
          </w:tcPr>
          <w:p>
            <w:pPr>
              <w:jc w:val="center"/>
              <w:ind w:right="1800"/>
              <w:spacing w:after="0"/>
              <w:rPr>
                <w:sz w:val="20"/>
                <w:szCs w:val="20"/>
                <w:color w:val="auto"/>
              </w:rPr>
            </w:pPr>
            <w:r>
              <w:rPr>
                <w:rFonts w:ascii="Arial" w:cs="Arial" w:eastAsia="Arial" w:hAnsi="Arial"/>
                <w:sz w:val="18"/>
                <w:szCs w:val="18"/>
                <w:b w:val="1"/>
                <w:bCs w:val="1"/>
                <w:color w:val="auto"/>
              </w:rPr>
              <w:t>PART I. FINANCIAL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00" w:type="dxa"/>
            <w:vAlign w:val="bottom"/>
            <w:gridSpan w:val="3"/>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6900" w:type="dxa"/>
            <w:vAlign w:val="bottom"/>
            <w:gridSpan w:val="9"/>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940" w:type="dxa"/>
            <w:vAlign w:val="bottom"/>
          </w:tcPr>
          <w:p>
            <w:pPr>
              <w:jc w:val="center"/>
              <w:spacing w:after="0" w:line="190"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3"/>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Item 2.</w:t>
              </w:r>
            </w:hyperlink>
          </w:p>
        </w:tc>
        <w:tc>
          <w:tcPr>
            <w:tcW w:w="6900" w:type="dxa"/>
            <w:vAlign w:val="bottom"/>
            <w:gridSpan w:val="9"/>
          </w:tcPr>
          <w:p>
            <w:pPr>
              <w:spacing w:after="0" w:line="196"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Management’s Discussion and Analysis of Financial Condition and Results of Operations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3"/>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Item 3.</w:t>
              </w:r>
            </w:hyperlink>
          </w:p>
        </w:tc>
        <w:tc>
          <w:tcPr>
            <w:tcW w:w="6900" w:type="dxa"/>
            <w:vAlign w:val="bottom"/>
            <w:gridSpan w:val="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3"/>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Item 4.</w:t>
              </w:r>
            </w:hyperlink>
          </w:p>
        </w:tc>
        <w:tc>
          <w:tcPr>
            <w:tcW w:w="6900" w:type="dxa"/>
            <w:vAlign w:val="bottom"/>
            <w:gridSpan w:val="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Controls and Procedures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492"/>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140" w:type="dxa"/>
            <w:vAlign w:val="bottom"/>
            <w:gridSpan w:val="5"/>
          </w:tcPr>
          <w:p>
            <w:pPr>
              <w:jc w:val="center"/>
              <w:ind w:right="1820"/>
              <w:spacing w:after="0"/>
              <w:rPr>
                <w:sz w:val="20"/>
                <w:szCs w:val="20"/>
                <w:color w:val="auto"/>
              </w:rPr>
            </w:pPr>
            <w:r>
              <w:rPr>
                <w:rFonts w:ascii="Arial" w:cs="Arial" w:eastAsia="Arial" w:hAnsi="Arial"/>
                <w:sz w:val="18"/>
                <w:szCs w:val="18"/>
                <w:b w:val="1"/>
                <w:bCs w:val="1"/>
                <w:color w:val="auto"/>
              </w:rPr>
              <w:t>PART II. 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00" w:type="dxa"/>
            <w:vAlign w:val="bottom"/>
            <w:gridSpan w:val="3"/>
          </w:tcPr>
          <w:p>
            <w:pPr>
              <w:spacing w:after="0" w:line="190" w:lineRule="exact"/>
              <w:rPr>
                <w:rFonts w:ascii="Arial" w:cs="Arial" w:eastAsia="Arial" w:hAnsi="Arial"/>
                <w:sz w:val="18"/>
                <w:szCs w:val="18"/>
                <w:color w:val="0000EE"/>
              </w:rPr>
            </w:pPr>
            <w:hyperlink w:anchor="page61">
              <w:r>
                <w:rPr>
                  <w:rFonts w:ascii="Arial" w:cs="Arial" w:eastAsia="Arial" w:hAnsi="Arial"/>
                  <w:sz w:val="18"/>
                  <w:szCs w:val="18"/>
                  <w:color w:val="0000EE"/>
                </w:rPr>
                <w:t>Item 1.</w:t>
              </w:r>
            </w:hyperlink>
          </w:p>
        </w:tc>
        <w:tc>
          <w:tcPr>
            <w:tcW w:w="6900" w:type="dxa"/>
            <w:vAlign w:val="bottom"/>
            <w:gridSpan w:val="9"/>
          </w:tcPr>
          <w:p>
            <w:pPr>
              <w:spacing w:after="0" w:line="190" w:lineRule="exact"/>
              <w:rPr>
                <w:rFonts w:ascii="Arial" w:cs="Arial" w:eastAsia="Arial" w:hAnsi="Arial"/>
                <w:sz w:val="18"/>
                <w:szCs w:val="18"/>
                <w:color w:val="0000EE"/>
              </w:rPr>
            </w:pPr>
            <w:hyperlink w:anchor="page61">
              <w:r>
                <w:rPr>
                  <w:rFonts w:ascii="Arial" w:cs="Arial" w:eastAsia="Arial" w:hAnsi="Arial"/>
                  <w:sz w:val="18"/>
                  <w:szCs w:val="18"/>
                  <w:color w:val="0000EE"/>
                </w:rPr>
                <w:t>Legal Proceedings</w:t>
              </w:r>
            </w:hyperlink>
          </w:p>
        </w:tc>
        <w:tc>
          <w:tcPr>
            <w:tcW w:w="940" w:type="dxa"/>
            <w:vAlign w:val="bottom"/>
          </w:tcPr>
          <w:p>
            <w:pPr>
              <w:jc w:val="center"/>
              <w:spacing w:after="0" w:line="190" w:lineRule="exact"/>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Item 1A.</w:t>
              </w:r>
            </w:hyperlink>
          </w:p>
        </w:tc>
        <w:tc>
          <w:tcPr>
            <w:tcW w:w="360" w:type="dxa"/>
            <w:vAlign w:val="bottom"/>
          </w:tcPr>
          <w:p>
            <w:pPr>
              <w:spacing w:after="0"/>
              <w:rPr>
                <w:sz w:val="17"/>
                <w:szCs w:val="17"/>
                <w:color w:val="auto"/>
              </w:rPr>
            </w:pPr>
          </w:p>
        </w:tc>
        <w:tc>
          <w:tcPr>
            <w:tcW w:w="6900" w:type="dxa"/>
            <w:vAlign w:val="bottom"/>
            <w:gridSpan w:val="9"/>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Risk Factors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Item 6.</w:t>
              </w:r>
            </w:hyperlink>
          </w:p>
        </w:tc>
        <w:tc>
          <w:tcPr>
            <w:tcW w:w="360" w:type="dxa"/>
            <w:vAlign w:val="bottom"/>
          </w:tcPr>
          <w:p>
            <w:pPr>
              <w:spacing w:after="0"/>
              <w:rPr>
                <w:sz w:val="17"/>
                <w:szCs w:val="17"/>
                <w:color w:val="auto"/>
              </w:rPr>
            </w:pPr>
          </w:p>
        </w:tc>
        <w:tc>
          <w:tcPr>
            <w:tcW w:w="9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Exhibits</w:t>
              </w:r>
            </w:hyperlink>
          </w:p>
        </w:tc>
        <w:tc>
          <w:tcPr>
            <w:tcW w:w="6000" w:type="dxa"/>
            <w:vAlign w:val="bottom"/>
            <w:gridSpan w:val="7"/>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Public Law 104-67.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including the impact of the COVID-19 pandemic,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172"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include risks related to economic downturns, substantial competition and rising operating costs; risks related to the severity, magnitude and duration of the COVID-19 pandemic and its impact on the global economy, financial markets and industries in which our subsidiaries operate; risks related to our investment activities, including the nature of the investments made by the private funds in which we invest, declines in the fair value of our investments as a result of the COVID-19 pandemic, losses in the private funds and loss of key employees; risks related to our ability to continue to conduct our activities in a manner so as to not be deemed an investment company under the Investment Company Act of 1940, as amended; risks related to our energy business, including the volatility and availability of crude oil, declines in global demand for crude oil, refined products and liquid transportation fuels as result of the COVID-19 pandemic, other feed stocks and refined products, unfavorable refining margin (crack spread), interrupted access to pipelines, significant fluctuations in nitrogen fertilizer demand in the agricultural industry and seasonality of results; risks related to our automotive activities and exposure to adverse conditions in the automotive industry, including as a result of the COVID-19 pandemic; risks related to our food packaging activities, including competition from better capitalized competitors, inability of its suppliers to timely deliver raw materials, and the failure to effectively respond to industry changes in casings technology; risks related to our scrap metals activities, including potential environmental exposure; risks related to our real estate activities, including the extent of any tenant bankruptcies and insolvencies; risks related to our home fashion operations, including changes in the availability and price of raw materials, and changes in transportation costs and delivery times. These risks and uncertainties also include the risks and uncertainties described in our Annual Report on Form 10-K for the year ended December 31, 2020 and those set forth in this Report, including under the caption “Risk Factors,” under Part II, Item 1A of this Report.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60" w:type="dxa"/>
            <w:vAlign w:val="bottom"/>
          </w:tcPr>
          <w:p>
            <w:pPr>
              <w:jc w:val="center"/>
              <w:ind w:left="229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tcPr>
          <w:p>
            <w:pPr>
              <w:jc w:val="center"/>
              <w:ind w:left="227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0" w:type="dxa"/>
            <w:vAlign w:val="bottom"/>
            <w:gridSpan w:val="4"/>
          </w:tcPr>
          <w:p>
            <w:pPr>
              <w:jc w:val="center"/>
              <w:ind w:left="1050"/>
              <w:spacing w:after="0"/>
              <w:rPr>
                <w:sz w:val="20"/>
                <w:szCs w:val="20"/>
                <w:color w:val="auto"/>
              </w:rPr>
            </w:pPr>
            <w:r>
              <w:rPr>
                <w:rFonts w:ascii="Arial" w:cs="Arial" w:eastAsia="Arial" w:hAnsi="Arial"/>
                <w:sz w:val="18"/>
                <w:szCs w:val="18"/>
                <w:b w:val="1"/>
                <w:bCs w:val="1"/>
                <w:color w:val="auto"/>
                <w:w w:val="99"/>
              </w:rPr>
              <w:t>CONDENSED CONSOLIDATED BALANCE SHEETS (UNAUDITED)</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June 30,</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6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93"/>
              </w:rPr>
              <w:t>(in millions, except</w:t>
            </w:r>
          </w:p>
        </w:tc>
        <w:tc>
          <w:tcPr>
            <w:tcW w:w="1100" w:type="dxa"/>
            <w:vAlign w:val="bottom"/>
            <w:gridSpan w:val="2"/>
          </w:tcPr>
          <w:p>
            <w:pPr>
              <w:jc w:val="right"/>
              <w:ind w:right="90"/>
              <w:spacing w:after="0" w:line="129" w:lineRule="exact"/>
              <w:rPr>
                <w:sz w:val="20"/>
                <w:szCs w:val="20"/>
                <w:color w:val="auto"/>
              </w:rPr>
            </w:pPr>
            <w:r>
              <w:rPr>
                <w:rFonts w:ascii="Arial" w:cs="Arial" w:eastAsia="Arial" w:hAnsi="Arial"/>
                <w:sz w:val="14"/>
                <w:szCs w:val="14"/>
                <w:color w:val="auto"/>
              </w:rPr>
              <w:t>unit amounts)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86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2,194</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brokers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204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Derivative liabilities,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Limited partners: Depositary units: 264,531,252 units issued and outstanding at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June 30, 2021 and 241,338,835 units issued and outstanding at December 31, 2020</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(846)</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160" w:type="dxa"/>
            <w:vAlign w:val="bottom"/>
            <w:gridSpan w:val="7"/>
          </w:tcPr>
          <w:p>
            <w:pPr>
              <w:ind w:left="2460"/>
              <w:spacing w:after="0"/>
              <w:rPr>
                <w:sz w:val="20"/>
                <w:szCs w:val="20"/>
                <w:color w:val="auto"/>
              </w:rPr>
            </w:pPr>
            <w:r>
              <w:rPr>
                <w:rFonts w:ascii="Arial" w:cs="Arial" w:eastAsia="Arial" w:hAnsi="Arial"/>
                <w:sz w:val="18"/>
                <w:szCs w:val="18"/>
                <w:b w:val="1"/>
                <w:bCs w:val="1"/>
                <w:color w:val="auto"/>
              </w:rPr>
              <w:t>ICAHN ENTERPRISES L.P. AND SUBSIDIARIES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40" w:type="dxa"/>
            <w:vAlign w:val="bottom"/>
            <w:gridSpan w:val="10"/>
          </w:tcPr>
          <w:p>
            <w:pPr>
              <w:ind w:left="1140"/>
              <w:spacing w:after="0"/>
              <w:rPr>
                <w:sz w:val="20"/>
                <w:szCs w:val="20"/>
                <w:color w:val="auto"/>
              </w:rPr>
            </w:pPr>
            <w:r>
              <w:rPr>
                <w:rFonts w:ascii="Arial" w:cs="Arial" w:eastAsia="Arial" w:hAnsi="Arial"/>
                <w:sz w:val="18"/>
                <w:szCs w:val="18"/>
                <w:b w:val="1"/>
                <w:bCs w:val="1"/>
                <w:color w:val="auto"/>
              </w:rPr>
              <w:t>CONDENSED CONSOLIDATED STATEMENTS OF OPERATIONS (UNAUDITED)</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280" w:type="dxa"/>
            <w:vAlign w:val="bottom"/>
          </w:tcPr>
          <w:p>
            <w:pPr>
              <w:spacing w:after="0"/>
              <w:rPr>
                <w:sz w:val="24"/>
                <w:szCs w:val="24"/>
                <w:color w:val="auto"/>
              </w:rPr>
            </w:pPr>
          </w:p>
        </w:tc>
        <w:tc>
          <w:tcPr>
            <w:tcW w:w="188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24"/>
                <w:szCs w:val="24"/>
                <w:color w:val="auto"/>
              </w:rPr>
            </w:pPr>
          </w:p>
        </w:tc>
        <w:tc>
          <w:tcPr>
            <w:tcW w:w="1640" w:type="dxa"/>
            <w:vAlign w:val="bottom"/>
            <w:gridSpan w:val="5"/>
          </w:tcPr>
          <w:p>
            <w:pPr>
              <w:ind w:left="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b w:val="1"/>
                <w:bCs w:val="1"/>
                <w:color w:val="auto"/>
                <w:w w:val="88"/>
              </w:rPr>
              <w:t>June 30,</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vMerge w:val="restart"/>
          </w:tcPr>
          <w:p>
            <w:pPr>
              <w:spacing w:after="0"/>
              <w:rPr>
                <w:sz w:val="20"/>
                <w:szCs w:val="20"/>
                <w:color w:val="auto"/>
              </w:rPr>
            </w:pPr>
            <w:r>
              <w:rPr>
                <w:rFonts w:ascii="Arial" w:cs="Arial" w:eastAsia="Arial" w:hAnsi="Arial"/>
                <w:sz w:val="14"/>
                <w:szCs w:val="14"/>
                <w:color w:val="auto"/>
              </w:rPr>
              <w:t>(in</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4"/>
              </w:rPr>
              <w:t>2020</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4"/>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color w:val="auto"/>
                <w:w w:val="94"/>
              </w:rPr>
              <w:t>millions, except</w:t>
            </w:r>
          </w:p>
        </w:tc>
        <w:tc>
          <w:tcPr>
            <w:tcW w:w="980" w:type="dxa"/>
            <w:vAlign w:val="bottom"/>
            <w:gridSpan w:val="3"/>
          </w:tcPr>
          <w:p>
            <w:pPr>
              <w:ind w:left="20"/>
              <w:spacing w:after="0" w:line="129" w:lineRule="exact"/>
              <w:rPr>
                <w:sz w:val="20"/>
                <w:szCs w:val="20"/>
                <w:color w:val="auto"/>
              </w:rPr>
            </w:pPr>
            <w:r>
              <w:rPr>
                <w:rFonts w:ascii="Arial" w:cs="Arial" w:eastAsia="Arial" w:hAnsi="Arial"/>
                <w:sz w:val="14"/>
                <w:szCs w:val="14"/>
                <w:color w:val="auto"/>
                <w:w w:val="86"/>
              </w:rPr>
              <w:t>per unit amounts)</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2,612</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1,326</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4,830</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revenues from operations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Net gain (loss) from investment activities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dividend income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Other loss, net</w:t>
            </w:r>
          </w:p>
        </w:tc>
        <w:tc>
          <w:tcPr>
            <w:tcW w:w="160" w:type="dxa"/>
            <w:vAlign w:val="bottom"/>
          </w:tcPr>
          <w:p>
            <w:pPr>
              <w:spacing w:after="0"/>
              <w:rPr>
                <w:sz w:val="18"/>
                <w:szCs w:val="18"/>
                <w:color w:val="auto"/>
              </w:rPr>
            </w:pPr>
          </w:p>
        </w:tc>
        <w:tc>
          <w:tcPr>
            <w:tcW w:w="800" w:type="dxa"/>
            <w:vAlign w:val="bottom"/>
            <w:gridSpan w:val="2"/>
          </w:tcPr>
          <w:p>
            <w:pPr>
              <w:jc w:val="right"/>
              <w:ind w:right="108"/>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Other expenses from operations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Restructuring, net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8"/>
                <w:szCs w:val="18"/>
                <w:color w:val="auto"/>
              </w:rPr>
              <w:t>(Loss) income before income tax (expense) benefit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 attributable to Icahn Enterprises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Net (loss) income attributable to Icahn Enterprises allocated to:</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60" w:type="dxa"/>
            <w:vAlign w:val="bottom"/>
          </w:tcPr>
          <w:p>
            <w:pPr>
              <w:spacing w:after="0"/>
              <w:rPr>
                <w:sz w:val="18"/>
                <w:szCs w:val="18"/>
                <w:color w:val="auto"/>
              </w:rPr>
            </w:pPr>
          </w:p>
        </w:tc>
        <w:tc>
          <w:tcPr>
            <w:tcW w:w="800" w:type="dxa"/>
            <w:vAlign w:val="bottom"/>
            <w:gridSpan w:val="2"/>
          </w:tcPr>
          <w:p>
            <w:pPr>
              <w:jc w:val="right"/>
              <w:ind w:right="108"/>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income per LP unit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(0.53)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and diluted weighted average LP units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2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distributions declared per LP unit</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4.00</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88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16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2"/>
              </w:rPr>
              <w:t>Six Months Ended</w:t>
            </w:r>
          </w:p>
        </w:tc>
      </w:tr>
      <w:tr>
        <w:trPr>
          <w:trHeight w:val="234"/>
        </w:trPr>
        <w:tc>
          <w:tcPr>
            <w:tcW w:w="5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r>
      <w:tr>
        <w:trPr>
          <w:trHeight w:val="210"/>
        </w:trPr>
        <w:tc>
          <w:tcPr>
            <w:tcW w:w="5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4"/>
              </w:rPr>
              <w:t>2020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4"/>
              </w:rPr>
              <w:t>2020</w:t>
            </w:r>
          </w:p>
        </w:tc>
      </w:tr>
      <w:tr>
        <w:trPr>
          <w:trHeight w:val="128"/>
        </w:trPr>
        <w:tc>
          <w:tcPr>
            <w:tcW w:w="5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4"/>
          </w:tcPr>
          <w:p>
            <w:pPr>
              <w:jc w:val="right"/>
              <w:ind w:right="390"/>
              <w:spacing w:after="0" w:line="12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(1,442)</w:t>
            </w:r>
          </w:p>
        </w:tc>
      </w:tr>
      <w:tr>
        <w:trPr>
          <w:trHeight w:val="216"/>
        </w:trPr>
        <w:tc>
          <w:tcPr>
            <w:tcW w:w="52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 adjustments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260" w:type="dxa"/>
            <w:vAlign w:val="bottom"/>
          </w:tcPr>
          <w:p>
            <w:pPr>
              <w:ind w:left="120"/>
              <w:spacing w:after="0"/>
              <w:rPr>
                <w:sz w:val="20"/>
                <w:szCs w:val="20"/>
                <w:color w:val="auto"/>
              </w:rPr>
            </w:pPr>
            <w:r>
              <w:rPr>
                <w:rFonts w:ascii="Arial" w:cs="Arial" w:eastAsia="Arial" w:hAnsi="Arial"/>
                <w:sz w:val="18"/>
                <w:szCs w:val="18"/>
                <w:color w:val="auto"/>
              </w:rPr>
              <w:t>Post-retirement benefits and other</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526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(1,443)</w:t>
            </w:r>
          </w:p>
        </w:tc>
      </w:tr>
      <w:tr>
        <w:trPr>
          <w:trHeight w:val="202"/>
        </w:trPr>
        <w:tc>
          <w:tcPr>
            <w:tcW w:w="52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Less: Comprehensive income (loss) attributable to non-controlling</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0"/>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4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(loss) income attributable to Icahn Enterprises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(1,087)</w:t>
            </w:r>
          </w:p>
        </w:tc>
      </w:tr>
      <w:tr>
        <w:trPr>
          <w:trHeight w:val="197"/>
        </w:trPr>
        <w:tc>
          <w:tcPr>
            <w:tcW w:w="5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2"/>
        </w:trPr>
        <w:tc>
          <w:tcPr>
            <w:tcW w:w="5260" w:type="dxa"/>
            <w:vAlign w:val="bottom"/>
          </w:tcPr>
          <w:p>
            <w:pPr>
              <w:ind w:left="20"/>
              <w:spacing w:after="0" w:line="201" w:lineRule="exact"/>
              <w:rPr>
                <w:sz w:val="20"/>
                <w:szCs w:val="20"/>
                <w:color w:val="auto"/>
              </w:rPr>
            </w:pPr>
            <w:r>
              <w:rPr>
                <w:rFonts w:ascii="Arial" w:cs="Arial" w:eastAsia="Arial" w:hAnsi="Arial"/>
                <w:sz w:val="18"/>
                <w:szCs w:val="18"/>
                <w:color w:val="auto"/>
              </w:rPr>
              <w:t>Comprehensive (loss) income attributable to Icahn Enterprises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0"/>
        </w:trPr>
        <w:tc>
          <w:tcPr>
            <w:tcW w:w="5260" w:type="dxa"/>
            <w:vAlign w:val="bottom"/>
          </w:tcPr>
          <w:p>
            <w:pPr>
              <w:ind w:left="140"/>
              <w:spacing w:after="0"/>
              <w:rPr>
                <w:sz w:val="20"/>
                <w:szCs w:val="20"/>
                <w:color w:val="auto"/>
              </w:rPr>
            </w:pPr>
            <w:r>
              <w:rPr>
                <w:rFonts w:ascii="Arial" w:cs="Arial" w:eastAsia="Arial" w:hAnsi="Arial"/>
                <w:sz w:val="18"/>
                <w:szCs w:val="18"/>
                <w:color w:val="auto"/>
              </w:rPr>
              <w:t>allocated to:</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6"/>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(1,065)</w:t>
            </w:r>
          </w:p>
        </w:tc>
      </w:tr>
      <w:tr>
        <w:trPr>
          <w:trHeight w:val="216"/>
        </w:trPr>
        <w:tc>
          <w:tcPr>
            <w:tcW w:w="526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0"/>
        </w:trPr>
        <w:tc>
          <w:tcPr>
            <w:tcW w:w="5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(1,087)</w:t>
            </w: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13"/>
          </w:tcPr>
          <w:p>
            <w:pPr>
              <w:jc w:val="center"/>
              <w:ind w:right="300"/>
              <w:spacing w:after="0"/>
              <w:rPr>
                <w:sz w:val="20"/>
                <w:szCs w:val="20"/>
                <w:color w:val="auto"/>
              </w:rPr>
            </w:pPr>
            <w:r>
              <w:rPr>
                <w:rFonts w:ascii="Arial" w:cs="Arial" w:eastAsia="Arial" w:hAnsi="Arial"/>
                <w:sz w:val="16"/>
                <w:szCs w:val="16"/>
                <w:b w:val="1"/>
                <w:bCs w:val="1"/>
                <w:color w:val="auto"/>
                <w:w w:val="93"/>
              </w:rPr>
              <w:t>Equity Attributable to Icahn Enterprises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General</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Limited</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5"/>
              </w:rPr>
              <w:t>Partner’s</w:t>
            </w:r>
          </w:p>
        </w:tc>
        <w:tc>
          <w:tcPr>
            <w:tcW w:w="20" w:type="dxa"/>
            <w:vAlign w:val="bottom"/>
          </w:tcPr>
          <w:p>
            <w:pPr>
              <w:spacing w:after="0"/>
              <w:rPr>
                <w:sz w:val="17"/>
                <w:szCs w:val="17"/>
                <w:color w:val="auto"/>
              </w:rPr>
            </w:pPr>
          </w:p>
        </w:tc>
        <w:tc>
          <w:tcPr>
            <w:tcW w:w="9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2"/>
              </w:rPr>
              <w:t>Partners’</w:t>
            </w:r>
          </w:p>
        </w:tc>
        <w:tc>
          <w:tcPr>
            <w:tcW w:w="20" w:type="dxa"/>
            <w:vAlign w:val="bottom"/>
          </w:tcPr>
          <w:p>
            <w:pPr>
              <w:spacing w:after="0"/>
              <w:rPr>
                <w:sz w:val="17"/>
                <w:szCs w:val="17"/>
                <w:color w:val="auto"/>
              </w:rPr>
            </w:pPr>
          </w:p>
        </w:tc>
        <w:tc>
          <w:tcPr>
            <w:tcW w:w="1260" w:type="dxa"/>
            <w:vAlign w:val="bottom"/>
            <w:gridSpan w:val="4"/>
          </w:tcPr>
          <w:p>
            <w:pPr>
              <w:spacing w:after="0"/>
              <w:rPr>
                <w:sz w:val="20"/>
                <w:szCs w:val="20"/>
                <w:color w:val="auto"/>
              </w:rPr>
            </w:pPr>
            <w:r>
              <w:rPr>
                <w:rFonts w:ascii="Arial" w:cs="Arial" w:eastAsia="Arial" w:hAnsi="Arial"/>
                <w:sz w:val="16"/>
                <w:szCs w:val="16"/>
                <w:b w:val="1"/>
                <w:bCs w:val="1"/>
                <w:color w:val="auto"/>
              </w:rPr>
              <w:t>Total Partners’</w:t>
            </w:r>
          </w:p>
        </w:tc>
        <w:tc>
          <w:tcPr>
            <w:tcW w:w="980" w:type="dxa"/>
            <w:vAlign w:val="bottom"/>
            <w:gridSpan w:val="5"/>
          </w:tcPr>
          <w:p>
            <w:pPr>
              <w:ind w:left="20"/>
              <w:spacing w:after="0"/>
              <w:rPr>
                <w:sz w:val="20"/>
                <w:szCs w:val="20"/>
                <w:color w:val="auto"/>
              </w:rPr>
            </w:pPr>
            <w:r>
              <w:rPr>
                <w:rFonts w:ascii="Arial" w:cs="Arial" w:eastAsia="Arial" w:hAnsi="Arial"/>
                <w:sz w:val="16"/>
                <w:szCs w:val="16"/>
                <w:b w:val="1"/>
                <w:bCs w:val="1"/>
                <w:color w:val="auto"/>
              </w:rPr>
              <w:t>controlling</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5"/>
              </w:rPr>
              <w:t>(Deficit) Equity</w:t>
            </w:r>
          </w:p>
        </w:tc>
        <w:tc>
          <w:tcPr>
            <w:tcW w:w="16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Equity</w:t>
            </w:r>
          </w:p>
        </w:tc>
        <w:tc>
          <w:tcPr>
            <w:tcW w:w="16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Equity</w:t>
            </w:r>
          </w:p>
        </w:tc>
        <w:tc>
          <w:tcPr>
            <w:tcW w:w="16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Total Equity</w:t>
            </w:r>
          </w:p>
        </w:tc>
        <w:tc>
          <w:tcPr>
            <w:tcW w:w="20" w:type="dxa"/>
            <w:vAlign w:val="bottom"/>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tcPr>
          <w:p>
            <w:pPr>
              <w:jc w:val="right"/>
              <w:ind w:right="48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(853)</w:t>
            </w: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9,258</w:t>
            </w:r>
          </w:p>
        </w:tc>
        <w:tc>
          <w:tcPr>
            <w:tcW w:w="20" w:type="dxa"/>
            <w:vAlign w:val="bottom"/>
          </w:tcPr>
          <w:p>
            <w:pPr>
              <w:spacing w:after="0"/>
              <w:rPr>
                <w:sz w:val="17"/>
                <w:szCs w:val="17"/>
                <w:color w:val="auto"/>
              </w:rPr>
            </w:pPr>
          </w:p>
        </w:tc>
      </w:tr>
      <w:tr>
        <w:trPr>
          <w:trHeight w:val="203"/>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599</w:t>
            </w:r>
          </w:p>
        </w:tc>
        <w:tc>
          <w:tcPr>
            <w:tcW w:w="20" w:type="dxa"/>
            <w:vAlign w:val="bottom"/>
          </w:tcPr>
          <w:p>
            <w:pPr>
              <w:spacing w:after="0"/>
              <w:rPr>
                <w:sz w:val="17"/>
                <w:szCs w:val="17"/>
                <w:color w:val="auto"/>
              </w:rPr>
            </w:pPr>
          </w:p>
        </w:tc>
      </w:tr>
      <w:tr>
        <w:trPr>
          <w:trHeight w:val="203"/>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r>
      <w:tr>
        <w:trPr>
          <w:trHeight w:val="203"/>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Partnership distributions payable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(489)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(499)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(499)</w:t>
            </w:r>
          </w:p>
        </w:tc>
        <w:tc>
          <w:tcPr>
            <w:tcW w:w="20" w:type="dxa"/>
            <w:vAlign w:val="bottom"/>
          </w:tcPr>
          <w:p>
            <w:pPr>
              <w:spacing w:after="0"/>
              <w:rPr>
                <w:sz w:val="17"/>
                <w:szCs w:val="17"/>
                <w:color w:val="auto"/>
              </w:rPr>
            </w:pPr>
          </w:p>
        </w:tc>
      </w:tr>
      <w:tr>
        <w:trPr>
          <w:trHeight w:val="203"/>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Partnership contributions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20" w:type="dxa"/>
            <w:vAlign w:val="bottom"/>
          </w:tcPr>
          <w:p>
            <w:pPr>
              <w:spacing w:after="0"/>
              <w:rPr>
                <w:sz w:val="17"/>
                <w:szCs w:val="17"/>
                <w:color w:val="auto"/>
              </w:rPr>
            </w:pPr>
          </w:p>
        </w:tc>
      </w:tr>
      <w:tr>
        <w:trPr>
          <w:trHeight w:val="193"/>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Investment segment contributions from non-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440" w:type="dxa"/>
            <w:vAlign w:val="bottom"/>
          </w:tcPr>
          <w:p>
            <w:pPr>
              <w:ind w:left="120"/>
              <w:spacing w:after="0"/>
              <w:rPr>
                <w:sz w:val="20"/>
                <w:szCs w:val="20"/>
                <w:color w:val="auto"/>
              </w:rPr>
            </w:pPr>
            <w:r>
              <w:rPr>
                <w:rFonts w:ascii="Arial" w:cs="Arial" w:eastAsia="Arial" w:hAnsi="Arial"/>
                <w:sz w:val="16"/>
                <w:szCs w:val="16"/>
                <w:color w:val="auto"/>
              </w:rPr>
              <w:t>controlling interests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7"/>
                <w:szCs w:val="17"/>
                <w:color w:val="auto"/>
              </w:rPr>
            </w:pPr>
          </w:p>
        </w:tc>
      </w:tr>
      <w:tr>
        <w:trPr>
          <w:trHeight w:val="208"/>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Changes in subsidiary equity and 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r>
      <w:tr>
        <w:trPr>
          <w:trHeight w:val="196"/>
        </w:trPr>
        <w:tc>
          <w:tcPr>
            <w:tcW w:w="3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Balance, March 31, 2021</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(856)</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4,086</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3,230</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6,352</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9,582</w:t>
            </w:r>
          </w:p>
        </w:tc>
        <w:tc>
          <w:tcPr>
            <w:tcW w:w="20" w:type="dxa"/>
            <w:vAlign w:val="bottom"/>
          </w:tcPr>
          <w:p>
            <w:pPr>
              <w:spacing w:after="0"/>
              <w:rPr>
                <w:sz w:val="17"/>
                <w:szCs w:val="17"/>
                <w:color w:val="auto"/>
              </w:rPr>
            </w:pPr>
          </w:p>
        </w:tc>
      </w:tr>
      <w:tr>
        <w:trPr>
          <w:trHeight w:val="19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7"/>
                <w:szCs w:val="17"/>
                <w:color w:val="auto"/>
              </w:rPr>
            </w:pPr>
          </w:p>
        </w:tc>
      </w:tr>
      <w:tr>
        <w:trPr>
          <w:trHeight w:val="203"/>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r>
      <w:tr>
        <w:trPr>
          <w:trHeight w:val="203"/>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Partnership distributions payable reversal</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20" w:type="dxa"/>
            <w:vAlign w:val="bottom"/>
          </w:tcPr>
          <w:p>
            <w:pPr>
              <w:spacing w:after="0"/>
              <w:rPr>
                <w:sz w:val="17"/>
                <w:szCs w:val="17"/>
                <w:color w:val="auto"/>
              </w:rPr>
            </w:pPr>
          </w:p>
        </w:tc>
      </w:tr>
      <w:tr>
        <w:trPr>
          <w:trHeight w:val="203"/>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Partnership distributions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(56)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7"/>
                <w:szCs w:val="17"/>
                <w:color w:val="auto"/>
              </w:rPr>
            </w:pPr>
          </w:p>
        </w:tc>
      </w:tr>
      <w:tr>
        <w:trPr>
          <w:trHeight w:val="203"/>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Partnership contributions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20" w:type="dxa"/>
            <w:vAlign w:val="bottom"/>
          </w:tcPr>
          <w:p>
            <w:pPr>
              <w:spacing w:after="0"/>
              <w:rPr>
                <w:sz w:val="17"/>
                <w:szCs w:val="17"/>
                <w:color w:val="auto"/>
              </w:rPr>
            </w:pPr>
          </w:p>
        </w:tc>
      </w:tr>
      <w:tr>
        <w:trPr>
          <w:trHeight w:val="193"/>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Investment segment contributions from non-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3440" w:type="dxa"/>
            <w:vAlign w:val="bottom"/>
          </w:tcPr>
          <w:p>
            <w:pPr>
              <w:ind w:left="120"/>
              <w:spacing w:after="0"/>
              <w:rPr>
                <w:sz w:val="20"/>
                <w:szCs w:val="20"/>
                <w:color w:val="auto"/>
              </w:rPr>
            </w:pPr>
            <w:r>
              <w:rPr>
                <w:rFonts w:ascii="Arial" w:cs="Arial" w:eastAsia="Arial" w:hAnsi="Arial"/>
                <w:sz w:val="16"/>
                <w:szCs w:val="16"/>
                <w:color w:val="auto"/>
              </w:rPr>
              <w:t>controlling interests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r>
      <w:tr>
        <w:trPr>
          <w:trHeight w:val="19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Dividends and distributions to non-controlling</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interests in subsidiaries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20" w:type="dxa"/>
            <w:vAlign w:val="bottom"/>
          </w:tcPr>
          <w:p>
            <w:pPr>
              <w:spacing w:after="0"/>
              <w:rPr>
                <w:sz w:val="18"/>
                <w:szCs w:val="18"/>
                <w:color w:val="auto"/>
              </w:rPr>
            </w:pPr>
          </w:p>
        </w:tc>
      </w:tr>
      <w:tr>
        <w:trPr>
          <w:trHeight w:val="203"/>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Changes in subsidiary equity and other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r>
      <w:tr>
        <w:trPr>
          <w:trHeight w:val="196"/>
        </w:trPr>
        <w:tc>
          <w:tcPr>
            <w:tcW w:w="3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30, 2021</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4,581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3,735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6,290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CEEFF"/>
          </w:tcPr>
          <w:p>
            <w:pPr>
              <w:jc w:val="right"/>
              <w:ind w:right="89"/>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10,025</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gridSpan w:val="13"/>
          </w:tcPr>
          <w:p>
            <w:pPr>
              <w:jc w:val="center"/>
              <w:ind w:right="300"/>
              <w:spacing w:after="0"/>
              <w:rPr>
                <w:sz w:val="20"/>
                <w:szCs w:val="20"/>
                <w:color w:val="auto"/>
              </w:rPr>
            </w:pPr>
            <w:r>
              <w:rPr>
                <w:rFonts w:ascii="Arial" w:cs="Arial" w:eastAsia="Arial" w:hAnsi="Arial"/>
                <w:sz w:val="16"/>
                <w:szCs w:val="16"/>
                <w:b w:val="1"/>
                <w:bCs w:val="1"/>
                <w:color w:val="auto"/>
                <w:w w:val="93"/>
              </w:rPr>
              <w:t>Equity Attributable to Icahn Enterprises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General</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Limited</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8"/>
              </w:rPr>
              <w:t>Non-</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2"/>
              </w:rPr>
              <w:t>Partner’s</w:t>
            </w:r>
          </w:p>
        </w:tc>
        <w:tc>
          <w:tcPr>
            <w:tcW w:w="20" w:type="dxa"/>
            <w:vAlign w:val="bottom"/>
          </w:tcPr>
          <w:p>
            <w:pPr>
              <w:spacing w:after="0"/>
              <w:rPr>
                <w:sz w:val="17"/>
                <w:szCs w:val="17"/>
                <w:color w:val="auto"/>
              </w:rPr>
            </w:pPr>
          </w:p>
        </w:tc>
        <w:tc>
          <w:tcPr>
            <w:tcW w:w="96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95"/>
              </w:rPr>
              <w:t>Partners’</w:t>
            </w:r>
          </w:p>
        </w:tc>
        <w:tc>
          <w:tcPr>
            <w:tcW w:w="20" w:type="dxa"/>
            <w:vAlign w:val="bottom"/>
          </w:tcPr>
          <w:p>
            <w:pPr>
              <w:spacing w:after="0"/>
              <w:rPr>
                <w:sz w:val="17"/>
                <w:szCs w:val="17"/>
                <w:color w:val="auto"/>
              </w:rPr>
            </w:pPr>
          </w:p>
        </w:tc>
        <w:tc>
          <w:tcPr>
            <w:tcW w:w="1260" w:type="dxa"/>
            <w:vAlign w:val="bottom"/>
            <w:gridSpan w:val="4"/>
          </w:tcPr>
          <w:p>
            <w:pPr>
              <w:ind w:left="20"/>
              <w:spacing w:after="0"/>
              <w:rPr>
                <w:sz w:val="20"/>
                <w:szCs w:val="20"/>
                <w:color w:val="auto"/>
              </w:rPr>
            </w:pPr>
            <w:r>
              <w:rPr>
                <w:rFonts w:ascii="Arial" w:cs="Arial" w:eastAsia="Arial" w:hAnsi="Arial"/>
                <w:sz w:val="16"/>
                <w:szCs w:val="16"/>
                <w:b w:val="1"/>
                <w:bCs w:val="1"/>
                <w:color w:val="auto"/>
              </w:rPr>
              <w:t>Total Partners’</w:t>
            </w:r>
          </w:p>
        </w:tc>
        <w:tc>
          <w:tcPr>
            <w:tcW w:w="20" w:type="dxa"/>
            <w:vAlign w:val="bottom"/>
          </w:tcPr>
          <w:p>
            <w:pPr>
              <w:spacing w:after="0"/>
              <w:rPr>
                <w:sz w:val="17"/>
                <w:szCs w:val="17"/>
                <w:color w:val="auto"/>
              </w:rPr>
            </w:pPr>
          </w:p>
        </w:tc>
        <w:tc>
          <w:tcPr>
            <w:tcW w:w="9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1"/>
              </w:rPr>
              <w:t>controlling</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5"/>
              </w:rPr>
              <w:t>(Deficit) Equity</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8"/>
              </w:rPr>
              <w:t>Equity</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Equity</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9"/>
              </w:rPr>
              <w:t>Interests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w w:val="93"/>
              </w:rPr>
              <w:t>Total Equity</w:t>
            </w:r>
          </w:p>
        </w:tc>
      </w:tr>
      <w:tr>
        <w:trPr>
          <w:trHeight w:val="185"/>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4"/>
                <w:szCs w:val="14"/>
                <w:color w:val="auto"/>
                <w:w w:val="96"/>
              </w:rPr>
              <w:t>(in millions)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(812)</w:t>
            </w: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10,942</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(1,356)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(1,384)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(922)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(2,306)</w:t>
            </w: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3"/>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Partnership distributions payable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(428)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(437)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(437)</w:t>
            </w: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Partnership contributions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shd w:val="clear" w:color="auto" w:fill="CCEEFF"/>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Investment segment contributions from non-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440" w:type="dxa"/>
            <w:vAlign w:val="bottom"/>
          </w:tcPr>
          <w:p>
            <w:pPr>
              <w:ind w:left="120"/>
              <w:spacing w:after="0"/>
              <w:rPr>
                <w:sz w:val="20"/>
                <w:szCs w:val="20"/>
                <w:color w:val="auto"/>
              </w:rPr>
            </w:pPr>
            <w:r>
              <w:rPr>
                <w:rFonts w:ascii="Arial" w:cs="Arial" w:eastAsia="Arial" w:hAnsi="Arial"/>
                <w:sz w:val="16"/>
                <w:szCs w:val="16"/>
                <w:color w:val="auto"/>
              </w:rPr>
              <w:t>controlling interests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1,241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1,241</w:t>
            </w:r>
          </w:p>
        </w:tc>
        <w:tc>
          <w:tcPr>
            <w:tcW w:w="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Dividends and distributions to non-controlling</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interests in subsidiaries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3"/>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Changes in subsidiary equity and other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196"/>
        </w:trPr>
        <w:tc>
          <w:tcPr>
            <w:tcW w:w="20" w:type="dxa"/>
            <w:vAlign w:val="bottom"/>
          </w:tcPr>
          <w:p>
            <w:pPr>
              <w:spacing w:after="0"/>
              <w:rPr>
                <w:sz w:val="17"/>
                <w:szCs w:val="17"/>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March 31, 2020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(849)</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4,484</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r>
      <w:tr>
        <w:trPr>
          <w:trHeight w:val="196"/>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864</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Partnership distributions payable reversal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437</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Partnership distributions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(461)</w:t>
            </w:r>
          </w:p>
        </w:tc>
      </w:tr>
      <w:tr>
        <w:trPr>
          <w:trHeight w:val="203"/>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Partnership contributions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Dividends and distributions to non-controlling</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interests in subsidiaries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3"/>
        </w:trPr>
        <w:tc>
          <w:tcPr>
            <w:tcW w:w="20" w:type="dxa"/>
            <w:vAlign w:val="bottom"/>
          </w:tcPr>
          <w:p>
            <w:pPr>
              <w:spacing w:after="0"/>
              <w:rPr>
                <w:sz w:val="17"/>
                <w:szCs w:val="17"/>
                <w:color w:val="auto"/>
              </w:rPr>
            </w:pPr>
          </w:p>
        </w:tc>
        <w:tc>
          <w:tcPr>
            <w:tcW w:w="3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Changes in subsidiary equity and other</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6"/>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June 30, 2020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(842)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4,774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3,932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6,333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10,265</w:t>
            </w:r>
          </w:p>
        </w:tc>
        <w:tc>
          <w:tcPr>
            <w:tcW w:w="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40" w:type="dxa"/>
            <w:vAlign w:val="bottom"/>
          </w:tcPr>
          <w:p>
            <w:pPr>
              <w:ind w:left="2460"/>
              <w:spacing w:after="0"/>
              <w:rPr>
                <w:sz w:val="20"/>
                <w:szCs w:val="20"/>
                <w:color w:val="auto"/>
              </w:rPr>
            </w:pPr>
            <w:r>
              <w:rPr>
                <w:rFonts w:ascii="Arial" w:cs="Arial" w:eastAsia="Arial" w:hAnsi="Arial"/>
                <w:sz w:val="18"/>
                <w:szCs w:val="18"/>
                <w:b w:val="1"/>
                <w:bCs w:val="1"/>
                <w:color w:val="auto"/>
              </w:rPr>
              <w:t>ICAHN ENTERPRISES L.P. AND SUBSIDIARIES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20" w:type="dxa"/>
            <w:vAlign w:val="bottom"/>
            <w:gridSpan w:val="4"/>
          </w:tcPr>
          <w:p>
            <w:pPr>
              <w:ind w:left="1140"/>
              <w:spacing w:after="0"/>
              <w:rPr>
                <w:sz w:val="20"/>
                <w:szCs w:val="20"/>
                <w:color w:val="auto"/>
              </w:rPr>
            </w:pPr>
            <w:r>
              <w:rPr>
                <w:rFonts w:ascii="Arial" w:cs="Arial" w:eastAsia="Arial" w:hAnsi="Arial"/>
                <w:sz w:val="18"/>
                <w:szCs w:val="18"/>
                <w:b w:val="1"/>
                <w:bCs w:val="1"/>
                <w:color w:val="auto"/>
              </w:rPr>
              <w:t>CONDENSED CONSOLIDATED STATEMENTS OF CASH FLOWS (UNAUDITED)</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740" w:type="dxa"/>
            <w:vAlign w:val="bottom"/>
          </w:tcPr>
          <w:p>
            <w:pPr>
              <w:spacing w:after="0"/>
              <w:rPr>
                <w:sz w:val="24"/>
                <w:szCs w:val="24"/>
                <w:color w:val="auto"/>
              </w:rPr>
            </w:pPr>
          </w:p>
        </w:tc>
        <w:tc>
          <w:tcPr>
            <w:tcW w:w="21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537</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Net (gain) loss from securities transactions</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(1,848)</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securities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(1,784)</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Proceeds from sales of securities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to cover securities sold, not yet purchased</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(2,313)</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Proceeds from securities sold, not yet purchased</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receivables and payables relating to securities transactions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(947)</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Changes in derivative assets and liabilities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Deferred taxes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Changes in other operating assets and liabilities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Turnaround expenditures</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businesses, net of cash acquired</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Purchases of investments</w:t>
            </w: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investments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Proceeds from disposition of businesses and assets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Investment segment contributions from non-controlling interests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and distributions to non-controlling interests in subsidiaries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Proceeds from Holding Company senior unsecured notes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Holding Company senior unsecured notes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(1,205)</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Proceeds from subsidiary borrowings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subsidiary borrowings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(971)</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182"/>
        </w:trPr>
        <w:tc>
          <w:tcPr>
            <w:tcW w:w="6740" w:type="dxa"/>
            <w:vAlign w:val="bottom"/>
          </w:tcPr>
          <w:p>
            <w:pPr>
              <w:ind w:left="20"/>
              <w:spacing w:after="0" w:line="182" w:lineRule="exact"/>
              <w:rPr>
                <w:sz w:val="20"/>
                <w:szCs w:val="20"/>
                <w:color w:val="auto"/>
              </w:rPr>
            </w:pPr>
            <w:r>
              <w:rPr>
                <w:rFonts w:ascii="Arial" w:cs="Arial" w:eastAsia="Arial" w:hAnsi="Arial"/>
                <w:sz w:val="18"/>
                <w:szCs w:val="18"/>
                <w:color w:val="auto"/>
                <w:w w:val="96"/>
              </w:rPr>
              <w:t>Effect of exchange rate changes on cash and cash equivalents and restricted cash and</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restricted cash equivalents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rPr>
              <w:t>Net increase (decrease) in cash and cash equivalents and restricted cash and</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restricted cash equivalents</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02"/>
        </w:trPr>
        <w:tc>
          <w:tcPr>
            <w:tcW w:w="6740" w:type="dxa"/>
            <w:vAlign w:val="bottom"/>
          </w:tcPr>
          <w:p>
            <w:pPr>
              <w:ind w:left="20"/>
              <w:spacing w:after="0" w:line="201" w:lineRule="exact"/>
              <w:rPr>
                <w:sz w:val="20"/>
                <w:szCs w:val="20"/>
                <w:color w:val="auto"/>
              </w:rPr>
            </w:pPr>
            <w:r>
              <w:rPr>
                <w:rFonts w:ascii="Arial" w:cs="Arial" w:eastAsia="Arial" w:hAnsi="Arial"/>
                <w:sz w:val="18"/>
                <w:szCs w:val="18"/>
                <w:color w:val="auto"/>
                <w:w w:val="93"/>
              </w:rPr>
              <w:t>Cash and cash equivalents and restricted cash and restricted cash equivalents, beginning</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of period</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w:t>
            </w: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182"/>
        </w:trPr>
        <w:tc>
          <w:tcPr>
            <w:tcW w:w="67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7"/>
              </w:rPr>
              <w:t>Cash and cash equivalents and restricted cash and restricted cash equivalents, end of</w:t>
            </w: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2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17"/>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period</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800" w:type="dxa"/>
            <w:vAlign w:val="bottom"/>
            <w:gridSpan w:val="4"/>
          </w:tcPr>
          <w:p>
            <w:pPr>
              <w:ind w:left="1960"/>
              <w:spacing w:after="0"/>
              <w:rPr>
                <w:sz w:val="20"/>
                <w:szCs w:val="20"/>
                <w:color w:val="auto"/>
              </w:rPr>
            </w:pPr>
            <w:r>
              <w:rPr>
                <w:rFonts w:ascii="Arial" w:cs="Arial" w:eastAsia="Arial" w:hAnsi="Arial"/>
                <w:sz w:val="18"/>
                <w:szCs w:val="18"/>
                <w:b w:val="1"/>
                <w:bCs w:val="1"/>
                <w:color w:val="auto"/>
              </w:rPr>
              <w:t>ICAHN ENTERPRISES HOLDINGS L.P. AND SUBSIDIARIES</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0" w:type="dxa"/>
            <w:vAlign w:val="bottom"/>
            <w:gridSpan w:val="4"/>
          </w:tcPr>
          <w:p>
            <w:pPr>
              <w:ind w:left="1700"/>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June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ind w:left="680"/>
              <w:spacing w:after="0" w:line="142"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86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2,194</w:t>
            </w:r>
          </w:p>
        </w:tc>
        <w:tc>
          <w:tcPr>
            <w:tcW w:w="2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10,903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8,913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brokers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9"/>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27,901</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24,989</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204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Derivative liabilities,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8,066</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17,877</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15,733</w:t>
            </w: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(893)</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 Holdings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6,290</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9,256</w:t>
            </w: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27,901</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24,989</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980" w:type="dxa"/>
            <w:vAlign w:val="bottom"/>
            <w:gridSpan w:val="8"/>
          </w:tcPr>
          <w:p>
            <w:pPr>
              <w:ind w:left="196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60" w:type="dxa"/>
            <w:vAlign w:val="bottom"/>
            <w:gridSpan w:val="10"/>
          </w:tcPr>
          <w:p>
            <w:pPr>
              <w:ind w:left="1140"/>
              <w:spacing w:after="0"/>
              <w:rPr>
                <w:sz w:val="20"/>
                <w:szCs w:val="20"/>
                <w:color w:val="auto"/>
              </w:rPr>
            </w:pPr>
            <w:r>
              <w:rPr>
                <w:rFonts w:ascii="Arial" w:cs="Arial" w:eastAsia="Arial" w:hAnsi="Arial"/>
                <w:sz w:val="18"/>
                <w:szCs w:val="18"/>
                <w:b w:val="1"/>
                <w:bCs w:val="1"/>
                <w:color w:val="auto"/>
              </w:rPr>
              <w:t>CONDENSED CONSOLIDATED STATEMENTS OF OPERATIONS (UNAUDITED)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14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9"/>
              </w:rPr>
              <w:t>Three Months Ended June 30,</w:t>
            </w:r>
          </w:p>
        </w:tc>
        <w:tc>
          <w:tcPr>
            <w:tcW w:w="220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28"/>
        </w:trPr>
        <w:tc>
          <w:tcPr>
            <w:tcW w:w="4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3"/>
          </w:tcPr>
          <w:p>
            <w:pPr>
              <w:jc w:val="right"/>
              <w:ind w:right="10"/>
              <w:spacing w:after="0" w:line="129" w:lineRule="exact"/>
              <w:rPr>
                <w:sz w:val="20"/>
                <w:szCs w:val="20"/>
                <w:color w:val="auto"/>
              </w:rPr>
            </w:pPr>
            <w:r>
              <w:rPr>
                <w:rFonts w:ascii="Arial" w:cs="Arial" w:eastAsia="Arial" w:hAnsi="Arial"/>
                <w:sz w:val="14"/>
                <w:szCs w:val="14"/>
                <w:color w:val="auto"/>
              </w:rPr>
              <w:t>(in millions)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8"/>
                <w:szCs w:val="18"/>
                <w:color w:val="auto"/>
              </w:rPr>
              <w:t>Net sales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2,612</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1,326</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4,830</w:t>
            </w:r>
          </w:p>
        </w:tc>
        <w:tc>
          <w:tcPr>
            <w:tcW w:w="20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revenues from operations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8"/>
                <w:szCs w:val="18"/>
                <w:color w:val="auto"/>
              </w:rPr>
              <w:t>Net gain (loss) from investment activities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dividend income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8"/>
                <w:szCs w:val="18"/>
                <w:color w:val="auto"/>
              </w:rPr>
              <w:t>Other loss, net</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8"/>
                <w:szCs w:val="18"/>
                <w:color w:val="auto"/>
              </w:rPr>
              <w:t>Other expenses from operations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8"/>
                <w:szCs w:val="18"/>
                <w:color w:val="auto"/>
              </w:rPr>
              <w:t>Restructuring, net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8"/>
                <w:szCs w:val="18"/>
                <w:color w:val="auto"/>
              </w:rPr>
              <w:t>(Loss) income before income tax (expense) benefit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9"/>
        </w:trPr>
        <w:tc>
          <w:tcPr>
            <w:tcW w:w="41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02"/>
        </w:trPr>
        <w:tc>
          <w:tcPr>
            <w:tcW w:w="4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Less: net income (loss) attributable to non-controlling</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182"/>
        </w:trPr>
        <w:tc>
          <w:tcPr>
            <w:tcW w:w="4140" w:type="dxa"/>
            <w:vAlign w:val="bottom"/>
          </w:tcPr>
          <w:p>
            <w:pPr>
              <w:ind w:left="20"/>
              <w:spacing w:after="0" w:line="182" w:lineRule="exact"/>
              <w:rPr>
                <w:sz w:val="20"/>
                <w:szCs w:val="20"/>
                <w:color w:val="auto"/>
              </w:rPr>
            </w:pPr>
            <w:r>
              <w:rPr>
                <w:rFonts w:ascii="Arial" w:cs="Arial" w:eastAsia="Arial" w:hAnsi="Arial"/>
                <w:sz w:val="18"/>
                <w:szCs w:val="18"/>
                <w:color w:val="auto"/>
              </w:rPr>
              <w:t>Net (loss) income attributable to Icahn Enterprises</w:t>
            </w: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(135)</w:t>
            </w:r>
          </w:p>
        </w:tc>
        <w:tc>
          <w:tcPr>
            <w:tcW w:w="220" w:type="dxa"/>
            <w:vAlign w:val="bottom"/>
            <w:vMerge w:val="restart"/>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5"/>
                <w:szCs w:val="15"/>
                <w:color w:val="auto"/>
              </w:rPr>
            </w:pPr>
          </w:p>
        </w:tc>
        <w:tc>
          <w:tcPr>
            <w:tcW w:w="220" w:type="dxa"/>
            <w:vAlign w:val="bottom"/>
            <w:vMerge w:val="restart"/>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57"/>
        </w:trPr>
        <w:tc>
          <w:tcPr>
            <w:tcW w:w="4140" w:type="dxa"/>
            <w:vAlign w:val="bottom"/>
          </w:tcPr>
          <w:p>
            <w:pPr>
              <w:ind w:left="140"/>
              <w:spacing w:after="0"/>
              <w:rPr>
                <w:sz w:val="20"/>
                <w:szCs w:val="20"/>
                <w:color w:val="auto"/>
              </w:rPr>
            </w:pPr>
            <w:r>
              <w:rPr>
                <w:rFonts w:ascii="Arial" w:cs="Arial" w:eastAsia="Arial" w:hAnsi="Arial"/>
                <w:sz w:val="18"/>
                <w:szCs w:val="18"/>
                <w:color w:val="auto"/>
              </w:rPr>
              <w:t>Holdings</w:t>
            </w:r>
          </w:p>
        </w:tc>
        <w:tc>
          <w:tcPr>
            <w:tcW w:w="22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40" w:type="dxa"/>
            <w:vAlign w:val="bottom"/>
          </w:tcPr>
          <w:p>
            <w:pPr>
              <w:ind w:left="20"/>
              <w:spacing w:after="0" w:line="201" w:lineRule="exact"/>
              <w:rPr>
                <w:sz w:val="20"/>
                <w:szCs w:val="20"/>
                <w:color w:val="auto"/>
              </w:rPr>
            </w:pPr>
            <w:r>
              <w:rPr>
                <w:rFonts w:ascii="Arial" w:cs="Arial" w:eastAsia="Arial" w:hAnsi="Arial"/>
                <w:sz w:val="18"/>
                <w:szCs w:val="18"/>
                <w:color w:val="auto"/>
              </w:rPr>
              <w:t>Net (loss) income attributable to Icahn Enterprises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Arial" w:cs="Arial" w:eastAsia="Arial" w:hAnsi="Arial"/>
                <w:sz w:val="18"/>
                <w:szCs w:val="18"/>
                <w:color w:val="auto"/>
              </w:rPr>
              <w:t>Holdings allocated to:</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58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June 30,</w:t>
            </w:r>
          </w:p>
        </w:tc>
        <w:tc>
          <w:tcPr>
            <w:tcW w:w="220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 adjustments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rPr>
              <w:t>Post-retirement benefits and other</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Less: Comprehensive income (loss) attributable to</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182"/>
        </w:trPr>
        <w:tc>
          <w:tcPr>
            <w:tcW w:w="4120" w:type="dxa"/>
            <w:vAlign w:val="bottom"/>
          </w:tcPr>
          <w:p>
            <w:pPr>
              <w:ind w:left="20"/>
              <w:spacing w:after="0" w:line="182" w:lineRule="exact"/>
              <w:rPr>
                <w:sz w:val="20"/>
                <w:szCs w:val="20"/>
                <w:color w:val="auto"/>
              </w:rPr>
            </w:pPr>
            <w:r>
              <w:rPr>
                <w:rFonts w:ascii="Arial" w:cs="Arial" w:eastAsia="Arial" w:hAnsi="Arial"/>
                <w:sz w:val="18"/>
                <w:szCs w:val="18"/>
                <w:color w:val="auto"/>
              </w:rPr>
              <w:t>Comprehensive (loss) income attributable to Icahn</w:t>
            </w: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(133)</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5"/>
                <w:szCs w:val="15"/>
                <w:color w:val="auto"/>
              </w:rPr>
            </w:pPr>
          </w:p>
        </w:tc>
        <w:tc>
          <w:tcPr>
            <w:tcW w:w="200" w:type="dxa"/>
            <w:vAlign w:val="bottom"/>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57"/>
        </w:trPr>
        <w:tc>
          <w:tcPr>
            <w:tcW w:w="4120" w:type="dxa"/>
            <w:vAlign w:val="bottom"/>
          </w:tcPr>
          <w:p>
            <w:pPr>
              <w:ind w:left="140"/>
              <w:spacing w:after="0"/>
              <w:rPr>
                <w:sz w:val="20"/>
                <w:szCs w:val="20"/>
                <w:color w:val="auto"/>
              </w:rPr>
            </w:pPr>
            <w:r>
              <w:rPr>
                <w:rFonts w:ascii="Arial" w:cs="Arial" w:eastAsia="Arial" w:hAnsi="Arial"/>
                <w:sz w:val="18"/>
                <w:szCs w:val="18"/>
                <w:color w:val="auto"/>
              </w:rPr>
              <w:t>Enterprises Holdings</w:t>
            </w:r>
          </w:p>
        </w:tc>
        <w:tc>
          <w:tcPr>
            <w:tcW w:w="24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20"/>
              <w:spacing w:after="0" w:line="201" w:lineRule="exact"/>
              <w:rPr>
                <w:sz w:val="20"/>
                <w:szCs w:val="20"/>
                <w:color w:val="auto"/>
              </w:rPr>
            </w:pPr>
            <w:r>
              <w:rPr>
                <w:rFonts w:ascii="Arial" w:cs="Arial" w:eastAsia="Arial" w:hAnsi="Arial"/>
                <w:sz w:val="18"/>
                <w:szCs w:val="18"/>
                <w:color w:val="auto"/>
              </w:rPr>
              <w:t>Comprehensive (loss) income attributable to Icahn</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Enterprises Holdings allocated to:</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14"/>
          </w:tcPr>
          <w:p>
            <w:pPr>
              <w:jc w:val="center"/>
              <w:ind w:right="240"/>
              <w:spacing w:after="0"/>
              <w:rPr>
                <w:sz w:val="20"/>
                <w:szCs w:val="20"/>
                <w:color w:val="auto"/>
              </w:rPr>
            </w:pPr>
            <w:r>
              <w:rPr>
                <w:rFonts w:ascii="Arial" w:cs="Arial" w:eastAsia="Arial" w:hAnsi="Arial"/>
                <w:sz w:val="16"/>
                <w:szCs w:val="16"/>
                <w:b w:val="1"/>
                <w:bCs w:val="1"/>
                <w:color w:val="auto"/>
                <w:w w:val="92"/>
              </w:rPr>
              <w:t>Equity Attributable to Icahn Enterprises Holdings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General</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Limited</w:t>
            </w: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5"/>
              </w:rPr>
              <w:t>Partner’s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Partner’s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4"/>
              </w:rPr>
              <w:t>Total Partners’</w:t>
            </w:r>
          </w:p>
        </w:tc>
        <w:tc>
          <w:tcPr>
            <w:tcW w:w="980" w:type="dxa"/>
            <w:vAlign w:val="bottom"/>
            <w:gridSpan w:val="4"/>
          </w:tcPr>
          <w:p>
            <w:pPr>
              <w:ind w:left="20"/>
              <w:spacing w:after="0"/>
              <w:rPr>
                <w:sz w:val="20"/>
                <w:szCs w:val="20"/>
                <w:color w:val="auto"/>
              </w:rPr>
            </w:pPr>
            <w:r>
              <w:rPr>
                <w:rFonts w:ascii="Arial" w:cs="Arial" w:eastAsia="Arial" w:hAnsi="Arial"/>
                <w:sz w:val="16"/>
                <w:szCs w:val="16"/>
                <w:b w:val="1"/>
                <w:bCs w:val="1"/>
                <w:color w:val="auto"/>
              </w:rPr>
              <w:t>controlling</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3"/>
              </w:rPr>
              <w:t>(Deficit) Equity</w:t>
            </w:r>
          </w:p>
        </w:tc>
        <w:tc>
          <w:tcPr>
            <w:tcW w:w="20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8"/>
              </w:rPr>
              <w:t>Equity</w:t>
            </w:r>
          </w:p>
        </w:tc>
        <w:tc>
          <w:tcPr>
            <w:tcW w:w="16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Total Equity</w:t>
            </w:r>
          </w:p>
        </w:tc>
        <w:tc>
          <w:tcPr>
            <w:tcW w:w="20" w:type="dxa"/>
            <w:vAlign w:val="bottom"/>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6"/>
          </w:tcPr>
          <w:p>
            <w:pPr>
              <w:ind w:left="12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(896)</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w:t>
            </w:r>
          </w:p>
        </w:tc>
        <w:tc>
          <w:tcPr>
            <w:tcW w:w="2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4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5,875</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9,256</w:t>
            </w:r>
          </w:p>
        </w:tc>
        <w:tc>
          <w:tcPr>
            <w:tcW w:w="20" w:type="dxa"/>
            <w:vAlign w:val="bottom"/>
          </w:tcPr>
          <w:p>
            <w:pPr>
              <w:spacing w:after="0"/>
              <w:rPr>
                <w:sz w:val="17"/>
                <w:szCs w:val="17"/>
                <w:color w:val="auto"/>
              </w:rPr>
            </w:pPr>
          </w:p>
        </w:tc>
      </w:tr>
      <w:tr>
        <w:trPr>
          <w:trHeight w:val="203"/>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599</w:t>
            </w:r>
          </w:p>
        </w:tc>
        <w:tc>
          <w:tcPr>
            <w:tcW w:w="20" w:type="dxa"/>
            <w:vAlign w:val="bottom"/>
          </w:tcPr>
          <w:p>
            <w:pPr>
              <w:spacing w:after="0"/>
              <w:rPr>
                <w:sz w:val="17"/>
                <w:szCs w:val="17"/>
                <w:color w:val="auto"/>
              </w:rPr>
            </w:pPr>
          </w:p>
        </w:tc>
      </w:tr>
      <w:tr>
        <w:trPr>
          <w:trHeight w:val="203"/>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r>
      <w:tr>
        <w:trPr>
          <w:trHeight w:val="203"/>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Partnership distributions payable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(494)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(499)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(499)</w:t>
            </w:r>
          </w:p>
        </w:tc>
        <w:tc>
          <w:tcPr>
            <w:tcW w:w="20" w:type="dxa"/>
            <w:vAlign w:val="bottom"/>
          </w:tcPr>
          <w:p>
            <w:pPr>
              <w:spacing w:after="0"/>
              <w:rPr>
                <w:sz w:val="17"/>
                <w:szCs w:val="17"/>
                <w:color w:val="auto"/>
              </w:rPr>
            </w:pPr>
          </w:p>
        </w:tc>
      </w:tr>
      <w:tr>
        <w:trPr>
          <w:trHeight w:val="203"/>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Partnership contributions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20" w:type="dxa"/>
            <w:vAlign w:val="bottom"/>
          </w:tcPr>
          <w:p>
            <w:pPr>
              <w:spacing w:after="0"/>
              <w:rPr>
                <w:sz w:val="17"/>
                <w:szCs w:val="17"/>
                <w:color w:val="auto"/>
              </w:rPr>
            </w:pPr>
          </w:p>
        </w:tc>
      </w:tr>
      <w:tr>
        <w:trPr>
          <w:trHeight w:val="193"/>
        </w:trPr>
        <w:tc>
          <w:tcPr>
            <w:tcW w:w="3140" w:type="dxa"/>
            <w:vAlign w:val="bottom"/>
            <w:gridSpan w:val="2"/>
          </w:tcPr>
          <w:p>
            <w:pPr>
              <w:ind w:left="20"/>
              <w:spacing w:after="0"/>
              <w:rPr>
                <w:sz w:val="20"/>
                <w:szCs w:val="20"/>
                <w:color w:val="auto"/>
              </w:rPr>
            </w:pPr>
            <w:r>
              <w:rPr>
                <w:rFonts w:ascii="Arial" w:cs="Arial" w:eastAsia="Arial" w:hAnsi="Arial"/>
                <w:sz w:val="16"/>
                <w:szCs w:val="16"/>
                <w:color w:val="auto"/>
                <w:w w:val="99"/>
              </w:rPr>
              <w:t>Investment segment contributions from non-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120" w:type="dxa"/>
            <w:vAlign w:val="bottom"/>
          </w:tcPr>
          <w:p>
            <w:pPr>
              <w:ind w:left="120"/>
              <w:spacing w:after="0"/>
              <w:rPr>
                <w:sz w:val="20"/>
                <w:szCs w:val="20"/>
                <w:color w:val="auto"/>
              </w:rPr>
            </w:pPr>
            <w:r>
              <w:rPr>
                <w:rFonts w:ascii="Arial" w:cs="Arial" w:eastAsia="Arial" w:hAnsi="Arial"/>
                <w:sz w:val="16"/>
                <w:szCs w:val="16"/>
                <w:color w:val="auto"/>
              </w:rPr>
              <w:t>controlling interests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7"/>
                <w:szCs w:val="17"/>
                <w:color w:val="auto"/>
              </w:rPr>
            </w:pPr>
          </w:p>
        </w:tc>
      </w:tr>
      <w:tr>
        <w:trPr>
          <w:trHeight w:val="208"/>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Changes in subsidiary equity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r>
      <w:tr>
        <w:trPr>
          <w:trHeight w:val="196"/>
        </w:trPr>
        <w:tc>
          <w:tcPr>
            <w:tcW w:w="31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Balance, March 31, 2021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(897)</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4,125</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3,228</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6,352</w:t>
            </w:r>
          </w:p>
        </w:tc>
        <w:tc>
          <w:tcPr>
            <w:tcW w:w="16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9,580</w:t>
            </w:r>
          </w:p>
        </w:tc>
        <w:tc>
          <w:tcPr>
            <w:tcW w:w="20" w:type="dxa"/>
            <w:vAlign w:val="bottom"/>
          </w:tcPr>
          <w:p>
            <w:pPr>
              <w:spacing w:after="0"/>
              <w:rPr>
                <w:sz w:val="17"/>
                <w:szCs w:val="17"/>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7"/>
                <w:szCs w:val="17"/>
                <w:color w:val="auto"/>
              </w:rPr>
            </w:pPr>
          </w:p>
        </w:tc>
      </w:tr>
      <w:tr>
        <w:trPr>
          <w:trHeight w:val="203"/>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r>
      <w:tr>
        <w:trPr>
          <w:trHeight w:val="203"/>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Partnership distributions payable reversal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20" w:type="dxa"/>
            <w:vAlign w:val="bottom"/>
          </w:tcPr>
          <w:p>
            <w:pPr>
              <w:spacing w:after="0"/>
              <w:rPr>
                <w:sz w:val="17"/>
                <w:szCs w:val="17"/>
                <w:color w:val="auto"/>
              </w:rPr>
            </w:pPr>
          </w:p>
        </w:tc>
      </w:tr>
      <w:tr>
        <w:trPr>
          <w:trHeight w:val="203"/>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Partnership distributions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7"/>
                <w:szCs w:val="17"/>
                <w:color w:val="auto"/>
              </w:rPr>
            </w:pPr>
          </w:p>
        </w:tc>
      </w:tr>
      <w:tr>
        <w:trPr>
          <w:trHeight w:val="203"/>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Partnership contributions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20" w:type="dxa"/>
            <w:vAlign w:val="bottom"/>
          </w:tcPr>
          <w:p>
            <w:pPr>
              <w:spacing w:after="0"/>
              <w:rPr>
                <w:sz w:val="17"/>
                <w:szCs w:val="17"/>
                <w:color w:val="auto"/>
              </w:rPr>
            </w:pPr>
          </w:p>
        </w:tc>
      </w:tr>
      <w:tr>
        <w:trPr>
          <w:trHeight w:val="193"/>
        </w:trPr>
        <w:tc>
          <w:tcPr>
            <w:tcW w:w="3140" w:type="dxa"/>
            <w:vAlign w:val="bottom"/>
            <w:gridSpan w:val="2"/>
          </w:tcPr>
          <w:p>
            <w:pPr>
              <w:ind w:left="20"/>
              <w:spacing w:after="0"/>
              <w:rPr>
                <w:sz w:val="20"/>
                <w:szCs w:val="20"/>
                <w:color w:val="auto"/>
              </w:rPr>
            </w:pPr>
            <w:r>
              <w:rPr>
                <w:rFonts w:ascii="Arial" w:cs="Arial" w:eastAsia="Arial" w:hAnsi="Arial"/>
                <w:sz w:val="16"/>
                <w:szCs w:val="16"/>
                <w:color w:val="auto"/>
                <w:w w:val="99"/>
              </w:rPr>
              <w:t>Investment segment contributions from non-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3120" w:type="dxa"/>
            <w:vAlign w:val="bottom"/>
          </w:tcPr>
          <w:p>
            <w:pPr>
              <w:ind w:left="120"/>
              <w:spacing w:after="0"/>
              <w:rPr>
                <w:sz w:val="20"/>
                <w:szCs w:val="20"/>
                <w:color w:val="auto"/>
              </w:rPr>
            </w:pPr>
            <w:r>
              <w:rPr>
                <w:rFonts w:ascii="Arial" w:cs="Arial" w:eastAsia="Arial" w:hAnsi="Arial"/>
                <w:sz w:val="16"/>
                <w:szCs w:val="16"/>
                <w:color w:val="auto"/>
              </w:rPr>
              <w:t>controlling interests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Dividends and distributions to non-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controlling interests in subsidiaries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20" w:type="dxa"/>
            <w:vAlign w:val="bottom"/>
          </w:tcPr>
          <w:p>
            <w:pPr>
              <w:spacing w:after="0"/>
              <w:rPr>
                <w:sz w:val="18"/>
                <w:szCs w:val="18"/>
                <w:color w:val="auto"/>
              </w:rPr>
            </w:pPr>
          </w:p>
        </w:tc>
      </w:tr>
      <w:tr>
        <w:trPr>
          <w:trHeight w:val="203"/>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Changes in subsidiary equity and other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r>
      <w:tr>
        <w:trPr>
          <w:trHeight w:val="196"/>
        </w:trPr>
        <w:tc>
          <w:tcPr>
            <w:tcW w:w="3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30, 2021</w:t>
            </w: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(893)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4,627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49"/>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3,734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6,290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gridSpan w:val="2"/>
            <w:shd w:val="clear" w:color="auto" w:fill="CCEEFF"/>
          </w:tcPr>
          <w:p>
            <w:pPr>
              <w:jc w:val="right"/>
              <w:ind w:right="109"/>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10,024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gridSpan w:val="14"/>
          </w:tcPr>
          <w:p>
            <w:pPr>
              <w:jc w:val="center"/>
              <w:ind w:right="240"/>
              <w:spacing w:after="0"/>
              <w:rPr>
                <w:sz w:val="20"/>
                <w:szCs w:val="20"/>
                <w:color w:val="auto"/>
              </w:rPr>
            </w:pPr>
            <w:r>
              <w:rPr>
                <w:rFonts w:ascii="Arial" w:cs="Arial" w:eastAsia="Arial" w:hAnsi="Arial"/>
                <w:sz w:val="16"/>
                <w:szCs w:val="16"/>
                <w:b w:val="1"/>
                <w:bCs w:val="1"/>
                <w:color w:val="auto"/>
                <w:w w:val="92"/>
              </w:rPr>
              <w:t>Equity Attributable to Icahn Enterprises Holdings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General</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Limited</w:t>
            </w: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5"/>
              </w:rPr>
              <w:t>Partner’s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Partner’s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4"/>
              </w:rPr>
              <w:t>Total Partners’</w:t>
            </w:r>
          </w:p>
        </w:tc>
        <w:tc>
          <w:tcPr>
            <w:tcW w:w="20" w:type="dxa"/>
            <w:vAlign w:val="bottom"/>
          </w:tcPr>
          <w:p>
            <w:pPr>
              <w:spacing w:after="0"/>
              <w:rPr>
                <w:sz w:val="17"/>
                <w:szCs w:val="17"/>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1"/>
              </w:rPr>
              <w:t>controlling</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5"/>
              </w:rPr>
              <w:t>(Deficit) Equity</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8"/>
              </w:rPr>
              <w:t>Equity</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3"/>
              </w:rPr>
              <w:t>Equity</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93"/>
              </w:rPr>
              <w:t>Total Equity</w:t>
            </w:r>
          </w:p>
        </w:tc>
      </w:tr>
      <w:tr>
        <w:trPr>
          <w:trHeight w:val="185"/>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6"/>
          </w:tcPr>
          <w:p>
            <w:pPr>
              <w:ind w:left="14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(875)</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6,328</w:t>
            </w:r>
          </w:p>
        </w:tc>
        <w:tc>
          <w:tcPr>
            <w:tcW w:w="2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4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5,486</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10,939</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(1,370)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(1,384)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(922)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(2,306)</w:t>
            </w: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3"/>
        </w:trPr>
        <w:tc>
          <w:tcPr>
            <w:tcW w:w="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Partnership distributions payable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(433)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(437)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(437)</w:t>
            </w: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Partnership contributions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shd w:val="clear" w:color="auto" w:fill="CCEEFF"/>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6"/>
                <w:szCs w:val="16"/>
                <w:color w:val="auto"/>
                <w:w w:val="99"/>
              </w:rPr>
              <w:t>Investment segment contributions from non-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120" w:type="dxa"/>
            <w:vAlign w:val="bottom"/>
          </w:tcPr>
          <w:p>
            <w:pPr>
              <w:ind w:left="120"/>
              <w:spacing w:after="0"/>
              <w:rPr>
                <w:sz w:val="20"/>
                <w:szCs w:val="20"/>
                <w:color w:val="auto"/>
              </w:rPr>
            </w:pPr>
            <w:r>
              <w:rPr>
                <w:rFonts w:ascii="Arial" w:cs="Arial" w:eastAsia="Arial" w:hAnsi="Arial"/>
                <w:sz w:val="16"/>
                <w:szCs w:val="16"/>
                <w:color w:val="auto"/>
              </w:rPr>
              <w:t>controlling interests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1,241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1,241</w:t>
            </w:r>
          </w:p>
        </w:tc>
        <w:tc>
          <w:tcPr>
            <w:tcW w:w="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Dividends and distributions to non-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controlling interests in subsidiaries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3"/>
        </w:trPr>
        <w:tc>
          <w:tcPr>
            <w:tcW w:w="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Changes in subsidiary equity and other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196"/>
        </w:trPr>
        <w:tc>
          <w:tcPr>
            <w:tcW w:w="20" w:type="dxa"/>
            <w:vAlign w:val="bottom"/>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March 31, 2020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(893)</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5,782</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9,414</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r>
      <w:tr>
        <w:trPr>
          <w:trHeight w:val="196"/>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864</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Partnership distributions payable reversal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437</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Partnership distributions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(461)</w:t>
            </w:r>
          </w:p>
        </w:tc>
      </w:tr>
      <w:tr>
        <w:trPr>
          <w:trHeight w:val="203"/>
        </w:trPr>
        <w:tc>
          <w:tcPr>
            <w:tcW w:w="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Partnership contributions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Dividends and distributions to non-</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controlling interests in subsidiaries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3"/>
        </w:trPr>
        <w:tc>
          <w:tcPr>
            <w:tcW w:w="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Changes in subsidiary equity and other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6"/>
        </w:trPr>
        <w:tc>
          <w:tcPr>
            <w:tcW w:w="20" w:type="dxa"/>
            <w:vAlign w:val="bottom"/>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June 30, 2020</w:t>
            </w:r>
          </w:p>
        </w:tc>
        <w:tc>
          <w:tcPr>
            <w:tcW w:w="1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(890)</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4,819</w:t>
            </w: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3,929</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6,333</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10,262</w:t>
            </w:r>
          </w:p>
        </w:tc>
        <w:tc>
          <w:tcPr>
            <w:tcW w:w="20" w:type="dxa"/>
            <w:vAlign w:val="bottom"/>
            <w:tcBorders>
              <w:top w:val="single" w:sz="8" w:color="auto"/>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00" w:type="dxa"/>
            <w:vAlign w:val="bottom"/>
            <w:gridSpan w:val="2"/>
          </w:tcPr>
          <w:p>
            <w:pPr>
              <w:ind w:left="196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20" w:type="dxa"/>
            <w:vAlign w:val="bottom"/>
            <w:gridSpan w:val="4"/>
          </w:tcPr>
          <w:p>
            <w:pPr>
              <w:ind w:left="1140"/>
              <w:spacing w:after="0"/>
              <w:rPr>
                <w:sz w:val="20"/>
                <w:szCs w:val="20"/>
                <w:color w:val="auto"/>
              </w:rPr>
            </w:pPr>
            <w:r>
              <w:rPr>
                <w:rFonts w:ascii="Arial" w:cs="Arial" w:eastAsia="Arial" w:hAnsi="Arial"/>
                <w:sz w:val="18"/>
                <w:szCs w:val="18"/>
                <w:b w:val="1"/>
                <w:bCs w:val="1"/>
                <w:color w:val="auto"/>
              </w:rPr>
              <w:t>CONDENSED CONSOLIDATED STATEMENTS OF CASH FLOWS (UNAUDITED)</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740" w:type="dxa"/>
            <w:vAlign w:val="bottom"/>
          </w:tcPr>
          <w:p>
            <w:pPr>
              <w:spacing w:after="0"/>
              <w:rPr>
                <w:sz w:val="24"/>
                <w:szCs w:val="24"/>
                <w:color w:val="auto"/>
              </w:rPr>
            </w:pPr>
          </w:p>
        </w:tc>
        <w:tc>
          <w:tcPr>
            <w:tcW w:w="21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4"/>
              </w:rPr>
              <w:t>2021</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128"/>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538</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Net (gain) loss from securities transactions</w:t>
            </w:r>
          </w:p>
        </w:tc>
        <w:tc>
          <w:tcPr>
            <w:tcW w:w="2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(1,848)</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securities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(1,784)</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Proceeds from sales of securities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to cover securities sold, not yet purchased</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(2,313)</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Proceeds from securities sold, not yet purchased</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receivables and payables relating to securities transactions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(947)</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Changes in derivative assets and liabilities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Deferred taxes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Changes in other operating assets and liabilities</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09"/>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Turnaround expenditures</w:t>
            </w:r>
          </w:p>
        </w:tc>
        <w:tc>
          <w:tcPr>
            <w:tcW w:w="2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businesses, net of cash acquired</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Purchases of investments</w:t>
            </w: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investments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Proceeds from disposition of businesses and assets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Investment segment contributions from non-controlling interests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2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and distributions to non-controlling interests in subsidiaries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Proceeds from Holding Company senior unsecured notes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Holding Company senior unsecured notes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(1,205)</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Proceeds from subsidiary borrowings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subsidiary borrowings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(971)</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182"/>
        </w:trPr>
        <w:tc>
          <w:tcPr>
            <w:tcW w:w="6740" w:type="dxa"/>
            <w:vAlign w:val="bottom"/>
          </w:tcPr>
          <w:p>
            <w:pPr>
              <w:ind w:left="20"/>
              <w:spacing w:after="0" w:line="182" w:lineRule="exact"/>
              <w:rPr>
                <w:sz w:val="20"/>
                <w:szCs w:val="20"/>
                <w:color w:val="auto"/>
              </w:rPr>
            </w:pPr>
            <w:r>
              <w:rPr>
                <w:rFonts w:ascii="Arial" w:cs="Arial" w:eastAsia="Arial" w:hAnsi="Arial"/>
                <w:sz w:val="18"/>
                <w:szCs w:val="18"/>
                <w:color w:val="auto"/>
                <w:w w:val="96"/>
              </w:rPr>
              <w:t>Effect of exchange rate changes on cash and cash equivalents and restricted cash and</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restricted cash equivalents</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rPr>
              <w:t>Net increase (decrease) in cash and cash equivalents and restricted cash and</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restricted cash equivalents</w:t>
            </w: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02"/>
        </w:trPr>
        <w:tc>
          <w:tcPr>
            <w:tcW w:w="6740" w:type="dxa"/>
            <w:vAlign w:val="bottom"/>
          </w:tcPr>
          <w:p>
            <w:pPr>
              <w:ind w:left="20"/>
              <w:spacing w:after="0" w:line="201" w:lineRule="exact"/>
              <w:rPr>
                <w:sz w:val="20"/>
                <w:szCs w:val="20"/>
                <w:color w:val="auto"/>
              </w:rPr>
            </w:pPr>
            <w:r>
              <w:rPr>
                <w:rFonts w:ascii="Arial" w:cs="Arial" w:eastAsia="Arial" w:hAnsi="Arial"/>
                <w:sz w:val="18"/>
                <w:szCs w:val="18"/>
                <w:color w:val="auto"/>
                <w:w w:val="93"/>
              </w:rPr>
              <w:t>Cash and cash equivalents and restricted cash and restricted cash equivalents, beginning</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of period</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w:t>
            </w: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182"/>
        </w:trPr>
        <w:tc>
          <w:tcPr>
            <w:tcW w:w="67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7"/>
              </w:rPr>
              <w:t>Cash and cash equivalents and restricted cash and restricted cash equivalents, end of</w:t>
            </w: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2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17"/>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period</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right="139" w:firstLine="324"/>
        <w:spacing w:after="0" w:line="274" w:lineRule="auto"/>
        <w:rPr>
          <w:sz w:val="20"/>
          <w:szCs w:val="20"/>
          <w:color w:val="auto"/>
        </w:rPr>
      </w:pPr>
      <w:r>
        <w:rPr>
          <w:rFonts w:ascii="Arial" w:cs="Arial" w:eastAsia="Arial" w:hAnsi="Arial"/>
          <w:sz w:val="17"/>
          <w:szCs w:val="17"/>
          <w:color w:val="auto"/>
        </w:rPr>
        <w:t>Icahn Enterprises L.P. (“Icahn Enterprises”) is a master limited partnership formed in Delaware on February 17, 1987. Icahn Enterprises Holdings L.P. (“Icahn Enterprises Holdings”) is a limited partnership formed in Delaware on</w:t>
      </w:r>
    </w:p>
    <w:p>
      <w:pPr>
        <w:ind w:left="60" w:right="59"/>
        <w:spacing w:after="0" w:line="260" w:lineRule="auto"/>
        <w:rPr>
          <w:sz w:val="20"/>
          <w:szCs w:val="20"/>
          <w:color w:val="auto"/>
        </w:rPr>
      </w:pPr>
      <w:r>
        <w:rPr>
          <w:rFonts w:ascii="Arial" w:cs="Arial" w:eastAsia="Arial" w:hAnsi="Arial"/>
          <w:sz w:val="18"/>
          <w:szCs w:val="18"/>
          <w:color w:val="auto"/>
        </w:rPr>
        <w:t>February 17, 1987. References to “we,” “our” or “us” herein include both Icahn Enterprises and Icahn Enterprises Holdings and their subsidiaries, unless the context otherwise requires.</w:t>
      </w:r>
    </w:p>
    <w:p>
      <w:pPr>
        <w:spacing w:after="0" w:line="185" w:lineRule="exact"/>
        <w:rPr>
          <w:sz w:val="20"/>
          <w:szCs w:val="20"/>
          <w:color w:val="auto"/>
        </w:rPr>
      </w:pPr>
    </w:p>
    <w:p>
      <w:pPr>
        <w:ind w:left="60" w:right="179" w:firstLine="324"/>
        <w:spacing w:after="0" w:line="271" w:lineRule="auto"/>
        <w:rPr>
          <w:sz w:val="20"/>
          <w:szCs w:val="20"/>
          <w:color w:val="auto"/>
        </w:rPr>
      </w:pPr>
      <w:r>
        <w:rPr>
          <w:rFonts w:ascii="Arial" w:cs="Arial" w:eastAsia="Arial" w:hAnsi="Arial"/>
          <w:sz w:val="17"/>
          <w:szCs w:val="17"/>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June 30, 2021.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the allocation of the general partner interest, which is reflected as an aggregate 1.99% general partner interest in the financial statements of Icahn Enterprises. In addition to the above, Mr. Icahn and his affiliates owned approximately 90% of Icahn Enterprises’ outstanding depositary units as of June 30, 2021.</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Continuing Operating Businesses</w:t>
      </w:r>
    </w:p>
    <w:p>
      <w:pPr>
        <w:spacing w:after="0" w:line="225"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We are a diversified holding company owning subsidiaries currently engaged in the following continuing operating businesses: Investment, Energy, Automotive, Food Packaging, Metals, Real Estate, Home Fashion and Pharma. We also report the results of our Holding Company, which includes the results of certain subsidiaries of Icahn Enterprises and Icahn Enterprises Holdings (unless otherwise noted), and investment activity and expenses associated with our Holding Company. See Note 12, “Segment Reporting,” for a reconciliation of each of our reporting segment’s results of operations to our consolidated results. Certain additional information with respect to our segments is discussed below.</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239" w:firstLine="324"/>
        <w:spacing w:after="0" w:line="254" w:lineRule="auto"/>
        <w:rPr>
          <w:sz w:val="20"/>
          <w:szCs w:val="20"/>
          <w:color w:val="auto"/>
        </w:rPr>
      </w:pPr>
      <w:r>
        <w:rPr>
          <w:rFonts w:ascii="Arial" w:cs="Arial" w:eastAsia="Arial" w:hAnsi="Arial"/>
          <w:sz w:val="18"/>
          <w:szCs w:val="18"/>
          <w:color w:val="auto"/>
        </w:rPr>
        <w:t>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 We had interests in the Investment Funds with a fair value of approximately $4.7 billion and $4.3 billion as of June 30, 2021 and December 31, 2020, respectively.</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We conduct our Energy segment through our majority owned subsidiary, CVR Energy, Inc. (“CVR Energy”). CVR Energy is a diversified holding company primarily engaged in the petroleum refining and nitrogen fertilizer manufacturing businesses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and ammonia. CVR Energy has a general partner interest in each of CVR Refining and CVR Partners. In addition, CVR Energy is the sole limited partner of CVR Refining and owns approximately 36% of the outstanding common units of CVR Partners as of June 30, 2021. As of June 30, 2021, we owned approximately 71% of the total outstanding common stock of CVR Energy.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20" w:right="182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We conduct our Automotive segment through our wholly owned subsidiary, Icahn Automotive Group LLC (“Icahn Automotive”). Icahn Automotive is engaged in the retail and wholesale distribution of automotive parts in the aftermarket (“aftermarket parts”) as well as providing automotive repair and maintenance services (“automotive services”) to its customers. Icahn Automotive’s aftermarket parts and automotive services businesses serve different customer channels and have distinct strategies, opportunities and requirements and therefore are operated as two independent operating companies, each with its own Chief Executive Officer and management teams, and both of which are supported by a central shared service group. Our Automotive segment also includes our separate investment in 767 Auto Leasing LLC (“767 Leasing”), a joint venture created by us to purchase vehicles for lease, as described further in Note 3, “Related Party Transactions.” Our investment in 767 Leasing is included as a component of our Automotive segment due to the nature of the joint venture activities.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 Packaging</w:t>
      </w:r>
    </w:p>
    <w:p>
      <w:pPr>
        <w:spacing w:after="0" w:line="225" w:lineRule="exact"/>
        <w:rPr>
          <w:sz w:val="20"/>
          <w:szCs w:val="20"/>
          <w:color w:val="auto"/>
        </w:rPr>
      </w:pPr>
    </w:p>
    <w:p>
      <w:pPr>
        <w:ind w:left="60" w:right="359" w:firstLine="324"/>
        <w:spacing w:after="0" w:line="311" w:lineRule="auto"/>
        <w:rPr>
          <w:sz w:val="20"/>
          <w:szCs w:val="20"/>
          <w:color w:val="auto"/>
        </w:rPr>
      </w:pPr>
      <w:r>
        <w:rPr>
          <w:rFonts w:ascii="Arial" w:cs="Arial" w:eastAsia="Arial" w:hAnsi="Arial"/>
          <w:sz w:val="16"/>
          <w:szCs w:val="16"/>
          <w:color w:val="auto"/>
        </w:rPr>
        <w:t>We conduct our Food Packaging segment through our majority owned subsidiary, Viskase Companies, Inc. (“Viskase”). Viskase is a producer of cellulosic, fibrous and plastic casings used to prepare and package processed meat products. As of June 30, 2021, we owned approximately 89% of the total outstanding common stock of Viskase.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Metals</w:t>
      </w:r>
    </w:p>
    <w:p>
      <w:pPr>
        <w:spacing w:after="0" w:line="225"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We conduct our Metals segment through our wholly owned subsidiary, PSC Metals LLC (“PSC Metals”).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w:t>
      </w:r>
      <w:r>
        <w:rPr>
          <w:rFonts w:ascii="Arial" w:cs="Arial" w:eastAsia="Arial" w:hAnsi="Arial"/>
          <w:sz w:val="17"/>
          <w:szCs w:val="17"/>
          <w:i w:val="1"/>
          <w:iCs w:val="1"/>
          <w:color w:val="auto"/>
        </w:rPr>
        <w: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Our Real Estate segment consists primarily of investment properties, the development and sale of single-family homes and the management of a country club.</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Home Fashion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conduct our Home Fashion segment through our wholly owned subsidiary, WestPoint Home LLC (“WPH”).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WPH’s business consists of manufacturing, sourcing, marketing, distributing and selling home fashion consumer products.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Pharma</w:t>
      </w:r>
    </w:p>
    <w:p>
      <w:pPr>
        <w:spacing w:after="0" w:line="225"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We conduct our Pharma segment through our wholly owned subsidiary, Vivus LLC, formerly Vivus, Inc. (“Vivus”). We acquired all of the outstanding common stock of Vivus in December 2020 upon its emergence from bankruptcy. Vivus is a specialty pharmaceutical company with two approved therapies and one product candidate in active clinical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ind w:left="60" w:right="239" w:firstLine="324"/>
        <w:spacing w:after="0" w:line="273" w:lineRule="auto"/>
        <w:rPr>
          <w:sz w:val="20"/>
          <w:szCs w:val="20"/>
          <w:color w:val="auto"/>
        </w:rPr>
      </w:pPr>
      <w:r>
        <w:rPr>
          <w:rFonts w:ascii="Arial" w:cs="Arial" w:eastAsia="Arial" w:hAnsi="Arial"/>
          <w:sz w:val="17"/>
          <w:szCs w:val="17"/>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178"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sales of Federal-Mogul LLC, Tropicana Entertainment Inc., American Railcar Industries, Inc. and Ferrous Resources Ltd. in recent years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185"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The accompanying condensed consolidated financial statements and related notes should be read in conjunction with our consolidated financial statements and related notes contained in our Annual Report on Form 10-K for the year ended December 31, 2020.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60" w:right="59" w:firstLine="324"/>
        <w:spacing w:after="0" w:line="289" w:lineRule="auto"/>
        <w:rPr>
          <w:sz w:val="20"/>
          <w:szCs w:val="20"/>
          <w:color w:val="auto"/>
        </w:rPr>
      </w:pPr>
      <w:r>
        <w:rPr>
          <w:rFonts w:ascii="Arial" w:cs="Arial" w:eastAsia="Arial" w:hAnsi="Arial"/>
          <w:sz w:val="16"/>
          <w:szCs w:val="16"/>
          <w:color w:val="auto"/>
        </w:rPr>
        <w:t>Our condensed consolidated financial statements include the accounts of (i) Icahn Enterprises and Icahn Enterprises Holdings and (ii) the wholly and majority owned subsidiaries of Icahn Enterprises and Icahn Enterprises Holdings,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w:t>
      </w:r>
    </w:p>
    <w:p>
      <w:pPr>
        <w:spacing w:after="0" w:line="166"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Except for our Investment segment and Holding Company, for equity investments in which we own 50% or less but greater than 20%, we generally account for such investments using the equity method. All other equity investments are accounted for at fair value.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60" w:right="199" w:firstLine="324"/>
        <w:spacing w:after="0" w:line="342" w:lineRule="auto"/>
        <w:rPr>
          <w:sz w:val="20"/>
          <w:szCs w:val="20"/>
          <w:color w:val="auto"/>
        </w:rPr>
      </w:pPr>
      <w:r>
        <w:rPr>
          <w:rFonts w:ascii="Arial" w:cs="Arial" w:eastAsia="Arial" w:hAnsi="Arial"/>
          <w:sz w:val="16"/>
          <w:szCs w:val="16"/>
          <w:color w:val="auto"/>
        </w:rPr>
        <w:t>Certain reclassifications from the prior year presentation have been made to conform to the current year presentation, which did not have an impact on previously reported net income and equity and are not deemed material.</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225"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The following is a discussion of variable interest entities in which we are deemed to be the primary beneficiary and we therefore consolidate.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Icahn Enterprises Holdings</w:t>
      </w:r>
    </w:p>
    <w:p>
      <w:pPr>
        <w:spacing w:after="0" w:line="225" w:lineRule="exact"/>
        <w:rPr>
          <w:sz w:val="20"/>
          <w:szCs w:val="20"/>
          <w:color w:val="auto"/>
        </w:rPr>
      </w:pPr>
    </w:p>
    <w:p>
      <w:pPr>
        <w:ind w:left="60" w:right="59" w:firstLine="324"/>
        <w:spacing w:after="0" w:line="291" w:lineRule="auto"/>
        <w:rPr>
          <w:sz w:val="20"/>
          <w:szCs w:val="20"/>
          <w:color w:val="auto"/>
        </w:rPr>
      </w:pPr>
      <w:r>
        <w:rPr>
          <w:rFonts w:ascii="Arial" w:cs="Arial" w:eastAsia="Arial" w:hAnsi="Arial"/>
          <w:sz w:val="16"/>
          <w:szCs w:val="16"/>
          <w:color w:val="auto"/>
        </w:rPr>
        <w:t>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The condensed consolidated financial statements of Icahn Enterprises Holdings are included in this Report. The balances with respect to Icahn Enterprises Holdings’ consolidated VIEs are discussed below, comprising the Investment Funds, CVR Partners and Viskase’s joint venture.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299" w:firstLine="324"/>
        <w:spacing w:after="0" w:line="275" w:lineRule="auto"/>
        <w:rPr>
          <w:sz w:val="20"/>
          <w:szCs w:val="20"/>
          <w:color w:val="auto"/>
        </w:rPr>
      </w:pPr>
      <w:r>
        <w:rPr>
          <w:rFonts w:ascii="Arial" w:cs="Arial" w:eastAsia="Arial" w:hAnsi="Arial"/>
          <w:sz w:val="17"/>
          <w:szCs w:val="17"/>
          <w:color w:val="auto"/>
        </w:rPr>
        <w:t>We determined that each of the Investment Funds are considered VIEs because these limited partnerships lack both substantive kick-out and participating rights. Because we have a general partner interest in each of the Investment Funds and have significant limited partner interests in each of the Investment Funds, coupled with our significant exposure to losses and benefits in each of the Investment Funds, we are the primary beneficiary of each of the Investment Funds and therefore continue to consolidate each of the Investment Funds.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CVR Partners is considered a VIE because it is a limited partnership that lacks both substantive kick-out and participating rights. In addition, CVR Energy also concluded that, based upon its general partner’s roles and rights in CVR Partners as afforded by CVR Partners’ partnership agreement, coupled with its exposure to losses and benefits in CVR Partners through its significant limited partner interest, intercompany credit facilities and services agreements, it is the primary beneficiary of CVR Partners.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 Packaging</w:t>
      </w:r>
    </w:p>
    <w:p>
      <w:pPr>
        <w:spacing w:after="0" w:line="225" w:lineRule="exact"/>
        <w:rPr>
          <w:sz w:val="20"/>
          <w:szCs w:val="20"/>
          <w:color w:val="auto"/>
        </w:rPr>
      </w:pPr>
    </w:p>
    <w:p>
      <w:pPr>
        <w:ind w:left="60" w:right="299" w:firstLine="324"/>
        <w:spacing w:after="0" w:line="286" w:lineRule="auto"/>
        <w:rPr>
          <w:sz w:val="20"/>
          <w:szCs w:val="20"/>
          <w:color w:val="auto"/>
        </w:rPr>
      </w:pPr>
      <w:r>
        <w:rPr>
          <w:rFonts w:ascii="Arial" w:cs="Arial" w:eastAsia="Arial" w:hAnsi="Arial"/>
          <w:sz w:val="17"/>
          <w:szCs w:val="17"/>
          <w:color w:val="auto"/>
        </w:rPr>
        <w:t>Viskase holds a variable interest in a joint venture for which Viskase is the primary beneficiary. Viskase’s interest in the joint venture includes a 50% equity interest and also relates to the sales, operations, administrative and financial support to the joint venture through providing many of the assets used in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659" w:firstLine="324"/>
        <w:spacing w:after="0" w:line="277" w:lineRule="auto"/>
        <w:rPr>
          <w:sz w:val="20"/>
          <w:szCs w:val="20"/>
          <w:color w:val="auto"/>
        </w:rPr>
      </w:pPr>
      <w:r>
        <w:rPr>
          <w:rFonts w:ascii="Arial" w:cs="Arial" w:eastAsia="Arial" w:hAnsi="Arial"/>
          <w:sz w:val="18"/>
          <w:szCs w:val="18"/>
          <w:color w:val="auto"/>
        </w:rPr>
        <w:t>The following table includes balances of assets and liabilities of VIE’s included in Icahn Enterprises Holdings’ condensed consolidated balance sheets.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2020</w:t>
            </w:r>
          </w:p>
        </w:tc>
      </w:tr>
      <w:tr>
        <w:trPr>
          <w:trHeight w:val="128"/>
        </w:trPr>
        <w:tc>
          <w:tcPr>
            <w:tcW w:w="5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ind w:left="660"/>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1,558</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8,239</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Due from brokers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3,437</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Inventories, net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Unrealized gain on derivative contracts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785</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 assets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Unrealized loss on derivative contracts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Due to brokers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1,618</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Note 5, “Fair Value Measurements,” for a detailed discussion of our investments and other non-financial assets and/or liabilities.</w:t>
      </w:r>
    </w:p>
    <w:p>
      <w:pPr>
        <w:spacing w:after="0" w:line="188" w:lineRule="exact"/>
        <w:rPr>
          <w:sz w:val="20"/>
          <w:szCs w:val="20"/>
          <w:color w:val="auto"/>
        </w:rPr>
      </w:pPr>
    </w:p>
    <w:p>
      <w:pPr>
        <w:ind w:left="60" w:right="299" w:firstLine="324"/>
        <w:spacing w:after="0" w:line="257"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June 30, 2021 was approximately $8.1 billion and $8.2 billion, respectively. The carrying value and estimated fair value of our long-term debt as of December 31, 2020 was approximately $8.1 billion and $8.2 billion,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jc w:val="both"/>
        <w:ind w:left="60" w:right="819" w:firstLine="324"/>
        <w:spacing w:after="0" w:line="263" w:lineRule="auto"/>
        <w:rPr>
          <w:sz w:val="20"/>
          <w:szCs w:val="20"/>
          <w:color w:val="auto"/>
        </w:rPr>
      </w:pPr>
      <w:r>
        <w:rPr>
          <w:rFonts w:ascii="Arial" w:cs="Arial" w:eastAsia="Arial" w:hAnsi="Arial"/>
          <w:sz w:val="18"/>
          <w:szCs w:val="18"/>
          <w:color w:val="auto"/>
        </w:rPr>
        <w:t>Cash and cash equivalents and restricted cash and restricted cash equivalents on our condensed consolidated statements of cash flows is comprised of (i) cash and cash equivalents and (ii) cash held at consolidated affiliated partnerships and restricted cash.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Held at Consolidated Affiliated Partnerships and Restricted Cash</w:t>
      </w:r>
    </w:p>
    <w:p>
      <w:pPr>
        <w:spacing w:after="0" w:line="225" w:lineRule="exact"/>
        <w:rPr>
          <w:sz w:val="20"/>
          <w:szCs w:val="20"/>
          <w:color w:val="auto"/>
        </w:rPr>
      </w:pPr>
    </w:p>
    <w:p>
      <w:pPr>
        <w:ind w:left="60" w:right="279" w:firstLine="324"/>
        <w:spacing w:after="0" w:line="301" w:lineRule="auto"/>
        <w:rPr>
          <w:sz w:val="20"/>
          <w:szCs w:val="20"/>
          <w:color w:val="auto"/>
        </w:rPr>
      </w:pPr>
      <w:r>
        <w:rPr>
          <w:rFonts w:ascii="Arial" w:cs="Arial" w:eastAsia="Arial" w:hAnsi="Arial"/>
          <w:sz w:val="16"/>
          <w:szCs w:val="16"/>
          <w:color w:val="auto"/>
        </w:rPr>
        <w:t>Our cash held at consolidated affiliated partnerships balance was $223 million and $686 million as of June 30, 2021 and December 31, 2020, respectively. Cash held at consolidated affiliated partnerships relates to our Investment segment and consists of cash and cash equivalents held by the Investment Funds that, although not legally restricted, are not available to fund the general liquidity needs of the Investment segment or Icahn Enterprises.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Our restricted cash balance was $1,046 million and $926 million as of June 30, 2021 and December 31, 2020, respectively. Restricted cash primarily relates to our Investment segment’s cash pledged and held for margin requirements on derivative transactions.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From Contracts With Customers and Contract Balances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Due to the nature of our business, we derive revenue from various sources in various industries. With the exception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 of our Investment segment’s and our Holding Company’s revenues, and our Real Estate segment’s leasing revenue, our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revenue is generally derived from contracts with customers in accordance with U.S. GAAP. Such revenue from contracts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with customers is included in net sales and other revenues from operations in the condensed consolidated statements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operations, however, our Real Estate segment’s leasing revenue, as disclosed in Note 9, “Leases,” is also included in other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revenues from operations. Related contract assets are included in accounts receivable, net or other assets and related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contract liabilities are included in accrued expenses and other liabilities in the condensed consolidated balance sheets. Our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disaggregation of revenue information includes our net sales and other revenues from operations for each of our reporting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segments as well as additional disaggregation of revenue information for our Energy and Automotive segments. See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Note 12, “Segment Reporting,” for our complete disaggregation of revenue information. In addition, we disclose additional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information with respect to revenue from contracts with customers and contract balances for our Energy and Automotive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segments below.</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Our Energy segment’s deferred revenue is a contract liability that primarily relates to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revenue is recognized at the point in time in which the customer obtains control of the product. Our Energy segment had deferred revenue of $16 million and $31 million as of June 30, 2021 and December 31, 2020, respectively. For the six months ended June 30, 2021 and 2020, our Energy segment recorded revenue of $30 million and $27 million, respectively, with respect to deferred revenue outstanding as of the beginning of each respective period, which includes $22 million and $21 million recognized during the three months ended June 30, 2021 and 2020, respectively.</w:t>
      </w:r>
    </w:p>
    <w:p>
      <w:pPr>
        <w:spacing w:after="0" w:line="185" w:lineRule="exact"/>
        <w:rPr>
          <w:sz w:val="20"/>
          <w:szCs w:val="20"/>
          <w:color w:val="auto"/>
        </w:rPr>
      </w:pPr>
    </w:p>
    <w:p>
      <w:pPr>
        <w:jc w:val="both"/>
        <w:ind w:left="60" w:right="279" w:firstLine="324"/>
        <w:spacing w:after="0" w:line="286" w:lineRule="auto"/>
        <w:rPr>
          <w:sz w:val="20"/>
          <w:szCs w:val="20"/>
          <w:color w:val="auto"/>
        </w:rPr>
      </w:pPr>
      <w:r>
        <w:rPr>
          <w:rFonts w:ascii="Arial" w:cs="Arial" w:eastAsia="Arial" w:hAnsi="Arial"/>
          <w:sz w:val="17"/>
          <w:szCs w:val="17"/>
          <w:color w:val="auto"/>
        </w:rPr>
        <w:t>As of June 30, 2021, our Energy segment had $6 million of remaining performance obligations for contracts with an original expected duration of more than one year. Our Energy segment expects to recognize approximately $3 million of these performance obligations as revenue by the end of 2021 and the remaining balance thereafter.</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Our Automotive segment has deferred revenue with respect to extended warranty plans of $41 million at each of June 30, 2021 and December 31, 2020, which are included in accrued expenses and other liabilities on the condensed consolidated balance sheets. For the six months ended June 30, 2021 and 2020, our Automotive segment recorded revenue of $12 million and $13 million, respectively, with respect to deferred revenue outstanding as of the beginning of each respective period, which includes $6 million and $7 million recognized during the three months ended June 30, 2021 and 2020, respectively.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25" w:lineRule="exact"/>
        <w:rPr>
          <w:sz w:val="20"/>
          <w:szCs w:val="20"/>
          <w:color w:val="auto"/>
        </w:rPr>
      </w:pPr>
    </w:p>
    <w:p>
      <w:pPr>
        <w:ind w:left="60" w:right="239" w:firstLine="324"/>
        <w:spacing w:after="0" w:line="311" w:lineRule="auto"/>
        <w:rPr>
          <w:sz w:val="20"/>
          <w:szCs w:val="20"/>
          <w:color w:val="auto"/>
        </w:rPr>
      </w:pPr>
      <w:r>
        <w:rPr>
          <w:rFonts w:ascii="Arial" w:cs="Arial" w:eastAsia="Arial" w:hAnsi="Arial"/>
          <w:sz w:val="16"/>
          <w:szCs w:val="16"/>
          <w:color w:val="auto"/>
        </w:rPr>
        <w:t xml:space="preserve">In December 2019, the Financial Account Standards Board (“FASB”) issued Accounting Standards Update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which amends FASB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This ASU simplifies the accounting for income taxes by removing certain exceptions to the general principles in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standard and modifies other areas of the standard to clarify the application of U.S. GAAP. This ASU is effective for fiscal years beginning after December 15, 2020, and interim periods within those fiscal years. We have adopted this standard on January 1, 2021. Certain amendments in this ASU are applied using a retrospective approach and others using the prospective approach. The adoption of this standard did not have a significant impact on our condensed consolidated financial statements.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which amends FASB ASC Topic 848,</w:t>
      </w:r>
      <w:r>
        <w:rPr>
          <w:rFonts w:ascii="Arial" w:cs="Arial" w:eastAsia="Arial" w:hAnsi="Arial"/>
          <w:sz w:val="17"/>
          <w:szCs w:val="17"/>
          <w:i w:val="1"/>
          <w:iCs w:val="1"/>
          <w:color w:val="auto"/>
        </w:rPr>
        <w:t xml:space="preserve"> Reference Rate Reform</w:t>
      </w:r>
      <w:r>
        <w:rPr>
          <w:rFonts w:ascii="Arial" w:cs="Arial" w:eastAsia="Arial" w:hAnsi="Arial"/>
          <w:sz w:val="17"/>
          <w:szCs w:val="17"/>
          <w:color w:val="auto"/>
        </w:rPr>
        <w:t>. By the end of 2021, banks will no longer be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report information that is used to determine London Interbank Offered Rate (“LIBOR”) which is used globally by all types of entities for various types of transactions. As a result, LIBOR could be discontinued, as well as other interest rates used globally. This ASU provides companies with optional expedients for contract modifications under U.S GAAP, excluded components of certain hedging relationships, fair value hedges, and cash flow hedges, as well as certain exceptions, which are intended to help ease the potential accounting burden associated with transitioning away from these reference rates. Companies can apply this ASU immediately and will only be available for a limited time (generally through December 31, 2022). We are currently assessing the impact of this standard on our condensed consolidated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Related Party Transactions</w:t>
      </w:r>
    </w:p>
    <w:p>
      <w:pPr>
        <w:spacing w:after="0" w:line="229"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Funds</w:t>
      </w:r>
    </w:p>
    <w:p>
      <w:pPr>
        <w:spacing w:after="0" w:line="225" w:lineRule="exact"/>
        <w:rPr>
          <w:sz w:val="20"/>
          <w:szCs w:val="20"/>
          <w:color w:val="auto"/>
        </w:rPr>
      </w:pPr>
    </w:p>
    <w:p>
      <w:pPr>
        <w:ind w:left="60" w:right="259" w:firstLine="324"/>
        <w:spacing w:after="0" w:line="296" w:lineRule="auto"/>
        <w:rPr>
          <w:sz w:val="20"/>
          <w:szCs w:val="20"/>
          <w:color w:val="auto"/>
        </w:rPr>
      </w:pPr>
      <w:r>
        <w:rPr>
          <w:rFonts w:ascii="Arial" w:cs="Arial" w:eastAsia="Arial" w:hAnsi="Arial"/>
          <w:sz w:val="16"/>
          <w:szCs w:val="16"/>
          <w:color w:val="auto"/>
        </w:rPr>
        <w:t>During the six months ended June 30, 2020, Mr. Icahn and his affiliates (excluding us) contributed $1,241 million to the Investment Funds consisting primarily of in-kind investments previously held directly by Mr. Icahn and his affiliates (excluding us). As of June 30, 2021 and December 31, 2020, the total fair market value of investments in the Investment Funds made by Mr. Icahn and his affiliates (excluding us) was approximately $5.6 billion and $5.0 billion, respectively, representing approximately 54% and 54% of the Investment Funds’ assets under management as of each respective date.</w:t>
      </w:r>
    </w:p>
    <w:p>
      <w:pPr>
        <w:spacing w:after="0" w:line="161" w:lineRule="exact"/>
        <w:rPr>
          <w:sz w:val="20"/>
          <w:szCs w:val="20"/>
          <w:color w:val="auto"/>
        </w:rPr>
      </w:pPr>
    </w:p>
    <w:p>
      <w:pPr>
        <w:ind w:left="60" w:right="79" w:firstLine="324"/>
        <w:spacing w:after="0" w:line="316" w:lineRule="auto"/>
        <w:rPr>
          <w:sz w:val="20"/>
          <w:szCs w:val="20"/>
          <w:color w:val="auto"/>
        </w:rPr>
      </w:pPr>
      <w:r>
        <w:rPr>
          <w:rFonts w:ascii="Arial" w:cs="Arial" w:eastAsia="Arial" w:hAnsi="Arial"/>
          <w:sz w:val="15"/>
          <w:szCs w:val="15"/>
          <w:color w:val="auto"/>
        </w:rPr>
        <w:t>We pay for expenses pertaining to the operation, administration and investment activities of our Investment segment for the benefit of the Investment Funds (including salaries, benefits and rent). Based on an expense-sharing arrangement, certain expenses borne by us are reimbursed by the Investment Funds. For the three months ended June 30, 2021 and 2020, $4 million and $3 million, respectively, was allocated to the Investment Funds based on this expense-sharing arrangement and for the six months ended June 30, 2021 and 2020, such allocation was $8 million and $(3) million, respectively. For the six months ended June 30, 2020, the allocation was reduced by $8 million relating to certain compensation arrangements.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Hertz Global Holdings, Inc. and 767 Auto Leasing LLC</w:t>
      </w:r>
    </w:p>
    <w:p>
      <w:pPr>
        <w:spacing w:after="0" w:line="225" w:lineRule="exact"/>
        <w:rPr>
          <w:sz w:val="20"/>
          <w:szCs w:val="20"/>
          <w:color w:val="auto"/>
        </w:rPr>
      </w:pPr>
    </w:p>
    <w:p>
      <w:pPr>
        <w:ind w:left="60" w:right="99" w:firstLine="324"/>
        <w:spacing w:after="0" w:line="279" w:lineRule="auto"/>
        <w:rPr>
          <w:sz w:val="20"/>
          <w:szCs w:val="20"/>
          <w:color w:val="auto"/>
        </w:rPr>
      </w:pPr>
      <w:r>
        <w:rPr>
          <w:rFonts w:ascii="Arial" w:cs="Arial" w:eastAsia="Arial" w:hAnsi="Arial"/>
          <w:sz w:val="17"/>
          <w:szCs w:val="17"/>
          <w:color w:val="auto"/>
        </w:rPr>
        <w:t>The Investment Funds had an investment in the common stock of Hertz Global Holdings, Inc. (“Hertz”) measured at fair value that would have otherwise been subject to the equity method of accounting (until sold in the second quarter of 2020). Icahn Automotive provides services to Hertz in the ordinary course of business. Revenue from Hertz was $6 million and $20 million for the three and six months ended June 30, 2020,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In addition to our transactions with Hertz disclosed above, in January 2018, we entered into a Master Motor Vehicle Lease and Management Agreement with Hertz, pursuant to which Hertz granted 767 Leasing the option to acquire certain vehicles from Hertz at rates aligned with the rates at which Hertz sells vehicles to third parties. Under this agreement, as amended, Hertz will lease the vehicles that 767 Leasing purchases from Hertz, or from third parties, under a mutually developed fleet plan and Hertz will manage, service, repair, sell and maintain those leased vehicles on behalf of 767 Leasing. Additionally, Hertz will rent the leased vehicles to transportation network company drivers from rental counters within locations leased or owned by us. This agreement had an initial term of 18 months and is subject to automatic six-month renewals thereafter, unless terminated by either party (with or without cause) prior to the start of any such six-month renewal. Our agreement with Hertz was unanimously approved by the independent directors of Icahn Enterprises’ audit committee. Due to the nature of our involvement with 767 Leasing, which includes Icahn Enterprises and Icahn Enterprises Holdings guaranteeing the payment obligations of 767 Leasing and sharing in the profits of 767 Leasing with Hertz, we determined that 767 Leasing is a variable interest entity. Furthermore, we determined that we are not the primary beneficiary as we do not have the power to direct the activities of 767 Leasing that most significantly impact its economic performance. Therefore, we do not consolidate the results of 767 Leasing. Our exposure to loss with respect to 767 Leasing is primarily limited to our direct investment in 767 Leasing as well as any payment obligations of 767 Leasing that we guarantee, which are not material as of June 30, 2021 and December 31, 2020. For the three and six months ended June 30, 2021, 767 Leasing distributed $5 million and $16 million, respectively, to us. As of June 30, 2021 and December 31, 2020, we had an equity method investment in 767 Leasing of $19 million and $40 million, respectively, which we report in our Automotive segment.</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Related Party Agreements</w:t>
      </w:r>
    </w:p>
    <w:p>
      <w:pPr>
        <w:spacing w:after="0" w:line="225"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Icahn.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as discussed below.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During 2021, Brett Icahn contributed $46 million in accordance with the manager agreement and has investments in the Investment Funds with a total fair market value of $65 million as of June 30, 2021.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w:t>
      </w:r>
    </w:p>
    <w:p>
      <w:pPr>
        <w:spacing w:after="0" w:line="225" w:lineRule="exact"/>
        <w:rPr>
          <w:sz w:val="20"/>
          <w:szCs w:val="20"/>
          <w:color w:val="auto"/>
        </w:rPr>
      </w:pPr>
    </w:p>
    <w:p>
      <w:pPr>
        <w:ind w:left="60" w:right="259" w:firstLine="324"/>
        <w:spacing w:after="0" w:line="275" w:lineRule="auto"/>
        <w:rPr>
          <w:sz w:val="20"/>
          <w:szCs w:val="20"/>
          <w:color w:val="auto"/>
        </w:rPr>
      </w:pPr>
      <w:r>
        <w:rPr>
          <w:rFonts w:ascii="Arial" w:cs="Arial" w:eastAsia="Arial" w:hAnsi="Arial"/>
          <w:sz w:val="17"/>
          <w:szCs w:val="17"/>
          <w:color w:val="auto"/>
        </w:rPr>
        <w:t>Investments and securities sold, not yet purchased consist of equities, bonds, bank debt and other corporate obligations, all of which are reported at fair value in our condensed consolidated balance sheets.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2020</w:t>
            </w:r>
          </w:p>
        </w:tc>
      </w:tr>
      <w:tr>
        <w:trPr>
          <w:trHeight w:val="128"/>
        </w:trPr>
        <w:tc>
          <w:tcPr>
            <w:tcW w:w="6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ind w:left="660"/>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r>
      <w:tr>
        <w:trPr>
          <w:trHeight w:val="216"/>
        </w:trPr>
        <w:tc>
          <w:tcPr>
            <w:tcW w:w="6620" w:type="dxa"/>
            <w:vAlign w:val="bottom"/>
            <w:shd w:val="clear" w:color="auto" w:fill="CCEEFF"/>
          </w:tcPr>
          <w:p>
            <w:pPr>
              <w:ind w:left="298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Consumer, non-cyclical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566</w:t>
            </w:r>
          </w:p>
        </w:tc>
        <w:tc>
          <w:tcPr>
            <w:tcW w:w="2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1,548</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cyclical</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Energy</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2,654</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Utilities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Healthcare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Technology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Materials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Industrial</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10"/>
        </w:trPr>
        <w:tc>
          <w:tcPr>
            <w:tcW w:w="6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10,487</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8,118</w:t>
            </w:r>
          </w:p>
        </w:tc>
      </w:tr>
      <w:tr>
        <w:trPr>
          <w:trHeight w:val="209"/>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50"/>
        </w:trPr>
        <w:tc>
          <w:tcPr>
            <w:tcW w:w="66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10,603</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8,239</w:t>
            </w:r>
          </w:p>
        </w:tc>
      </w:tr>
      <w:tr>
        <w:trPr>
          <w:trHeight w:val="197"/>
        </w:trPr>
        <w:tc>
          <w:tcPr>
            <w:tcW w:w="6620" w:type="dxa"/>
            <w:vAlign w:val="bottom"/>
            <w:shd w:val="clear" w:color="auto" w:fill="CCEEFF"/>
          </w:tcPr>
          <w:p>
            <w:pPr>
              <w:ind w:left="2840"/>
              <w:spacing w:after="0" w:line="196" w:lineRule="exact"/>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Consumer, non-cyclical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cyclical</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Energy</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1,476</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Utilities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Healthcare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Materials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6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4,231</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r>
      <w:tr>
        <w:trPr>
          <w:trHeight w:val="20"/>
        </w:trPr>
        <w:tc>
          <w:tcPr>
            <w:tcW w:w="6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7"/>
          <w:szCs w:val="17"/>
          <w:color w:val="auto"/>
        </w:rPr>
        <w:t>The portion of unrealized gains (losses) that relates to securities still held by our Investment segment, primarily equity securities, was $491 million and $2,566 million for the three months ended June 30, 2021 and 2020, respectively, and $1,593 million and $(1,066) million for the six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225" w:lineRule="exact"/>
        <w:rPr>
          <w:sz w:val="20"/>
          <w:szCs w:val="20"/>
          <w:color w:val="auto"/>
        </w:rPr>
      </w:pPr>
    </w:p>
    <w:p>
      <w:pPr>
        <w:ind w:left="60" w:right="159" w:firstLine="324"/>
        <w:spacing w:after="0" w:line="311" w:lineRule="auto"/>
        <w:rPr>
          <w:sz w:val="20"/>
          <w:szCs w:val="20"/>
          <w:color w:val="auto"/>
        </w:rPr>
      </w:pPr>
      <w:r>
        <w:rPr>
          <w:rFonts w:ascii="Arial" w:cs="Arial" w:eastAsia="Arial" w:hAnsi="Arial"/>
          <w:sz w:val="16"/>
          <w:szCs w:val="16"/>
          <w:color w:val="auto"/>
        </w:rPr>
        <w:t>With the exception of certain equity method investments at our operating subsidiaries and our Holding Company disclosed in the table below, our investments are measured at fair value in our condensed consolidated balance sheets. The carrying value of investments held by our other segments and our Holding Company consist of the following:</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2020</w:t>
            </w:r>
          </w:p>
        </w:tc>
      </w:tr>
      <w:tr>
        <w:trPr>
          <w:trHeight w:val="128"/>
        </w:trPr>
        <w:tc>
          <w:tcPr>
            <w:tcW w:w="6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ind w:left="660"/>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Held to maturity debt investments measured at amortized cost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investments measured at fair value</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09"/>
        </w:trPr>
        <w:tc>
          <w:tcPr>
            <w:tcW w:w="66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r>
      <w:tr>
        <w:trPr>
          <w:trHeight w:val="20"/>
        </w:trPr>
        <w:tc>
          <w:tcPr>
            <w:tcW w:w="6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The portion of unrealized gains (losses) that relates to equity securities still held by our other segments and Holding Company was zero and $146 million for the three months ended June 30, 2021 and 2020, respectively, and $44 million and $(166) million for the six months ended June 30, 2021 and 2020,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left="60" w:right="199" w:firstLine="324"/>
        <w:spacing w:after="0" w:line="293" w:lineRule="auto"/>
        <w:rPr>
          <w:sz w:val="20"/>
          <w:szCs w:val="20"/>
          <w:color w:val="auto"/>
        </w:rPr>
      </w:pPr>
      <w:r>
        <w:rPr>
          <w:rFonts w:ascii="Arial" w:cs="Arial" w:eastAsia="Arial" w:hAnsi="Arial"/>
          <w:sz w:val="16"/>
          <w:szCs w:val="16"/>
          <w:color w:val="auto"/>
        </w:rPr>
        <w:t>U.S. GAAP requires enhanced disclosures about assets and liabilities that are measured and reported at fair value and has established a hierarchal disclosure framework that prioritizes and ranks the level of market price observability used in measuring assets and liabilities at fair value. Market price observability is impacted by a number of factors, including the type of, and the characteristics specific to, the assets and liabilities. Assets and liabilities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64" w:lineRule="exact"/>
        <w:rPr>
          <w:sz w:val="20"/>
          <w:szCs w:val="20"/>
          <w:color w:val="auto"/>
        </w:rPr>
      </w:pPr>
    </w:p>
    <w:p>
      <w:pPr>
        <w:ind w:left="60" w:right="859" w:firstLine="324"/>
        <w:spacing w:after="0" w:line="277" w:lineRule="auto"/>
        <w:rPr>
          <w:sz w:val="20"/>
          <w:szCs w:val="20"/>
          <w:color w:val="auto"/>
        </w:rPr>
      </w:pPr>
      <w:r>
        <w:rPr>
          <w:rFonts w:ascii="Arial" w:cs="Arial" w:eastAsia="Arial" w:hAnsi="Arial"/>
          <w:sz w:val="18"/>
          <w:szCs w:val="18"/>
          <w:color w:val="auto"/>
        </w:rPr>
        <w:t>Assets and liabilities measured and reported at fair value are classified and disclosed in one of the following categories: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Level 1 - Quoted prices are available in active markets for identical assets and liabilities as of the reporting date.</w:t>
      </w:r>
    </w:p>
    <w:p>
      <w:pPr>
        <w:spacing w:after="0" w:line="237" w:lineRule="exact"/>
        <w:rPr>
          <w:sz w:val="20"/>
          <w:szCs w:val="20"/>
          <w:color w:val="auto"/>
        </w:rPr>
      </w:pPr>
    </w:p>
    <w:p>
      <w:pPr>
        <w:ind w:left="380" w:right="559"/>
        <w:spacing w:after="0" w:line="257" w:lineRule="auto"/>
        <w:rPr>
          <w:sz w:val="20"/>
          <w:szCs w:val="20"/>
          <w:color w:val="auto"/>
        </w:rPr>
      </w:pPr>
      <w:r>
        <w:rPr>
          <w:rFonts w:ascii="Arial" w:cs="Arial" w:eastAsia="Arial" w:hAnsi="Arial"/>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assets and liabilities are derived from market observable sources including reported trades, broker/dealer quotes and other pertinent data.</w:t>
      </w:r>
    </w:p>
    <w:p>
      <w:pPr>
        <w:spacing w:after="0" w:line="188" w:lineRule="exact"/>
        <w:rPr>
          <w:sz w:val="20"/>
          <w:szCs w:val="20"/>
          <w:color w:val="auto"/>
        </w:rPr>
      </w:pPr>
    </w:p>
    <w:p>
      <w:pPr>
        <w:ind w:left="380" w:right="99"/>
        <w:spacing w:after="0" w:line="279" w:lineRule="auto"/>
        <w:rPr>
          <w:sz w:val="20"/>
          <w:szCs w:val="20"/>
          <w:color w:val="auto"/>
        </w:rPr>
      </w:pPr>
      <w:r>
        <w:rPr>
          <w:rFonts w:ascii="Arial" w:cs="Arial" w:eastAsia="Arial" w:hAnsi="Arial"/>
          <w:sz w:val="17"/>
          <w:szCs w:val="17"/>
          <w:color w:val="auto"/>
        </w:rPr>
        <w:t>Level 3 - Pricing inputs are unobservable for the assets and liabilities and include situations where there is little, if any, market activity for the assets and liabilities.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171"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assets and liabilities.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The following table summarizes the valuation of our assets and liabilities by the above fair value hierarchy levels measured on a recurring basis: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7"/>
          </w:tcPr>
          <w:p>
            <w:pPr>
              <w:ind w:left="120"/>
              <w:spacing w:after="0"/>
              <w:rPr>
                <w:sz w:val="20"/>
                <w:szCs w:val="20"/>
                <w:color w:val="auto"/>
              </w:rPr>
            </w:pPr>
            <w:r>
              <w:rPr>
                <w:rFonts w:ascii="Arial" w:cs="Arial" w:eastAsia="Arial" w:hAnsi="Arial"/>
                <w:sz w:val="18"/>
                <w:szCs w:val="18"/>
                <w:b w:val="1"/>
                <w:bCs w:val="1"/>
                <w:color w:val="auto"/>
                <w:w w:val="96"/>
              </w:rPr>
              <w:t>December 31, 2020</w:t>
            </w:r>
          </w:p>
        </w:tc>
        <w:tc>
          <w:tcPr>
            <w:tcW w:w="580" w:type="dxa"/>
            <w:vAlign w:val="bottom"/>
            <w:tcBorders>
              <w:bottom w:val="single" w:sz="8" w:color="auto"/>
            </w:tcBorders>
          </w:tcPr>
          <w:p>
            <w:pPr>
              <w:spacing w:after="0"/>
              <w:rPr>
                <w:sz w:val="20"/>
                <w:szCs w:val="20"/>
                <w:color w:val="auto"/>
              </w:rPr>
            </w:pPr>
          </w:p>
        </w:tc>
      </w:tr>
      <w:tr>
        <w:trPr>
          <w:trHeight w:val="209"/>
        </w:trPr>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Level 1</w:t>
            </w:r>
          </w:p>
        </w:tc>
        <w:tc>
          <w:tcPr>
            <w:tcW w:w="20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Level 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1"/>
              </w:rPr>
              <w:t>Level 1</w:t>
            </w:r>
          </w:p>
        </w:tc>
        <w:tc>
          <w:tcPr>
            <w:tcW w:w="18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Level 2</w:t>
            </w:r>
          </w:p>
        </w:tc>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Level 3</w:t>
            </w: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0"/>
        </w:trPr>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128"/>
        </w:trPr>
        <w:tc>
          <w:tcPr>
            <w:tcW w:w="2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tcPr>
          <w:p>
            <w:pPr>
              <w:jc w:val="right"/>
              <w:ind w:right="370"/>
              <w:spacing w:after="0" w:line="12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216"/>
        </w:trPr>
        <w:tc>
          <w:tcPr>
            <w:tcW w:w="2700" w:type="dxa"/>
            <w:vAlign w:val="bottom"/>
            <w:gridSpan w:val="2"/>
            <w:shd w:val="clear" w:color="auto" w:fill="CCEEFF"/>
          </w:tcPr>
          <w:p>
            <w:pPr>
              <w:ind w:left="104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Investments (Note 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10,616</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10,773</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$ 8,546</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$ 8,761</w:t>
            </w:r>
          </w:p>
        </w:tc>
      </w:tr>
      <w:tr>
        <w:trPr>
          <w:trHeight w:val="21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 assets, net (Note 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49"/>
        </w:trPr>
        <w:tc>
          <w:tcPr>
            <w:tcW w:w="224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10,616</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11,456</w:t>
            </w:r>
          </w:p>
        </w:tc>
        <w:tc>
          <w:tcPr>
            <w:tcW w:w="18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$ 8,546</w:t>
            </w: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$ 9,546</w:t>
            </w:r>
          </w:p>
        </w:tc>
      </w:tr>
      <w:tr>
        <w:trPr>
          <w:trHeight w:val="197"/>
        </w:trPr>
        <w:tc>
          <w:tcPr>
            <w:tcW w:w="2700" w:type="dxa"/>
            <w:vAlign w:val="bottom"/>
            <w:gridSpan w:val="2"/>
            <w:shd w:val="clear" w:color="auto" w:fill="CCEEFF"/>
          </w:tcPr>
          <w:p>
            <w:pPr>
              <w:ind w:left="900"/>
              <w:spacing w:after="0" w:line="196" w:lineRule="exact"/>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2"/>
        </w:trPr>
        <w:tc>
          <w:tcPr>
            <w:tcW w:w="270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8"/>
              </w:rPr>
              <w:t>Securities sold, not yet purchased</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0"/>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(Note 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4,231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4,231</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$ 2,521</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$ 2,521</w:t>
            </w:r>
          </w:p>
        </w:tc>
      </w:tr>
      <w:tr>
        <w:trPr>
          <w:trHeight w:val="21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 liabilities, net (Note 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16"/>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485</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09"/>
        </w:trPr>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1,239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$ 2,532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$ 3,374</w:t>
            </w:r>
          </w:p>
        </w:tc>
      </w:tr>
      <w:tr>
        <w:trPr>
          <w:trHeight w:val="20"/>
        </w:trPr>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296" w:lineRule="exact"/>
        <w:rPr>
          <w:sz w:val="20"/>
          <w:szCs w:val="20"/>
          <w:color w:val="auto"/>
        </w:rPr>
      </w:pPr>
    </w:p>
    <w:p>
      <w:pPr>
        <w:ind w:left="60" w:right="779" w:firstLine="324"/>
        <w:spacing w:after="0" w:line="342" w:lineRule="auto"/>
        <w:rPr>
          <w:sz w:val="20"/>
          <w:szCs w:val="20"/>
          <w:color w:val="auto"/>
        </w:rPr>
      </w:pPr>
      <w:r>
        <w:rPr>
          <w:rFonts w:ascii="Arial" w:cs="Arial" w:eastAsia="Arial" w:hAnsi="Arial"/>
          <w:sz w:val="16"/>
          <w:szCs w:val="16"/>
          <w:color w:val="auto"/>
        </w:rPr>
        <w:t>Our Level 3 investments increased $1 million during the six months ended June 30, 2021 due to purchases of investments. There was no change in our Level 3 investments during the six months ended June 30, 2020.</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Financial Instruments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177"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its counterparties.</w:t>
      </w:r>
    </w:p>
    <w:p>
      <w:pPr>
        <w:spacing w:after="0" w:line="192" w:lineRule="exact"/>
        <w:rPr>
          <w:sz w:val="20"/>
          <w:szCs w:val="20"/>
          <w:color w:val="auto"/>
        </w:rPr>
      </w:pPr>
    </w:p>
    <w:p>
      <w:pPr>
        <w:ind w:left="60" w:right="219" w:firstLine="324"/>
        <w:spacing w:after="0" w:line="296" w:lineRule="auto"/>
        <w:rPr>
          <w:sz w:val="20"/>
          <w:szCs w:val="20"/>
          <w:color w:val="auto"/>
        </w:rPr>
      </w:pPr>
      <w:r>
        <w:rPr>
          <w:rFonts w:ascii="Arial" w:cs="Arial" w:eastAsia="Arial" w:hAnsi="Arial"/>
          <w:sz w:val="16"/>
          <w:szCs w:val="16"/>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187"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177"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188"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161"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192"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as of June 30, 2021 and December 31, 2020 was $0 million and $1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The following table summarizes the volume of our Investment segment’s derivative activities based on their notional exposure, categorized by primary underlying risk:</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8"/>
                <w:szCs w:val="18"/>
                <w:b w:val="1"/>
                <w:bCs w:val="1"/>
                <w:color w:val="auto"/>
              </w:rPr>
              <w:t>June 30, 2021</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0"/>
              </w:rPr>
              <w:t>December 31, 2020</w:t>
            </w: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Long</w:t>
            </w:r>
          </w:p>
        </w:tc>
        <w:tc>
          <w:tcPr>
            <w:tcW w:w="20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Short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rPr>
              <w:t>Long</w:t>
            </w:r>
          </w:p>
        </w:tc>
        <w:tc>
          <w:tcPr>
            <w:tcW w:w="20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Short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Notional</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0" w:type="dxa"/>
            <w:vAlign w:val="bottom"/>
          </w:tcPr>
          <w:p>
            <w:pPr>
              <w:spacing w:after="0"/>
              <w:rPr>
                <w:sz w:val="1"/>
                <w:szCs w:val="1"/>
                <w:color w:val="auto"/>
              </w:rPr>
            </w:pPr>
          </w:p>
        </w:tc>
      </w:tr>
      <w:tr>
        <w:trPr>
          <w:trHeight w:val="211"/>
        </w:trPr>
        <w:tc>
          <w:tcPr>
            <w:tcW w:w="3500" w:type="dxa"/>
            <w:vAlign w:val="bottom"/>
            <w:vMerge w:val="restart"/>
          </w:tcPr>
          <w:p>
            <w:pPr>
              <w:spacing w:after="0"/>
              <w:rPr>
                <w:sz w:val="20"/>
                <w:szCs w:val="20"/>
                <w:color w:val="auto"/>
              </w:rPr>
            </w:pPr>
            <w:r>
              <w:rPr>
                <w:rFonts w:ascii="Arial" w:cs="Arial" w:eastAsia="Arial" w:hAnsi="Arial"/>
                <w:sz w:val="18"/>
                <w:szCs w:val="18"/>
                <w:color w:val="auto"/>
              </w:rPr>
              <w:t>Primary underlying risk:</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4"/>
          </w:tcPr>
          <w:p>
            <w:pPr>
              <w:jc w:val="right"/>
              <w:ind w:right="37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0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contracts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4,400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8,623</w:t>
            </w:r>
          </w:p>
        </w:tc>
        <w:tc>
          <w:tcPr>
            <w:tcW w:w="0" w:type="dxa"/>
            <w:vAlign w:val="bottom"/>
          </w:tcPr>
          <w:p>
            <w:pPr>
              <w:spacing w:after="0"/>
              <w:rPr>
                <w:sz w:val="1"/>
                <w:szCs w:val="1"/>
                <w:color w:val="auto"/>
              </w:rPr>
            </w:pPr>
          </w:p>
        </w:tc>
      </w:tr>
      <w:tr>
        <w:trPr>
          <w:trHeight w:val="353"/>
        </w:trPr>
        <w:tc>
          <w:tcPr>
            <w:tcW w:w="3500" w:type="dxa"/>
            <w:vAlign w:val="bottom"/>
          </w:tcPr>
          <w:p>
            <w:pPr>
              <w:ind w:left="100"/>
              <w:spacing w:after="0"/>
              <w:rPr>
                <w:sz w:val="20"/>
                <w:szCs w:val="20"/>
                <w:color w:val="auto"/>
              </w:rPr>
            </w:pPr>
            <w:r>
              <w:rPr>
                <w:rFonts w:ascii="Arial" w:cs="Arial" w:eastAsia="Arial" w:hAnsi="Arial"/>
                <w:sz w:val="18"/>
                <w:szCs w:val="18"/>
                <w:color w:val="auto"/>
              </w:rPr>
              <w:t>Credit contracts</w:t>
            </w:r>
            <w:r>
              <w:rPr>
                <w:rFonts w:ascii="Arial" w:cs="Arial" w:eastAsia="Arial" w:hAnsi="Arial"/>
                <w:sz w:val="26"/>
                <w:szCs w:val="26"/>
                <w:color w:val="auto"/>
                <w:vertAlign w:val="superscript"/>
              </w:rPr>
              <w:t>(1)</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wp:posOffset>
            </wp:positionV>
            <wp:extent cx="14141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41" w:lineRule="exact"/>
        <w:rPr>
          <w:sz w:val="20"/>
          <w:szCs w:val="20"/>
          <w:color w:val="auto"/>
        </w:rPr>
      </w:pPr>
    </w:p>
    <w:p>
      <w:pPr>
        <w:ind w:left="380" w:right="279" w:hanging="330"/>
        <w:spacing w:after="0" w:line="255" w:lineRule="auto"/>
        <w:tabs>
          <w:tab w:leader="none" w:pos="3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short notional amount on our credit default swap positions was approximately $6.5 billion at June 30, 2021. However, because credit spreads cannot compress below zero, our downside short notional exposure to loss is approximately $2.0 billion as of June 30, 2021. The short notional amount on our credit default swap positions was approximately $6.3 billion as of December 31, 2020. However, because credit spreads cannot compress below zero, our downside short notional exposure to loss is approximately $2.1 billion as of December 31, 2020.</w:t>
      </w:r>
    </w:p>
    <w:p>
      <w:pPr>
        <w:spacing w:after="0" w:line="179"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spacing w:after="0" w:line="187"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The following table presents the fair values of our Investment segment’s derivatives that are not designated as hedging instruments in accordance with U.S. GAAP:</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b w:val="1"/>
                <w:bCs w:val="1"/>
                <w:color w:val="auto"/>
              </w:rPr>
              <w:t>Derivative Assets</w:t>
            </w: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w w:val="98"/>
              </w:rPr>
              <w:t>Derivative Liabilities</w:t>
            </w:r>
          </w:p>
        </w:tc>
        <w:tc>
          <w:tcPr>
            <w:tcW w:w="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70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June 30, 2021  December 31, 2020</w:t>
            </w:r>
          </w:p>
        </w:tc>
        <w:tc>
          <w:tcPr>
            <w:tcW w:w="200" w:type="dxa"/>
            <w:vAlign w:val="bottom"/>
          </w:tcPr>
          <w:p>
            <w:pPr>
              <w:spacing w:after="0"/>
              <w:rPr>
                <w:sz w:val="18"/>
                <w:szCs w:val="18"/>
                <w:color w:val="auto"/>
              </w:rPr>
            </w:pPr>
          </w:p>
        </w:tc>
        <w:tc>
          <w:tcPr>
            <w:tcW w:w="2720" w:type="dxa"/>
            <w:vAlign w:val="bottom"/>
            <w:gridSpan w:val="5"/>
          </w:tcPr>
          <w:p>
            <w:pPr>
              <w:ind w:left="20"/>
              <w:spacing w:after="0"/>
              <w:rPr>
                <w:sz w:val="20"/>
                <w:szCs w:val="20"/>
                <w:color w:val="auto"/>
              </w:rPr>
            </w:pPr>
            <w:r>
              <w:rPr>
                <w:rFonts w:ascii="Arial" w:cs="Arial" w:eastAsia="Arial" w:hAnsi="Arial"/>
                <w:sz w:val="18"/>
                <w:szCs w:val="18"/>
                <w:b w:val="1"/>
                <w:bCs w:val="1"/>
                <w:color w:val="auto"/>
                <w:w w:val="92"/>
              </w:rPr>
              <w:t>June 30, 2021  December 31, 2020</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gridSpan w:val="3"/>
          </w:tcPr>
          <w:p>
            <w:pPr>
              <w:ind w:left="380"/>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0" w:type="dxa"/>
            <w:vAlign w:val="bottom"/>
          </w:tcPr>
          <w:p>
            <w:pPr>
              <w:spacing w:after="0"/>
              <w:rPr>
                <w:sz w:val="18"/>
                <w:szCs w:val="18"/>
                <w:color w:val="auto"/>
              </w:rPr>
            </w:pPr>
          </w:p>
        </w:tc>
      </w:tr>
      <w:tr>
        <w:trPr>
          <w:trHeight w:val="216"/>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1,023</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0"/>
        </w:trPr>
        <w:tc>
          <w:tcPr>
            <w:tcW w:w="32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3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 w:type="dxa"/>
            <w:vAlign w:val="bottom"/>
          </w:tcPr>
          <w:p>
            <w:pPr>
              <w:spacing w:after="0"/>
              <w:rPr>
                <w:sz w:val="18"/>
                <w:szCs w:val="18"/>
                <w:color w:val="auto"/>
              </w:rPr>
            </w:pPr>
          </w:p>
        </w:tc>
      </w:tr>
      <w:tr>
        <w:trPr>
          <w:trHeight w:val="216"/>
        </w:trPr>
        <w:tc>
          <w:tcPr>
            <w:tcW w:w="328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Netting across contract types</w:t>
            </w:r>
            <w:r>
              <w:rPr>
                <w:rFonts w:ascii="Arial" w:cs="Arial" w:eastAsia="Arial" w:hAnsi="Arial"/>
                <w:sz w:val="25"/>
                <w:szCs w:val="25"/>
                <w:color w:val="auto"/>
                <w:vertAlign w:val="superscript"/>
              </w:rPr>
              <w:t>(1)</w:t>
            </w:r>
          </w:p>
        </w:tc>
        <w:tc>
          <w:tcPr>
            <w:tcW w:w="3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(357)</w:t>
            </w:r>
          </w:p>
        </w:tc>
        <w:tc>
          <w:tcPr>
            <w:tcW w:w="8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(357)</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r>
      <w:tr>
        <w:trPr>
          <w:trHeight w:val="209"/>
        </w:trPr>
        <w:tc>
          <w:tcPr>
            <w:tcW w:w="3280" w:type="dxa"/>
            <w:vAlign w:val="bottom"/>
            <w:tcBorders>
              <w:top w:val="single" w:sz="8" w:color="CCEEFF"/>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Total</w:t>
            </w:r>
            <w:r>
              <w:rPr>
                <w:rFonts w:ascii="Arial" w:cs="Arial" w:eastAsia="Arial" w:hAnsi="Arial"/>
                <w:sz w:val="24"/>
                <w:szCs w:val="24"/>
                <w:color w:val="auto"/>
                <w:vertAlign w:val="superscript"/>
              </w:rPr>
              <w:t>(1)</w:t>
            </w: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380" w:right="139" w:hanging="330"/>
        <w:spacing w:after="0" w:line="238" w:lineRule="auto"/>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Excludes netting of cash collateral received and posted. The total collateral posted at June 30, 2021 and December 31, 2020 was $995 million and $872 million, respectively, across all counterparties, which are included in cash held at consolidated affiliated partnerships and restricted cash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699" w:firstLine="324"/>
        <w:spacing w:after="0" w:line="308" w:lineRule="auto"/>
        <w:rPr>
          <w:sz w:val="20"/>
          <w:szCs w:val="20"/>
          <w:color w:val="auto"/>
        </w:rPr>
      </w:pPr>
      <w:r>
        <w:rPr>
          <w:rFonts w:ascii="Arial" w:cs="Arial" w:eastAsia="Arial" w:hAnsi="Arial"/>
          <w:sz w:val="17"/>
          <w:szCs w:val="17"/>
          <w:color w:val="auto"/>
        </w:rPr>
        <w:t>The following table presents the amount of gain (loss) recognized in the condensed consolidated statements of operations for our Investment segment’s derivatives not designated as hedging instruments: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99"/>
        </w:trPr>
        <w:tc>
          <w:tcPr>
            <w:tcW w:w="2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8"/>
                <w:szCs w:val="18"/>
                <w:b w:val="1"/>
                <w:bCs w:val="1"/>
                <w:color w:val="auto"/>
              </w:rPr>
              <w:t>Gain (Loss) Recognized in Income</w:t>
            </w:r>
            <w:r>
              <w:rPr>
                <w:rFonts w:ascii="Arial" w:cs="Arial" w:eastAsia="Arial" w:hAnsi="Arial"/>
                <w:sz w:val="26"/>
                <w:szCs w:val="26"/>
                <w:b w:val="1"/>
                <w:bCs w:val="1"/>
                <w:color w:val="auto"/>
                <w:vertAlign w:val="superscript"/>
              </w:rPr>
              <w:t>(1)</w:t>
            </w:r>
          </w:p>
        </w:tc>
        <w:tc>
          <w:tcPr>
            <w:tcW w:w="800" w:type="dxa"/>
            <w:vAlign w:val="bottom"/>
            <w:tcBorders>
              <w:bottom w:val="single" w:sz="8" w:color="auto"/>
            </w:tcBorders>
          </w:tcPr>
          <w:p>
            <w:pPr>
              <w:spacing w:after="0"/>
              <w:rPr>
                <w:sz w:val="24"/>
                <w:szCs w:val="24"/>
                <w:color w:val="auto"/>
              </w:rPr>
            </w:pPr>
          </w:p>
        </w:tc>
      </w:tr>
      <w:tr>
        <w:trPr>
          <w:trHeight w:val="191"/>
        </w:trPr>
        <w:tc>
          <w:tcPr>
            <w:tcW w:w="2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tcPr>
          <w:p>
            <w:pPr>
              <w:ind w:left="100"/>
              <w:spacing w:after="0" w:line="191" w:lineRule="exact"/>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4"/>
        </w:trPr>
        <w:tc>
          <w:tcPr>
            <w:tcW w:w="2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09"/>
        </w:trPr>
        <w:tc>
          <w:tcPr>
            <w:tcW w:w="2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196"/>
        </w:trPr>
        <w:tc>
          <w:tcPr>
            <w:tcW w:w="22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16"/>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1,390</w:t>
            </w:r>
          </w:p>
        </w:tc>
      </w:tr>
      <w:tr>
        <w:trPr>
          <w:trHeight w:val="209"/>
        </w:trPr>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20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r>
      <w:tr>
        <w:trPr>
          <w:trHeight w:val="20"/>
        </w:trPr>
        <w:tc>
          <w:tcPr>
            <w:tcW w:w="2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r>
    </w:tbl>
    <w:p>
      <w:pPr>
        <w:spacing w:after="0" w:line="76" w:lineRule="exact"/>
        <w:rPr>
          <w:sz w:val="20"/>
          <w:szCs w:val="20"/>
          <w:color w:val="auto"/>
        </w:rPr>
      </w:pPr>
    </w:p>
    <w:p>
      <w:pPr>
        <w:ind w:left="380" w:right="419" w:hanging="330"/>
        <w:spacing w:after="0" w:line="253"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Gains (losses) recognized on derivatives are classified in net gain (loss) from investment activities in our condensed consolidated statements of operations for our Investment segment.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CVR Energy’s businesses are subject to price fluctuations caused by supply conditions, weather, economic conditions, interest rate fluctuations and other factors. To manage price risk on crude oil and other inventories and to fix margins on certain future production, CVR Refining regularly enters into various commodity derivative transactions. CVR Refining holds derivative instruments, such as exchange-traded crude oil futures and over-the-counter forward swap agreements, which it believes provide an economic hedge on future transactions, but such instruments are not designated as hedge instruments. CVR Refining may enter into forward purchase or sale contracts associated with renewable identification numbers (“RINs”).</w:t>
      </w:r>
    </w:p>
    <w:p>
      <w:pPr>
        <w:spacing w:after="0" w:line="195" w:lineRule="exact"/>
        <w:rPr>
          <w:sz w:val="20"/>
          <w:szCs w:val="20"/>
          <w:color w:val="auto"/>
        </w:rPr>
      </w:pPr>
    </w:p>
    <w:p>
      <w:pPr>
        <w:ind w:left="60" w:right="299" w:firstLine="324"/>
        <w:spacing w:after="0" w:line="301" w:lineRule="auto"/>
        <w:rPr>
          <w:sz w:val="20"/>
          <w:szCs w:val="20"/>
          <w:color w:val="auto"/>
        </w:rPr>
      </w:pPr>
      <w:r>
        <w:rPr>
          <w:rFonts w:ascii="Arial" w:cs="Arial" w:eastAsia="Arial" w:hAnsi="Arial"/>
          <w:sz w:val="16"/>
          <w:szCs w:val="16"/>
          <w:color w:val="auto"/>
        </w:rPr>
        <w:t>As of June 30, 2021 and December 31, 2020, CVR Refining had 6 million and 7 million, respectively, outstanding commodity swap positions. As of June 30, 2021 and December 31, 2020, CVR Refining had open forward purchase and sale commitments for 2 million barrels and 6 million barrels, respectively. As of June 30, 2021 and December 31, 2020, CVR Refining had open fixed-price commitments to purchase a net 21 million and 13 million RINs, respectively.</w:t>
      </w:r>
    </w:p>
    <w:p>
      <w:pPr>
        <w:spacing w:after="0" w:line="157" w:lineRule="exact"/>
        <w:rPr>
          <w:sz w:val="20"/>
          <w:szCs w:val="20"/>
          <w:color w:val="auto"/>
        </w:rPr>
      </w:pPr>
    </w:p>
    <w:p>
      <w:pPr>
        <w:ind w:left="60" w:right="179" w:firstLine="324"/>
        <w:spacing w:after="0" w:line="254" w:lineRule="auto"/>
        <w:rPr>
          <w:sz w:val="20"/>
          <w:szCs w:val="20"/>
          <w:color w:val="auto"/>
        </w:rPr>
      </w:pPr>
      <w:r>
        <w:rPr>
          <w:rFonts w:ascii="Arial" w:cs="Arial" w:eastAsia="Arial" w:hAnsi="Arial"/>
          <w:sz w:val="18"/>
          <w:szCs w:val="18"/>
          <w:color w:val="auto"/>
        </w:rPr>
        <w:t>Certain derivative contracts executed by our Energy segment with a single counterparty are reported on a net-by-counterparty basis where a legal right of offset exists under an enforceable netting agreement. As of June 30, 2021, our Energy segment had net asset derivatives of $4 million and net liability derivatives of $26 million and as of December 31, 2020, our Energy segment had net liability derivatives of $17 million. (Losses) gains recognized on derivatives for our Energy segment were $(2) million and $20 million for the three months ended June 30, 2021 and 2020, respectively, and $(34) million and $65 million for the six months ended June 30, 2021 and 2020, respectively. Gains and losses recognized on derivatives for our Energy segment are included in cost of goods sold on the condensed consolidated statements of operations.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7. Inventories, Net</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6640" w:type="dxa"/>
            <w:vAlign w:val="bottom"/>
          </w:tcPr>
          <w:p>
            <w:pPr>
              <w:ind w:left="340"/>
              <w:spacing w:after="0"/>
              <w:rPr>
                <w:sz w:val="20"/>
                <w:szCs w:val="20"/>
                <w:color w:val="auto"/>
              </w:rPr>
            </w:pPr>
            <w:r>
              <w:rPr>
                <w:rFonts w:ascii="Arial" w:cs="Arial" w:eastAsia="Arial" w:hAnsi="Arial"/>
                <w:sz w:val="18"/>
                <w:szCs w:val="18"/>
                <w:color w:val="auto"/>
              </w:rPr>
              <w:t>Inventories, net consists of the following:</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2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2020</w:t>
            </w:r>
          </w:p>
        </w:tc>
      </w:tr>
      <w:tr>
        <w:trPr>
          <w:trHeight w:val="129"/>
        </w:trPr>
        <w:tc>
          <w:tcPr>
            <w:tcW w:w="6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ind w:left="660"/>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09"/>
        </w:trPr>
        <w:tc>
          <w:tcPr>
            <w:tcW w:w="6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w:t>
            </w: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257" w:lineRule="exact"/>
        <w:rPr>
          <w:sz w:val="20"/>
          <w:szCs w:val="20"/>
          <w:color w:val="auto"/>
        </w:rPr>
      </w:pPr>
    </w:p>
    <w:p>
      <w:pPr>
        <w:jc w:val="center"/>
        <w:ind w:left="380" w:right="5999" w:hanging="330"/>
        <w:spacing w:after="0" w:line="572" w:lineRule="auto"/>
        <w:tabs>
          <w:tab w:leader="none" w:pos="281"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w w:val="95"/>
              </w:rPr>
              <w:t>June 30, 2021</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7"/>
          </w:tcPr>
          <w:p>
            <w:pPr>
              <w:jc w:val="right"/>
              <w:ind w:right="27"/>
              <w:spacing w:after="0"/>
              <w:rPr>
                <w:sz w:val="20"/>
                <w:szCs w:val="20"/>
                <w:color w:val="auto"/>
              </w:rPr>
            </w:pPr>
            <w:r>
              <w:rPr>
                <w:rFonts w:ascii="Arial" w:cs="Arial" w:eastAsia="Arial" w:hAnsi="Arial"/>
                <w:sz w:val="18"/>
                <w:szCs w:val="18"/>
                <w:b w:val="1"/>
                <w:bCs w:val="1"/>
                <w:color w:val="auto"/>
                <w:w w:val="90"/>
              </w:rPr>
              <w:t>December 31, 2020</w:t>
            </w:r>
          </w:p>
        </w:tc>
        <w:tc>
          <w:tcPr>
            <w:tcW w:w="620" w:type="dxa"/>
            <w:vAlign w:val="bottom"/>
            <w:tcBorders>
              <w:bottom w:val="single" w:sz="8" w:color="auto"/>
            </w:tcBorders>
          </w:tcPr>
          <w:p>
            <w:pPr>
              <w:spacing w:after="0"/>
              <w:rPr>
                <w:sz w:val="20"/>
                <w:szCs w:val="20"/>
                <w:color w:val="auto"/>
              </w:rPr>
            </w:pPr>
          </w:p>
        </w:tc>
      </w:tr>
      <w:tr>
        <w:trPr>
          <w:trHeight w:val="191"/>
        </w:trPr>
        <w:tc>
          <w:tcPr>
            <w:tcW w:w="2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52"/>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Net</w:t>
            </w:r>
          </w:p>
        </w:tc>
      </w:tr>
      <w:tr>
        <w:trPr>
          <w:trHeight w:val="216"/>
        </w:trPr>
        <w:tc>
          <w:tcPr>
            <w:tcW w:w="2080" w:type="dxa"/>
            <w:vAlign w:val="bottom"/>
          </w:tcPr>
          <w:p>
            <w:pPr>
              <w:spacing w:after="0"/>
              <w:rPr>
                <w:sz w:val="18"/>
                <w:szCs w:val="18"/>
                <w:color w:val="auto"/>
              </w:rPr>
            </w:pPr>
          </w:p>
        </w:tc>
        <w:tc>
          <w:tcPr>
            <w:tcW w:w="6820" w:type="dxa"/>
            <w:vAlign w:val="bottom"/>
            <w:gridSpan w:val="21"/>
          </w:tcPr>
          <w:p>
            <w:pPr>
              <w:jc w:val="right"/>
              <w:spacing w:after="0"/>
              <w:rPr>
                <w:sz w:val="20"/>
                <w:szCs w:val="20"/>
                <w:color w:val="auto"/>
              </w:rPr>
            </w:pPr>
            <w:r>
              <w:rPr>
                <w:rFonts w:ascii="Arial" w:cs="Arial" w:eastAsia="Arial" w:hAnsi="Arial"/>
                <w:sz w:val="18"/>
                <w:szCs w:val="18"/>
                <w:b w:val="1"/>
                <w:bCs w:val="1"/>
                <w:color w:val="auto"/>
              </w:rPr>
              <w:t>Carrying  Accumulated  Carrying  Carrying  Accumulated  Carrying</w:t>
            </w:r>
          </w:p>
        </w:tc>
      </w:tr>
      <w:tr>
        <w:trPr>
          <w:trHeight w:val="234"/>
        </w:trPr>
        <w:tc>
          <w:tcPr>
            <w:tcW w:w="2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Impairment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Impairment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Value</w:t>
            </w:r>
          </w:p>
        </w:tc>
      </w:tr>
      <w:tr>
        <w:trPr>
          <w:trHeight w:val="196"/>
        </w:trPr>
        <w:tc>
          <w:tcPr>
            <w:tcW w:w="2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4"/>
          </w:tcPr>
          <w:p>
            <w:pPr>
              <w:jc w:val="right"/>
              <w:ind w:right="310"/>
              <w:spacing w:after="0"/>
              <w:rPr>
                <w:sz w:val="20"/>
                <w:szCs w:val="20"/>
                <w:color w:val="auto"/>
              </w:rPr>
            </w:pPr>
            <w:r>
              <w:rPr>
                <w:rFonts w:ascii="Arial" w:cs="Arial" w:eastAsia="Arial" w:hAnsi="Arial"/>
                <w:sz w:val="14"/>
                <w:szCs w:val="14"/>
                <w:color w:val="auto"/>
              </w:rPr>
              <w:t>(in millions)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64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Food Packaging</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Metals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Home Fashion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Pharma</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9"/>
        </w:trPr>
        <w:tc>
          <w:tcPr>
            <w:tcW w:w="2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8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r>
      <w:tr>
        <w:trPr>
          <w:trHeight w:val="20"/>
        </w:trPr>
        <w:tc>
          <w:tcPr>
            <w:tcW w:w="2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net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June 30, 2021</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ind w:right="4"/>
              <w:spacing w:after="0"/>
              <w:rPr>
                <w:sz w:val="20"/>
                <w:szCs w:val="20"/>
                <w:color w:val="auto"/>
              </w:rPr>
            </w:pPr>
            <w:r>
              <w:rPr>
                <w:rFonts w:ascii="Arial" w:cs="Arial" w:eastAsia="Arial" w:hAnsi="Arial"/>
                <w:sz w:val="18"/>
                <w:szCs w:val="18"/>
                <w:b w:val="1"/>
                <w:bCs w:val="1"/>
                <w:color w:val="auto"/>
                <w:w w:val="88"/>
              </w:rPr>
              <w:t>December 31, 2020</w:t>
            </w:r>
          </w:p>
        </w:tc>
        <w:tc>
          <w:tcPr>
            <w:tcW w:w="640" w:type="dxa"/>
            <w:vAlign w:val="bottom"/>
            <w:tcBorders>
              <w:bottom w:val="single" w:sz="8" w:color="auto"/>
            </w:tcBorders>
          </w:tcPr>
          <w:p>
            <w:pPr>
              <w:spacing w:after="0"/>
              <w:rPr>
                <w:sz w:val="20"/>
                <w:szCs w:val="20"/>
                <w:color w:val="auto"/>
              </w:rPr>
            </w:pPr>
          </w:p>
        </w:tc>
      </w:tr>
      <w:tr>
        <w:trPr>
          <w:trHeight w:val="191"/>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32"/>
              <w:spacing w:after="0" w:line="191" w:lineRule="exact"/>
              <w:rPr>
                <w:sz w:val="20"/>
                <w:szCs w:val="20"/>
                <w:color w:val="auto"/>
              </w:rPr>
            </w:pPr>
            <w:r>
              <w:rPr>
                <w:rFonts w:ascii="Arial" w:cs="Arial" w:eastAsia="Arial" w:hAnsi="Arial"/>
                <w:sz w:val="18"/>
                <w:szCs w:val="18"/>
                <w:b w:val="1"/>
                <w:bCs w:val="1"/>
                <w:color w:val="auto"/>
                <w:w w:val="96"/>
              </w:rPr>
              <w:t>Net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6"/>
              </w:rPr>
              <w:t>Net</w:t>
            </w:r>
          </w:p>
        </w:tc>
      </w:tr>
      <w:tr>
        <w:trPr>
          <w:trHeight w:val="216"/>
        </w:trPr>
        <w:tc>
          <w:tcPr>
            <w:tcW w:w="3000" w:type="dxa"/>
            <w:vAlign w:val="bottom"/>
          </w:tcPr>
          <w:p>
            <w:pPr>
              <w:spacing w:after="0"/>
              <w:rPr>
                <w:sz w:val="18"/>
                <w:szCs w:val="18"/>
                <w:color w:val="auto"/>
              </w:rPr>
            </w:pPr>
          </w:p>
        </w:tc>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Carrying</w:t>
            </w: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Carrying</w:t>
            </w:r>
          </w:p>
        </w:tc>
      </w:tr>
      <w:tr>
        <w:trPr>
          <w:trHeight w:val="234"/>
        </w:trPr>
        <w:tc>
          <w:tcPr>
            <w:tcW w:w="3000" w:type="dxa"/>
            <w:vAlign w:val="bottom"/>
          </w:tcPr>
          <w:p>
            <w:pPr>
              <w:spacing w:after="0"/>
              <w:rPr>
                <w:sz w:val="20"/>
                <w:szCs w:val="20"/>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20"/>
                <w:szCs w:val="20"/>
                <w:color w:val="auto"/>
              </w:rPr>
            </w:pPr>
          </w:p>
        </w:tc>
        <w:tc>
          <w:tcPr>
            <w:tcW w:w="6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Value</w:t>
            </w:r>
          </w:p>
        </w:tc>
      </w:tr>
      <w:tr>
        <w:trPr>
          <w:trHeight w:val="20"/>
        </w:trPr>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4"/>
          </w:tcPr>
          <w:p>
            <w:pPr>
              <w:jc w:val="right"/>
              <w:ind w:right="31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399</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Developed technology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0"/>
        </w:trPr>
        <w:tc>
          <w:tcPr>
            <w:tcW w:w="3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7"/>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0"/>
        </w:trPr>
        <w:tc>
          <w:tcPr>
            <w:tcW w:w="30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59" w:firstLine="324"/>
        <w:spacing w:after="0" w:line="291" w:lineRule="auto"/>
        <w:rPr>
          <w:sz w:val="20"/>
          <w:szCs w:val="20"/>
          <w:color w:val="auto"/>
        </w:rPr>
      </w:pPr>
      <w:r>
        <w:rPr>
          <w:rFonts w:ascii="Arial" w:cs="Arial" w:eastAsia="Arial" w:hAnsi="Arial"/>
          <w:sz w:val="16"/>
          <w:szCs w:val="16"/>
          <w:color w:val="auto"/>
        </w:rPr>
        <w:t>Amortization expense associated with definite-lived intangible assets was $17 million and $11 million for the three months ended June 30, 2021 and 2020, respectively, and $32 million and $22 million for the six months ended</w:t>
      </w:r>
    </w:p>
    <w:p>
      <w:pPr>
        <w:ind w:left="60" w:right="339"/>
        <w:spacing w:after="0" w:line="260" w:lineRule="auto"/>
        <w:rPr>
          <w:sz w:val="20"/>
          <w:szCs w:val="20"/>
          <w:color w:val="auto"/>
        </w:rPr>
      </w:pPr>
      <w:r>
        <w:rPr>
          <w:rFonts w:ascii="Arial" w:cs="Arial" w:eastAsia="Arial" w:hAnsi="Arial"/>
          <w:sz w:val="18"/>
          <w:szCs w:val="18"/>
          <w:color w:val="auto"/>
        </w:rPr>
        <w:t>June 30, 2021 and 2020, respectively. We utilize the straight-line method of amortization, recognized over the estimated useful lives of the assets.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 Segments and Holding Company</w:t>
      </w:r>
    </w:p>
    <w:p>
      <w:pPr>
        <w:spacing w:after="0" w:line="225"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60" w:type="dxa"/>
            <w:vAlign w:val="bottom"/>
          </w:tcPr>
          <w:p>
            <w:pPr>
              <w:ind w:left="340"/>
              <w:spacing w:after="0"/>
              <w:rPr>
                <w:sz w:val="20"/>
                <w:szCs w:val="20"/>
                <w:color w:val="auto"/>
              </w:rPr>
            </w:pPr>
            <w:r>
              <w:rPr>
                <w:rFonts w:ascii="Arial" w:cs="Arial" w:eastAsia="Arial" w:hAnsi="Arial"/>
                <w:sz w:val="18"/>
                <w:szCs w:val="18"/>
                <w:color w:val="auto"/>
              </w:rPr>
              <w:t>Right-of-use assets and lease liabilities are as follows: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27"/>
        </w:trPr>
        <w:tc>
          <w:tcPr>
            <w:tcW w:w="6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r>
      <w:tr>
        <w:trPr>
          <w:trHeight w:val="128"/>
        </w:trPr>
        <w:tc>
          <w:tcPr>
            <w:tcW w:w="6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1"/>
                <w:szCs w:val="1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Right-of-use assets (other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518</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(accrued expenses and other liabilities)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16"/>
        </w:trPr>
        <w:tc>
          <w:tcPr>
            <w:tcW w:w="6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Leases: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Right-of-use assets (property, plant and equipment, net)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(debt)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bl>
    <w:p>
      <w:pPr>
        <w:spacing w:after="0" w:line="202" w:lineRule="exact"/>
        <w:rPr>
          <w:sz w:val="20"/>
          <w:szCs w:val="20"/>
          <w:color w:val="auto"/>
        </w:rPr>
      </w:pPr>
    </w:p>
    <w:p>
      <w:pPr>
        <w:jc w:val="both"/>
        <w:ind w:left="60" w:right="299" w:firstLine="324"/>
        <w:spacing w:after="0" w:line="263" w:lineRule="auto"/>
        <w:rPr>
          <w:sz w:val="20"/>
          <w:szCs w:val="20"/>
          <w:color w:val="auto"/>
        </w:rPr>
      </w:pPr>
      <w:r>
        <w:rPr>
          <w:rFonts w:ascii="Arial" w:cs="Arial" w:eastAsia="Arial" w:hAnsi="Arial"/>
          <w:sz w:val="18"/>
          <w:szCs w:val="18"/>
          <w:color w:val="auto"/>
        </w:rPr>
        <w:t>Additional information with respect to our operating leases as of June 30, 2021 and December 31, 2020 is presented below. The lease terms and discount rates for our Energy, Automotive and Food Packaging segments represent weighted averages based on their respective lease liability balances.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6"/>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Of-Use</w:t>
            </w:r>
          </w:p>
        </w:tc>
        <w:tc>
          <w:tcPr>
            <w:tcW w:w="1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Lease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Discount</w:t>
            </w:r>
          </w:p>
        </w:tc>
      </w:tr>
      <w:tr>
        <w:trPr>
          <w:trHeight w:val="234"/>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Leases as of June 30, 2021</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right="13"/>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Liabilities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Term</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40" w:type="dxa"/>
            <w:vAlign w:val="bottom"/>
          </w:tcPr>
          <w:p>
            <w:pPr>
              <w:spacing w:after="0"/>
              <w:rPr>
                <w:sz w:val="20"/>
                <w:szCs w:val="20"/>
                <w:color w:val="auto"/>
              </w:rPr>
            </w:pPr>
          </w:p>
        </w:tc>
      </w:tr>
      <w:tr>
        <w:trPr>
          <w:trHeight w:val="142"/>
        </w:trPr>
        <w:tc>
          <w:tcPr>
            <w:tcW w:w="5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jc w:val="right"/>
              <w:ind w:right="390"/>
              <w:spacing w:after="0" w:line="142"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4.4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5.5%</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Automotive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417</w:t>
            </w:r>
          </w:p>
        </w:tc>
        <w:tc>
          <w:tcPr>
            <w:tcW w:w="2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4.5 years</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4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10.7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7.5%</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segments and Holding Company</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50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Of-Use</w:t>
            </w:r>
          </w:p>
        </w:tc>
        <w:tc>
          <w:tcPr>
            <w:tcW w:w="1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Lease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Discount</w:t>
            </w:r>
          </w:p>
        </w:tc>
      </w:tr>
      <w:tr>
        <w:trPr>
          <w:trHeight w:val="234"/>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Leases as of December 31, 2020</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Liabilities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Term</w:t>
            </w:r>
          </w:p>
        </w:tc>
        <w:tc>
          <w:tcPr>
            <w:tcW w:w="20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20" w:type="dxa"/>
            <w:vAlign w:val="bottom"/>
          </w:tcPr>
          <w:p>
            <w:pPr>
              <w:spacing w:after="0"/>
              <w:rPr>
                <w:sz w:val="20"/>
                <w:szCs w:val="20"/>
                <w:color w:val="auto"/>
              </w:rPr>
            </w:pPr>
          </w:p>
        </w:tc>
      </w:tr>
      <w:tr>
        <w:trPr>
          <w:trHeight w:val="142"/>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right"/>
              <w:ind w:right="390"/>
              <w:spacing w:after="0" w:line="142"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3.1 years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5.5%</w:t>
            </w:r>
          </w:p>
        </w:tc>
        <w:tc>
          <w:tcPr>
            <w:tcW w:w="2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Automotive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4.6 years</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2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11.1 years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7.4%</w:t>
            </w:r>
          </w:p>
        </w:tc>
        <w:tc>
          <w:tcPr>
            <w:tcW w:w="20" w:type="dxa"/>
            <w:vAlign w:val="bottom"/>
            <w:shd w:val="clear" w:color="auto" w:fill="CCEEFF"/>
          </w:tcPr>
          <w:p>
            <w:pPr>
              <w:spacing w:after="0"/>
              <w:rPr>
                <w:sz w:val="18"/>
                <w:szCs w:val="18"/>
                <w:color w:val="auto"/>
              </w:rPr>
            </w:pPr>
          </w:p>
        </w:tc>
      </w:tr>
      <w:tr>
        <w:trPr>
          <w:trHeight w:val="216"/>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segments and Holding Company</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210"/>
        </w:trPr>
        <w:tc>
          <w:tcPr>
            <w:tcW w:w="50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 w:firstLine="324"/>
        <w:spacing w:after="0" w:line="285" w:lineRule="auto"/>
        <w:rPr>
          <w:sz w:val="20"/>
          <w:szCs w:val="20"/>
          <w:color w:val="auto"/>
        </w:rPr>
      </w:pPr>
      <w:r>
        <w:rPr>
          <w:rFonts w:ascii="Arial" w:cs="Arial" w:eastAsia="Arial" w:hAnsi="Arial"/>
          <w:sz w:val="16"/>
          <w:szCs w:val="16"/>
          <w:color w:val="auto"/>
        </w:rPr>
        <w:t>For the three months ended June 30, 2021 and 2020, lease cost was comprised of (i) operating lease cost of $50 million and $52 million, respectively, (ii) amortization of financing lease right-of-use assets of $2 million and $3 million, respectively, and (iii) interest expense on financing lease liabilities of $2 million and $2 million, respectively. For the six months ended June 30, 2021 and 2020, lease cost was comprised of (i) operating lease cost of $101 million and $103 million, respectively, (ii) amortization of financing lease right-of-use assets of $5 million and $6 million, respectively, and</w:t>
      </w:r>
    </w:p>
    <w:p>
      <w:pPr>
        <w:spacing w:after="0" w:line="2" w:lineRule="exact"/>
        <w:rPr>
          <w:sz w:val="20"/>
          <w:szCs w:val="20"/>
          <w:color w:val="auto"/>
        </w:rPr>
      </w:pPr>
    </w:p>
    <w:p>
      <w:pPr>
        <w:ind w:left="4420" w:right="2039" w:hanging="4370"/>
        <w:spacing w:after="0" w:line="761" w:lineRule="auto"/>
        <w:tabs>
          <w:tab w:leader="none" w:pos="371"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expense on financing lease liabilities of $3 million and $4 million, respectively. Our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57785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Automotive segment accounted for $84 million and $86 million of total lease cost for the six months ended June 30, 2021 and 2020,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Our Real Estate segment leases real estate, primarily commercial properties under long-term operating leases. As of June 30, 2021 and December 31, 2020, our Real Estate segment has assets leased to others included in property, plant and equipment of $222 million and $222 million, respectively, net of accumulated depreciation. Our Real Estate segment’s revenue from operating leases were $1 million and $8 million for the three months ended June 30, 2021 and 2020, respectively, and $6 million and $16 million for the six months ended June 30, 2021 and 2020, respectively. Revenues from operating leases are included in other revenue from operations in the condensed consolidated statements of operations.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10. Debt</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6640" w:type="dxa"/>
            <w:vAlign w:val="bottom"/>
          </w:tcPr>
          <w:p>
            <w:pPr>
              <w:ind w:left="340"/>
              <w:spacing w:after="0"/>
              <w:rPr>
                <w:sz w:val="20"/>
                <w:szCs w:val="20"/>
                <w:color w:val="auto"/>
              </w:rPr>
            </w:pPr>
            <w:r>
              <w:rPr>
                <w:rFonts w:ascii="Arial" w:cs="Arial" w:eastAsia="Arial" w:hAnsi="Arial"/>
                <w:sz w:val="18"/>
                <w:szCs w:val="18"/>
                <w:color w:val="auto"/>
              </w:rPr>
              <w:t>Debt consists of the following:</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2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2020</w:t>
            </w:r>
          </w:p>
        </w:tc>
      </w:tr>
      <w:tr>
        <w:trPr>
          <w:trHeight w:val="128"/>
        </w:trPr>
        <w:tc>
          <w:tcPr>
            <w:tcW w:w="6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ind w:left="660"/>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Holding Company:</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6.250% senior unsecured notes due 2022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1,209</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6.750% senior unsecured notes due 2024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4.750% senior unsecured notes due 2024</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1,106</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6.375% senior unsecured notes due 2025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6.250% senior unsecured notes due 2026</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5.250% senior unsecured notes due 2027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4.375% senior unsecured notes due 2029</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5,811</w:t>
            </w:r>
          </w:p>
        </w:tc>
      </w:tr>
      <w:tr>
        <w:trPr>
          <w:trHeight w:val="210"/>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Reporting Segments: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Metals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Home Fashion</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10"/>
        </w:trPr>
        <w:tc>
          <w:tcPr>
            <w:tcW w:w="6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r>
      <w:tr>
        <w:trPr>
          <w:trHeight w:val="210"/>
        </w:trPr>
        <w:tc>
          <w:tcPr>
            <w:tcW w:w="66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8,065</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8,059</w:t>
            </w: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Holding Company</w:t>
      </w:r>
    </w:p>
    <w:p>
      <w:pPr>
        <w:spacing w:after="0" w:line="229"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In January 2021, Icahn Enterprises and Icahn Enterprises Finance Corp. (together the “Issuers”) issued $750 million in aggregate principal amount of 4.375% senior unsecured notes due 2029 (the “New 2029 Notes”). The New 2029 Notes are guaranteed by Icahn Enterprises Holdings (the “Guarantor”). The proceeds from the New 2029 Notes were used to redeem $750 million principal amount of 6.250% senior unsecured notes due 2022, and to pay accrued interest, related fees and expenses. Interest on the New 2029 Notes is payable semi-annually. In connection with this transaction, our Holding Company recorded a gain on extinguishment of debt of $2 million.</w:t>
      </w:r>
    </w:p>
    <w:p>
      <w:pPr>
        <w:spacing w:after="0" w:line="178"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The New 2029 Notes and the related guarantee are the senior unsecured obligations of the Issuers and rank equally with all of the Issuers’ and the Guarantor’s existing and future senior unsecured indebtedness and senior to all of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219"/>
        <w:spacing w:after="0" w:line="301" w:lineRule="auto"/>
        <w:rPr>
          <w:sz w:val="20"/>
          <w:szCs w:val="20"/>
          <w:color w:val="auto"/>
        </w:rPr>
      </w:pPr>
      <w:r>
        <w:rPr>
          <w:rFonts w:ascii="Arial" w:cs="Arial" w:eastAsia="Arial" w:hAnsi="Arial"/>
          <w:sz w:val="16"/>
          <w:szCs w:val="16"/>
          <w:color w:val="auto"/>
        </w:rPr>
        <w:t>Issuers’ and the Guarantor’s existing and future subordinated indebtedness. The New 2029 Notes and the related guarantees are effectively subordinated to the Issuers’ and the Guarantor’s existing and future secured indebtedness to the extent of the collateral securing such indebtedness. The New 2029 Notes and the related guarantees are also effectively subordinated to all indebtedness and other liabilities of the Issuers’ subsidiaries other than the Guarantor.</w:t>
      </w:r>
    </w:p>
    <w:p>
      <w:pPr>
        <w:spacing w:after="0" w:line="157"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The indenture governing the New 2029 Notes restricts the payment of cash distributions, the purchase of equity interests or the purchase, redemption, defeasance or acquisition of debt subordinated to the senior unsecured notes. The indenture also restricts the incurrence of debt or the issuance of disqualified stock, as defined in the indenture, with certain exceptions. In addition, the indenture requires that on each quarterly determination date, Icahn Enterprises and the guarantor of the New 2029 Notes (currently only Icahn Enterprises Holdings) maintain certain minimum financial ratios, as defined therein. The indenture also restricts the creation of liens, mergers, consolidations and sales of substantially all of our assets, and transactions with affiliates.</w:t>
      </w:r>
    </w:p>
    <w:p>
      <w:pPr>
        <w:spacing w:after="0" w:line="177" w:lineRule="exact"/>
        <w:rPr>
          <w:sz w:val="20"/>
          <w:szCs w:val="20"/>
          <w:color w:val="auto"/>
        </w:rPr>
      </w:pPr>
    </w:p>
    <w:p>
      <w:pPr>
        <w:ind w:left="60" w:right="339" w:firstLine="324"/>
        <w:spacing w:after="0" w:line="311" w:lineRule="auto"/>
        <w:rPr>
          <w:sz w:val="20"/>
          <w:szCs w:val="20"/>
          <w:color w:val="auto"/>
        </w:rPr>
      </w:pPr>
      <w:r>
        <w:rPr>
          <w:rFonts w:ascii="Arial" w:cs="Arial" w:eastAsia="Arial" w:hAnsi="Arial"/>
          <w:sz w:val="16"/>
          <w:szCs w:val="16"/>
          <w:color w:val="auto"/>
        </w:rPr>
        <w:t>In April 2021, the Issuers issued $455 million in aggregate principal amount of additional 5.250% senior unsecured notes due 2027. The proceeds from this issuance were used to redeem the remaining $455 million principal amount of 6.250% senior unsecured notes due 2022, and to pay accrued interest, related fees and expenses.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Energy</w:t>
      </w:r>
    </w:p>
    <w:p>
      <w:pPr>
        <w:spacing w:after="0" w:line="229" w:lineRule="exact"/>
        <w:rPr>
          <w:sz w:val="20"/>
          <w:szCs w:val="20"/>
          <w:color w:val="auto"/>
        </w:rPr>
      </w:pPr>
    </w:p>
    <w:p>
      <w:pPr>
        <w:ind w:left="60" w:right="359" w:firstLine="324"/>
        <w:spacing w:after="0" w:line="291" w:lineRule="auto"/>
        <w:rPr>
          <w:sz w:val="20"/>
          <w:szCs w:val="20"/>
          <w:color w:val="auto"/>
        </w:rPr>
      </w:pPr>
      <w:r>
        <w:rPr>
          <w:rFonts w:ascii="Arial" w:cs="Arial" w:eastAsia="Arial" w:hAnsi="Arial"/>
          <w:sz w:val="16"/>
          <w:szCs w:val="16"/>
          <w:color w:val="auto"/>
        </w:rPr>
        <w:t>In June 2021, CVR Partners issued $550 million in aggregate principal amount of 6.125% senior secured notes due 2028. Proceeds from these notes were used to fund a partial redemption of its existing 9.25% senior secured notes due</w:t>
      </w:r>
    </w:p>
    <w:p>
      <w:pPr>
        <w:ind w:left="60" w:right="99"/>
        <w:spacing w:after="0" w:line="287" w:lineRule="auto"/>
        <w:rPr>
          <w:sz w:val="20"/>
          <w:szCs w:val="20"/>
          <w:color w:val="auto"/>
        </w:rPr>
      </w:pPr>
      <w:r>
        <w:rPr>
          <w:rFonts w:ascii="Arial" w:cs="Arial" w:eastAsia="Arial" w:hAnsi="Arial"/>
          <w:sz w:val="16"/>
          <w:szCs w:val="16"/>
          <w:color w:val="auto"/>
        </w:rPr>
        <w:t>2023. These senior secured notes issued by CVR Partners are guaranteed on a senior secured basis by all of CVR Partners’ existing domestic subsidiaries, excluding CVR Nitrogen Finance Corporation. The indenture governing these notes contain certain covenants that restrict the ability of the issuers and their restricted subsidiaries from incurring additional debt or issuing certain disqualified equity, create liens on certain assets to secure debt, pay dividends/distributions or make other equity distributions, purchase or redeem capital stock/common units, make certain investments, transfer and sell assets, agree to certain restrictions on the ability of restricted subsidiaries to make distributions, loans, or other asset transfers to the issuers, consolidate, merge, sell, or otherwise dispose of all or substantially all of their assets, engage in transactions with affiliates and designate restricted subsidiaries as unrestricted subsidiaries.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60" w:right="559" w:firstLine="324"/>
        <w:spacing w:after="0" w:line="259" w:lineRule="auto"/>
        <w:rPr>
          <w:sz w:val="20"/>
          <w:szCs w:val="20"/>
          <w:color w:val="auto"/>
        </w:rPr>
      </w:pPr>
      <w:r>
        <w:rPr>
          <w:rFonts w:ascii="Arial" w:cs="Arial" w:eastAsia="Arial" w:hAnsi="Arial"/>
          <w:sz w:val="18"/>
          <w:szCs w:val="18"/>
          <w:color w:val="auto"/>
        </w:rPr>
        <w:t>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Non-Cash Charges to Interest Expense</w:t>
      </w:r>
    </w:p>
    <w:p>
      <w:pPr>
        <w:spacing w:after="0" w:line="229" w:lineRule="exact"/>
        <w:rPr>
          <w:sz w:val="20"/>
          <w:szCs w:val="20"/>
          <w:color w:val="auto"/>
        </w:rPr>
      </w:pPr>
    </w:p>
    <w:p>
      <w:pPr>
        <w:ind w:left="60" w:right="299" w:firstLine="324"/>
        <w:spacing w:after="0" w:line="311" w:lineRule="auto"/>
        <w:rPr>
          <w:sz w:val="20"/>
          <w:szCs w:val="20"/>
          <w:color w:val="auto"/>
        </w:rPr>
      </w:pPr>
      <w:r>
        <w:rPr>
          <w:rFonts w:ascii="Arial" w:cs="Arial" w:eastAsia="Arial" w:hAnsi="Arial"/>
          <w:sz w:val="16"/>
          <w:szCs w:val="16"/>
          <w:color w:val="auto"/>
        </w:rPr>
        <w:t>The amortization of deferred financing costs and debt discounts and premiums included in interest expense in the condensed consolidated statements of operations were zero and $1 million for the three months ended June 30, 2021 and 2020, respectively, and $1 million and $2 million for the six months ended June 30, 2021 and 2020, respectively.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360" w:hanging="310"/>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LP Unit</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6"/>
          <w:szCs w:val="16"/>
          <w:color w:val="auto"/>
        </w:rPr>
        <w:t>The components of the computation of basic and diluted income (loss) per LP unit of Icahn Enterprises are as follows: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660" w:type="dxa"/>
            <w:vAlign w:val="bottom"/>
            <w:gridSpan w:val="6"/>
          </w:tcPr>
          <w:p>
            <w:pPr>
              <w:ind w:left="280"/>
              <w:spacing w:after="0"/>
              <w:rPr>
                <w:sz w:val="20"/>
                <w:szCs w:val="20"/>
                <w:color w:val="auto"/>
              </w:rPr>
            </w:pPr>
            <w:r>
              <w:rPr>
                <w:rFonts w:ascii="Arial" w:cs="Arial" w:eastAsia="Arial" w:hAnsi="Arial"/>
                <w:sz w:val="18"/>
                <w:szCs w:val="18"/>
                <w:b w:val="1"/>
                <w:bCs w:val="1"/>
                <w:color w:val="auto"/>
                <w:w w:val="92"/>
              </w:rPr>
              <w:t>Three Months Ended June 30,</w:t>
            </w:r>
          </w:p>
        </w:tc>
        <w:tc>
          <w:tcPr>
            <w:tcW w:w="140" w:type="dxa"/>
            <w:vAlign w:val="bottom"/>
          </w:tcPr>
          <w:p>
            <w:pPr>
              <w:spacing w:after="0"/>
              <w:rPr>
                <w:sz w:val="20"/>
                <w:szCs w:val="20"/>
                <w:color w:val="auto"/>
              </w:rPr>
            </w:pPr>
          </w:p>
        </w:tc>
        <w:tc>
          <w:tcPr>
            <w:tcW w:w="222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20" w:type="dxa"/>
            <w:vAlign w:val="bottom"/>
            <w:gridSpan w:val="5"/>
          </w:tcPr>
          <w:p>
            <w:pPr>
              <w:jc w:val="right"/>
              <w:ind w:right="10"/>
              <w:spacing w:after="0" w:line="129" w:lineRule="exact"/>
              <w:rPr>
                <w:sz w:val="20"/>
                <w:szCs w:val="20"/>
                <w:color w:val="auto"/>
              </w:rPr>
            </w:pPr>
            <w:r>
              <w:rPr>
                <w:rFonts w:ascii="Arial" w:cs="Arial" w:eastAsia="Arial" w:hAnsi="Arial"/>
                <w:sz w:val="14"/>
                <w:szCs w:val="14"/>
                <w:color w:val="auto"/>
                <w:w w:val="96"/>
              </w:rPr>
              <w:t>(in millions, except per unit amounts)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6"/>
              </w:rPr>
              <w:t>Net (loss) income attributable to Icahn Enterprises</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6"/>
              </w:rPr>
              <w:t>Net (loss) income attributable to Icahn Enterprises</w:t>
            </w: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880" w:type="dxa"/>
            <w:vAlign w:val="bottom"/>
            <w:vMerge w:val="continue"/>
          </w:tcPr>
          <w:p>
            <w:pPr>
              <w:spacing w:after="0"/>
              <w:rPr>
                <w:sz w:val="13"/>
                <w:szCs w:val="13"/>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440" w:type="dxa"/>
            <w:vAlign w:val="bottom"/>
            <w:gridSpan w:val="2"/>
            <w:vMerge w:val="restart"/>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293</w:t>
            </w:r>
          </w:p>
        </w:tc>
        <w:tc>
          <w:tcPr>
            <w:tcW w:w="3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w w:val="98"/>
              </w:rPr>
              <w:t>allocated to limited partners (98.01% allocation)</w:t>
            </w:r>
          </w:p>
        </w:tc>
        <w:tc>
          <w:tcPr>
            <w:tcW w:w="48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44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Basic and diluted (loss) income per LP unit</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(0.53)</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Basic and diluted weighted average LP units</w:t>
            </w:r>
          </w:p>
        </w:tc>
        <w:tc>
          <w:tcPr>
            <w:tcW w:w="2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LP Unit Transactions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 Distributions</w:t>
      </w:r>
    </w:p>
    <w:p>
      <w:pPr>
        <w:spacing w:after="0" w:line="225" w:lineRule="exact"/>
        <w:rPr>
          <w:sz w:val="20"/>
          <w:szCs w:val="20"/>
          <w:color w:val="auto"/>
        </w:rPr>
      </w:pPr>
    </w:p>
    <w:p>
      <w:pPr>
        <w:ind w:left="60" w:right="99" w:firstLine="324"/>
        <w:spacing w:after="0" w:line="342" w:lineRule="auto"/>
        <w:rPr>
          <w:sz w:val="20"/>
          <w:szCs w:val="20"/>
          <w:color w:val="auto"/>
        </w:rPr>
      </w:pPr>
      <w:r>
        <w:rPr>
          <w:rFonts w:ascii="Arial" w:cs="Arial" w:eastAsia="Arial" w:hAnsi="Arial"/>
          <w:sz w:val="16"/>
          <w:szCs w:val="16"/>
          <w:color w:val="auto"/>
        </w:rPr>
        <w:t>On February 24, 2021, Icahn Enterprises declared a quarterly distribution in the amount of $2.00 per depositary unit in which each depositary unitholder had the option to make an election to receive either cash or additional depositary units.</w:t>
      </w:r>
    </w:p>
    <w:p>
      <w:pPr>
        <w:spacing w:after="0" w:line="124" w:lineRule="exact"/>
        <w:rPr>
          <w:sz w:val="20"/>
          <w:szCs w:val="20"/>
          <w:color w:val="auto"/>
        </w:rPr>
      </w:pPr>
    </w:p>
    <w:p>
      <w:pPr>
        <w:ind w:left="60" w:right="299" w:firstLine="324"/>
        <w:spacing w:after="0" w:line="342" w:lineRule="auto"/>
        <w:rPr>
          <w:sz w:val="20"/>
          <w:szCs w:val="20"/>
          <w:color w:val="auto"/>
        </w:rPr>
      </w:pPr>
      <w:r>
        <w:rPr>
          <w:rFonts w:ascii="Arial" w:cs="Arial" w:eastAsia="Arial" w:hAnsi="Arial"/>
          <w:sz w:val="16"/>
          <w:szCs w:val="16"/>
          <w:color w:val="auto"/>
        </w:rPr>
        <w:t>On May 5, 2021, Icahn Enterprises declared a quarterly distribution in the amount of $2.00 per depositary unit in which each depositary unitholder had the option to make an election to receive either cash or additional depositary units.</w:t>
      </w:r>
    </w:p>
    <w:p>
      <w:pPr>
        <w:spacing w:after="0" w:line="124"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As a result of the above distributions declared, during the six months ended June 30, 2021, Icahn Enterprises distributed an aggregate 16,573,498 depositary units to unitholders electing to receive depositary units, of which an aggregate of 15,896,308 depositary units were distributed to Mr. Icahn and his affiliates. In connection with these distributions, aggregate cash distributions to all depositary unitholders that made a timely election to receive cash was $56 million for the three and six months ended June 30,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2019 and 2021 At-The-Market Offerings</w:t>
      </w:r>
    </w:p>
    <w:p>
      <w:pPr>
        <w:spacing w:after="0" w:line="225"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On May 2, 2019, Icahn Enterprises announced the commencement of its “at-the-market” offering pursuant to its Open Market Sale Agreement, pursuant to which Icahn Enterprises may sell its depositary units, from time to time, during the term of the program ending on March 31, 2021, for up to $400 million in aggregate sale proceeds. During the three months ended June 30, 2020, Icahn Enterprises sold 374,113 depositary units pursuant to this agreement, resulting in gross proceeds of $19 million. During the six months ended June 30, 2020, Icahn Enterprises sold 481,244 depositary units pursuant to this agreement, resulting in gross proceeds of $26 million. This agreement was terminated on February 26, 2021.</w:t>
      </w:r>
    </w:p>
    <w:p>
      <w:pPr>
        <w:spacing w:after="0" w:line="195"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On February 26, 2021, Icahn Enterprises announced the commencement of its “at-the-market” offering pursuant to its Open Market Sale Agreement, pursuant to which Icahn Enterprises may sell its depositary units, from time to time, during the term of the program ending on December 31, 2023, for up to $400 million in aggregate sale proceeds. During the three months ended June 30, 2021, Icahn Enterprises sold 3,509,574 depositary units pursuant to this agreement, resulting in gross proceeds of $200 million. During the six months ended June 30, 2021, Icahn Enterprises sold 6,618,919 depositary units pursuant to this agreement, resulting in gross proceeds of $384 million. As of June 30, 2021,</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339"/>
        <w:spacing w:after="0" w:line="342" w:lineRule="auto"/>
        <w:rPr>
          <w:sz w:val="20"/>
          <w:szCs w:val="20"/>
          <w:color w:val="auto"/>
        </w:rPr>
      </w:pPr>
      <w:r>
        <w:rPr>
          <w:rFonts w:ascii="Arial" w:cs="Arial" w:eastAsia="Arial" w:hAnsi="Arial"/>
          <w:sz w:val="16"/>
          <w:szCs w:val="16"/>
          <w:color w:val="auto"/>
        </w:rPr>
        <w:t>Icahn Enterprises may sell its depositary units for up to an additional $16 million in aggregate sale proceeds pursuant to this agreement. No assurance can be made that any or all amounts will be sold during the term of the program.</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Segment Reporting</w:t>
      </w:r>
    </w:p>
    <w:p>
      <w:pPr>
        <w:spacing w:after="0" w:line="229"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and Icahn Enterprises Holdings. Certain terms of financings for certain of our businesses impose restrictions on the business’ ability to transfer funds to us, including restrictions on dividends, distributions, loans and other transactions.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Statements of Operations</w:t>
      </w:r>
    </w:p>
    <w:p>
      <w:pPr>
        <w:spacing w:after="0" w:line="229" w:lineRule="exact"/>
        <w:rPr>
          <w:sz w:val="20"/>
          <w:szCs w:val="20"/>
          <w:color w:val="auto"/>
        </w:rPr>
      </w:pPr>
    </w:p>
    <w:p>
      <w:pPr>
        <w:ind w:left="60" w:right="339" w:firstLine="324"/>
        <w:spacing w:after="0" w:line="263" w:lineRule="auto"/>
        <w:rPr>
          <w:sz w:val="20"/>
          <w:szCs w:val="20"/>
          <w:color w:val="auto"/>
        </w:rPr>
      </w:pPr>
      <w:r>
        <w:rPr>
          <w:rFonts w:ascii="Arial" w:cs="Arial" w:eastAsia="Arial" w:hAnsi="Arial"/>
          <w:sz w:val="18"/>
          <w:szCs w:val="18"/>
          <w:color w:val="auto"/>
        </w:rPr>
        <w:t>Icahn Enterprises’ condensed statements of operations by reporting segment are presented below. Icahn Enterprises Holdings’ condensed statements of operations are substantially the same, with immaterial differences relating to our Holding Company’s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11"/>
          </w:tcPr>
          <w:p>
            <w:pPr>
              <w:ind w:left="40"/>
              <w:spacing w:after="0"/>
              <w:rPr>
                <w:sz w:val="20"/>
                <w:szCs w:val="20"/>
                <w:color w:val="auto"/>
              </w:rPr>
            </w:pPr>
            <w:r>
              <w:rPr>
                <w:rFonts w:ascii="Arial" w:cs="Arial" w:eastAsia="Arial" w:hAnsi="Arial"/>
                <w:sz w:val="13"/>
                <w:szCs w:val="13"/>
                <w:b w:val="1"/>
                <w:bCs w:val="1"/>
                <w:color w:val="auto"/>
                <w:w w:val="96"/>
              </w:rPr>
              <w:t>Three Months Ended June 30, 2021</w:t>
            </w: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280"/>
              <w:spacing w:after="0" w:line="110" w:lineRule="exact"/>
              <w:rPr>
                <w:sz w:val="20"/>
                <w:szCs w:val="20"/>
                <w:color w:val="auto"/>
              </w:rPr>
            </w:pPr>
            <w:r>
              <w:rPr>
                <w:rFonts w:ascii="Arial" w:cs="Arial" w:eastAsia="Arial" w:hAnsi="Arial"/>
                <w:sz w:val="12"/>
                <w:szCs w:val="12"/>
                <w:b w:val="1"/>
                <w:bCs w:val="1"/>
                <w:color w:val="auto"/>
              </w:rPr>
              <w:t>Food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Real</w:t>
            </w:r>
          </w:p>
        </w:tc>
        <w:tc>
          <w:tcPr>
            <w:tcW w:w="56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Home</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Investment</w:t>
            </w:r>
          </w:p>
        </w:tc>
        <w:tc>
          <w:tcPr>
            <w:tcW w:w="540" w:type="dxa"/>
            <w:vAlign w:val="bottom"/>
            <w:gridSpan w:val="3"/>
          </w:tcPr>
          <w:p>
            <w:pPr>
              <w:spacing w:after="0"/>
              <w:rPr>
                <w:sz w:val="20"/>
                <w:szCs w:val="20"/>
                <w:color w:val="auto"/>
              </w:rPr>
            </w:pPr>
            <w:r>
              <w:rPr>
                <w:rFonts w:ascii="Arial" w:cs="Arial" w:eastAsia="Arial" w:hAnsi="Arial"/>
                <w:sz w:val="13"/>
                <w:szCs w:val="13"/>
                <w:b w:val="1"/>
                <w:bCs w:val="1"/>
                <w:color w:val="auto"/>
              </w:rPr>
              <w:t>Energy</w:t>
            </w: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Automotive</w:t>
            </w: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Packaging</w:t>
            </w:r>
          </w:p>
        </w:tc>
        <w:tc>
          <w:tcPr>
            <w:tcW w:w="520" w:type="dxa"/>
            <w:vAlign w:val="bottom"/>
            <w:gridSpan w:val="3"/>
          </w:tcPr>
          <w:p>
            <w:pPr>
              <w:ind w:left="20"/>
              <w:spacing w:after="0"/>
              <w:rPr>
                <w:sz w:val="20"/>
                <w:szCs w:val="20"/>
                <w:color w:val="auto"/>
              </w:rPr>
            </w:pPr>
            <w:r>
              <w:rPr>
                <w:rFonts w:ascii="Arial" w:cs="Arial" w:eastAsia="Arial" w:hAnsi="Arial"/>
                <w:sz w:val="13"/>
                <w:szCs w:val="13"/>
                <w:b w:val="1"/>
                <w:bCs w:val="1"/>
                <w:color w:val="auto"/>
              </w:rPr>
              <w:t>Metals</w:t>
            </w:r>
          </w:p>
        </w:tc>
        <w:tc>
          <w:tcPr>
            <w:tcW w:w="480" w:type="dxa"/>
            <w:vAlign w:val="bottom"/>
            <w:gridSpan w:val="3"/>
          </w:tcPr>
          <w:p>
            <w:pPr>
              <w:spacing w:after="0"/>
              <w:rPr>
                <w:sz w:val="20"/>
                <w:szCs w:val="20"/>
                <w:color w:val="auto"/>
              </w:rPr>
            </w:pPr>
            <w:r>
              <w:rPr>
                <w:rFonts w:ascii="Arial" w:cs="Arial" w:eastAsia="Arial" w:hAnsi="Arial"/>
                <w:sz w:val="13"/>
                <w:szCs w:val="13"/>
                <w:b w:val="1"/>
                <w:bCs w:val="1"/>
                <w:color w:val="auto"/>
              </w:rPr>
              <w:t>Estate</w:t>
            </w: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rPr>
              <w:t>Fashion</w:t>
            </w:r>
          </w:p>
        </w:tc>
        <w:tc>
          <w:tcPr>
            <w:tcW w:w="580" w:type="dxa"/>
            <w:vAlign w:val="bottom"/>
            <w:gridSpan w:val="3"/>
          </w:tcPr>
          <w:p>
            <w:pPr>
              <w:spacing w:after="0"/>
              <w:rPr>
                <w:sz w:val="20"/>
                <w:szCs w:val="20"/>
                <w:color w:val="auto"/>
              </w:rPr>
            </w:pPr>
            <w:r>
              <w:rPr>
                <w:rFonts w:ascii="Arial" w:cs="Arial" w:eastAsia="Arial" w:hAnsi="Arial"/>
                <w:sz w:val="13"/>
                <w:szCs w:val="13"/>
                <w:b w:val="1"/>
                <w:bCs w:val="1"/>
                <w:color w:val="auto"/>
              </w:rPr>
              <w:t>Pharma</w:t>
            </w: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Company</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4"/>
          </w:tcPr>
          <w:p>
            <w:pPr>
              <w:jc w:val="right"/>
              <w:ind w:right="97"/>
              <w:spacing w:after="0" w:line="115" w:lineRule="exact"/>
              <w:rPr>
                <w:sz w:val="20"/>
                <w:szCs w:val="20"/>
                <w:color w:val="auto"/>
              </w:rPr>
            </w:pPr>
            <w:r>
              <w:rPr>
                <w:rFonts w:ascii="Arial" w:cs="Arial" w:eastAsia="Arial" w:hAnsi="Arial"/>
                <w:sz w:val="13"/>
                <w:szCs w:val="13"/>
                <w:color w:val="auto"/>
                <w:w w:val="91"/>
              </w:rPr>
              <w:t>(in millions)</w:t>
            </w:r>
          </w:p>
        </w:tc>
        <w:tc>
          <w:tcPr>
            <w:tcW w:w="1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Revenues:</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sales</w:t>
            </w:r>
          </w:p>
        </w:tc>
        <w:tc>
          <w:tcPr>
            <w:tcW w:w="2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w w:val="85"/>
              </w:rPr>
              <w:t>1,783</w:t>
            </w:r>
          </w:p>
        </w:tc>
        <w:tc>
          <w:tcPr>
            <w:tcW w:w="14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481</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106</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153</w:t>
            </w:r>
          </w:p>
        </w:tc>
        <w:tc>
          <w:tcPr>
            <w:tcW w:w="14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51</w:t>
            </w:r>
          </w:p>
        </w:tc>
        <w:tc>
          <w:tcPr>
            <w:tcW w:w="12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2,612</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2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gain from investment activities</w:t>
            </w:r>
          </w:p>
        </w:tc>
        <w:tc>
          <w:tcPr>
            <w:tcW w:w="2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175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(loss) income, net</w:t>
            </w:r>
          </w:p>
        </w:tc>
        <w:tc>
          <w:tcPr>
            <w:tcW w:w="220" w:type="dxa"/>
            <w:vAlign w:val="bottom"/>
          </w:tcPr>
          <w:p>
            <w:pPr>
              <w:spacing w:after="0"/>
              <w:rPr>
                <w:sz w:val="11"/>
                <w:szCs w:val="11"/>
                <w:color w:val="auto"/>
              </w:rPr>
            </w:pPr>
          </w:p>
        </w:tc>
        <w:tc>
          <w:tcPr>
            <w:tcW w:w="5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w:t>
            </w:r>
          </w:p>
        </w:tc>
        <w:tc>
          <w:tcPr>
            <w:tcW w:w="24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28"/>
        </w:trPr>
        <w:tc>
          <w:tcPr>
            <w:tcW w:w="26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1,797</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104</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153</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2,988</w:t>
            </w:r>
          </w:p>
        </w:tc>
        <w:tc>
          <w:tcPr>
            <w:tcW w:w="0" w:type="dxa"/>
            <w:vAlign w:val="bottom"/>
          </w:tcPr>
          <w:p>
            <w:pPr>
              <w:spacing w:after="0"/>
              <w:rPr>
                <w:sz w:val="1"/>
                <w:szCs w:val="1"/>
                <w:color w:val="auto"/>
              </w:rPr>
            </w:pPr>
          </w:p>
        </w:tc>
      </w:tr>
      <w:tr>
        <w:trPr>
          <w:trHeight w:val="128"/>
        </w:trPr>
        <w:tc>
          <w:tcPr>
            <w:tcW w:w="2640" w:type="dxa"/>
            <w:vAlign w:val="bottom"/>
          </w:tcPr>
          <w:p>
            <w:pPr>
              <w:ind w:left="20"/>
              <w:spacing w:after="0" w:line="129" w:lineRule="exact"/>
              <w:rPr>
                <w:sz w:val="20"/>
                <w:szCs w:val="20"/>
                <w:color w:val="auto"/>
              </w:rPr>
            </w:pPr>
            <w:r>
              <w:rPr>
                <w:rFonts w:ascii="Arial" w:cs="Arial" w:eastAsia="Arial" w:hAnsi="Arial"/>
                <w:sz w:val="13"/>
                <w:szCs w:val="13"/>
                <w:color w:val="auto"/>
              </w:rPr>
              <w:t>Expenses:</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Cost of goods sold</w:t>
            </w:r>
          </w:p>
        </w:tc>
        <w:tc>
          <w:tcPr>
            <w:tcW w:w="2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1,757</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2,398</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22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116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304</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Restructuring, net</w:t>
            </w:r>
          </w:p>
        </w:tc>
        <w:tc>
          <w:tcPr>
            <w:tcW w:w="22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Impairment</w:t>
            </w:r>
          </w:p>
        </w:tc>
        <w:tc>
          <w:tcPr>
            <w:tcW w:w="2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2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41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81</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29"/>
        </w:trPr>
        <w:tc>
          <w:tcPr>
            <w:tcW w:w="26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1,821</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684</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146</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91</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2,991</w:t>
            </w:r>
          </w:p>
        </w:tc>
        <w:tc>
          <w:tcPr>
            <w:tcW w:w="0" w:type="dxa"/>
            <w:vAlign w:val="bottom"/>
          </w:tcPr>
          <w:p>
            <w:pPr>
              <w:spacing w:after="0"/>
              <w:rPr>
                <w:sz w:val="1"/>
                <w:szCs w:val="1"/>
                <w:color w:val="auto"/>
              </w:rPr>
            </w:pPr>
          </w:p>
        </w:tc>
      </w:tr>
      <w:tr>
        <w:trPr>
          <w:trHeight w:val="101"/>
        </w:trPr>
        <w:tc>
          <w:tcPr>
            <w:tcW w:w="2640" w:type="dxa"/>
            <w:vAlign w:val="bottom"/>
          </w:tcPr>
          <w:p>
            <w:pPr>
              <w:ind w:left="20"/>
              <w:spacing w:after="0" w:line="101" w:lineRule="exact"/>
              <w:rPr>
                <w:sz w:val="20"/>
                <w:szCs w:val="20"/>
                <w:color w:val="auto"/>
              </w:rPr>
            </w:pPr>
            <w:r>
              <w:rPr>
                <w:rFonts w:ascii="Arial" w:cs="Arial" w:eastAsia="Arial" w:hAnsi="Arial"/>
                <w:sz w:val="10"/>
                <w:szCs w:val="10"/>
                <w:color w:val="auto"/>
              </w:rPr>
              <w:t>Income (loss) before income tax benefit</w:t>
            </w: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140"/>
              <w:spacing w:after="0"/>
              <w:rPr>
                <w:sz w:val="20"/>
                <w:szCs w:val="20"/>
                <w:color w:val="auto"/>
              </w:rPr>
            </w:pPr>
            <w:r>
              <w:rPr>
                <w:rFonts w:ascii="Arial" w:cs="Arial" w:eastAsia="Arial" w:hAnsi="Arial"/>
                <w:sz w:val="13"/>
                <w:szCs w:val="13"/>
                <w:color w:val="auto"/>
              </w:rPr>
              <w:t>(expense)</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145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(24)</w:t>
            </w:r>
          </w:p>
        </w:tc>
        <w:tc>
          <w:tcPr>
            <w:tcW w:w="24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(78)</w:t>
            </w: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Income tax benefit (expense)</w:t>
            </w:r>
          </w:p>
        </w:tc>
        <w:tc>
          <w:tcPr>
            <w:tcW w:w="2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(78)</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29"/>
        </w:trPr>
        <w:tc>
          <w:tcPr>
            <w:tcW w:w="2640" w:type="dxa"/>
            <w:vAlign w:val="bottom"/>
          </w:tcPr>
          <w:p>
            <w:pPr>
              <w:ind w:left="20"/>
              <w:spacing w:after="0" w:line="129" w:lineRule="exact"/>
              <w:rPr>
                <w:sz w:val="20"/>
                <w:szCs w:val="20"/>
                <w:color w:val="auto"/>
              </w:rPr>
            </w:pPr>
            <w:r>
              <w:rPr>
                <w:rFonts w:ascii="Arial" w:cs="Arial" w:eastAsia="Arial" w:hAnsi="Arial"/>
                <w:sz w:val="13"/>
                <w:szCs w:val="13"/>
                <w:color w:val="auto"/>
              </w:rPr>
              <w:t>Net income (loss)</w:t>
            </w:r>
          </w:p>
        </w:tc>
        <w:tc>
          <w:tcPr>
            <w:tcW w:w="2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145</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(14)</w:t>
            </w: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(38)</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(156)</w:t>
            </w: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21"/>
        </w:trPr>
        <w:tc>
          <w:tcPr>
            <w:tcW w:w="26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Less: net income (loss) attributable to non-</w:t>
            </w: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controlling interests</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20"/>
        </w:trPr>
        <w:tc>
          <w:tcPr>
            <w:tcW w:w="2640" w:type="dxa"/>
            <w:vAlign w:val="bottom"/>
            <w:vMerge w:val="restart"/>
          </w:tcPr>
          <w:p>
            <w:pPr>
              <w:ind w:left="20"/>
              <w:spacing w:after="0" w:line="121" w:lineRule="exact"/>
              <w:rPr>
                <w:sz w:val="20"/>
                <w:szCs w:val="20"/>
                <w:color w:val="auto"/>
              </w:rPr>
            </w:pPr>
            <w:r>
              <w:rPr>
                <w:rFonts w:ascii="Arial" w:cs="Arial" w:eastAsia="Arial" w:hAnsi="Arial"/>
                <w:sz w:val="13"/>
                <w:szCs w:val="13"/>
                <w:color w:val="auto"/>
              </w:rPr>
              <w:t>Net income (loss) attributable to Icahn</w:t>
            </w: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640" w:type="dxa"/>
            <w:vAlign w:val="bottom"/>
            <w:vMerge w:val="continue"/>
          </w:tcPr>
          <w:p>
            <w:pPr>
              <w:spacing w:after="0"/>
              <w:rPr>
                <w:sz w:val="8"/>
                <w:szCs w:val="8"/>
                <w:color w:val="auto"/>
              </w:rPr>
            </w:pPr>
          </w:p>
        </w:tc>
        <w:tc>
          <w:tcPr>
            <w:tcW w:w="220" w:type="dxa"/>
            <w:vAlign w:val="bottom"/>
            <w:vMerge w:val="restart"/>
          </w:tcPr>
          <w:p>
            <w:pPr>
              <w:spacing w:after="0"/>
              <w:rPr>
                <w:sz w:val="20"/>
                <w:szCs w:val="20"/>
                <w:color w:val="auto"/>
              </w:rPr>
            </w:pPr>
            <w:r>
              <w:rPr>
                <w:rFonts w:ascii="Arial" w:cs="Arial" w:eastAsia="Arial" w:hAnsi="Arial"/>
                <w:sz w:val="13"/>
                <w:szCs w:val="13"/>
                <w:color w:val="auto"/>
              </w:rPr>
              <w:t>$</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68</w:t>
            </w:r>
          </w:p>
        </w:tc>
        <w:tc>
          <w:tcPr>
            <w:tcW w:w="140" w:type="dxa"/>
            <w:vAlign w:val="bottom"/>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(11)</w:t>
            </w:r>
          </w:p>
        </w:tc>
        <w:tc>
          <w:tcPr>
            <w:tcW w:w="240" w:type="dxa"/>
            <w:vAlign w:val="bottom"/>
            <w:vMerge w:val="restart"/>
          </w:tcPr>
          <w:p>
            <w:pPr>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(38)</w:t>
            </w: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8"/>
                <w:szCs w:val="8"/>
                <w:color w:val="auto"/>
              </w:rPr>
            </w:pPr>
          </w:p>
        </w:tc>
        <w:tc>
          <w:tcPr>
            <w:tcW w:w="120" w:type="dxa"/>
            <w:vAlign w:val="bottom"/>
            <w:vMerge w:val="restart"/>
          </w:tcPr>
          <w:p>
            <w:pPr>
              <w:spacing w:after="0"/>
              <w:rPr>
                <w:sz w:val="20"/>
                <w:szCs w:val="20"/>
                <w:color w:val="auto"/>
              </w:rPr>
            </w:pPr>
            <w:r>
              <w:rPr>
                <w:rFonts w:ascii="Arial" w:cs="Arial" w:eastAsia="Arial" w:hAnsi="Arial"/>
                <w:sz w:val="13"/>
                <w:szCs w:val="13"/>
                <w:color w:val="auto"/>
              </w:rPr>
              <w:t>$</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(4)</w:t>
            </w: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(2)</w:t>
            </w:r>
          </w:p>
        </w:tc>
        <w:tc>
          <w:tcPr>
            <w:tcW w:w="180" w:type="dxa"/>
            <w:vAlign w:val="bottom"/>
            <w:vMerge w:val="restart"/>
          </w:tcPr>
          <w:p>
            <w:pPr>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(2)</w:t>
            </w: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(156)</w:t>
            </w:r>
          </w:p>
        </w:tc>
        <w:tc>
          <w:tcPr>
            <w:tcW w:w="240" w:type="dxa"/>
            <w:vAlign w:val="bottom"/>
            <w:vMerge w:val="restart"/>
          </w:tcPr>
          <w:p>
            <w:pPr>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76"/>
        </w:trPr>
        <w:tc>
          <w:tcPr>
            <w:tcW w:w="2640" w:type="dxa"/>
            <w:vAlign w:val="bottom"/>
          </w:tcPr>
          <w:p>
            <w:pPr>
              <w:ind w:left="140"/>
              <w:spacing w:after="0" w:line="136" w:lineRule="exact"/>
              <w:rPr>
                <w:sz w:val="20"/>
                <w:szCs w:val="20"/>
                <w:color w:val="auto"/>
              </w:rPr>
            </w:pPr>
            <w:r>
              <w:rPr>
                <w:rFonts w:ascii="Arial" w:cs="Arial" w:eastAsia="Arial" w:hAnsi="Arial"/>
                <w:sz w:val="13"/>
                <w:szCs w:val="13"/>
                <w:color w:val="auto"/>
              </w:rPr>
              <w:t>Enterprises</w:t>
            </w:r>
          </w:p>
        </w:tc>
        <w:tc>
          <w:tcPr>
            <w:tcW w:w="2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64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Supplemental information:</w:t>
            </w:r>
          </w:p>
        </w:tc>
        <w:tc>
          <w:tcPr>
            <w:tcW w:w="2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2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92</w:t>
            </w:r>
          </w:p>
        </w:tc>
        <w:tc>
          <w:tcPr>
            <w:tcW w:w="14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6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w w:val="96"/>
              </w:rPr>
              <w:t>Three Months Ended June 30, 2020</w:t>
            </w: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80"/>
              <w:spacing w:after="0" w:line="110" w:lineRule="exact"/>
              <w:rPr>
                <w:sz w:val="20"/>
                <w:szCs w:val="20"/>
                <w:color w:val="auto"/>
              </w:rPr>
            </w:pPr>
            <w:r>
              <w:rPr>
                <w:rFonts w:ascii="Arial" w:cs="Arial" w:eastAsia="Arial" w:hAnsi="Arial"/>
                <w:sz w:val="12"/>
                <w:szCs w:val="12"/>
                <w:b w:val="1"/>
                <w:bCs w:val="1"/>
                <w:color w:val="auto"/>
                <w:w w:val="95"/>
              </w:rPr>
              <w:t>Food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Real</w:t>
            </w:r>
          </w:p>
        </w:tc>
        <w:tc>
          <w:tcPr>
            <w:tcW w:w="56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Home</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Investment</w:t>
            </w:r>
          </w:p>
        </w:tc>
        <w:tc>
          <w:tcPr>
            <w:tcW w:w="540" w:type="dxa"/>
            <w:vAlign w:val="bottom"/>
            <w:gridSpan w:val="3"/>
          </w:tcPr>
          <w:p>
            <w:pPr>
              <w:ind w:left="20"/>
              <w:spacing w:after="0"/>
              <w:rPr>
                <w:sz w:val="20"/>
                <w:szCs w:val="20"/>
                <w:color w:val="auto"/>
              </w:rPr>
            </w:pPr>
            <w:r>
              <w:rPr>
                <w:rFonts w:ascii="Arial" w:cs="Arial" w:eastAsia="Arial" w:hAnsi="Arial"/>
                <w:sz w:val="13"/>
                <w:szCs w:val="13"/>
                <w:b w:val="1"/>
                <w:bCs w:val="1"/>
                <w:color w:val="auto"/>
              </w:rPr>
              <w:t>Energy</w:t>
            </w: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Automotive</w:t>
            </w: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Packaging</w:t>
            </w:r>
          </w:p>
        </w:tc>
        <w:tc>
          <w:tcPr>
            <w:tcW w:w="520" w:type="dxa"/>
            <w:vAlign w:val="bottom"/>
            <w:gridSpan w:val="3"/>
          </w:tcPr>
          <w:p>
            <w:pPr>
              <w:ind w:left="20"/>
              <w:spacing w:after="0"/>
              <w:rPr>
                <w:sz w:val="20"/>
                <w:szCs w:val="20"/>
                <w:color w:val="auto"/>
              </w:rPr>
            </w:pPr>
            <w:r>
              <w:rPr>
                <w:rFonts w:ascii="Arial" w:cs="Arial" w:eastAsia="Arial" w:hAnsi="Arial"/>
                <w:sz w:val="13"/>
                <w:szCs w:val="13"/>
                <w:b w:val="1"/>
                <w:bCs w:val="1"/>
                <w:color w:val="auto"/>
              </w:rPr>
              <w:t>Metals</w:t>
            </w:r>
          </w:p>
        </w:tc>
        <w:tc>
          <w:tcPr>
            <w:tcW w:w="480" w:type="dxa"/>
            <w:vAlign w:val="bottom"/>
            <w:gridSpan w:val="3"/>
          </w:tcPr>
          <w:p>
            <w:pPr>
              <w:spacing w:after="0"/>
              <w:rPr>
                <w:sz w:val="20"/>
                <w:szCs w:val="20"/>
                <w:color w:val="auto"/>
              </w:rPr>
            </w:pPr>
            <w:r>
              <w:rPr>
                <w:rFonts w:ascii="Arial" w:cs="Arial" w:eastAsia="Arial" w:hAnsi="Arial"/>
                <w:sz w:val="13"/>
                <w:szCs w:val="13"/>
                <w:b w:val="1"/>
                <w:bCs w:val="1"/>
                <w:color w:val="auto"/>
              </w:rPr>
              <w:t>Estate</w:t>
            </w: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rPr>
              <w:t>Fashion</w:t>
            </w:r>
          </w:p>
        </w:tc>
        <w:tc>
          <w:tcPr>
            <w:tcW w:w="580" w:type="dxa"/>
            <w:vAlign w:val="bottom"/>
            <w:gridSpan w:val="3"/>
          </w:tcPr>
          <w:p>
            <w:pPr>
              <w:spacing w:after="0"/>
              <w:rPr>
                <w:sz w:val="20"/>
                <w:szCs w:val="20"/>
                <w:color w:val="auto"/>
              </w:rPr>
            </w:pPr>
            <w:r>
              <w:rPr>
                <w:rFonts w:ascii="Arial" w:cs="Arial" w:eastAsia="Arial" w:hAnsi="Arial"/>
                <w:sz w:val="13"/>
                <w:szCs w:val="13"/>
                <w:b w:val="1"/>
                <w:bCs w:val="1"/>
                <w:color w:val="auto"/>
              </w:rPr>
              <w:t>Pharma</w:t>
            </w: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Company</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4"/>
          </w:tcPr>
          <w:p>
            <w:pPr>
              <w:jc w:val="right"/>
              <w:ind w:right="77"/>
              <w:spacing w:after="0" w:line="115" w:lineRule="exact"/>
              <w:rPr>
                <w:sz w:val="20"/>
                <w:szCs w:val="20"/>
                <w:color w:val="auto"/>
              </w:rPr>
            </w:pPr>
            <w:r>
              <w:rPr>
                <w:rFonts w:ascii="Arial" w:cs="Arial" w:eastAsia="Arial" w:hAnsi="Arial"/>
                <w:sz w:val="13"/>
                <w:szCs w:val="13"/>
                <w:color w:val="auto"/>
                <w:w w:val="94"/>
              </w:rPr>
              <w:t>(in millions)</w:t>
            </w:r>
          </w:p>
        </w:tc>
        <w:tc>
          <w:tcPr>
            <w:tcW w:w="1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Revenues:</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Net sales</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675</w:t>
            </w:r>
          </w:p>
        </w:tc>
        <w:tc>
          <w:tcPr>
            <w:tcW w:w="14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463</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104</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37</w:t>
            </w:r>
          </w:p>
        </w:tc>
        <w:tc>
          <w:tcPr>
            <w:tcW w:w="12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1,326</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Net gain from investment activities</w:t>
            </w:r>
          </w:p>
        </w:tc>
        <w:tc>
          <w:tcPr>
            <w:tcW w:w="1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1,089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128</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1,235</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Other (loss) income, net</w:t>
            </w:r>
          </w:p>
        </w:tc>
        <w:tc>
          <w:tcPr>
            <w:tcW w:w="16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4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w:t>
            </w:r>
          </w:p>
        </w:tc>
        <w:tc>
          <w:tcPr>
            <w:tcW w:w="24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w:t>
            </w: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28"/>
        </w:trPr>
        <w:tc>
          <w:tcPr>
            <w:tcW w:w="26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1,102</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694</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581</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132</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2,709</w:t>
            </w:r>
          </w:p>
        </w:tc>
        <w:tc>
          <w:tcPr>
            <w:tcW w:w="0" w:type="dxa"/>
            <w:vAlign w:val="bottom"/>
          </w:tcPr>
          <w:p>
            <w:pPr>
              <w:spacing w:after="0"/>
              <w:rPr>
                <w:sz w:val="1"/>
                <w:szCs w:val="1"/>
                <w:color w:val="auto"/>
              </w:rPr>
            </w:pPr>
          </w:p>
        </w:tc>
      </w:tr>
      <w:tr>
        <w:trPr>
          <w:trHeight w:val="129"/>
        </w:trPr>
        <w:tc>
          <w:tcPr>
            <w:tcW w:w="2660" w:type="dxa"/>
            <w:vAlign w:val="bottom"/>
          </w:tcPr>
          <w:p>
            <w:pPr>
              <w:ind w:left="20"/>
              <w:spacing w:after="0" w:line="129" w:lineRule="exact"/>
              <w:rPr>
                <w:sz w:val="20"/>
                <w:szCs w:val="20"/>
                <w:color w:val="auto"/>
              </w:rPr>
            </w:pPr>
            <w:r>
              <w:rPr>
                <w:rFonts w:ascii="Arial" w:cs="Arial" w:eastAsia="Arial" w:hAnsi="Arial"/>
                <w:sz w:val="13"/>
                <w:szCs w:val="13"/>
                <w:color w:val="auto"/>
              </w:rPr>
              <w:t>Expenses:</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Cost of goods sold</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645</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1,135</w:t>
            </w: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16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102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Restructuring, net</w:t>
            </w:r>
          </w:p>
        </w:tc>
        <w:tc>
          <w:tcPr>
            <w:tcW w:w="16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Impairment</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1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51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84</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129"/>
        </w:trPr>
        <w:tc>
          <w:tcPr>
            <w:tcW w:w="26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707</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643</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1,717</w:t>
            </w:r>
          </w:p>
        </w:tc>
        <w:tc>
          <w:tcPr>
            <w:tcW w:w="0" w:type="dxa"/>
            <w:vAlign w:val="bottom"/>
          </w:tcPr>
          <w:p>
            <w:pPr>
              <w:spacing w:after="0"/>
              <w:rPr>
                <w:sz w:val="1"/>
                <w:szCs w:val="1"/>
                <w:color w:val="auto"/>
              </w:rPr>
            </w:pPr>
          </w:p>
        </w:tc>
      </w:tr>
      <w:tr>
        <w:trPr>
          <w:trHeight w:val="101"/>
        </w:trPr>
        <w:tc>
          <w:tcPr>
            <w:tcW w:w="2660" w:type="dxa"/>
            <w:vAlign w:val="bottom"/>
          </w:tcPr>
          <w:p>
            <w:pPr>
              <w:ind w:left="20"/>
              <w:spacing w:after="0" w:line="101" w:lineRule="exact"/>
              <w:rPr>
                <w:sz w:val="20"/>
                <w:szCs w:val="20"/>
                <w:color w:val="auto"/>
              </w:rPr>
            </w:pPr>
            <w:r>
              <w:rPr>
                <w:rFonts w:ascii="Arial" w:cs="Arial" w:eastAsia="Arial" w:hAnsi="Arial"/>
                <w:sz w:val="10"/>
                <w:szCs w:val="10"/>
                <w:color w:val="auto"/>
              </w:rPr>
              <w:t>Income (loss) before income tax benefit</w:t>
            </w: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40"/>
              <w:spacing w:after="0"/>
              <w:rPr>
                <w:sz w:val="20"/>
                <w:szCs w:val="20"/>
                <w:color w:val="auto"/>
              </w:rPr>
            </w:pPr>
            <w:r>
              <w:rPr>
                <w:rFonts w:ascii="Arial" w:cs="Arial" w:eastAsia="Arial" w:hAnsi="Arial"/>
                <w:sz w:val="13"/>
                <w:szCs w:val="13"/>
                <w:color w:val="auto"/>
              </w:rPr>
              <w:t>(expense)</w:t>
            </w:r>
          </w:p>
        </w:tc>
        <w:tc>
          <w:tcPr>
            <w:tcW w:w="1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1,048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(13)</w:t>
            </w:r>
          </w:p>
        </w:tc>
        <w:tc>
          <w:tcPr>
            <w:tcW w:w="24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w w:val="94"/>
              </w:rPr>
              <w:t>(13)</w:t>
            </w:r>
          </w:p>
        </w:tc>
        <w:tc>
          <w:tcPr>
            <w:tcW w:w="16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2"/>
                <w:szCs w:val="12"/>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992</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Income tax benefit (expense)</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(149)</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28"/>
        </w:trPr>
        <w:tc>
          <w:tcPr>
            <w:tcW w:w="2660" w:type="dxa"/>
            <w:vAlign w:val="bottom"/>
          </w:tcPr>
          <w:p>
            <w:pPr>
              <w:ind w:left="20"/>
              <w:spacing w:after="0" w:line="129" w:lineRule="exact"/>
              <w:rPr>
                <w:sz w:val="20"/>
                <w:szCs w:val="20"/>
                <w:color w:val="auto"/>
              </w:rPr>
            </w:pPr>
            <w:r>
              <w:rPr>
                <w:rFonts w:ascii="Arial" w:cs="Arial" w:eastAsia="Arial" w:hAnsi="Arial"/>
                <w:sz w:val="13"/>
                <w:szCs w:val="13"/>
                <w:color w:val="auto"/>
              </w:rPr>
              <w:t>Net income (loss)</w:t>
            </w: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1,048</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(50)</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(10)</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4"/>
              </w:rPr>
              <w:t>(13)</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(110)</w:t>
            </w: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864</w:t>
            </w:r>
          </w:p>
        </w:tc>
        <w:tc>
          <w:tcPr>
            <w:tcW w:w="0" w:type="dxa"/>
            <w:vAlign w:val="bottom"/>
          </w:tcPr>
          <w:p>
            <w:pPr>
              <w:spacing w:after="0"/>
              <w:rPr>
                <w:sz w:val="1"/>
                <w:szCs w:val="1"/>
                <w:color w:val="auto"/>
              </w:rPr>
            </w:pPr>
          </w:p>
        </w:tc>
      </w:tr>
      <w:tr>
        <w:trPr>
          <w:trHeight w:val="121"/>
        </w:trPr>
        <w:tc>
          <w:tcPr>
            <w:tcW w:w="26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Less: net income (loss) attributable to non-</w:t>
            </w: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controlling interests</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20"/>
              <w:spacing w:after="0" w:line="121" w:lineRule="exact"/>
              <w:rPr>
                <w:sz w:val="20"/>
                <w:szCs w:val="20"/>
                <w:color w:val="auto"/>
              </w:rPr>
            </w:pPr>
            <w:r>
              <w:rPr>
                <w:rFonts w:ascii="Arial" w:cs="Arial" w:eastAsia="Arial" w:hAnsi="Arial"/>
                <w:sz w:val="13"/>
                <w:szCs w:val="13"/>
                <w:color w:val="auto"/>
              </w:rPr>
              <w:t>Net income (loss) attributable to Icahn</w:t>
            </w: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660" w:type="dxa"/>
            <w:vAlign w:val="bottom"/>
            <w:vMerge w:val="continue"/>
          </w:tcPr>
          <w:p>
            <w:pPr>
              <w:spacing w:after="0"/>
              <w:rPr>
                <w:sz w:val="8"/>
                <w:szCs w:val="8"/>
                <w:color w:val="auto"/>
              </w:rPr>
            </w:pP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479</w:t>
            </w:r>
          </w:p>
        </w:tc>
        <w:tc>
          <w:tcPr>
            <w:tcW w:w="140" w:type="dxa"/>
            <w:vAlign w:val="bottom"/>
          </w:tcPr>
          <w:p>
            <w:pPr>
              <w:spacing w:after="0"/>
              <w:rPr>
                <w:sz w:val="8"/>
                <w:szCs w:val="8"/>
                <w:color w:val="auto"/>
              </w:rPr>
            </w:pPr>
          </w:p>
        </w:tc>
        <w:tc>
          <w:tcPr>
            <w:tcW w:w="120" w:type="dxa"/>
            <w:vAlign w:val="bottom"/>
            <w:vMerge w:val="restart"/>
          </w:tcPr>
          <w:p>
            <w:pPr>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8"/>
                <w:szCs w:val="8"/>
                <w:color w:val="auto"/>
              </w:rPr>
            </w:pPr>
          </w:p>
        </w:tc>
        <w:tc>
          <w:tcPr>
            <w:tcW w:w="240" w:type="dxa"/>
            <w:vAlign w:val="bottom"/>
            <w:vMerge w:val="restart"/>
          </w:tcPr>
          <w:p>
            <w:pPr>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(50)</w:t>
            </w:r>
          </w:p>
        </w:tc>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(10)</w:t>
            </w:r>
          </w:p>
        </w:tc>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w w:val="94"/>
              </w:rPr>
              <w:t>(13)</w:t>
            </w: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w:t>
            </w:r>
          </w:p>
        </w:tc>
        <w:tc>
          <w:tcPr>
            <w:tcW w:w="180" w:type="dxa"/>
            <w:vAlign w:val="bottom"/>
            <w:vMerge w:val="restart"/>
          </w:tcPr>
          <w:p>
            <w:pPr>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tcPr>
          <w:p>
            <w:pPr>
              <w:ind w:left="10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(110)</w:t>
            </w:r>
          </w:p>
        </w:tc>
        <w:tc>
          <w:tcPr>
            <w:tcW w:w="240" w:type="dxa"/>
            <w:vAlign w:val="bottom"/>
            <w:vMerge w:val="restart"/>
          </w:tcPr>
          <w:p>
            <w:pPr>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176"/>
        </w:trPr>
        <w:tc>
          <w:tcPr>
            <w:tcW w:w="2660" w:type="dxa"/>
            <w:vAlign w:val="bottom"/>
          </w:tcPr>
          <w:p>
            <w:pPr>
              <w:ind w:left="140"/>
              <w:spacing w:after="0" w:line="136" w:lineRule="exact"/>
              <w:rPr>
                <w:sz w:val="20"/>
                <w:szCs w:val="20"/>
                <w:color w:val="auto"/>
              </w:rPr>
            </w:pPr>
            <w:r>
              <w:rPr>
                <w:rFonts w:ascii="Arial" w:cs="Arial" w:eastAsia="Arial" w:hAnsi="Arial"/>
                <w:sz w:val="13"/>
                <w:szCs w:val="13"/>
                <w:color w:val="auto"/>
              </w:rPr>
              <w:t>Enterprises</w:t>
            </w:r>
          </w:p>
        </w:tc>
        <w:tc>
          <w:tcPr>
            <w:tcW w:w="1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6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Supplemental information:</w:t>
            </w:r>
          </w:p>
        </w:tc>
        <w:tc>
          <w:tcPr>
            <w:tcW w:w="1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42</w:t>
            </w:r>
          </w:p>
        </w:tc>
        <w:tc>
          <w:tcPr>
            <w:tcW w:w="14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6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11"/>
          </w:tcPr>
          <w:p>
            <w:pPr>
              <w:ind w:left="100"/>
              <w:spacing w:after="0"/>
              <w:rPr>
                <w:sz w:val="20"/>
                <w:szCs w:val="20"/>
                <w:color w:val="auto"/>
              </w:rPr>
            </w:pPr>
            <w:r>
              <w:rPr>
                <w:rFonts w:ascii="Arial" w:cs="Arial" w:eastAsia="Arial" w:hAnsi="Arial"/>
                <w:sz w:val="13"/>
                <w:szCs w:val="13"/>
                <w:b w:val="1"/>
                <w:bCs w:val="1"/>
                <w:color w:val="auto"/>
              </w:rPr>
              <w:t>Six Months Ended June 30, 2021</w:t>
            </w: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80"/>
              <w:spacing w:after="0" w:line="110" w:lineRule="exact"/>
              <w:rPr>
                <w:sz w:val="20"/>
                <w:szCs w:val="20"/>
                <w:color w:val="auto"/>
              </w:rPr>
            </w:pPr>
            <w:r>
              <w:rPr>
                <w:rFonts w:ascii="Arial" w:cs="Arial" w:eastAsia="Arial" w:hAnsi="Arial"/>
                <w:sz w:val="12"/>
                <w:szCs w:val="12"/>
                <w:b w:val="1"/>
                <w:bCs w:val="1"/>
                <w:color w:val="auto"/>
                <w:w w:val="95"/>
              </w:rPr>
              <w:t>Food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Real</w:t>
            </w:r>
          </w:p>
        </w:tc>
        <w:tc>
          <w:tcPr>
            <w:tcW w:w="56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Home</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Investment</w:t>
            </w:r>
          </w:p>
        </w:tc>
        <w:tc>
          <w:tcPr>
            <w:tcW w:w="540" w:type="dxa"/>
            <w:vAlign w:val="bottom"/>
            <w:gridSpan w:val="3"/>
          </w:tcPr>
          <w:p>
            <w:pPr>
              <w:spacing w:after="0"/>
              <w:rPr>
                <w:sz w:val="20"/>
                <w:szCs w:val="20"/>
                <w:color w:val="auto"/>
              </w:rPr>
            </w:pPr>
            <w:r>
              <w:rPr>
                <w:rFonts w:ascii="Arial" w:cs="Arial" w:eastAsia="Arial" w:hAnsi="Arial"/>
                <w:sz w:val="13"/>
                <w:szCs w:val="13"/>
                <w:b w:val="1"/>
                <w:bCs w:val="1"/>
                <w:color w:val="auto"/>
              </w:rPr>
              <w:t>Energy</w:t>
            </w: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Automotive</w:t>
            </w: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Packaging</w:t>
            </w:r>
          </w:p>
        </w:tc>
        <w:tc>
          <w:tcPr>
            <w:tcW w:w="520" w:type="dxa"/>
            <w:vAlign w:val="bottom"/>
            <w:gridSpan w:val="3"/>
          </w:tcPr>
          <w:p>
            <w:pPr>
              <w:ind w:left="20"/>
              <w:spacing w:after="0"/>
              <w:rPr>
                <w:sz w:val="20"/>
                <w:szCs w:val="20"/>
                <w:color w:val="auto"/>
              </w:rPr>
            </w:pPr>
            <w:r>
              <w:rPr>
                <w:rFonts w:ascii="Arial" w:cs="Arial" w:eastAsia="Arial" w:hAnsi="Arial"/>
                <w:sz w:val="13"/>
                <w:szCs w:val="13"/>
                <w:b w:val="1"/>
                <w:bCs w:val="1"/>
                <w:color w:val="auto"/>
              </w:rPr>
              <w:t>Metals</w:t>
            </w:r>
          </w:p>
        </w:tc>
        <w:tc>
          <w:tcPr>
            <w:tcW w:w="480" w:type="dxa"/>
            <w:vAlign w:val="bottom"/>
            <w:gridSpan w:val="3"/>
          </w:tcPr>
          <w:p>
            <w:pPr>
              <w:spacing w:after="0"/>
              <w:rPr>
                <w:sz w:val="20"/>
                <w:szCs w:val="20"/>
                <w:color w:val="auto"/>
              </w:rPr>
            </w:pPr>
            <w:r>
              <w:rPr>
                <w:rFonts w:ascii="Arial" w:cs="Arial" w:eastAsia="Arial" w:hAnsi="Arial"/>
                <w:sz w:val="13"/>
                <w:szCs w:val="13"/>
                <w:b w:val="1"/>
                <w:bCs w:val="1"/>
                <w:color w:val="auto"/>
              </w:rPr>
              <w:t>Estate</w:t>
            </w: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rPr>
              <w:t>Fashion</w:t>
            </w:r>
          </w:p>
        </w:tc>
        <w:tc>
          <w:tcPr>
            <w:tcW w:w="580" w:type="dxa"/>
            <w:vAlign w:val="bottom"/>
            <w:gridSpan w:val="3"/>
          </w:tcPr>
          <w:p>
            <w:pPr>
              <w:spacing w:after="0"/>
              <w:rPr>
                <w:sz w:val="20"/>
                <w:szCs w:val="20"/>
                <w:color w:val="auto"/>
              </w:rPr>
            </w:pPr>
            <w:r>
              <w:rPr>
                <w:rFonts w:ascii="Arial" w:cs="Arial" w:eastAsia="Arial" w:hAnsi="Arial"/>
                <w:sz w:val="13"/>
                <w:szCs w:val="13"/>
                <w:b w:val="1"/>
                <w:bCs w:val="1"/>
                <w:color w:val="auto"/>
              </w:rPr>
              <w:t>Pharma</w:t>
            </w: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Company</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4"/>
          </w:tcPr>
          <w:p>
            <w:pPr>
              <w:jc w:val="right"/>
              <w:ind w:right="97"/>
              <w:spacing w:after="0" w:line="115" w:lineRule="exact"/>
              <w:rPr>
                <w:sz w:val="20"/>
                <w:szCs w:val="20"/>
                <w:color w:val="auto"/>
              </w:rPr>
            </w:pPr>
            <w:r>
              <w:rPr>
                <w:rFonts w:ascii="Arial" w:cs="Arial" w:eastAsia="Arial" w:hAnsi="Arial"/>
                <w:sz w:val="13"/>
                <w:szCs w:val="13"/>
                <w:color w:val="auto"/>
                <w:w w:val="91"/>
              </w:rPr>
              <w:t>(in millions)</w:t>
            </w:r>
          </w:p>
        </w:tc>
        <w:tc>
          <w:tcPr>
            <w:tcW w:w="1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Revenues:</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sales</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w w:val="85"/>
              </w:rPr>
              <w:t>3,246</w:t>
            </w:r>
          </w:p>
        </w:tc>
        <w:tc>
          <w:tcPr>
            <w:tcW w:w="14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937</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207</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273</w:t>
            </w:r>
          </w:p>
        </w:tc>
        <w:tc>
          <w:tcPr>
            <w:tcW w:w="14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92</w:t>
            </w:r>
          </w:p>
        </w:tc>
        <w:tc>
          <w:tcPr>
            <w:tcW w:w="12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47</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4,830</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gain from investment activities</w:t>
            </w:r>
          </w:p>
        </w:tc>
        <w:tc>
          <w:tcPr>
            <w:tcW w:w="1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1,114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83</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1,212</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(loss) income, net</w:t>
            </w:r>
          </w:p>
        </w:tc>
        <w:tc>
          <w:tcPr>
            <w:tcW w:w="16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28"/>
        </w:trPr>
        <w:tc>
          <w:tcPr>
            <w:tcW w:w="26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1,132</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3,329</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1,232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92</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6,372</w:t>
            </w:r>
          </w:p>
        </w:tc>
        <w:tc>
          <w:tcPr>
            <w:tcW w:w="0" w:type="dxa"/>
            <w:vAlign w:val="bottom"/>
          </w:tcPr>
          <w:p>
            <w:pPr>
              <w:spacing w:after="0"/>
              <w:rPr>
                <w:sz w:val="1"/>
                <w:szCs w:val="1"/>
                <w:color w:val="auto"/>
              </w:rPr>
            </w:pPr>
          </w:p>
        </w:tc>
      </w:tr>
      <w:tr>
        <w:trPr>
          <w:trHeight w:val="128"/>
        </w:trPr>
        <w:tc>
          <w:tcPr>
            <w:tcW w:w="2640" w:type="dxa"/>
            <w:vAlign w:val="bottom"/>
          </w:tcPr>
          <w:p>
            <w:pPr>
              <w:ind w:left="20"/>
              <w:spacing w:after="0" w:line="129" w:lineRule="exact"/>
              <w:rPr>
                <w:sz w:val="20"/>
                <w:szCs w:val="20"/>
                <w:color w:val="auto"/>
              </w:rPr>
            </w:pPr>
            <w:r>
              <w:rPr>
                <w:rFonts w:ascii="Arial" w:cs="Arial" w:eastAsia="Arial" w:hAnsi="Arial"/>
                <w:sz w:val="13"/>
                <w:szCs w:val="13"/>
                <w:color w:val="auto"/>
              </w:rPr>
              <w:t>Expenses:</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Cost of goods sold</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3,336</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4,537</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16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228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620</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Restructuring, net</w:t>
            </w:r>
          </w:p>
        </w:tc>
        <w:tc>
          <w:tcPr>
            <w:tcW w:w="16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Impairment</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1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117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61</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164</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353</w:t>
            </w:r>
          </w:p>
        </w:tc>
        <w:tc>
          <w:tcPr>
            <w:tcW w:w="0" w:type="dxa"/>
            <w:vAlign w:val="bottom"/>
          </w:tcPr>
          <w:p>
            <w:pPr>
              <w:spacing w:after="0"/>
              <w:rPr>
                <w:sz w:val="1"/>
                <w:szCs w:val="1"/>
                <w:color w:val="auto"/>
              </w:rPr>
            </w:pPr>
          </w:p>
        </w:tc>
      </w:tr>
      <w:tr>
        <w:trPr>
          <w:trHeight w:val="129"/>
        </w:trPr>
        <w:tc>
          <w:tcPr>
            <w:tcW w:w="26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3,466</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1,339</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262</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182</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5,759</w:t>
            </w:r>
          </w:p>
        </w:tc>
        <w:tc>
          <w:tcPr>
            <w:tcW w:w="0" w:type="dxa"/>
            <w:vAlign w:val="bottom"/>
          </w:tcPr>
          <w:p>
            <w:pPr>
              <w:spacing w:after="0"/>
              <w:rPr>
                <w:sz w:val="1"/>
                <w:szCs w:val="1"/>
                <w:color w:val="auto"/>
              </w:rPr>
            </w:pPr>
          </w:p>
        </w:tc>
      </w:tr>
      <w:tr>
        <w:trPr>
          <w:trHeight w:val="101"/>
        </w:trPr>
        <w:tc>
          <w:tcPr>
            <w:tcW w:w="2640" w:type="dxa"/>
            <w:vAlign w:val="bottom"/>
          </w:tcPr>
          <w:p>
            <w:pPr>
              <w:ind w:left="20"/>
              <w:spacing w:after="0" w:line="101" w:lineRule="exact"/>
              <w:rPr>
                <w:sz w:val="20"/>
                <w:szCs w:val="20"/>
                <w:color w:val="auto"/>
              </w:rPr>
            </w:pPr>
            <w:r>
              <w:rPr>
                <w:rFonts w:ascii="Arial" w:cs="Arial" w:eastAsia="Arial" w:hAnsi="Arial"/>
                <w:sz w:val="10"/>
                <w:szCs w:val="10"/>
                <w:color w:val="auto"/>
              </w:rPr>
              <w:t>Income (loss) before income tax benefit</w:t>
            </w: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140"/>
              <w:spacing w:after="0"/>
              <w:rPr>
                <w:sz w:val="20"/>
                <w:szCs w:val="20"/>
                <w:color w:val="auto"/>
              </w:rPr>
            </w:pPr>
            <w:r>
              <w:rPr>
                <w:rFonts w:ascii="Arial" w:cs="Arial" w:eastAsia="Arial" w:hAnsi="Arial"/>
                <w:sz w:val="13"/>
                <w:szCs w:val="13"/>
                <w:color w:val="auto"/>
              </w:rPr>
              <w:t>(expense)</w:t>
            </w:r>
          </w:p>
        </w:tc>
        <w:tc>
          <w:tcPr>
            <w:tcW w:w="1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1,007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(137)</w:t>
            </w:r>
          </w:p>
        </w:tc>
        <w:tc>
          <w:tcPr>
            <w:tcW w:w="2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(6)</w:t>
            </w:r>
          </w:p>
        </w:tc>
        <w:tc>
          <w:tcPr>
            <w:tcW w:w="1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(161)</w:t>
            </w: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613</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Income tax benefit (expense)</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(152)</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28"/>
        </w:trPr>
        <w:tc>
          <w:tcPr>
            <w:tcW w:w="2640" w:type="dxa"/>
            <w:vAlign w:val="bottom"/>
          </w:tcPr>
          <w:p>
            <w:pPr>
              <w:ind w:left="20"/>
              <w:spacing w:after="0" w:line="129" w:lineRule="exact"/>
              <w:rPr>
                <w:sz w:val="20"/>
                <w:szCs w:val="20"/>
                <w:color w:val="auto"/>
              </w:rPr>
            </w:pPr>
            <w:r>
              <w:rPr>
                <w:rFonts w:ascii="Arial" w:cs="Arial" w:eastAsia="Arial" w:hAnsi="Arial"/>
                <w:sz w:val="13"/>
                <w:szCs w:val="13"/>
                <w:color w:val="auto"/>
              </w:rPr>
              <w:t>Net income (loss)</w:t>
            </w: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1,007</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(81)</w:t>
            </w: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(84)</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12</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(313)</w:t>
            </w: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537</w:t>
            </w:r>
          </w:p>
        </w:tc>
        <w:tc>
          <w:tcPr>
            <w:tcW w:w="0" w:type="dxa"/>
            <w:vAlign w:val="bottom"/>
          </w:tcPr>
          <w:p>
            <w:pPr>
              <w:spacing w:after="0"/>
              <w:rPr>
                <w:sz w:val="1"/>
                <w:szCs w:val="1"/>
                <w:color w:val="auto"/>
              </w:rPr>
            </w:pPr>
          </w:p>
        </w:tc>
      </w:tr>
      <w:tr>
        <w:trPr>
          <w:trHeight w:val="121"/>
        </w:trPr>
        <w:tc>
          <w:tcPr>
            <w:tcW w:w="26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Less: net income (loss) attributable to non-</w:t>
            </w: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controlling interests</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20"/>
        </w:trPr>
        <w:tc>
          <w:tcPr>
            <w:tcW w:w="2640" w:type="dxa"/>
            <w:vAlign w:val="bottom"/>
            <w:vMerge w:val="restart"/>
          </w:tcPr>
          <w:p>
            <w:pPr>
              <w:ind w:left="20"/>
              <w:spacing w:after="0" w:line="121" w:lineRule="exact"/>
              <w:rPr>
                <w:sz w:val="20"/>
                <w:szCs w:val="20"/>
                <w:color w:val="auto"/>
              </w:rPr>
            </w:pPr>
            <w:r>
              <w:rPr>
                <w:rFonts w:ascii="Arial" w:cs="Arial" w:eastAsia="Arial" w:hAnsi="Arial"/>
                <w:sz w:val="13"/>
                <w:szCs w:val="13"/>
                <w:color w:val="auto"/>
              </w:rPr>
              <w:t>Net income (loss) attributable to Icahn</w:t>
            </w: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640" w:type="dxa"/>
            <w:vAlign w:val="bottom"/>
            <w:vMerge w:val="continue"/>
          </w:tcPr>
          <w:p>
            <w:pPr>
              <w:spacing w:after="0"/>
              <w:rPr>
                <w:sz w:val="8"/>
                <w:szCs w:val="8"/>
                <w:color w:val="auto"/>
              </w:rPr>
            </w:pP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459</w:t>
            </w:r>
          </w:p>
        </w:tc>
        <w:tc>
          <w:tcPr>
            <w:tcW w:w="140" w:type="dxa"/>
            <w:vAlign w:val="bottom"/>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(44)</w:t>
            </w:r>
          </w:p>
        </w:tc>
        <w:tc>
          <w:tcPr>
            <w:tcW w:w="200" w:type="dxa"/>
            <w:vAlign w:val="bottom"/>
            <w:vMerge w:val="restart"/>
          </w:tcPr>
          <w:p>
            <w:pPr>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(84)</w:t>
            </w:r>
          </w:p>
        </w:tc>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8"/>
                <w:szCs w:val="8"/>
                <w:color w:val="auto"/>
              </w:rPr>
            </w:pPr>
          </w:p>
        </w:tc>
        <w:tc>
          <w:tcPr>
            <w:tcW w:w="120" w:type="dxa"/>
            <w:vAlign w:val="bottom"/>
            <w:vMerge w:val="restart"/>
          </w:tcPr>
          <w:p>
            <w:pPr>
              <w:spacing w:after="0"/>
              <w:rPr>
                <w:sz w:val="20"/>
                <w:szCs w:val="20"/>
                <w:color w:val="auto"/>
              </w:rPr>
            </w:pPr>
            <w:r>
              <w:rPr>
                <w:rFonts w:ascii="Arial" w:cs="Arial" w:eastAsia="Arial" w:hAnsi="Arial"/>
                <w:sz w:val="13"/>
                <w:szCs w:val="13"/>
                <w:color w:val="auto"/>
              </w:rPr>
              <w:t>$</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(5)</w:t>
            </w: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(6)</w:t>
            </w:r>
          </w:p>
        </w:tc>
        <w:tc>
          <w:tcPr>
            <w:tcW w:w="180" w:type="dxa"/>
            <w:vAlign w:val="bottom"/>
            <w:vMerge w:val="restart"/>
          </w:tcPr>
          <w:p>
            <w:pPr>
              <w:spacing w:after="0"/>
              <w:rPr>
                <w:sz w:val="20"/>
                <w:szCs w:val="20"/>
                <w:color w:val="auto"/>
              </w:rPr>
            </w:pPr>
            <w:r>
              <w:rPr>
                <w:rFonts w:ascii="Arial" w:cs="Arial" w:eastAsia="Arial" w:hAnsi="Arial"/>
                <w:sz w:val="13"/>
                <w:szCs w:val="13"/>
                <w:color w:val="auto"/>
              </w:rPr>
              <w:t>$</w:t>
            </w: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8"/>
                <w:szCs w:val="8"/>
                <w:color w:val="auto"/>
              </w:rPr>
            </w:pP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(313)</w:t>
            </w:r>
          </w:p>
        </w:tc>
        <w:tc>
          <w:tcPr>
            <w:tcW w:w="240" w:type="dxa"/>
            <w:vAlign w:val="bottom"/>
            <w:vMerge w:val="restart"/>
          </w:tcPr>
          <w:p>
            <w:pPr>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76"/>
        </w:trPr>
        <w:tc>
          <w:tcPr>
            <w:tcW w:w="2640" w:type="dxa"/>
            <w:vAlign w:val="bottom"/>
          </w:tcPr>
          <w:p>
            <w:pPr>
              <w:ind w:left="140"/>
              <w:spacing w:after="0" w:line="136" w:lineRule="exact"/>
              <w:rPr>
                <w:sz w:val="20"/>
                <w:szCs w:val="20"/>
                <w:color w:val="auto"/>
              </w:rPr>
            </w:pPr>
            <w:r>
              <w:rPr>
                <w:rFonts w:ascii="Arial" w:cs="Arial" w:eastAsia="Arial" w:hAnsi="Arial"/>
                <w:sz w:val="13"/>
                <w:szCs w:val="13"/>
                <w:color w:val="auto"/>
              </w:rPr>
              <w:t>Enterprises</w:t>
            </w:r>
          </w:p>
        </w:tc>
        <w:tc>
          <w:tcPr>
            <w:tcW w:w="1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64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Supplemental information:</w:t>
            </w:r>
          </w:p>
        </w:tc>
        <w:tc>
          <w:tcPr>
            <w:tcW w:w="1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126</w:t>
            </w:r>
          </w:p>
        </w:tc>
        <w:tc>
          <w:tcPr>
            <w:tcW w:w="14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170</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9"/>
          </w:tcPr>
          <w:p>
            <w:pPr>
              <w:ind w:left="80"/>
              <w:spacing w:after="0"/>
              <w:rPr>
                <w:sz w:val="20"/>
                <w:szCs w:val="20"/>
                <w:color w:val="auto"/>
              </w:rPr>
            </w:pPr>
            <w:r>
              <w:rPr>
                <w:rFonts w:ascii="Arial" w:cs="Arial" w:eastAsia="Arial" w:hAnsi="Arial"/>
                <w:sz w:val="13"/>
                <w:szCs w:val="13"/>
                <w:b w:val="1"/>
                <w:bCs w:val="1"/>
                <w:color w:val="auto"/>
                <w:w w:val="88"/>
              </w:rPr>
              <w:t>Six Months Ended June 30, 2020</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r>
      <w:tr>
        <w:trPr>
          <w:trHeight w:val="110"/>
        </w:trPr>
        <w:tc>
          <w:tcPr>
            <w:tcW w:w="2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77"/>
              <w:spacing w:after="0" w:line="110" w:lineRule="exact"/>
              <w:rPr>
                <w:sz w:val="20"/>
                <w:szCs w:val="20"/>
                <w:color w:val="auto"/>
              </w:rPr>
            </w:pPr>
            <w:r>
              <w:rPr>
                <w:rFonts w:ascii="Arial" w:cs="Arial" w:eastAsia="Arial" w:hAnsi="Arial"/>
                <w:sz w:val="12"/>
                <w:szCs w:val="12"/>
                <w:b w:val="1"/>
                <w:bCs w:val="1"/>
                <w:color w:val="auto"/>
              </w:rPr>
              <w:t>Food</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jc w:val="right"/>
              <w:ind w:right="37"/>
              <w:spacing w:after="0" w:line="110" w:lineRule="exact"/>
              <w:rPr>
                <w:sz w:val="20"/>
                <w:szCs w:val="20"/>
                <w:color w:val="auto"/>
              </w:rPr>
            </w:pPr>
            <w:r>
              <w:rPr>
                <w:rFonts w:ascii="Arial" w:cs="Arial" w:eastAsia="Arial" w:hAnsi="Arial"/>
                <w:sz w:val="12"/>
                <w:szCs w:val="12"/>
                <w:b w:val="1"/>
                <w:bCs w:val="1"/>
                <w:color w:val="auto"/>
                <w:w w:val="86"/>
              </w:rPr>
              <w:t>Real</w:t>
            </w:r>
          </w:p>
        </w:tc>
        <w:tc>
          <w:tcPr>
            <w:tcW w:w="120" w:type="dxa"/>
            <w:vAlign w:val="bottom"/>
          </w:tcPr>
          <w:p>
            <w:pPr>
              <w:spacing w:after="0"/>
              <w:rPr>
                <w:sz w:val="9"/>
                <w:szCs w:val="9"/>
                <w:color w:val="auto"/>
              </w:rPr>
            </w:pPr>
          </w:p>
        </w:tc>
        <w:tc>
          <w:tcPr>
            <w:tcW w:w="44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Home</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Holding</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53"/>
        </w:trPr>
        <w:tc>
          <w:tcPr>
            <w:tcW w:w="2440" w:type="dxa"/>
            <w:vAlign w:val="bottom"/>
          </w:tcPr>
          <w:p>
            <w:pPr>
              <w:spacing w:after="0"/>
              <w:rPr>
                <w:sz w:val="13"/>
                <w:szCs w:val="13"/>
                <w:color w:val="auto"/>
              </w:rPr>
            </w:pPr>
          </w:p>
        </w:tc>
        <w:tc>
          <w:tcPr>
            <w:tcW w:w="900" w:type="dxa"/>
            <w:vAlign w:val="bottom"/>
            <w:gridSpan w:val="4"/>
          </w:tcPr>
          <w:p>
            <w:pPr>
              <w:ind w:left="220"/>
              <w:spacing w:after="0"/>
              <w:rPr>
                <w:sz w:val="20"/>
                <w:szCs w:val="20"/>
                <w:color w:val="auto"/>
              </w:rPr>
            </w:pPr>
            <w:r>
              <w:rPr>
                <w:rFonts w:ascii="Arial" w:cs="Arial" w:eastAsia="Arial" w:hAnsi="Arial"/>
                <w:sz w:val="13"/>
                <w:szCs w:val="13"/>
                <w:b w:val="1"/>
                <w:bCs w:val="1"/>
                <w:color w:val="auto"/>
                <w:w w:val="96"/>
              </w:rPr>
              <w:t>Investment</w:t>
            </w:r>
          </w:p>
        </w:tc>
        <w:tc>
          <w:tcPr>
            <w:tcW w:w="60" w:type="dxa"/>
            <w:vAlign w:val="bottom"/>
          </w:tcPr>
          <w:p>
            <w:pPr>
              <w:spacing w:after="0"/>
              <w:rPr>
                <w:sz w:val="13"/>
                <w:szCs w:val="13"/>
                <w:color w:val="auto"/>
              </w:rPr>
            </w:pPr>
          </w:p>
        </w:tc>
        <w:tc>
          <w:tcPr>
            <w:tcW w:w="42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Energy</w:t>
            </w:r>
          </w:p>
        </w:tc>
        <w:tc>
          <w:tcPr>
            <w:tcW w:w="780" w:type="dxa"/>
            <w:vAlign w:val="bottom"/>
            <w:gridSpan w:val="3"/>
          </w:tcPr>
          <w:p>
            <w:pPr>
              <w:jc w:val="right"/>
              <w:spacing w:after="0"/>
              <w:rPr>
                <w:sz w:val="20"/>
                <w:szCs w:val="20"/>
                <w:color w:val="auto"/>
              </w:rPr>
            </w:pPr>
            <w:r>
              <w:rPr>
                <w:rFonts w:ascii="Arial" w:cs="Arial" w:eastAsia="Arial" w:hAnsi="Arial"/>
                <w:sz w:val="13"/>
                <w:szCs w:val="13"/>
                <w:b w:val="1"/>
                <w:bCs w:val="1"/>
                <w:color w:val="auto"/>
              </w:rPr>
              <w:t>Automotive</w:t>
            </w:r>
          </w:p>
        </w:tc>
        <w:tc>
          <w:tcPr>
            <w:tcW w:w="680" w:type="dxa"/>
            <w:vAlign w:val="bottom"/>
            <w:gridSpan w:val="3"/>
          </w:tcPr>
          <w:p>
            <w:pPr>
              <w:ind w:left="120"/>
              <w:spacing w:after="0"/>
              <w:rPr>
                <w:sz w:val="20"/>
                <w:szCs w:val="20"/>
                <w:color w:val="auto"/>
              </w:rPr>
            </w:pPr>
            <w:r>
              <w:rPr>
                <w:rFonts w:ascii="Arial" w:cs="Arial" w:eastAsia="Arial" w:hAnsi="Arial"/>
                <w:sz w:val="13"/>
                <w:szCs w:val="13"/>
                <w:b w:val="1"/>
                <w:bCs w:val="1"/>
                <w:color w:val="auto"/>
                <w:w w:val="82"/>
              </w:rPr>
              <w:t>Packaging</w:t>
            </w:r>
          </w:p>
        </w:tc>
        <w:tc>
          <w:tcPr>
            <w:tcW w:w="14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b w:val="1"/>
                <w:bCs w:val="1"/>
                <w:color w:val="auto"/>
                <w:w w:val="83"/>
              </w:rPr>
              <w:t>Metals</w:t>
            </w:r>
          </w:p>
        </w:tc>
        <w:tc>
          <w:tcPr>
            <w:tcW w:w="12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Estate</w:t>
            </w:r>
          </w:p>
        </w:tc>
        <w:tc>
          <w:tcPr>
            <w:tcW w:w="560" w:type="dxa"/>
            <w:vAlign w:val="bottom"/>
            <w:gridSpan w:val="3"/>
          </w:tcPr>
          <w:p>
            <w:pPr>
              <w:ind w:left="120"/>
              <w:spacing w:after="0"/>
              <w:rPr>
                <w:sz w:val="20"/>
                <w:szCs w:val="20"/>
                <w:color w:val="auto"/>
              </w:rPr>
            </w:pPr>
            <w:r>
              <w:rPr>
                <w:rFonts w:ascii="Arial" w:cs="Arial" w:eastAsia="Arial" w:hAnsi="Arial"/>
                <w:sz w:val="13"/>
                <w:szCs w:val="13"/>
                <w:b w:val="1"/>
                <w:bCs w:val="1"/>
                <w:color w:val="auto"/>
                <w:w w:val="84"/>
              </w:rPr>
              <w:t>Fashion</w:t>
            </w:r>
          </w:p>
        </w:tc>
        <w:tc>
          <w:tcPr>
            <w:tcW w:w="560" w:type="dxa"/>
            <w:vAlign w:val="bottom"/>
            <w:gridSpan w:val="3"/>
          </w:tcPr>
          <w:p>
            <w:pPr>
              <w:ind w:left="120"/>
              <w:spacing w:after="0"/>
              <w:rPr>
                <w:sz w:val="20"/>
                <w:szCs w:val="20"/>
                <w:color w:val="auto"/>
              </w:rPr>
            </w:pPr>
            <w:r>
              <w:rPr>
                <w:rFonts w:ascii="Arial" w:cs="Arial" w:eastAsia="Arial" w:hAnsi="Arial"/>
                <w:sz w:val="13"/>
                <w:szCs w:val="13"/>
                <w:b w:val="1"/>
                <w:bCs w:val="1"/>
                <w:color w:val="auto"/>
                <w:w w:val="87"/>
              </w:rPr>
              <w:t>Pharma</w:t>
            </w:r>
          </w:p>
        </w:tc>
        <w:tc>
          <w:tcPr>
            <w:tcW w:w="1440" w:type="dxa"/>
            <w:vAlign w:val="bottom"/>
            <w:gridSpan w:val="6"/>
          </w:tcPr>
          <w:p>
            <w:pPr>
              <w:ind w:left="140"/>
              <w:spacing w:after="0"/>
              <w:rPr>
                <w:sz w:val="20"/>
                <w:szCs w:val="20"/>
                <w:color w:val="auto"/>
              </w:rPr>
            </w:pPr>
            <w:r>
              <w:rPr>
                <w:rFonts w:ascii="Arial" w:cs="Arial" w:eastAsia="Arial" w:hAnsi="Arial"/>
                <w:sz w:val="13"/>
                <w:szCs w:val="13"/>
                <w:b w:val="1"/>
                <w:bCs w:val="1"/>
                <w:color w:val="auto"/>
                <w:w w:val="88"/>
              </w:rPr>
              <w:t>Company Consolidated</w:t>
            </w:r>
          </w:p>
        </w:tc>
      </w:tr>
      <w:tr>
        <w:trPr>
          <w:trHeight w:val="20"/>
        </w:trPr>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115"/>
        </w:trPr>
        <w:tc>
          <w:tcPr>
            <w:tcW w:w="2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4"/>
          </w:tcPr>
          <w:p>
            <w:pPr>
              <w:jc w:val="right"/>
              <w:ind w:right="37"/>
              <w:spacing w:after="0" w:line="115" w:lineRule="exact"/>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35"/>
        </w:trPr>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Revenues:</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35"/>
        </w:trPr>
        <w:tc>
          <w:tcPr>
            <w:tcW w:w="2440" w:type="dxa"/>
            <w:vAlign w:val="bottom"/>
          </w:tcPr>
          <w:p>
            <w:pPr>
              <w:ind w:left="100"/>
              <w:spacing w:after="0" w:line="135" w:lineRule="exact"/>
              <w:rPr>
                <w:sz w:val="20"/>
                <w:szCs w:val="20"/>
                <w:color w:val="auto"/>
              </w:rPr>
            </w:pPr>
            <w:r>
              <w:rPr>
                <w:rFonts w:ascii="Arial" w:cs="Arial" w:eastAsia="Arial" w:hAnsi="Arial"/>
                <w:sz w:val="13"/>
                <w:szCs w:val="13"/>
                <w:color w:val="auto"/>
              </w:rPr>
              <w:t>Net sales</w:t>
            </w:r>
          </w:p>
        </w:tc>
        <w:tc>
          <w:tcPr>
            <w:tcW w:w="420" w:type="dxa"/>
            <w:vAlign w:val="bottom"/>
            <w:gridSpan w:val="2"/>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85"/>
              </w:rPr>
              <w:t>1,806</w:t>
            </w:r>
          </w:p>
        </w:tc>
        <w:tc>
          <w:tcPr>
            <w:tcW w:w="320" w:type="dxa"/>
            <w:vAlign w:val="bottom"/>
            <w:gridSpan w:val="2"/>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955</w:t>
            </w:r>
          </w:p>
        </w:tc>
        <w:tc>
          <w:tcPr>
            <w:tcW w:w="2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202</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w w:val="92"/>
              </w:rPr>
              <w:t>120</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3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w w:val="96"/>
              </w:rPr>
              <w:t>87</w:t>
            </w:r>
          </w:p>
        </w:tc>
        <w:tc>
          <w:tcPr>
            <w:tcW w:w="300" w:type="dxa"/>
            <w:vAlign w:val="bottom"/>
            <w:gridSpan w:val="2"/>
          </w:tcPr>
          <w:p>
            <w:pPr>
              <w:jc w:val="right"/>
              <w:ind w:right="48"/>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08"/>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3,187</w:t>
            </w:r>
          </w:p>
        </w:tc>
      </w:tr>
      <w:tr>
        <w:trPr>
          <w:trHeight w:val="135"/>
        </w:trPr>
        <w:tc>
          <w:tcPr>
            <w:tcW w:w="2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revenues from operations</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297</w:t>
            </w:r>
          </w:p>
        </w:tc>
      </w:tr>
      <w:tr>
        <w:trPr>
          <w:trHeight w:val="135"/>
        </w:trPr>
        <w:tc>
          <w:tcPr>
            <w:tcW w:w="2440" w:type="dxa"/>
            <w:vAlign w:val="bottom"/>
          </w:tcPr>
          <w:p>
            <w:pPr>
              <w:ind w:left="100"/>
              <w:spacing w:after="0" w:line="135" w:lineRule="exact"/>
              <w:rPr>
                <w:sz w:val="20"/>
                <w:szCs w:val="20"/>
                <w:color w:val="auto"/>
              </w:rPr>
            </w:pPr>
            <w:r>
              <w:rPr>
                <w:rFonts w:ascii="Arial" w:cs="Arial" w:eastAsia="Arial" w:hAnsi="Arial"/>
                <w:sz w:val="13"/>
                <w:szCs w:val="13"/>
                <w:color w:val="auto"/>
                <w:w w:val="99"/>
              </w:rPr>
              <w:t>Net (loss) gain from investment activities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(727)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(214)</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(893)</w:t>
            </w:r>
          </w:p>
        </w:tc>
      </w:tr>
      <w:tr>
        <w:trPr>
          <w:trHeight w:val="135"/>
        </w:trPr>
        <w:tc>
          <w:tcPr>
            <w:tcW w:w="2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and dividend income</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w:t>
            </w:r>
          </w:p>
        </w:tc>
      </w:tr>
      <w:tr>
        <w:trPr>
          <w:trHeight w:val="135"/>
        </w:trPr>
        <w:tc>
          <w:tcPr>
            <w:tcW w:w="244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Other (loss) income, net</w:t>
            </w:r>
          </w:p>
        </w:tc>
        <w:tc>
          <w:tcPr>
            <w:tcW w:w="2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w:t>
            </w:r>
          </w:p>
        </w:tc>
        <w:tc>
          <w:tcPr>
            <w:tcW w:w="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(31)</w:t>
            </w:r>
          </w:p>
        </w:tc>
      </w:tr>
      <w:tr>
        <w:trPr>
          <w:trHeight w:val="128"/>
        </w:trPr>
        <w:tc>
          <w:tcPr>
            <w:tcW w:w="2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1,851</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1,217</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192</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120</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90</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(205)</w:t>
            </w:r>
          </w:p>
        </w:tc>
        <w:tc>
          <w:tcPr>
            <w:tcW w:w="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2,649</w:t>
            </w:r>
          </w:p>
        </w:tc>
      </w:tr>
      <w:tr>
        <w:trPr>
          <w:trHeight w:val="129"/>
        </w:trPr>
        <w:tc>
          <w:tcPr>
            <w:tcW w:w="2440" w:type="dxa"/>
            <w:vAlign w:val="bottom"/>
          </w:tcPr>
          <w:p>
            <w:pPr>
              <w:spacing w:after="0" w:line="129" w:lineRule="exact"/>
              <w:rPr>
                <w:sz w:val="20"/>
                <w:szCs w:val="20"/>
                <w:color w:val="auto"/>
              </w:rPr>
            </w:pPr>
            <w:r>
              <w:rPr>
                <w:rFonts w:ascii="Arial" w:cs="Arial" w:eastAsia="Arial" w:hAnsi="Arial"/>
                <w:sz w:val="13"/>
                <w:szCs w:val="13"/>
                <w:color w:val="auto"/>
              </w:rPr>
              <w:t>Expenses: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Cost of goods sold</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1,894</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124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69</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2,944</w:t>
            </w:r>
          </w:p>
        </w:tc>
      </w:tr>
      <w:tr>
        <w:trPr>
          <w:trHeight w:val="135"/>
        </w:trPr>
        <w:tc>
          <w:tcPr>
            <w:tcW w:w="2440" w:type="dxa"/>
            <w:vAlign w:val="bottom"/>
          </w:tcPr>
          <w:p>
            <w:pPr>
              <w:ind w:left="100"/>
              <w:spacing w:after="0" w:line="135" w:lineRule="exact"/>
              <w:rPr>
                <w:sz w:val="20"/>
                <w:szCs w:val="20"/>
                <w:color w:val="auto"/>
              </w:rPr>
            </w:pPr>
            <w:r>
              <w:rPr>
                <w:rFonts w:ascii="Arial" w:cs="Arial" w:eastAsia="Arial" w:hAnsi="Arial"/>
                <w:sz w:val="13"/>
                <w:szCs w:val="13"/>
                <w:color w:val="auto"/>
              </w:rPr>
              <w:t>Other expenses from operations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243</w:t>
            </w:r>
          </w:p>
        </w:tc>
      </w:tr>
      <w:tr>
        <w:trPr>
          <w:trHeight w:val="135"/>
        </w:trPr>
        <w:tc>
          <w:tcPr>
            <w:tcW w:w="2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Selling, general and administrative</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20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598</w:t>
            </w:r>
          </w:p>
        </w:tc>
      </w:tr>
      <w:tr>
        <w:trPr>
          <w:trHeight w:val="135"/>
        </w:trPr>
        <w:tc>
          <w:tcPr>
            <w:tcW w:w="2440" w:type="dxa"/>
            <w:vAlign w:val="bottom"/>
          </w:tcPr>
          <w:p>
            <w:pPr>
              <w:ind w:left="100"/>
              <w:spacing w:after="0" w:line="135" w:lineRule="exact"/>
              <w:rPr>
                <w:sz w:val="20"/>
                <w:szCs w:val="20"/>
                <w:color w:val="auto"/>
              </w:rPr>
            </w:pPr>
            <w:r>
              <w:rPr>
                <w:rFonts w:ascii="Arial" w:cs="Arial" w:eastAsia="Arial" w:hAnsi="Arial"/>
                <w:sz w:val="13"/>
                <w:szCs w:val="13"/>
                <w:color w:val="auto"/>
              </w:rPr>
              <w:t>Restructuring, net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r>
      <w:tr>
        <w:trPr>
          <w:trHeight w:val="135"/>
        </w:trPr>
        <w:tc>
          <w:tcPr>
            <w:tcW w:w="2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Impairment</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r>
      <w:tr>
        <w:trPr>
          <w:trHeight w:val="135"/>
        </w:trPr>
        <w:tc>
          <w:tcPr>
            <w:tcW w:w="244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Interest expense</w:t>
            </w:r>
          </w:p>
        </w:tc>
        <w:tc>
          <w:tcPr>
            <w:tcW w:w="2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94</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62</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174</w:t>
            </w:r>
          </w:p>
        </w:tc>
        <w:tc>
          <w:tcPr>
            <w:tcW w:w="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346</w:t>
            </w:r>
          </w:p>
        </w:tc>
      </w:tr>
      <w:tr>
        <w:trPr>
          <w:trHeight w:val="128"/>
        </w:trPr>
        <w:tc>
          <w:tcPr>
            <w:tcW w:w="2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2,017</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1,371</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191</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133</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w:t>
            </w:r>
          </w:p>
        </w:tc>
        <w:tc>
          <w:tcPr>
            <w:tcW w:w="1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93</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188</w:t>
            </w:r>
          </w:p>
        </w:tc>
        <w:tc>
          <w:tcPr>
            <w:tcW w:w="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4,143</w:t>
            </w:r>
          </w:p>
        </w:tc>
      </w:tr>
      <w:tr>
        <w:trPr>
          <w:trHeight w:val="101"/>
        </w:trPr>
        <w:tc>
          <w:tcPr>
            <w:tcW w:w="2440" w:type="dxa"/>
            <w:vAlign w:val="bottom"/>
          </w:tcPr>
          <w:p>
            <w:pPr>
              <w:spacing w:after="0" w:line="101" w:lineRule="exact"/>
              <w:rPr>
                <w:sz w:val="20"/>
                <w:szCs w:val="20"/>
                <w:color w:val="auto"/>
              </w:rPr>
            </w:pPr>
            <w:r>
              <w:rPr>
                <w:rFonts w:ascii="Arial" w:cs="Arial" w:eastAsia="Arial" w:hAnsi="Arial"/>
                <w:sz w:val="10"/>
                <w:szCs w:val="10"/>
                <w:color w:val="auto"/>
              </w:rPr>
              <w:t>(Loss) income before income tax benefit</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149"/>
        </w:trPr>
        <w:tc>
          <w:tcPr>
            <w:tcW w:w="2440" w:type="dxa"/>
            <w:vAlign w:val="bottom"/>
          </w:tcPr>
          <w:p>
            <w:pPr>
              <w:ind w:left="120"/>
              <w:spacing w:after="0"/>
              <w:rPr>
                <w:sz w:val="20"/>
                <w:szCs w:val="20"/>
                <w:color w:val="auto"/>
              </w:rPr>
            </w:pPr>
            <w:r>
              <w:rPr>
                <w:rFonts w:ascii="Arial" w:cs="Arial" w:eastAsia="Arial" w:hAnsi="Arial"/>
                <w:sz w:val="13"/>
                <w:szCs w:val="13"/>
                <w:color w:val="auto"/>
              </w:rPr>
              <w:t>(expense)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(754)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(166)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ind w:lef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(393)</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(1,494)</w:t>
            </w:r>
          </w:p>
        </w:tc>
      </w:tr>
      <w:tr>
        <w:trPr>
          <w:trHeight w:val="135"/>
        </w:trPr>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Income tax benefit (expense)</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w:t>
            </w:r>
          </w:p>
        </w:tc>
      </w:tr>
      <w:tr>
        <w:trPr>
          <w:trHeight w:val="128"/>
        </w:trPr>
        <w:tc>
          <w:tcPr>
            <w:tcW w:w="2440" w:type="dxa"/>
            <w:vAlign w:val="bottom"/>
          </w:tcPr>
          <w:p>
            <w:pPr>
              <w:spacing w:after="0" w:line="129" w:lineRule="exact"/>
              <w:rPr>
                <w:sz w:val="20"/>
                <w:szCs w:val="20"/>
                <w:color w:val="auto"/>
              </w:rPr>
            </w:pPr>
            <w:r>
              <w:rPr>
                <w:rFonts w:ascii="Arial" w:cs="Arial" w:eastAsia="Arial" w:hAnsi="Arial"/>
                <w:sz w:val="13"/>
                <w:szCs w:val="13"/>
                <w:color w:val="auto"/>
              </w:rPr>
              <w:t>Net loss</w:t>
            </w: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(754)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(116)</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(123)</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(13)</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(420)</w:t>
            </w:r>
          </w:p>
        </w:tc>
        <w:tc>
          <w:tcPr>
            <w:tcW w:w="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(1,442)</w:t>
            </w:r>
          </w:p>
        </w:tc>
      </w:tr>
      <w:tr>
        <w:trPr>
          <w:trHeight w:val="121"/>
        </w:trPr>
        <w:tc>
          <w:tcPr>
            <w:tcW w:w="24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Less: net loss attributable to non-controlling</w:t>
            </w: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49"/>
        </w:trPr>
        <w:tc>
          <w:tcPr>
            <w:tcW w:w="2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interests</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w:t>
            </w:r>
          </w:p>
        </w:tc>
      </w:tr>
      <w:tr>
        <w:trPr>
          <w:trHeight w:val="169"/>
        </w:trPr>
        <w:tc>
          <w:tcPr>
            <w:tcW w:w="244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Net loss attributable to Icahn Enterprises</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(447)</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(67)</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(123)</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(420)</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(1,085)</w:t>
            </w:r>
          </w:p>
        </w:tc>
      </w:tr>
      <w:tr>
        <w:trPr>
          <w:trHeight w:val="115"/>
        </w:trPr>
        <w:tc>
          <w:tcPr>
            <w:tcW w:w="244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Supplemental information:</w:t>
            </w: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35"/>
        </w:trPr>
        <w:tc>
          <w:tcPr>
            <w:tcW w:w="2440" w:type="dxa"/>
            <w:vAlign w:val="bottom"/>
          </w:tcPr>
          <w:p>
            <w:pPr>
              <w:ind w:left="100"/>
              <w:spacing w:after="0" w:line="135" w:lineRule="exact"/>
              <w:rPr>
                <w:sz w:val="20"/>
                <w:szCs w:val="20"/>
                <w:color w:val="auto"/>
              </w:rPr>
            </w:pPr>
            <w:r>
              <w:rPr>
                <w:rFonts w:ascii="Arial" w:cs="Arial" w:eastAsia="Arial" w:hAnsi="Arial"/>
                <w:sz w:val="13"/>
                <w:szCs w:val="13"/>
                <w:color w:val="auto"/>
              </w:rPr>
              <w:t>Capital expenditures</w:t>
            </w:r>
          </w:p>
        </w:tc>
        <w:tc>
          <w:tcPr>
            <w:tcW w:w="420" w:type="dxa"/>
            <w:vAlign w:val="bottom"/>
            <w:gridSpan w:val="2"/>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77</w:t>
            </w:r>
          </w:p>
        </w:tc>
        <w:tc>
          <w:tcPr>
            <w:tcW w:w="320" w:type="dxa"/>
            <w:vAlign w:val="bottom"/>
            <w:gridSpan w:val="2"/>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2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3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300" w:type="dxa"/>
            <w:vAlign w:val="bottom"/>
            <w:gridSpan w:val="2"/>
          </w:tcPr>
          <w:p>
            <w:pPr>
              <w:jc w:val="right"/>
              <w:ind w:right="48"/>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260" w:type="dxa"/>
            <w:vAlign w:val="bottom"/>
            <w:gridSpan w:val="2"/>
          </w:tcPr>
          <w:p>
            <w:pPr>
              <w:jc w:val="right"/>
              <w:ind w:right="108"/>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115</w:t>
            </w:r>
          </w:p>
        </w:tc>
      </w:tr>
      <w:tr>
        <w:trPr>
          <w:trHeight w:val="135"/>
        </w:trPr>
        <w:tc>
          <w:tcPr>
            <w:tcW w:w="2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Depreciation and amortization</w:t>
            </w:r>
          </w:p>
        </w:tc>
        <w:tc>
          <w:tcPr>
            <w:tcW w:w="420" w:type="dxa"/>
            <w:vAlign w:val="bottom"/>
            <w:gridSpan w:val="2"/>
            <w:shd w:val="clear" w:color="auto" w:fill="CCEEFF"/>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170</w:t>
            </w:r>
          </w:p>
        </w:tc>
        <w:tc>
          <w:tcPr>
            <w:tcW w:w="320" w:type="dxa"/>
            <w:vAlign w:val="bottom"/>
            <w:gridSpan w:val="2"/>
            <w:shd w:val="clear" w:color="auto" w:fill="CCEEFF"/>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w:t>
            </w:r>
          </w:p>
        </w:tc>
        <w:tc>
          <w:tcPr>
            <w:tcW w:w="2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300" w:type="dxa"/>
            <w:vAlign w:val="bottom"/>
            <w:gridSpan w:val="2"/>
            <w:shd w:val="clear" w:color="auto" w:fill="CCEEFF"/>
          </w:tcPr>
          <w:p>
            <w:pPr>
              <w:jc w:val="right"/>
              <w:ind w:right="48"/>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108"/>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ind w:left="60" w:right="1099" w:firstLine="324"/>
        <w:spacing w:after="0" w:line="277" w:lineRule="auto"/>
        <w:rPr>
          <w:sz w:val="20"/>
          <w:szCs w:val="20"/>
          <w:color w:val="auto"/>
        </w:rPr>
      </w:pPr>
      <w:r>
        <w:rPr>
          <w:rFonts w:ascii="Arial" w:cs="Arial" w:eastAsia="Arial" w:hAnsi="Arial"/>
          <w:sz w:val="18"/>
          <w:szCs w:val="18"/>
          <w:color w:val="auto"/>
        </w:rPr>
        <w:t>In addition to the condensed statements of operations by reporting segment above, we provide additional disaggregated revenue information for our Energy and Automotive segments below.</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Disaggregated revenue for our Energy segment net sales is presented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Three Months Ended June 30,</w:t>
            </w:r>
          </w:p>
        </w:tc>
        <w:tc>
          <w:tcPr>
            <w:tcW w:w="200" w:type="dxa"/>
            <w:vAlign w:val="bottom"/>
          </w:tcPr>
          <w:p>
            <w:pPr>
              <w:spacing w:after="0"/>
              <w:rPr>
                <w:sz w:val="20"/>
                <w:szCs w:val="20"/>
                <w:color w:val="auto"/>
              </w:rPr>
            </w:pPr>
          </w:p>
        </w:tc>
        <w:tc>
          <w:tcPr>
            <w:tcW w:w="21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09"/>
        </w:trPr>
        <w:tc>
          <w:tcPr>
            <w:tcW w:w="3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128"/>
        </w:trPr>
        <w:tc>
          <w:tcPr>
            <w:tcW w:w="3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Petroleum products</w:t>
            </w:r>
          </w:p>
        </w:tc>
        <w:tc>
          <w:tcPr>
            <w:tcW w:w="13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4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r>
      <w:tr>
        <w:trPr>
          <w:trHeight w:val="216"/>
        </w:trPr>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Nitrogen fertilizer products</w:t>
            </w:r>
          </w:p>
        </w:tc>
        <w:tc>
          <w:tcPr>
            <w:tcW w:w="1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09"/>
        </w:trPr>
        <w:tc>
          <w:tcPr>
            <w:tcW w:w="30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r>
      <w:tr>
        <w:trPr>
          <w:trHeight w:val="20"/>
        </w:trPr>
        <w:tc>
          <w:tcPr>
            <w:tcW w:w="3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Disaggregated revenue for our Automotive segment net sales and other revenues from operations is presented below:</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Three Months Ended June 30,</w:t>
            </w:r>
          </w:p>
        </w:tc>
        <w:tc>
          <w:tcPr>
            <w:tcW w:w="180" w:type="dxa"/>
            <w:vAlign w:val="bottom"/>
          </w:tcPr>
          <w:p>
            <w:pPr>
              <w:spacing w:after="0"/>
              <w:rPr>
                <w:sz w:val="20"/>
                <w:szCs w:val="20"/>
                <w:color w:val="auto"/>
              </w:rPr>
            </w:pPr>
          </w:p>
        </w:tc>
        <w:tc>
          <w:tcPr>
            <w:tcW w:w="22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10"/>
        </w:trPr>
        <w:tc>
          <w:tcPr>
            <w:tcW w:w="2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r>
      <w:tr>
        <w:trPr>
          <w:trHeight w:val="128"/>
        </w:trPr>
        <w:tc>
          <w:tcPr>
            <w:tcW w:w="2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ind w:left="500"/>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Automotive services</w:t>
            </w:r>
          </w:p>
        </w:tc>
        <w:tc>
          <w:tcPr>
            <w:tcW w:w="200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347</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16"/>
        </w:trPr>
        <w:tc>
          <w:tcPr>
            <w:tcW w:w="2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Aftermarket parts sales</w:t>
            </w:r>
          </w:p>
        </w:tc>
        <w:tc>
          <w:tcPr>
            <w:tcW w:w="12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290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r>
      <w:tr>
        <w:trPr>
          <w:trHeight w:val="210"/>
        </w:trPr>
        <w:tc>
          <w:tcPr>
            <w:tcW w:w="29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637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r>
      <w:tr>
        <w:trPr>
          <w:trHeight w:val="20"/>
        </w:trPr>
        <w:tc>
          <w:tcPr>
            <w:tcW w:w="2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6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Balance Sheets</w:t>
      </w:r>
    </w:p>
    <w:p>
      <w:pPr>
        <w:spacing w:after="0" w:line="229" w:lineRule="exact"/>
        <w:rPr>
          <w:sz w:val="20"/>
          <w:szCs w:val="20"/>
          <w:color w:val="auto"/>
        </w:rPr>
      </w:pPr>
    </w:p>
    <w:p>
      <w:pPr>
        <w:jc w:val="both"/>
        <w:ind w:left="60" w:right="240" w:firstLine="324"/>
        <w:spacing w:after="0" w:line="263" w:lineRule="auto"/>
        <w:rPr>
          <w:sz w:val="20"/>
          <w:szCs w:val="20"/>
          <w:color w:val="auto"/>
        </w:rPr>
      </w:pPr>
      <w:r>
        <w:rPr>
          <w:rFonts w:ascii="Arial" w:cs="Arial" w:eastAsia="Arial" w:hAnsi="Arial"/>
          <w:sz w:val="18"/>
          <w:szCs w:val="18"/>
          <w:color w:val="auto"/>
        </w:rPr>
        <w:t>Icahn Enterprises’ condensed balance sheets by reporting segment are presented below. Icahn Enterprises Holdings’ condensed balance sheets are substantially the same, with immaterial differences relating to our Holding Company’s debt and equity attributable to Icahn Enterprises Holdings.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5"/>
          </w:tcPr>
          <w:p>
            <w:pPr>
              <w:ind w:left="180"/>
              <w:spacing w:after="0"/>
              <w:rPr>
                <w:sz w:val="20"/>
                <w:szCs w:val="20"/>
                <w:color w:val="auto"/>
              </w:rPr>
            </w:pPr>
            <w:r>
              <w:rPr>
                <w:rFonts w:ascii="Arial" w:cs="Arial" w:eastAsia="Arial" w:hAnsi="Arial"/>
                <w:sz w:val="13"/>
                <w:szCs w:val="13"/>
                <w:b w:val="1"/>
                <w:bCs w:val="1"/>
                <w:color w:val="auto"/>
              </w:rPr>
              <w:t>June 30, 2021</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Food</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4"/>
              </w:rPr>
              <w:t>Real</w:t>
            </w:r>
          </w:p>
        </w:tc>
        <w:tc>
          <w:tcPr>
            <w:tcW w:w="80" w:type="dxa"/>
            <w:vAlign w:val="bottom"/>
          </w:tcPr>
          <w:p>
            <w:pPr>
              <w:spacing w:after="0"/>
              <w:rPr>
                <w:sz w:val="9"/>
                <w:szCs w:val="9"/>
                <w:color w:val="auto"/>
              </w:rPr>
            </w:pPr>
          </w:p>
        </w:tc>
        <w:tc>
          <w:tcPr>
            <w:tcW w:w="58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5"/>
              </w:rPr>
              <w:t>Home</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42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w w:val="84"/>
              </w:rPr>
              <w:t>Investment</w:t>
            </w:r>
          </w:p>
        </w:tc>
        <w:tc>
          <w:tcPr>
            <w:tcW w:w="1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Energy</w:t>
            </w:r>
          </w:p>
        </w:tc>
        <w:tc>
          <w:tcPr>
            <w:tcW w:w="8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Automotive</w:t>
            </w: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w w:val="95"/>
              </w:rPr>
              <w:t>Packaging</w:t>
            </w:r>
          </w:p>
        </w:tc>
        <w:tc>
          <w:tcPr>
            <w:tcW w:w="8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3"/>
                <w:szCs w:val="13"/>
                <w:b w:val="1"/>
                <w:bCs w:val="1"/>
                <w:color w:val="auto"/>
              </w:rPr>
              <w:t>Metals</w:t>
            </w:r>
          </w:p>
        </w:tc>
        <w:tc>
          <w:tcPr>
            <w:tcW w:w="80" w:type="dxa"/>
            <w:vAlign w:val="bottom"/>
          </w:tcPr>
          <w:p>
            <w:pPr>
              <w:spacing w:after="0"/>
              <w:rPr>
                <w:sz w:val="13"/>
                <w:szCs w:val="13"/>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Estate</w:t>
            </w:r>
          </w:p>
        </w:tc>
        <w:tc>
          <w:tcPr>
            <w:tcW w:w="6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4"/>
              </w:rPr>
              <w:t>Fashion</w:t>
            </w:r>
          </w:p>
        </w:tc>
        <w:tc>
          <w:tcPr>
            <w:tcW w:w="620" w:type="dxa"/>
            <w:vAlign w:val="bottom"/>
            <w:gridSpan w:val="3"/>
          </w:tcPr>
          <w:p>
            <w:pPr>
              <w:ind w:left="60"/>
              <w:spacing w:after="0"/>
              <w:rPr>
                <w:sz w:val="20"/>
                <w:szCs w:val="20"/>
                <w:color w:val="auto"/>
              </w:rPr>
            </w:pPr>
            <w:r>
              <w:rPr>
                <w:rFonts w:ascii="Arial" w:cs="Arial" w:eastAsia="Arial" w:hAnsi="Arial"/>
                <w:sz w:val="13"/>
                <w:szCs w:val="13"/>
                <w:b w:val="1"/>
                <w:bCs w:val="1"/>
                <w:color w:val="auto"/>
              </w:rPr>
              <w:t>Pharma</w:t>
            </w:r>
          </w:p>
        </w:tc>
        <w:tc>
          <w:tcPr>
            <w:tcW w:w="64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Company</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4"/>
          </w:tcPr>
          <w:p>
            <w:pPr>
              <w:jc w:val="right"/>
              <w:ind w:right="157"/>
              <w:spacing w:after="0" w:line="115" w:lineRule="exact"/>
              <w:rPr>
                <w:sz w:val="20"/>
                <w:szCs w:val="20"/>
                <w:color w:val="auto"/>
              </w:rPr>
            </w:pPr>
            <w:r>
              <w:rPr>
                <w:rFonts w:ascii="Arial" w:cs="Arial" w:eastAsia="Arial" w:hAnsi="Arial"/>
                <w:sz w:val="13"/>
                <w:szCs w:val="13"/>
                <w:color w:val="auto"/>
              </w:rPr>
              <w:t>(in millions)</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940"/>
              <w:spacing w:after="0" w:line="135" w:lineRule="exact"/>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3"/>
                <w:szCs w:val="13"/>
                <w:color w:val="auto"/>
              </w:rPr>
              <w:t>Cash and cash equivalents</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00" w:type="dxa"/>
            <w:vAlign w:val="bottom"/>
          </w:tcPr>
          <w:p>
            <w:pPr>
              <w:spacing w:after="0"/>
              <w:rPr>
                <w:sz w:val="11"/>
                <w:szCs w:val="11"/>
                <w:color w:val="auto"/>
              </w:rPr>
            </w:pP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519</w:t>
            </w:r>
          </w:p>
        </w:tc>
        <w:tc>
          <w:tcPr>
            <w:tcW w:w="8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53</w:t>
            </w:r>
          </w:p>
        </w:tc>
        <w:tc>
          <w:tcPr>
            <w:tcW w:w="1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35</w:t>
            </w:r>
          </w:p>
        </w:tc>
        <w:tc>
          <w:tcPr>
            <w:tcW w:w="8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200" w:type="dxa"/>
            <w:vAlign w:val="bottom"/>
          </w:tcPr>
          <w:p>
            <w:pPr>
              <w:jc w:val="right"/>
              <w:ind w:right="57"/>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80" w:type="dxa"/>
            <w:vAlign w:val="bottom"/>
          </w:tcPr>
          <w:p>
            <w:pPr>
              <w:spacing w:after="0"/>
              <w:rPr>
                <w:sz w:val="11"/>
                <w:szCs w:val="11"/>
                <w:color w:val="auto"/>
              </w:rPr>
            </w:pPr>
          </w:p>
        </w:tc>
        <w:tc>
          <w:tcPr>
            <w:tcW w:w="12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1,549</w:t>
            </w:r>
          </w:p>
        </w:tc>
        <w:tc>
          <w:tcPr>
            <w:tcW w:w="100" w:type="dxa"/>
            <w:vAlign w:val="bottom"/>
          </w:tcPr>
          <w:p>
            <w:pPr>
              <w:spacing w:after="0"/>
              <w:rPr>
                <w:sz w:val="11"/>
                <w:szCs w:val="11"/>
                <w:color w:val="auto"/>
              </w:rPr>
            </w:pP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2,194</w:t>
            </w:r>
          </w:p>
        </w:tc>
        <w:tc>
          <w:tcPr>
            <w:tcW w:w="0" w:type="dxa"/>
            <w:vAlign w:val="bottom"/>
          </w:tcPr>
          <w:p>
            <w:pPr>
              <w:spacing w:after="0"/>
              <w:rPr>
                <w:sz w:val="1"/>
                <w:szCs w:val="1"/>
                <w:color w:val="auto"/>
              </w:rPr>
            </w:pPr>
          </w:p>
        </w:tc>
      </w:tr>
      <w:tr>
        <w:trPr>
          <w:trHeight w:val="121"/>
        </w:trPr>
        <w:tc>
          <w:tcPr>
            <w:tcW w:w="24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Cash held at consolidated affiliated</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partnerships and restricted cash</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w:t>
            </w:r>
          </w:p>
        </w:tc>
        <w:tc>
          <w:tcPr>
            <w:tcW w:w="0" w:type="dxa"/>
            <w:vAlign w:val="bottom"/>
          </w:tcPr>
          <w:p>
            <w:pPr>
              <w:spacing w:after="0"/>
              <w:rPr>
                <w:sz w:val="1"/>
                <w:szCs w:val="1"/>
                <w:color w:val="auto"/>
              </w:rPr>
            </w:pP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3"/>
                <w:szCs w:val="13"/>
                <w:color w:val="auto"/>
              </w:rPr>
              <w:t>Investments</w:t>
            </w: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10,603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85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181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10,903</w:t>
            </w: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Accounts receivable, net</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234</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596</w:t>
            </w:r>
          </w:p>
        </w:tc>
        <w:tc>
          <w:tcPr>
            <w:tcW w:w="0" w:type="dxa"/>
            <w:vAlign w:val="bottom"/>
          </w:tcPr>
          <w:p>
            <w:pPr>
              <w:spacing w:after="0"/>
              <w:rPr>
                <w:sz w:val="1"/>
                <w:szCs w:val="1"/>
                <w:color w:val="auto"/>
              </w:rPr>
            </w:pP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3"/>
                <w:szCs w:val="13"/>
                <w:color w:val="auto"/>
              </w:rPr>
              <w:t>Inventories, net</w:t>
            </w:r>
          </w:p>
        </w:tc>
        <w:tc>
          <w:tcPr>
            <w:tcW w:w="14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404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939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89</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1,568</w:t>
            </w: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Property, plant and equipment, net</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2,789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4,235</w:t>
            </w:r>
          </w:p>
        </w:tc>
        <w:tc>
          <w:tcPr>
            <w:tcW w:w="0" w:type="dxa"/>
            <w:vAlign w:val="bottom"/>
          </w:tcPr>
          <w:p>
            <w:pPr>
              <w:spacing w:after="0"/>
              <w:rPr>
                <w:sz w:val="1"/>
                <w:szCs w:val="1"/>
                <w:color w:val="auto"/>
              </w:rPr>
            </w:pP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3"/>
                <w:szCs w:val="13"/>
                <w:color w:val="auto"/>
              </w:rPr>
              <w:t>Goodwill and intangible assets, net</w:t>
            </w:r>
          </w:p>
        </w:tc>
        <w:tc>
          <w:tcPr>
            <w:tcW w:w="14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231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367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268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924</w:t>
            </w: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assets</w:t>
            </w:r>
          </w:p>
        </w:tc>
        <w:tc>
          <w:tcPr>
            <w:tcW w:w="1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5,078</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242</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595</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103</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114</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6,212</w:t>
            </w:r>
          </w:p>
        </w:tc>
        <w:tc>
          <w:tcPr>
            <w:tcW w:w="0" w:type="dxa"/>
            <w:vAlign w:val="bottom"/>
          </w:tcPr>
          <w:p>
            <w:pPr>
              <w:spacing w:after="0"/>
              <w:rPr>
                <w:sz w:val="1"/>
                <w:szCs w:val="1"/>
                <w:color w:val="auto"/>
              </w:rPr>
            </w:pPr>
          </w:p>
        </w:tc>
      </w:tr>
      <w:tr>
        <w:trPr>
          <w:trHeight w:val="168"/>
        </w:trPr>
        <w:tc>
          <w:tcPr>
            <w:tcW w:w="2420" w:type="dxa"/>
            <w:vAlign w:val="bottom"/>
            <w:tcBorders>
              <w:bottom w:val="single" w:sz="8" w:color="CCEEFF"/>
            </w:tcBorders>
          </w:tcPr>
          <w:p>
            <w:pPr>
              <w:ind w:left="100"/>
              <w:spacing w:after="0" w:line="129" w:lineRule="exact"/>
              <w:rPr>
                <w:sz w:val="20"/>
                <w:szCs w:val="20"/>
                <w:color w:val="auto"/>
              </w:rPr>
            </w:pPr>
            <w:r>
              <w:rPr>
                <w:rFonts w:ascii="Arial" w:cs="Arial" w:eastAsia="Arial" w:hAnsi="Arial"/>
                <w:sz w:val="13"/>
                <w:szCs w:val="13"/>
                <w:color w:val="auto"/>
              </w:rPr>
              <w:t>Total assets</w:t>
            </w: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16,915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5"/>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4,511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2,933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478</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241</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495</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236</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317</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1,775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27,901</w:t>
            </w:r>
          </w:p>
        </w:tc>
        <w:tc>
          <w:tcPr>
            <w:tcW w:w="0" w:type="dxa"/>
            <w:vAlign w:val="bottom"/>
          </w:tcPr>
          <w:p>
            <w:pPr>
              <w:spacing w:after="0"/>
              <w:rPr>
                <w:sz w:val="1"/>
                <w:szCs w:val="1"/>
                <w:color w:val="auto"/>
              </w:rPr>
            </w:pPr>
          </w:p>
        </w:tc>
      </w:tr>
      <w:tr>
        <w:trPr>
          <w:trHeight w:val="116"/>
        </w:trPr>
        <w:tc>
          <w:tcPr>
            <w:tcW w:w="2420" w:type="dxa"/>
            <w:vAlign w:val="bottom"/>
            <w:shd w:val="clear" w:color="auto" w:fill="CCEEFF"/>
          </w:tcPr>
          <w:p>
            <w:pPr>
              <w:ind w:left="360"/>
              <w:spacing w:after="0" w:line="116" w:lineRule="exact"/>
              <w:rPr>
                <w:sz w:val="20"/>
                <w:szCs w:val="20"/>
                <w:color w:val="auto"/>
              </w:rPr>
            </w:pPr>
            <w:r>
              <w:rPr>
                <w:rFonts w:ascii="Arial" w:cs="Arial" w:eastAsia="Arial" w:hAnsi="Arial"/>
                <w:sz w:val="13"/>
                <w:szCs w:val="13"/>
                <w:b w:val="1"/>
                <w:bCs w:val="1"/>
                <w:color w:val="auto"/>
              </w:rPr>
              <w:t>LIABILITIES AND EQUITY</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20" w:type="dxa"/>
            <w:vAlign w:val="bottom"/>
          </w:tcPr>
          <w:p>
            <w:pPr>
              <w:ind w:left="20"/>
              <w:spacing w:after="0" w:line="121" w:lineRule="exact"/>
              <w:rPr>
                <w:sz w:val="20"/>
                <w:szCs w:val="20"/>
                <w:color w:val="auto"/>
              </w:rPr>
            </w:pPr>
            <w:r>
              <w:rPr>
                <w:rFonts w:ascii="Arial" w:cs="Arial" w:eastAsia="Arial" w:hAnsi="Arial"/>
                <w:sz w:val="13"/>
                <w:szCs w:val="13"/>
                <w:color w:val="auto"/>
                <w:w w:val="98"/>
              </w:rPr>
              <w:t>Accounts payable, accrued expenses and</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140"/>
              <w:spacing w:after="0"/>
              <w:rPr>
                <w:sz w:val="20"/>
                <w:szCs w:val="20"/>
                <w:color w:val="auto"/>
              </w:rPr>
            </w:pPr>
            <w:r>
              <w:rPr>
                <w:rFonts w:ascii="Arial" w:cs="Arial" w:eastAsia="Arial" w:hAnsi="Arial"/>
                <w:sz w:val="13"/>
                <w:szCs w:val="13"/>
                <w:color w:val="auto"/>
              </w:rPr>
              <w:t>other liabilities</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2,288</w:t>
            </w:r>
          </w:p>
        </w:tc>
        <w:tc>
          <w:tcPr>
            <w:tcW w:w="100" w:type="dxa"/>
            <w:vAlign w:val="bottom"/>
          </w:tcPr>
          <w:p>
            <w:pPr>
              <w:spacing w:after="0"/>
              <w:rPr>
                <w:sz w:val="12"/>
                <w:szCs w:val="12"/>
                <w:color w:val="auto"/>
              </w:rPr>
            </w:pP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8"/>
              </w:rPr>
              <w:t>1,548</w:t>
            </w:r>
          </w:p>
        </w:tc>
        <w:tc>
          <w:tcPr>
            <w:tcW w:w="8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1,075</w:t>
            </w:r>
          </w:p>
        </w:tc>
        <w:tc>
          <w:tcPr>
            <w:tcW w:w="10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164</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74</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67</w:t>
            </w:r>
          </w:p>
        </w:tc>
        <w:tc>
          <w:tcPr>
            <w:tcW w:w="120" w:type="dxa"/>
            <w:vAlign w:val="bottom"/>
          </w:tcPr>
          <w:p>
            <w:pPr>
              <w:spacing w:after="0"/>
              <w:rPr>
                <w:sz w:val="12"/>
                <w:szCs w:val="12"/>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262</w:t>
            </w:r>
          </w:p>
        </w:tc>
        <w:tc>
          <w:tcPr>
            <w:tcW w:w="10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5,580</w:t>
            </w:r>
          </w:p>
        </w:tc>
        <w:tc>
          <w:tcPr>
            <w:tcW w:w="0" w:type="dxa"/>
            <w:vAlign w:val="bottom"/>
          </w:tcPr>
          <w:p>
            <w:pPr>
              <w:spacing w:after="0"/>
              <w:rPr>
                <w:sz w:val="1"/>
                <w:szCs w:val="1"/>
                <w:color w:val="auto"/>
              </w:rPr>
            </w:pPr>
          </w:p>
        </w:tc>
      </w:tr>
      <w:tr>
        <w:trPr>
          <w:trHeight w:val="121"/>
        </w:trPr>
        <w:tc>
          <w:tcPr>
            <w:tcW w:w="24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Securities sold, not yet purchased, at fair</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value</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4,231</w:t>
            </w:r>
          </w:p>
        </w:tc>
        <w:tc>
          <w:tcPr>
            <w:tcW w:w="0" w:type="dxa"/>
            <w:vAlign w:val="bottom"/>
          </w:tcPr>
          <w:p>
            <w:pPr>
              <w:spacing w:after="0"/>
              <w:rPr>
                <w:sz w:val="1"/>
                <w:szCs w:val="1"/>
                <w:color w:val="auto"/>
              </w:rPr>
            </w:pP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3"/>
                <w:szCs w:val="13"/>
                <w:color w:val="auto"/>
              </w:rPr>
              <w:t>Debt</w:t>
            </w:r>
          </w:p>
        </w:tc>
        <w:tc>
          <w:tcPr>
            <w:tcW w:w="14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w w:val="98"/>
              </w:rPr>
              <w:t>1,693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342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158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5,811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8,065</w:t>
            </w:r>
          </w:p>
        </w:tc>
        <w:tc>
          <w:tcPr>
            <w:tcW w:w="0" w:type="dxa"/>
            <w:vAlign w:val="bottom"/>
          </w:tcPr>
          <w:p>
            <w:pPr>
              <w:spacing w:after="0"/>
              <w:rPr>
                <w:sz w:val="1"/>
                <w:szCs w:val="1"/>
                <w:color w:val="auto"/>
              </w:rPr>
            </w:pPr>
          </w:p>
        </w:tc>
      </w:tr>
      <w:tr>
        <w:trPr>
          <w:trHeight w:val="128"/>
        </w:trPr>
        <w:tc>
          <w:tcPr>
            <w:tcW w:w="242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liabilities</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6,519</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3,241</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322</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6,073</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17,876</w:t>
            </w:r>
          </w:p>
        </w:tc>
        <w:tc>
          <w:tcPr>
            <w:tcW w:w="0" w:type="dxa"/>
            <w:vAlign w:val="bottom"/>
          </w:tcPr>
          <w:p>
            <w:pPr>
              <w:spacing w:after="0"/>
              <w:rPr>
                <w:sz w:val="1"/>
                <w:szCs w:val="1"/>
                <w:color w:val="auto"/>
              </w:rPr>
            </w:pPr>
          </w:p>
        </w:tc>
      </w:tr>
      <w:tr>
        <w:trPr>
          <w:trHeight w:val="128"/>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Equity attributable to Icahn Enterprises</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4,743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1,516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136</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(4,298)</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3,735</w:t>
            </w:r>
          </w:p>
        </w:tc>
        <w:tc>
          <w:tcPr>
            <w:tcW w:w="0" w:type="dxa"/>
            <w:vAlign w:val="bottom"/>
          </w:tcPr>
          <w:p>
            <w:pPr>
              <w:spacing w:after="0"/>
              <w:rPr>
                <w:sz w:val="1"/>
                <w:szCs w:val="1"/>
                <w:color w:val="auto"/>
              </w:rPr>
            </w:pPr>
          </w:p>
        </w:tc>
      </w:tr>
      <w:tr>
        <w:trPr>
          <w:trHeight w:val="121"/>
        </w:trPr>
        <w:tc>
          <w:tcPr>
            <w:tcW w:w="2420" w:type="dxa"/>
            <w:vAlign w:val="bottom"/>
          </w:tcPr>
          <w:p>
            <w:pPr>
              <w:ind w:left="20"/>
              <w:spacing w:after="0" w:line="121" w:lineRule="exact"/>
              <w:rPr>
                <w:sz w:val="20"/>
                <w:szCs w:val="20"/>
                <w:color w:val="auto"/>
              </w:rPr>
            </w:pPr>
            <w:r>
              <w:rPr>
                <w:rFonts w:ascii="Arial" w:cs="Arial" w:eastAsia="Arial" w:hAnsi="Arial"/>
                <w:sz w:val="13"/>
                <w:szCs w:val="13"/>
                <w:color w:val="auto"/>
              </w:rPr>
              <w:t>Equity attributable to non-controlling</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140"/>
              <w:spacing w:after="0"/>
              <w:rPr>
                <w:sz w:val="20"/>
                <w:szCs w:val="20"/>
                <w:color w:val="auto"/>
              </w:rPr>
            </w:pPr>
            <w:r>
              <w:rPr>
                <w:rFonts w:ascii="Arial" w:cs="Arial" w:eastAsia="Arial" w:hAnsi="Arial"/>
                <w:sz w:val="13"/>
                <w:szCs w:val="13"/>
                <w:color w:val="auto"/>
              </w:rPr>
              <w:t>interests</w:t>
            </w: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5,653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623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6,290</w:t>
            </w:r>
          </w:p>
        </w:tc>
        <w:tc>
          <w:tcPr>
            <w:tcW w:w="0" w:type="dxa"/>
            <w:vAlign w:val="bottom"/>
          </w:tcPr>
          <w:p>
            <w:pPr>
              <w:spacing w:after="0"/>
              <w:rPr>
                <w:sz w:val="1"/>
                <w:szCs w:val="1"/>
                <w:color w:val="auto"/>
              </w:rPr>
            </w:pPr>
          </w:p>
        </w:tc>
      </w:tr>
      <w:tr>
        <w:trPr>
          <w:trHeight w:val="129"/>
        </w:trPr>
        <w:tc>
          <w:tcPr>
            <w:tcW w:w="242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equity</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10,396</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1,270</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1,516</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156</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441</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136</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267</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(4,298)</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10,025</w:t>
            </w:r>
          </w:p>
        </w:tc>
        <w:tc>
          <w:tcPr>
            <w:tcW w:w="0" w:type="dxa"/>
            <w:vAlign w:val="bottom"/>
          </w:tcPr>
          <w:p>
            <w:pPr>
              <w:spacing w:after="0"/>
              <w:rPr>
                <w:sz w:val="1"/>
                <w:szCs w:val="1"/>
                <w:color w:val="auto"/>
              </w:rPr>
            </w:pPr>
          </w:p>
        </w:tc>
      </w:tr>
      <w:tr>
        <w:trPr>
          <w:trHeight w:val="128"/>
        </w:trPr>
        <w:tc>
          <w:tcPr>
            <w:tcW w:w="2420" w:type="dxa"/>
            <w:vAlign w:val="bottom"/>
          </w:tcPr>
          <w:p>
            <w:pPr>
              <w:ind w:left="100"/>
              <w:spacing w:after="0" w:line="129" w:lineRule="exact"/>
              <w:rPr>
                <w:sz w:val="20"/>
                <w:szCs w:val="20"/>
                <w:color w:val="auto"/>
              </w:rPr>
            </w:pPr>
            <w:r>
              <w:rPr>
                <w:rFonts w:ascii="Arial" w:cs="Arial" w:eastAsia="Arial" w:hAnsi="Arial"/>
                <w:sz w:val="13"/>
                <w:szCs w:val="13"/>
                <w:color w:val="auto"/>
              </w:rPr>
              <w:t>Total liabilities and equity</w:t>
            </w: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16,915</w:t>
            </w:r>
          </w:p>
        </w:tc>
        <w:tc>
          <w:tcPr>
            <w:tcW w:w="100" w:type="dxa"/>
            <w:vAlign w:val="bottom"/>
          </w:tcPr>
          <w:p>
            <w:pPr>
              <w:spacing w:after="0"/>
              <w:rPr>
                <w:sz w:val="11"/>
                <w:szCs w:val="11"/>
                <w:color w:val="auto"/>
              </w:rPr>
            </w:pPr>
          </w:p>
        </w:tc>
        <w:tc>
          <w:tcPr>
            <w:tcW w:w="120" w:type="dxa"/>
            <w:vAlign w:val="bottom"/>
            <w:tcBorders>
              <w:bottom w:val="single" w:sz="8" w:color="auto"/>
            </w:tcBorders>
          </w:tcPr>
          <w:p>
            <w:pPr>
              <w:jc w:val="right"/>
              <w:ind w:right="5"/>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4,511</w:t>
            </w: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2,933</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478</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241</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495</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236</w:t>
            </w:r>
          </w:p>
        </w:tc>
        <w:tc>
          <w:tcPr>
            <w:tcW w:w="120" w:type="dxa"/>
            <w:vAlign w:val="bottom"/>
          </w:tcPr>
          <w:p>
            <w:pPr>
              <w:spacing w:after="0"/>
              <w:rPr>
                <w:sz w:val="11"/>
                <w:szCs w:val="11"/>
                <w:color w:val="auto"/>
              </w:rPr>
            </w:pPr>
          </w:p>
        </w:tc>
        <w:tc>
          <w:tcPr>
            <w:tcW w:w="20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317</w:t>
            </w:r>
          </w:p>
        </w:tc>
        <w:tc>
          <w:tcPr>
            <w:tcW w:w="80" w:type="dxa"/>
            <w:vAlign w:val="bottom"/>
          </w:tcPr>
          <w:p>
            <w:pPr>
              <w:spacing w:after="0"/>
              <w:rPr>
                <w:sz w:val="11"/>
                <w:szCs w:val="11"/>
                <w:color w:val="auto"/>
              </w:rPr>
            </w:pPr>
          </w:p>
        </w:tc>
        <w:tc>
          <w:tcPr>
            <w:tcW w:w="1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1,775</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27,901</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7"/>
              </w:rPr>
              <w:t>December 31, 2020</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w w:val="95"/>
              </w:rPr>
              <w:t>Food</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rPr>
              <w:t>Real</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jc w:val="right"/>
              <w:ind w:right="57"/>
              <w:spacing w:after="0" w:line="110" w:lineRule="exact"/>
              <w:rPr>
                <w:sz w:val="20"/>
                <w:szCs w:val="20"/>
                <w:color w:val="auto"/>
              </w:rPr>
            </w:pPr>
            <w:r>
              <w:rPr>
                <w:rFonts w:ascii="Arial" w:cs="Arial" w:eastAsia="Arial" w:hAnsi="Arial"/>
                <w:sz w:val="12"/>
                <w:szCs w:val="12"/>
                <w:b w:val="1"/>
                <w:bCs w:val="1"/>
                <w:color w:val="auto"/>
                <w:w w:val="95"/>
              </w:rPr>
              <w:t>Home</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rPr>
              <w:t>Holding</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Arial" w:cs="Arial" w:eastAsia="Arial" w:hAnsi="Arial"/>
                <w:sz w:val="13"/>
                <w:szCs w:val="13"/>
                <w:b w:val="1"/>
                <w:bCs w:val="1"/>
                <w:color w:val="auto"/>
              </w:rPr>
              <w:t>Investment</w:t>
            </w:r>
          </w:p>
        </w:tc>
        <w:tc>
          <w:tcPr>
            <w:tcW w:w="1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Energy</w:t>
            </w:r>
          </w:p>
        </w:tc>
        <w:tc>
          <w:tcPr>
            <w:tcW w:w="760" w:type="dxa"/>
            <w:vAlign w:val="bottom"/>
            <w:gridSpan w:val="4"/>
          </w:tcPr>
          <w:p>
            <w:pPr>
              <w:ind w:left="80"/>
              <w:spacing w:after="0"/>
              <w:rPr>
                <w:sz w:val="20"/>
                <w:szCs w:val="20"/>
                <w:color w:val="auto"/>
              </w:rPr>
            </w:pPr>
            <w:r>
              <w:rPr>
                <w:rFonts w:ascii="Arial" w:cs="Arial" w:eastAsia="Arial" w:hAnsi="Arial"/>
                <w:sz w:val="13"/>
                <w:szCs w:val="13"/>
                <w:b w:val="1"/>
                <w:bCs w:val="1"/>
                <w:color w:val="auto"/>
                <w:w w:val="92"/>
              </w:rPr>
              <w:t>Automotive</w:t>
            </w:r>
          </w:p>
        </w:tc>
        <w:tc>
          <w:tcPr>
            <w:tcW w:w="600" w:type="dxa"/>
            <w:vAlign w:val="bottom"/>
            <w:gridSpan w:val="3"/>
          </w:tcPr>
          <w:p>
            <w:pPr>
              <w:ind w:left="40"/>
              <w:spacing w:after="0"/>
              <w:rPr>
                <w:sz w:val="20"/>
                <w:szCs w:val="20"/>
                <w:color w:val="auto"/>
              </w:rPr>
            </w:pPr>
            <w:r>
              <w:rPr>
                <w:rFonts w:ascii="Arial" w:cs="Arial" w:eastAsia="Arial" w:hAnsi="Arial"/>
                <w:sz w:val="13"/>
                <w:szCs w:val="13"/>
                <w:b w:val="1"/>
                <w:bCs w:val="1"/>
                <w:color w:val="auto"/>
                <w:w w:val="82"/>
              </w:rPr>
              <w:t>Packaging</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b w:val="1"/>
                <w:bCs w:val="1"/>
                <w:color w:val="auto"/>
                <w:w w:val="83"/>
              </w:rPr>
              <w:t>Metals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b w:val="1"/>
                <w:bCs w:val="1"/>
                <w:color w:val="auto"/>
                <w:w w:val="87"/>
              </w:rPr>
              <w:t>Estate</w:t>
            </w:r>
          </w:p>
        </w:tc>
        <w:tc>
          <w:tcPr>
            <w:tcW w:w="1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w w:val="88"/>
              </w:rPr>
              <w:t>Fashion</w:t>
            </w: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Pharma</w:t>
            </w:r>
          </w:p>
        </w:tc>
        <w:tc>
          <w:tcPr>
            <w:tcW w:w="10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3"/>
                <w:szCs w:val="13"/>
                <w:b w:val="1"/>
                <w:bCs w:val="1"/>
                <w:color w:val="auto"/>
                <w:w w:val="97"/>
              </w:rPr>
              <w:t>Company</w:t>
            </w:r>
          </w:p>
        </w:tc>
        <w:tc>
          <w:tcPr>
            <w:tcW w:w="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82"/>
              </w:rPr>
              <w:t>Consolidated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4"/>
          </w:tcPr>
          <w:p>
            <w:pPr>
              <w:jc w:val="right"/>
              <w:ind w:right="157"/>
              <w:spacing w:after="0" w:line="115" w:lineRule="exact"/>
              <w:rPr>
                <w:sz w:val="20"/>
                <w:szCs w:val="20"/>
                <w:color w:val="auto"/>
              </w:rPr>
            </w:pPr>
            <w:r>
              <w:rPr>
                <w:rFonts w:ascii="Arial" w:cs="Arial" w:eastAsia="Arial" w:hAnsi="Arial"/>
                <w:sz w:val="13"/>
                <w:szCs w:val="13"/>
                <w:color w:val="auto"/>
              </w:rPr>
              <w:t>(in millions)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ind w:left="860"/>
              <w:spacing w:after="0" w:line="135" w:lineRule="exact"/>
              <w:rPr>
                <w:sz w:val="20"/>
                <w:szCs w:val="20"/>
                <w:color w:val="auto"/>
              </w:rPr>
            </w:pPr>
            <w:r>
              <w:rPr>
                <w:rFonts w:ascii="Arial" w:cs="Arial" w:eastAsia="Arial" w:hAnsi="Arial"/>
                <w:sz w:val="13"/>
                <w:szCs w:val="13"/>
                <w:b w:val="1"/>
                <w:bCs w:val="1"/>
                <w:color w:val="auto"/>
              </w:rPr>
              <w:t>ASSETS</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Arial" w:cs="Arial" w:eastAsia="Arial" w:hAnsi="Arial"/>
                <w:sz w:val="13"/>
                <w:szCs w:val="13"/>
                <w:color w:val="auto"/>
              </w:rPr>
              <w:t>Cash and cash equivalents</w:t>
            </w:r>
          </w:p>
        </w:tc>
        <w:tc>
          <w:tcPr>
            <w:tcW w:w="280" w:type="dxa"/>
            <w:vAlign w:val="bottom"/>
            <w:gridSpan w:val="2"/>
          </w:tcPr>
          <w:p>
            <w:pPr>
              <w:jc w:val="right"/>
              <w:ind w:right="54"/>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200" w:type="dxa"/>
            <w:vAlign w:val="bottom"/>
            <w:gridSpan w:val="2"/>
          </w:tcPr>
          <w:p>
            <w:pPr>
              <w:jc w:val="right"/>
              <w:ind w:right="22"/>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667</w:t>
            </w:r>
          </w:p>
        </w:tc>
        <w:tc>
          <w:tcPr>
            <w:tcW w:w="2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60" w:type="dxa"/>
            <w:vAlign w:val="bottom"/>
          </w:tcPr>
          <w:p>
            <w:pPr>
              <w:spacing w:after="0"/>
              <w:rPr>
                <w:sz w:val="11"/>
                <w:szCs w:val="11"/>
                <w:color w:val="auto"/>
              </w:rPr>
            </w:pPr>
          </w:p>
        </w:tc>
        <w:tc>
          <w:tcPr>
            <w:tcW w:w="1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300" w:type="dxa"/>
            <w:vAlign w:val="bottom"/>
            <w:gridSpan w:val="2"/>
          </w:tcPr>
          <w:p>
            <w:pPr>
              <w:jc w:val="right"/>
              <w:ind w:right="44"/>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925</w:t>
            </w:r>
          </w:p>
        </w:tc>
        <w:tc>
          <w:tcPr>
            <w:tcW w:w="60" w:type="dxa"/>
            <w:vAlign w:val="bottom"/>
          </w:tcPr>
          <w:p>
            <w:pPr>
              <w:spacing w:after="0"/>
              <w:rPr>
                <w:sz w:val="11"/>
                <w:szCs w:val="11"/>
                <w:color w:val="auto"/>
              </w:rPr>
            </w:pPr>
          </w:p>
        </w:tc>
        <w:tc>
          <w:tcPr>
            <w:tcW w:w="220" w:type="dxa"/>
            <w:vAlign w:val="bottom"/>
            <w:gridSpan w:val="2"/>
          </w:tcPr>
          <w:p>
            <w:pPr>
              <w:jc w:val="right"/>
              <w:ind w:right="12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1,679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Cash held at consolidated affiliated</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partnerships and restricted cash</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Arial" w:cs="Arial" w:eastAsia="Arial" w:hAnsi="Arial"/>
                <w:sz w:val="13"/>
                <w:szCs w:val="13"/>
                <w:color w:val="auto"/>
              </w:rPr>
              <w:t>Investments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8,239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253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366</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8,913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Accounts receivable, net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Arial" w:cs="Arial" w:eastAsia="Arial" w:hAnsi="Arial"/>
                <w:sz w:val="13"/>
                <w:szCs w:val="13"/>
                <w:color w:val="auto"/>
              </w:rPr>
              <w:t>Inventories, net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298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1,080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1,580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Property, plant and equipment, net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2,747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857</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Arial" w:cs="Arial" w:eastAsia="Arial" w:hAnsi="Arial"/>
                <w:sz w:val="13"/>
                <w:szCs w:val="13"/>
                <w:color w:val="auto"/>
              </w:rPr>
              <w:t>Goodwill and intangible assets, net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238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372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282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954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assets</w:t>
            </w:r>
          </w:p>
        </w:tc>
        <w:tc>
          <w:tcPr>
            <w:tcW w:w="1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4,308</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335</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582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5,522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80" w:type="dxa"/>
            <w:vAlign w:val="bottom"/>
            <w:tcBorders>
              <w:bottom w:val="single" w:sz="8" w:color="CCEEFF"/>
            </w:tcBorders>
          </w:tcPr>
          <w:p>
            <w:pPr>
              <w:ind w:left="80"/>
              <w:spacing w:after="0" w:line="129" w:lineRule="exact"/>
              <w:rPr>
                <w:sz w:val="20"/>
                <w:szCs w:val="20"/>
                <w:color w:val="auto"/>
              </w:rPr>
            </w:pPr>
            <w:r>
              <w:rPr>
                <w:rFonts w:ascii="Arial" w:cs="Arial" w:eastAsia="Arial" w:hAnsi="Arial"/>
                <w:sz w:val="13"/>
                <w:szCs w:val="13"/>
                <w:color w:val="auto"/>
              </w:rPr>
              <w:t>Total assets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14,119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ind w:right="22"/>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4,723</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3,085</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487</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217</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486</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227</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1,319</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122"/>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24,989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180" w:type="dxa"/>
            <w:vAlign w:val="bottom"/>
            <w:shd w:val="clear" w:color="auto" w:fill="CCEEFF"/>
          </w:tcPr>
          <w:p>
            <w:pPr>
              <w:ind w:left="300"/>
              <w:spacing w:after="0" w:line="116" w:lineRule="exact"/>
              <w:rPr>
                <w:sz w:val="20"/>
                <w:szCs w:val="20"/>
                <w:color w:val="auto"/>
              </w:rPr>
            </w:pPr>
            <w:r>
              <w:rPr>
                <w:rFonts w:ascii="Arial" w:cs="Arial" w:eastAsia="Arial" w:hAnsi="Arial"/>
                <w:sz w:val="13"/>
                <w:szCs w:val="13"/>
                <w:b w:val="1"/>
                <w:bCs w:val="1"/>
                <w:color w:val="auto"/>
              </w:rPr>
              <w:t>LIABILITIES AND EQUITY</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80" w:type="dxa"/>
            <w:vAlign w:val="bottom"/>
          </w:tcPr>
          <w:p>
            <w:pPr>
              <w:spacing w:after="0" w:line="121" w:lineRule="exact"/>
              <w:rPr>
                <w:sz w:val="20"/>
                <w:szCs w:val="20"/>
                <w:color w:val="auto"/>
              </w:rPr>
            </w:pPr>
            <w:r>
              <w:rPr>
                <w:rFonts w:ascii="Arial" w:cs="Arial" w:eastAsia="Arial" w:hAnsi="Arial"/>
                <w:sz w:val="13"/>
                <w:szCs w:val="13"/>
                <w:color w:val="auto"/>
                <w:w w:val="89"/>
              </w:rPr>
              <w:t>Accounts payable, accrued expenses and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00"/>
              <w:spacing w:after="0"/>
              <w:rPr>
                <w:sz w:val="20"/>
                <w:szCs w:val="20"/>
                <w:color w:val="auto"/>
              </w:rPr>
            </w:pPr>
            <w:r>
              <w:rPr>
                <w:rFonts w:ascii="Arial" w:cs="Arial" w:eastAsia="Arial" w:hAnsi="Arial"/>
                <w:sz w:val="13"/>
                <w:szCs w:val="13"/>
                <w:color w:val="auto"/>
              </w:rPr>
              <w:t>other liabilities</w:t>
            </w:r>
          </w:p>
        </w:tc>
        <w:tc>
          <w:tcPr>
            <w:tcW w:w="28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2,256</w:t>
            </w:r>
          </w:p>
        </w:tc>
        <w:tc>
          <w:tcPr>
            <w:tcW w:w="200" w:type="dxa"/>
            <w:vAlign w:val="bottom"/>
            <w:gridSpan w:val="2"/>
          </w:tcPr>
          <w:p>
            <w:pPr>
              <w:jc w:val="right"/>
              <w:ind w:right="22"/>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w w:val="98"/>
              </w:rPr>
              <w:t>1,189</w:t>
            </w:r>
          </w:p>
        </w:tc>
        <w:tc>
          <w:tcPr>
            <w:tcW w:w="26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1,163</w:t>
            </w:r>
          </w:p>
        </w:tc>
        <w:tc>
          <w:tcPr>
            <w:tcW w:w="60" w:type="dxa"/>
            <w:vAlign w:val="bottom"/>
          </w:tcPr>
          <w:p>
            <w:pPr>
              <w:spacing w:after="0"/>
              <w:rPr>
                <w:sz w:val="12"/>
                <w:szCs w:val="12"/>
                <w:color w:val="auto"/>
              </w:rPr>
            </w:pPr>
          </w:p>
        </w:tc>
        <w:tc>
          <w:tcPr>
            <w:tcW w:w="1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182</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73</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45</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65</w:t>
            </w:r>
          </w:p>
        </w:tc>
        <w:tc>
          <w:tcPr>
            <w:tcW w:w="300" w:type="dxa"/>
            <w:vAlign w:val="bottom"/>
            <w:gridSpan w:val="2"/>
          </w:tcPr>
          <w:p>
            <w:pPr>
              <w:jc w:val="right"/>
              <w:ind w:right="44"/>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64</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114</w:t>
            </w:r>
          </w:p>
        </w:tc>
        <w:tc>
          <w:tcPr>
            <w:tcW w:w="60" w:type="dxa"/>
            <w:vAlign w:val="bottom"/>
          </w:tcPr>
          <w:p>
            <w:pPr>
              <w:spacing w:after="0"/>
              <w:rPr>
                <w:sz w:val="12"/>
                <w:szCs w:val="12"/>
                <w:color w:val="auto"/>
              </w:rPr>
            </w:pPr>
          </w:p>
        </w:tc>
        <w:tc>
          <w:tcPr>
            <w:tcW w:w="220" w:type="dxa"/>
            <w:vAlign w:val="bottom"/>
            <w:gridSpan w:val="2"/>
          </w:tcPr>
          <w:p>
            <w:pPr>
              <w:jc w:val="right"/>
              <w:ind w:right="12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5,151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1"/>
              </w:rPr>
              <w:t>Securities sold, not yet purchased, at fair</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value</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Debt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8"/>
              </w:rPr>
              <w:t>1,691</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368</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151</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5,811</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8,059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8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Total liabilities</w:t>
            </w:r>
          </w:p>
        </w:tc>
        <w:tc>
          <w:tcPr>
            <w:tcW w:w="1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4,777</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2,880</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1,531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333</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5,925</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15,731</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Equity attributable to Icahn Enterprises</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4,283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1,039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1,554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7"/>
              </w:rPr>
              <w:t>(4,606)</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3,383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80" w:type="dxa"/>
            <w:vAlign w:val="bottom"/>
          </w:tcPr>
          <w:p>
            <w:pPr>
              <w:spacing w:after="0" w:line="121" w:lineRule="exact"/>
              <w:rPr>
                <w:sz w:val="20"/>
                <w:szCs w:val="20"/>
                <w:color w:val="auto"/>
              </w:rPr>
            </w:pPr>
            <w:r>
              <w:rPr>
                <w:rFonts w:ascii="Arial" w:cs="Arial" w:eastAsia="Arial" w:hAnsi="Arial"/>
                <w:sz w:val="13"/>
                <w:szCs w:val="13"/>
                <w:color w:val="auto"/>
              </w:rPr>
              <w:t>Equity attributable to non-controlling</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00"/>
              <w:spacing w:after="0"/>
              <w:rPr>
                <w:sz w:val="20"/>
                <w:szCs w:val="20"/>
                <w:color w:val="auto"/>
              </w:rPr>
            </w:pPr>
            <w:r>
              <w:rPr>
                <w:rFonts w:ascii="Arial" w:cs="Arial" w:eastAsia="Arial" w:hAnsi="Arial"/>
                <w:sz w:val="13"/>
                <w:szCs w:val="13"/>
                <w:color w:val="auto"/>
              </w:rPr>
              <w:t>interests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5,059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804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5,875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tcBorders>
              <w:top w:val="single" w:sz="8" w:color="CCEEFF"/>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Total equity</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9,342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1,843</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1,554</w:t>
            </w: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154</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128</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440</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(4,606)</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9,258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80" w:type="dxa"/>
            <w:vAlign w:val="bottom"/>
          </w:tcPr>
          <w:p>
            <w:pPr>
              <w:ind w:left="80"/>
              <w:spacing w:after="0" w:line="129" w:lineRule="exact"/>
              <w:rPr>
                <w:sz w:val="20"/>
                <w:szCs w:val="20"/>
                <w:color w:val="auto"/>
              </w:rPr>
            </w:pPr>
            <w:r>
              <w:rPr>
                <w:rFonts w:ascii="Arial" w:cs="Arial" w:eastAsia="Arial" w:hAnsi="Arial"/>
                <w:sz w:val="13"/>
                <w:szCs w:val="13"/>
                <w:color w:val="auto"/>
              </w:rPr>
              <w:t>Total liabilities and equity</w:t>
            </w:r>
          </w:p>
        </w:tc>
        <w:tc>
          <w:tcPr>
            <w:tcW w:w="160" w:type="dxa"/>
            <w:vAlign w:val="bottom"/>
          </w:tcPr>
          <w:p>
            <w:pPr>
              <w:spacing w:after="0"/>
              <w:rPr>
                <w:sz w:val="11"/>
                <w:szCs w:val="11"/>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14,119</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ind w:right="22"/>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4,723</w:t>
            </w: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3,085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487</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217</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486</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227</w:t>
            </w:r>
          </w:p>
        </w:tc>
        <w:tc>
          <w:tcPr>
            <w:tcW w:w="140" w:type="dxa"/>
            <w:vAlign w:val="bottom"/>
          </w:tcPr>
          <w:p>
            <w:pPr>
              <w:spacing w:after="0"/>
              <w:rPr>
                <w:sz w:val="11"/>
                <w:szCs w:val="11"/>
                <w:color w:val="auto"/>
              </w:rPr>
            </w:pPr>
          </w:p>
        </w:tc>
        <w:tc>
          <w:tcPr>
            <w:tcW w:w="16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326</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1,319</w:t>
            </w: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122"/>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For the three months ended June 30, 2021, we recorded an income tax expense of $59 million on pre-tax loss of $3 million compared to an income tax expense of $128 million on pre-tax income of $992 million for the three months ended June 30, 2020. Our effective income tax rate was (1,966.7)% and 12.9% for the three months ended June 30, 2021 and 2020, respectively.</w:t>
      </w:r>
    </w:p>
    <w:p>
      <w:pPr>
        <w:spacing w:after="0" w:line="187" w:lineRule="exact"/>
        <w:rPr>
          <w:sz w:val="20"/>
          <w:szCs w:val="20"/>
          <w:color w:val="auto"/>
        </w:rPr>
      </w:pPr>
    </w:p>
    <w:p>
      <w:pPr>
        <w:ind w:left="60" w:right="939" w:firstLine="324"/>
        <w:spacing w:after="0" w:line="308" w:lineRule="auto"/>
        <w:rPr>
          <w:sz w:val="20"/>
          <w:szCs w:val="20"/>
          <w:color w:val="auto"/>
        </w:rPr>
      </w:pPr>
      <w:r>
        <w:rPr>
          <w:rFonts w:ascii="Arial" w:cs="Arial" w:eastAsia="Arial" w:hAnsi="Arial"/>
          <w:sz w:val="17"/>
          <w:szCs w:val="17"/>
          <w:color w:val="auto"/>
        </w:rPr>
        <w:t>For the three months ended June 30, 2021, the effective tax rate was lower than the statutory federal rate of 21%, primarily due to permanent difference on dividends and changes in the valuation allowance.</w:t>
      </w:r>
    </w:p>
    <w:p>
      <w:pPr>
        <w:spacing w:after="0" w:line="146" w:lineRule="exact"/>
        <w:rPr>
          <w:sz w:val="20"/>
          <w:szCs w:val="20"/>
          <w:color w:val="auto"/>
        </w:rPr>
      </w:pPr>
    </w:p>
    <w:p>
      <w:pPr>
        <w:ind w:left="60" w:right="319" w:firstLine="324"/>
        <w:spacing w:after="0" w:line="263" w:lineRule="auto"/>
        <w:rPr>
          <w:sz w:val="20"/>
          <w:szCs w:val="20"/>
          <w:color w:val="auto"/>
        </w:rPr>
      </w:pPr>
      <w:r>
        <w:rPr>
          <w:rFonts w:ascii="Arial" w:cs="Arial" w:eastAsia="Arial" w:hAnsi="Arial"/>
          <w:sz w:val="18"/>
          <w:szCs w:val="18"/>
          <w:color w:val="auto"/>
        </w:rPr>
        <w:t>For the three months ended June 30, 2020, the effective tax rate was lower than the statutory federal rate of 21%, primarily due to changes in the valuation allowance and partnership income for which there was no tax expense, as such income is allocated to the partners.</w:t>
      </w:r>
    </w:p>
    <w:p>
      <w:pPr>
        <w:spacing w:after="0" w:line="184"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For the six months ended June 30, 2021, we recorded an income tax expense of $76 million on pre-tax income of $613 million compared to an income tax benefit of $52 million on pre-tax loss of $1,494 million for the six months ended June 30, 2020. Our effective income tax rate was 12.4% and 3.5% for the six months ended June 30, 2021 and 2020, respectively.</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the six months ended June 30, 2021, the effective tax rate was lower than the statutory federal rate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21%, primarily due to partnership income for which there was no tax expense, as such income is allocated to the partners.</w:t>
      </w:r>
    </w:p>
    <w:p>
      <w:pPr>
        <w:spacing w:after="0" w:line="234"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For the six months ended June 30, 2020, the effective tax rate was lower than the statutory federal rate of 21%, primarily due to changes in the valuation allowance and partnership loss for which there was no tax benefit, as such loss is allocated to the partners.</w:t>
      </w:r>
    </w:p>
    <w:p>
      <w:pPr>
        <w:spacing w:after="0" w:line="180" w:lineRule="exact"/>
        <w:rPr>
          <w:sz w:val="20"/>
          <w:szCs w:val="20"/>
          <w:color w:val="auto"/>
        </w:rPr>
      </w:pPr>
    </w:p>
    <w:p>
      <w:pPr>
        <w:ind w:left="360" w:hanging="310"/>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Accumulated Other Comprehensive Loss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Changes in accumulated other comprehensive loss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15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Post-Retirement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Adjustments, Net</w:t>
            </w:r>
          </w:p>
        </w:tc>
        <w:tc>
          <w:tcPr>
            <w:tcW w:w="16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Benefits and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of Tax</w:t>
            </w:r>
          </w:p>
        </w:tc>
        <w:tc>
          <w:tcPr>
            <w:tcW w:w="15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Other, Net of Tax</w:t>
            </w:r>
          </w:p>
        </w:tc>
        <w:tc>
          <w:tcPr>
            <w:tcW w:w="24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28"/>
        </w:trPr>
        <w:tc>
          <w:tcPr>
            <w:tcW w:w="4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13"/>
              <w:spacing w:after="0" w:line="129"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60" w:type="dxa"/>
            <w:vAlign w:val="bottom"/>
          </w:tcPr>
          <w:p>
            <w:pPr>
              <w:ind w:left="20"/>
              <w:spacing w:after="0" w:line="201" w:lineRule="exact"/>
              <w:rPr>
                <w:sz w:val="20"/>
                <w:szCs w:val="20"/>
                <w:color w:val="auto"/>
              </w:rPr>
            </w:pPr>
            <w:r>
              <w:rPr>
                <w:rFonts w:ascii="Arial" w:cs="Arial" w:eastAsia="Arial" w:hAnsi="Arial"/>
                <w:sz w:val="18"/>
                <w:szCs w:val="18"/>
                <w:color w:val="auto"/>
                <w:w w:val="90"/>
              </w:rPr>
              <w:t>Other comprehensive income before reclassifications, net of</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tax</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Reclassifications from accumulated other comprehensive</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to earnings, net of tax</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9"/>
              </w:rPr>
              <w:t>36</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436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360" w:hanging="310"/>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Other (Loss) Income, Net</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Other (loss) income, net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2"/>
              </w:rPr>
              <w:t>Three Months Ended June 30,</w:t>
            </w:r>
          </w:p>
        </w:tc>
        <w:tc>
          <w:tcPr>
            <w:tcW w:w="180" w:type="dxa"/>
            <w:vAlign w:val="bottom"/>
          </w:tcPr>
          <w:p>
            <w:pPr>
              <w:spacing w:after="0"/>
              <w:rPr>
                <w:sz w:val="20"/>
                <w:szCs w:val="20"/>
                <w:color w:val="auto"/>
              </w:rPr>
            </w:pP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09"/>
        </w:trPr>
        <w:tc>
          <w:tcPr>
            <w:tcW w:w="3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129"/>
        </w:trPr>
        <w:tc>
          <w:tcPr>
            <w:tcW w:w="3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3"/>
          </w:tcPr>
          <w:p>
            <w:pPr>
              <w:ind w:left="500"/>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Dividend expense</w:t>
            </w:r>
          </w:p>
        </w:tc>
        <w:tc>
          <w:tcPr>
            <w:tcW w:w="1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rPr>
              <w:t>Equity earnings (losses) from non-consolidated</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affiliates</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Loss on disposition of assets, net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Foreign currency transaction loss</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net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37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3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Due to the nature of our business, certain of our subsidiaries’ operations are subject to numerous existing and proposed laws and governmental regulations designed to protect the environment, particularly regarding plant wastes and emissions and solid waste disposal. Our consolidated environmental liabilities were $38 million and $37 million as of June 30, 2021 and December 31, 2020, respectively, primarily within our Metals and Energy segments and which are included in accrued expenses and other liabilities in our condensed consolidated balance sheets. We do not believe that environmental matters will have a material adverse impact on our consolidated results of operations and financial condition.</w:t>
      </w:r>
    </w:p>
    <w:p>
      <w:pPr>
        <w:spacing w:after="0" w:line="164"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On August 21, 2018, CVR Refining received a letter from the United States Department of Justice (the “DOJ”) on behalf of the Environmental Protection Agency (the “EPA”) and the Kansas Department of Health and Environment (“KDHE”) alleging violations of the Clean Air Act and a 2012 Consent Decree (“CD”) between CVR Refining, the United States (on behalf of the EPA) and KDHE at CVR Energy’s Coffeyville refinery. In June 2020, a tolling agreement between the parties relating to such allegations expired, and the United States and KDHE sent demand letters relating to the allegations (the “Stipulated Claims”) and seeking stipulated penalties. In February 2021, the DOJ and KDHE sent CVR Refining a statement of position under the CD regarding its demand for Stipulated Claims. As CVR Refining disputes most claims asserted by the government, in accordance with the CD, CVR Refining deposited funds into a commercial escrow account pending resolution of disputed claims. The escrowed funds are legally restricted for use and are included within other assets on the consolidated balance sheets. In December 2020, the DOJ and KDHE filed a supplement complaint in the United States District Court for the District of Kansas asserting nine counts for alleged violations of the Clean Air Act, the Kansas State Implementation Plan and Kansas law (the “Statutory Claims”) and seeking civil penalties, injunctive and related relief. Our Energy segment has responded to numerous information request and negotiations relating to the Stipulated Claims and the Statutory Claims are ongoing and CVR Energy cannot at this time determine the outcome of this matter, including whether such outcome, or any subsequent enforcement or litigation relating thereto would have a material impact on our Energy segment’s financial position, results of operations, or cash flows.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Renewable Fuel Standards</w:t>
      </w:r>
    </w:p>
    <w:p>
      <w:pPr>
        <w:spacing w:after="0" w:line="225" w:lineRule="exact"/>
        <w:rPr>
          <w:sz w:val="20"/>
          <w:szCs w:val="20"/>
          <w:color w:val="auto"/>
        </w:rPr>
      </w:pPr>
    </w:p>
    <w:p>
      <w:pPr>
        <w:ind w:left="60" w:right="219" w:firstLine="324"/>
        <w:spacing w:after="0" w:line="308" w:lineRule="auto"/>
        <w:rPr>
          <w:sz w:val="20"/>
          <w:szCs w:val="20"/>
          <w:color w:val="auto"/>
        </w:rPr>
      </w:pPr>
      <w:r>
        <w:rPr>
          <w:rFonts w:ascii="Arial" w:cs="Arial" w:eastAsia="Arial" w:hAnsi="Arial"/>
          <w:sz w:val="17"/>
          <w:szCs w:val="17"/>
          <w:color w:val="auto"/>
        </w:rPr>
        <w:t>CVR Refining is subject to the Renewable Fuel Standard (“RFS”) implemented primarily by the EPA which requires refiners to either blend renewable fuels in with their transportation fuels or purchase renewable fuel credits,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color w:val="auto"/>
        </w:rPr>
        <w:t>known as RINs, in lieu of blending. CVR Refining is not able to blend the substantial majority of its transportation fuels and has to purchase RINs on the open market and may have to obtain waiver credits for cellulosic biofuels or other exemptions from the EPA, in order to comply with the RFS.</w:t>
      </w:r>
    </w:p>
    <w:p>
      <w:pPr>
        <w:spacing w:after="0" w:line="184" w:lineRule="exact"/>
        <w:rPr>
          <w:sz w:val="20"/>
          <w:szCs w:val="20"/>
          <w:color w:val="auto"/>
        </w:rPr>
      </w:pPr>
    </w:p>
    <w:p>
      <w:pPr>
        <w:ind w:left="60" w:right="59" w:firstLine="324"/>
        <w:spacing w:after="0" w:line="289" w:lineRule="auto"/>
        <w:rPr>
          <w:sz w:val="20"/>
          <w:szCs w:val="20"/>
          <w:color w:val="auto"/>
        </w:rPr>
      </w:pPr>
      <w:r>
        <w:rPr>
          <w:rFonts w:ascii="Arial" w:cs="Arial" w:eastAsia="Arial" w:hAnsi="Arial"/>
          <w:sz w:val="16"/>
          <w:szCs w:val="16"/>
          <w:color w:val="auto"/>
        </w:rPr>
        <w:t>For the three months ended June 30, 2021 and 2020, our Energy segment recognized expenses of $173 million and $16 million, respectively, for CVR Refining’s compliance with the RFS and which is included in cost of goods sold in the condensed consolidated statements of operations. For the six months ended June 30, 2021 and 2020, such expenses were $351 million and $35 million, respectively. These recognized expenses represent costs to comply with the RFS obligation through purchasing of RINs not otherwise reduced by blending of ethanol or biodiesel. At each reporting period, to the extent RINs purchased or generated through blending are less than the RFS obligation (excluding the impact of exemptions or waivers to which CVR Refining may be entitled), the remaining position is marked-to-market using RIN market prices at period end. As of June 30, 2021 and December 31, 2020, CVR Refining’s RFS position was $485 million and $214 million, respectively, and is included in accrued expenses and other liabilities in the condensed consolidated balance sheets.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On July 26, 2021, trial commenced in the consolidated lawsuits filed by purported former unitholders of CVR Refining on behalf of themselves and an alleged class of similarly situated unitholders against CVR Energy, CVR Refining and its general partner, CVR Refining Holdings, Icahn Enterprises and certain directors and affiliates in the Court of Chancery of the State of Delaware related to CVR Energy’s exercise of the call option under the CVR Refining Amended and Restated Agreement of Limited Partnership assigned to it by CVR Refining’s general partner (the “Delaware Lawsuits”) primarily alleging breach of contract, tortious interference, and breach of the implied covenant of good faith and fair dealing, which trial concluded on July 29, 2021. CVR Energy believes the Delaware Lawsuits are without merit and has vigorously defended against them. As no ruling in the case has yet been issued, CVR Energy cannot determine at this time the outcome of the Delaware Lawsuits, including whether the outcome would have a material impact on our Energy segment’s financial position, results of operations, or cash flows. The lawsuit filed in the United States District Court for the Southern District of New York also related to CVR Energy’s exercise of the call option was voluntarily dismissed.</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Pension Obligations</w:t>
      </w:r>
    </w:p>
    <w:p>
      <w:pPr>
        <w:spacing w:after="0" w:line="225"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Mr. Icahn, through certain affiliates, owns 100% of Icahn Enterprises GP and approximately 90% of Icahn Enterprises’ outstanding depositary units as of June 30, 2021.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6"/>
          <w:szCs w:val="16"/>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Industries LLC (“ACF”), an affiliate of Mr. Icahn. All the minimum funding requirements of the Internal Revenue Code, as amended, and the Employee Retirement Income Security Act of 1974, as amended, for the Viskase and ACF plans have been met as of June 30, 2021. If the plans were voluntarily terminated, they would be underfunded by approximately $114 million as of June 30, 2021.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74"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The current underfunded status of the pension plans of Viskase and ACF requires them to notify the PBGC of certain “reportable events,” such as if we cease to be a member of the Viskase or ACF controlled group, or if we make certain extraordinary dividends or stock redemptions. The obligation to report could cause us to seek to delay or reconsider the occurrence of such reportable events.</w:t>
      </w:r>
    </w:p>
    <w:p>
      <w:pPr>
        <w:spacing w:after="0" w:line="187"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The U.S. Attorney’s office for the Southern District of New York contacted Icahn Enterprises L.P. in September 2017 seeking production of information pertaining to our and Mr. Icahn’s activities relating to the Renewable Fuels Standard and Mr. Icahn’s former role as an advisor to the former President of the United States. We cooperated with the request and provided information in response to the subpoena. The U.S. Attorney’s office for the Southern District of New York contacted Icahn Enterprises L.P. in June 2018 seeking production of information pertaining to trading in Manitowoc Company, Inc. securities. We cooperated with the request and provided documents in response to the subpoena. The U.S. Attorney’s office has not made any claims or allegations against us or Mr. Icahn with respect to either of the foregoing inquiries. We believe that we maintain a strong compliance program and, while no assurances can be made, we do not believe these inquiries will have a material impact on our business, financial condition, results of operations or cash flows.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Arial" w:cs="Arial" w:eastAsia="Arial" w:hAnsi="Arial"/>
                <w:sz w:val="18"/>
                <w:szCs w:val="18"/>
                <w:b w:val="1"/>
                <w:bCs w:val="1"/>
                <w:color w:val="auto"/>
              </w:rPr>
              <w:t>17. Supplemental Cash Flow Information</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6020" w:type="dxa"/>
            <w:vAlign w:val="bottom"/>
          </w:tcPr>
          <w:p>
            <w:pPr>
              <w:ind w:left="320"/>
              <w:spacing w:after="0"/>
              <w:rPr>
                <w:sz w:val="20"/>
                <w:szCs w:val="20"/>
                <w:color w:val="auto"/>
              </w:rPr>
            </w:pPr>
            <w:r>
              <w:rPr>
                <w:rFonts w:ascii="Arial" w:cs="Arial" w:eastAsia="Arial" w:hAnsi="Arial"/>
                <w:sz w:val="18"/>
                <w:szCs w:val="18"/>
                <w:color w:val="auto"/>
              </w:rPr>
              <w:t>Supplemental cash flow information consists of the following:</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45"/>
        </w:trPr>
        <w:tc>
          <w:tcPr>
            <w:tcW w:w="6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09"/>
        </w:trPr>
        <w:tc>
          <w:tcPr>
            <w:tcW w:w="6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2020</w:t>
            </w:r>
          </w:p>
        </w:tc>
      </w:tr>
      <w:tr>
        <w:trPr>
          <w:trHeight w:val="129"/>
        </w:trPr>
        <w:tc>
          <w:tcPr>
            <w:tcW w:w="6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tcPr>
          <w:p>
            <w:pPr>
              <w:jc w:val="right"/>
              <w:ind w:right="40"/>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 interest, net of amounts capitalized</w:t>
            </w: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Cash receipts for income taxes, net of payments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Non-cash dividends to non-controlling interests in subsidiary</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Partnership contributions receivable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Investment segment contributions from non-controlling interests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LP Unit Distribution</w:t>
      </w:r>
    </w:p>
    <w:p>
      <w:pPr>
        <w:spacing w:after="0" w:line="225"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On August 4, 2021, the Board of Directors of the general partner of Icahn Enterprises declared a quarterly distribution in the amount of $2.00 per depositary unit, which will be paid on or about September 29, 2021 to depositary unitholders of record at the close of business on August 20, 2021. Depositary unitholders will have until September 17, 2021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5 consecutive trading days ending September 24, 2021. Icahn Enterprises will make a cash payment in lieu of issuing fractional depositary units to any unitholders electing to receive (or who are deemed to have elected to receive) depositary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119" w:firstLine="324"/>
        <w:spacing w:after="0" w:line="275" w:lineRule="auto"/>
        <w:rPr>
          <w:sz w:val="20"/>
          <w:szCs w:val="20"/>
          <w:color w:val="auto"/>
        </w:rPr>
      </w:pPr>
      <w:r>
        <w:rPr>
          <w:rFonts w:ascii="Arial" w:cs="Arial" w:eastAsia="Arial" w:hAnsi="Arial"/>
          <w:sz w:val="17"/>
          <w:szCs w:val="17"/>
          <w:i w:val="1"/>
          <w:iCs w:val="1"/>
          <w:color w:val="auto"/>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June 30, 2021 (this “Report”), as well as our Annual Report on Form 10-K for the year ended December 31, 2020 filed with the Securities and Exchange Commission on February 26, 2021.</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left="60" w:right="139" w:firstLine="324"/>
        <w:spacing w:after="0" w:line="274" w:lineRule="auto"/>
        <w:rPr>
          <w:sz w:val="20"/>
          <w:szCs w:val="20"/>
          <w:color w:val="auto"/>
        </w:rPr>
      </w:pPr>
      <w:r>
        <w:rPr>
          <w:rFonts w:ascii="Arial" w:cs="Arial" w:eastAsia="Arial" w:hAnsi="Arial"/>
          <w:sz w:val="17"/>
          <w:szCs w:val="17"/>
          <w:color w:val="auto"/>
        </w:rPr>
        <w:t>Icahn Enterprises L.P. (“Icahn Enterprises”) is a master limited partnership formed in Delaware on February 17, 1987. Icahn Enterprises Holdings L.P. (“Icahn Enterprises Holdings”) is a limited partnership formed in Delaware on</w:t>
      </w:r>
    </w:p>
    <w:p>
      <w:pPr>
        <w:ind w:left="60" w:right="59"/>
        <w:spacing w:after="0" w:line="260" w:lineRule="auto"/>
        <w:rPr>
          <w:sz w:val="20"/>
          <w:szCs w:val="20"/>
          <w:color w:val="auto"/>
        </w:rPr>
      </w:pPr>
      <w:r>
        <w:rPr>
          <w:rFonts w:ascii="Arial" w:cs="Arial" w:eastAsia="Arial" w:hAnsi="Arial"/>
          <w:sz w:val="18"/>
          <w:szCs w:val="18"/>
          <w:color w:val="auto"/>
        </w:rPr>
        <w:t>February 17, 1987. References to “we,” “our” or “us” herein include both Icahn Enterprises and Icahn Enterprises Holdings and their subsidiaries, unless the context otherwise requires.</w:t>
      </w:r>
    </w:p>
    <w:p>
      <w:pPr>
        <w:spacing w:after="0" w:line="185"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Holdings and its subsidiaries own substantially all of the assets and liabilities of Icahn Enterprises and conduct substantially all of its operations. Therefore, the financial results of Icahn Enterprises and Icahn Enterprises Holdings are substantially the same, with differences relating primarily to allocations to the general and limited partners. We do not discuss Icahn Enterprises and Icahn Enterprises Holdings separately unless we believe it is necessary to an understanding of the businesses.</w:t>
      </w:r>
    </w:p>
    <w:p>
      <w:pPr>
        <w:spacing w:after="0" w:line="161"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Energy, Automotive, Food Packaging, Metals, Real Estate, Home Fashion and Pharma. We also report the results of our Holding Company, which includes the results of certain subsidiaries of Icahn Enterprises and Icahn Enterprises Holdings (unless otherwise noted), and investment activity and expenses associated with our Holding Company.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Transactions and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Debt Issuances</w:t>
      </w:r>
    </w:p>
    <w:p>
      <w:pPr>
        <w:spacing w:after="0" w:line="225"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In January 2021, Icahn Enterprises and Icahn Enterprises Finance Corp. (together the “Issuers”) issued $750 million in aggregate principal amount of 4.375% senior unsecured notes due 2029 (the “New 2029 Notes”). The proceeds from the New 2029 Notes were used to redeem $750 million principal amount of 6.250% senior unsecured notes due 2022, and to pay accrued interest, related fees and expenses.</w:t>
      </w:r>
    </w:p>
    <w:p>
      <w:pPr>
        <w:spacing w:after="0" w:line="187" w:lineRule="exact"/>
        <w:rPr>
          <w:sz w:val="20"/>
          <w:szCs w:val="20"/>
          <w:color w:val="auto"/>
        </w:rPr>
      </w:pPr>
    </w:p>
    <w:p>
      <w:pPr>
        <w:ind w:left="60" w:right="339" w:firstLine="324"/>
        <w:spacing w:after="0" w:line="311" w:lineRule="auto"/>
        <w:rPr>
          <w:sz w:val="20"/>
          <w:szCs w:val="20"/>
          <w:color w:val="auto"/>
        </w:rPr>
      </w:pPr>
      <w:r>
        <w:rPr>
          <w:rFonts w:ascii="Arial" w:cs="Arial" w:eastAsia="Arial" w:hAnsi="Arial"/>
          <w:sz w:val="16"/>
          <w:szCs w:val="16"/>
          <w:color w:val="auto"/>
        </w:rPr>
        <w:t>In April 2021, the Issuers issued $455 million in aggregate principal amount of additional 5.250% senior unsecured notes due 2027. The proceeds from this issuance were used to redeem the remaining $455 million principal amount of 6.250% senior unsecured notes due 2022, and to pay accrued interest, related fees and expenses.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 Changes</w:t>
      </w:r>
    </w:p>
    <w:p>
      <w:pPr>
        <w:spacing w:after="0" w:line="225" w:lineRule="exact"/>
        <w:rPr>
          <w:sz w:val="20"/>
          <w:szCs w:val="20"/>
          <w:color w:val="auto"/>
        </w:rPr>
      </w:pPr>
    </w:p>
    <w:p>
      <w:pPr>
        <w:ind w:left="60" w:right="99" w:firstLine="324"/>
        <w:spacing w:after="0" w:line="279" w:lineRule="auto"/>
        <w:rPr>
          <w:sz w:val="20"/>
          <w:szCs w:val="20"/>
          <w:color w:val="auto"/>
        </w:rPr>
      </w:pPr>
      <w:r>
        <w:rPr>
          <w:rFonts w:ascii="Arial" w:cs="Arial" w:eastAsia="Arial" w:hAnsi="Arial"/>
          <w:sz w:val="17"/>
          <w:szCs w:val="17"/>
          <w:color w:val="auto"/>
        </w:rPr>
        <w:t>On April 5, 2021, we announced the hiring of Aris Kekedjian, who succeeded Keith Cozza as President and Chief Executive Officer as of May 10, 2021. Mr. Kekedjian also joined the board of directors of our general partner. In addition, on May 17, 2021, we announced the hiring of David Willetts, who succeeded SungHwan Cho as Chief Financial Officer as of June 7, 2021. Mr. Willetts also joined the board of directors of our general partner.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225"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Our operating businesses comprise consolidated subsidiaries which operate in various industries and are managed on a decentralized basis. In addition to our Investment segment’s revenues from investment transactions, revenues for our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Certain other financial information is discussed on a consolidated basis following our segment discussion, including other revenues and expenses included in continuing operations as well as our results from discontinued operations. In addition to the summarized financial results below, refer to Note 12, “Segment Reporting,” to the condensed consolidated financial statements for a reconciliation of each of our reporting segment’s results of continuing operations to our consolidated results.</w:t>
      </w:r>
    </w:p>
    <w:p>
      <w:pPr>
        <w:spacing w:after="0" w:line="166"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Throughout 2020, the COVID-19 pandemic, and actions taken by governments and others in response thereto, has negatively impacted the global economy, financial markets, and the industries in which our subsidiaries operate. Our consolidated results of operations and financial condition have been impacted primarily by the volatility in the fair value of investments held by our Investment segment and the Holding Company as well as declines in the global demand for refined products, especially gasoline and diesel fuels, with respect to our Energy segment. The impact on our businesses has also included the acceleration of selective planned store closures in our Automotive segment and recording write-downs to inventories. The economic conditions that persisted for much of 2020 have improved in 2021 as more governments reduce restrictions and more businesses resume operations.</w:t>
      </w:r>
    </w:p>
    <w:p>
      <w:pPr>
        <w:spacing w:after="0" w:line="178"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The comparability of our summarized consolidated financial results presented below is affected primarily by the performance of the Investment Funds (as defined below), the results of operations of our Energy segment, impacted by the demand and pricing for its products, and our Holding Company’s realized and unrealized gains and losses on certain equity investments. Refer to our respective segment discussions and “Other Consolidated Results of Operations,” below for further discussion.</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Revenues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rPr>
              <w:t>Net Income (Loss)</w:t>
            </w:r>
          </w:p>
        </w:tc>
        <w:tc>
          <w:tcPr>
            <w:tcW w:w="100" w:type="dxa"/>
            <w:vAlign w:val="bottom"/>
          </w:tcPr>
          <w:p>
            <w:pPr>
              <w:spacing w:after="0"/>
              <w:rPr>
                <w:sz w:val="14"/>
                <w:szCs w:val="14"/>
                <w:color w:val="auto"/>
              </w:rPr>
            </w:pPr>
          </w:p>
        </w:tc>
        <w:tc>
          <w:tcPr>
            <w:tcW w:w="2080" w:type="dxa"/>
            <w:vAlign w:val="bottom"/>
            <w:gridSpan w:val="5"/>
          </w:tcPr>
          <w:p>
            <w:pPr>
              <w:ind w:left="420"/>
              <w:spacing w:after="0"/>
              <w:rPr>
                <w:sz w:val="20"/>
                <w:szCs w:val="20"/>
                <w:color w:val="auto"/>
              </w:rPr>
            </w:pPr>
            <w:r>
              <w:rPr>
                <w:rFonts w:ascii="Arial" w:cs="Arial" w:eastAsia="Arial" w:hAnsi="Arial"/>
                <w:sz w:val="14"/>
                <w:szCs w:val="14"/>
                <w:b w:val="1"/>
                <w:bCs w:val="1"/>
                <w:color w:val="auto"/>
              </w:rPr>
              <w:t>Net Income (Loss)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vMerge w:val="continue"/>
          </w:tcPr>
          <w:p>
            <w:pPr>
              <w:spacing w:after="0"/>
              <w:rPr>
                <w:sz w:val="14"/>
                <w:szCs w:val="14"/>
                <w:color w:val="auto"/>
              </w:rPr>
            </w:pPr>
          </w:p>
        </w:tc>
        <w:tc>
          <w:tcPr>
            <w:tcW w:w="218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Attributable to Icahn Enterprises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900" w:type="dxa"/>
            <w:vAlign w:val="bottom"/>
            <w:tcBorders>
              <w:top w:val="single" w:sz="8" w:color="auto"/>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w w:val="94"/>
              </w:rPr>
              <w:t>Three Months Ended June 30,</w:t>
            </w:r>
          </w:p>
        </w:tc>
        <w:tc>
          <w:tcPr>
            <w:tcW w:w="140" w:type="dxa"/>
            <w:vAlign w:val="bottom"/>
          </w:tcPr>
          <w:p>
            <w:pPr>
              <w:spacing w:after="0"/>
              <w:rPr>
                <w:sz w:val="12"/>
                <w:szCs w:val="12"/>
                <w:color w:val="auto"/>
              </w:rPr>
            </w:pPr>
          </w:p>
        </w:tc>
        <w:tc>
          <w:tcPr>
            <w:tcW w:w="1920" w:type="dxa"/>
            <w:vAlign w:val="bottom"/>
            <w:tcBorders>
              <w:top w:val="single" w:sz="8" w:color="auto"/>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60" w:type="dxa"/>
            <w:vAlign w:val="bottom"/>
            <w:tcBorders>
              <w:top w:val="single" w:sz="8" w:color="auto"/>
              <w:bottom w:val="single" w:sz="8" w:color="auto"/>
            </w:tcBorders>
            <w:gridSpan w:val="4"/>
          </w:tcPr>
          <w:p>
            <w:pPr>
              <w:jc w:val="right"/>
              <w:ind w:right="88"/>
              <w:spacing w:after="0" w:line="142" w:lineRule="exact"/>
              <w:rPr>
                <w:sz w:val="20"/>
                <w:szCs w:val="20"/>
                <w:color w:val="auto"/>
              </w:rPr>
            </w:pPr>
            <w:r>
              <w:rPr>
                <w:rFonts w:ascii="Arial" w:cs="Arial" w:eastAsia="Arial" w:hAnsi="Arial"/>
                <w:sz w:val="14"/>
                <w:szCs w:val="14"/>
                <w:b w:val="1"/>
                <w:bCs w:val="1"/>
                <w:color w:val="auto"/>
                <w:w w:val="94"/>
              </w:rPr>
              <w:t>Three Months Ended June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color w:val="auto"/>
              </w:rPr>
              <w:t>(in</w:t>
            </w:r>
          </w:p>
        </w:tc>
        <w:tc>
          <w:tcPr>
            <w:tcW w:w="18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color w:val="auto"/>
              </w:rPr>
              <w:t>millions)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1,102</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Holding Company</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(156)</w:t>
            </w: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(110)</w:t>
            </w:r>
          </w:p>
        </w:tc>
        <w:tc>
          <w:tcPr>
            <w:tcW w:w="10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(156)</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2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Other Operating Segments:</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2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Energy</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1,797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(14)</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(11)</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Automotive</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635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581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w:t>
            </w: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w:t>
            </w:r>
          </w:p>
        </w:tc>
        <w:tc>
          <w:tcPr>
            <w:tcW w:w="10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Food Packaging</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Metals</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Real Estate</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Home Fashion</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Pharma</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tcBorders>
              <w:bottom w:val="single" w:sz="8" w:color="CCEEFF"/>
            </w:tcBorders>
            <w:gridSpan w:val="3"/>
          </w:tcPr>
          <w:p>
            <w:pPr>
              <w:ind w:left="20"/>
              <w:spacing w:after="0" w:line="142" w:lineRule="exact"/>
              <w:rPr>
                <w:sz w:val="20"/>
                <w:szCs w:val="20"/>
                <w:color w:val="auto"/>
              </w:rPr>
            </w:pPr>
            <w:r>
              <w:rPr>
                <w:rFonts w:ascii="Arial" w:cs="Arial" w:eastAsia="Arial" w:hAnsi="Arial"/>
                <w:sz w:val="14"/>
                <w:szCs w:val="14"/>
                <w:color w:val="auto"/>
              </w:rPr>
              <w:t>Other operating segments</w:t>
            </w: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2,786</w:t>
            </w:r>
          </w:p>
        </w:tc>
        <w:tc>
          <w:tcPr>
            <w:tcW w:w="2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1,475</w:t>
            </w: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w:t>
            </w:r>
          </w:p>
        </w:tc>
        <w:tc>
          <w:tcPr>
            <w:tcW w:w="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tcBorders>
              <w:bottom w:val="single" w:sz="8" w:color="CCEEFF"/>
            </w:tcBorders>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Consolidated</w:t>
            </w: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2,988</w:t>
            </w:r>
          </w:p>
        </w:tc>
        <w:tc>
          <w:tcPr>
            <w:tcW w:w="2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2,709</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w:t>
            </w: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864</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(136)</w:t>
            </w:r>
          </w:p>
        </w:tc>
        <w:tc>
          <w:tcPr>
            <w:tcW w:w="2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Revenues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Pr>
          <w:p>
            <w:pPr>
              <w:spacing w:after="0"/>
              <w:rPr>
                <w:sz w:val="14"/>
                <w:szCs w:val="14"/>
                <w:color w:val="auto"/>
              </w:rPr>
            </w:pPr>
          </w:p>
        </w:tc>
        <w:tc>
          <w:tcPr>
            <w:tcW w:w="2060" w:type="dxa"/>
            <w:vAlign w:val="bottom"/>
            <w:gridSpan w:val="5"/>
          </w:tcPr>
          <w:p>
            <w:pPr>
              <w:ind w:left="380"/>
              <w:spacing w:after="0"/>
              <w:rPr>
                <w:sz w:val="20"/>
                <w:szCs w:val="20"/>
                <w:color w:val="auto"/>
              </w:rPr>
            </w:pPr>
            <w:r>
              <w:rPr>
                <w:rFonts w:ascii="Arial" w:cs="Arial" w:eastAsia="Arial" w:hAnsi="Arial"/>
                <w:sz w:val="14"/>
                <w:szCs w:val="14"/>
                <w:b w:val="1"/>
                <w:bCs w:val="1"/>
                <w:color w:val="auto"/>
              </w:rPr>
              <w:t>Net Income (Loss)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2220" w:type="dxa"/>
            <w:vAlign w:val="bottom"/>
            <w:gridSpan w:val="6"/>
          </w:tcPr>
          <w:p>
            <w:pPr>
              <w:ind w:left="40"/>
              <w:spacing w:after="0"/>
              <w:rPr>
                <w:sz w:val="20"/>
                <w:szCs w:val="20"/>
                <w:color w:val="auto"/>
              </w:rPr>
            </w:pPr>
            <w:r>
              <w:rPr>
                <w:rFonts w:ascii="Arial" w:cs="Arial" w:eastAsia="Arial" w:hAnsi="Arial"/>
                <w:sz w:val="14"/>
                <w:szCs w:val="14"/>
                <w:b w:val="1"/>
                <w:bCs w:val="1"/>
                <w:color w:val="auto"/>
                <w:w w:val="99"/>
              </w:rPr>
              <w:t>Attributable to Icahn Enterprises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00" w:type="dxa"/>
            <w:vAlign w:val="bottom"/>
            <w:tcBorders>
              <w:top w:val="single" w:sz="8" w:color="auto"/>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w w:val="92"/>
              </w:rPr>
              <w:t>Six Months Ended June 30,</w:t>
            </w:r>
          </w:p>
        </w:tc>
        <w:tc>
          <w:tcPr>
            <w:tcW w:w="160" w:type="dxa"/>
            <w:vAlign w:val="bottom"/>
          </w:tcPr>
          <w:p>
            <w:pPr>
              <w:spacing w:after="0"/>
              <w:rPr>
                <w:sz w:val="12"/>
                <w:szCs w:val="12"/>
                <w:color w:val="auto"/>
              </w:rPr>
            </w:pPr>
          </w:p>
        </w:tc>
        <w:tc>
          <w:tcPr>
            <w:tcW w:w="1740" w:type="dxa"/>
            <w:vAlign w:val="bottom"/>
            <w:tcBorders>
              <w:top w:val="single" w:sz="8" w:color="auto"/>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w w:val="94"/>
              </w:rPr>
              <w:t>Six Months Ended June 30,</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40" w:type="dxa"/>
            <w:vAlign w:val="bottom"/>
            <w:tcBorders>
              <w:top w:val="single" w:sz="8" w:color="auto"/>
              <w:bottom w:val="single" w:sz="8" w:color="auto"/>
            </w:tcBorders>
            <w:gridSpan w:val="4"/>
          </w:tcPr>
          <w:p>
            <w:pPr>
              <w:jc w:val="right"/>
              <w:ind w:right="188"/>
              <w:spacing w:after="0" w:line="142" w:lineRule="exact"/>
              <w:rPr>
                <w:sz w:val="20"/>
                <w:szCs w:val="20"/>
                <w:color w:val="auto"/>
              </w:rPr>
            </w:pPr>
            <w:r>
              <w:rPr>
                <w:rFonts w:ascii="Arial" w:cs="Arial" w:eastAsia="Arial" w:hAnsi="Arial"/>
                <w:sz w:val="14"/>
                <w:szCs w:val="14"/>
                <w:b w:val="1"/>
                <w:bCs w:val="1"/>
                <w:color w:val="auto"/>
                <w:w w:val="97"/>
              </w:rPr>
              <w:t>Six Months Ended June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vMerge w:val="restart"/>
          </w:tcPr>
          <w:p>
            <w:pPr>
              <w:spacing w:after="0"/>
              <w:rPr>
                <w:sz w:val="20"/>
                <w:szCs w:val="20"/>
                <w:color w:val="auto"/>
              </w:rPr>
            </w:pPr>
            <w:r>
              <w:rPr>
                <w:rFonts w:ascii="Arial" w:cs="Arial" w:eastAsia="Arial" w:hAnsi="Arial"/>
                <w:sz w:val="14"/>
                <w:szCs w:val="14"/>
                <w:color w:val="auto"/>
              </w:rPr>
              <w:t>(in</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color w:val="auto"/>
              </w:rPr>
              <w:t>millions)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(663)</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(754)</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Holding Company</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(205)</w:t>
            </w:r>
          </w:p>
        </w:tc>
        <w:tc>
          <w:tcPr>
            <w:tcW w:w="160" w:type="dxa"/>
            <w:vAlign w:val="bottom"/>
          </w:tcPr>
          <w:p>
            <w:pPr>
              <w:spacing w:after="0"/>
              <w:rPr>
                <w:sz w:val="12"/>
                <w:szCs w:val="12"/>
                <w:color w:val="auto"/>
              </w:rPr>
            </w:pPr>
          </w:p>
        </w:tc>
        <w:tc>
          <w:tcPr>
            <w:tcW w:w="8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(313)</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(420)</w:t>
            </w:r>
          </w:p>
        </w:tc>
        <w:tc>
          <w:tcPr>
            <w:tcW w:w="1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(313)</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Other Operating Segments: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6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Energy</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3,329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1,851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(81)</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(116)</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(44)</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Automotive</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1,232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1,217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(84)</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(123)</w:t>
            </w:r>
          </w:p>
        </w:tc>
        <w:tc>
          <w:tcPr>
            <w:tcW w:w="1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(84)</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Food Packaging</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Metals</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Real Estate</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Home Fashion</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Pharma</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tcBorders>
              <w:bottom w:val="single" w:sz="8" w:color="CCEEFF"/>
            </w:tcBorders>
            <w:gridSpan w:val="3"/>
          </w:tcPr>
          <w:p>
            <w:pPr>
              <w:ind w:left="20"/>
              <w:spacing w:after="0" w:line="142" w:lineRule="exact"/>
              <w:rPr>
                <w:sz w:val="20"/>
                <w:szCs w:val="20"/>
                <w:color w:val="auto"/>
              </w:rPr>
            </w:pPr>
            <w:r>
              <w:rPr>
                <w:rFonts w:ascii="Arial" w:cs="Arial" w:eastAsia="Arial" w:hAnsi="Arial"/>
                <w:sz w:val="14"/>
                <w:szCs w:val="14"/>
                <w:color w:val="auto"/>
              </w:rPr>
              <w:t>Other operating segments</w:t>
            </w: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5,219</w:t>
            </w:r>
          </w:p>
        </w:tc>
        <w:tc>
          <w:tcPr>
            <w:tcW w:w="1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3,517</w:t>
            </w: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(268)</w:t>
            </w: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w:t>
            </w:r>
          </w:p>
        </w:tc>
        <w:tc>
          <w:tcPr>
            <w:tcW w:w="2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tcBorders>
              <w:bottom w:val="single" w:sz="8" w:color="CCEEFF"/>
            </w:tcBorders>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Consolidated</w:t>
            </w: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6,372</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2,649</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537</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(1,442)</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w:t>
            </w: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w:t>
      </w:r>
    </w:p>
    <w:p>
      <w:pPr>
        <w:spacing w:after="0" w:line="22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We invest our proprietary capital through various private investment funds (“Investment Funds”). As of June 30, 2021 and December 31, 2020, we had investments with a fair market value of approximately $4.7 billion and $4.3 billion, respectively, in the Investment Funds. As of June 30, 2021 and December 31, 2020, the total fair market value of investments in the Investment Funds made by Mr. Icahn and his affiliates (excluding us) was approximately $5.6 billion and $5.0 billion, respectively.</w:t>
      </w:r>
    </w:p>
    <w:p>
      <w:pPr>
        <w:spacing w:after="0" w:line="188"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Our Investment segment’s results of operations are reflected in net income (loss) in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son of Mr. Icahn.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June 30, 2021.</w:t>
      </w:r>
    </w:p>
    <w:p>
      <w:pPr>
        <w:spacing w:after="0" w:line="179" w:lineRule="exact"/>
        <w:rPr>
          <w:sz w:val="20"/>
          <w:szCs w:val="20"/>
          <w:color w:val="auto"/>
        </w:rPr>
      </w:pPr>
    </w:p>
    <w:p>
      <w:pPr>
        <w:ind w:left="60" w:right="379" w:firstLine="324"/>
        <w:spacing w:after="0" w:line="259" w:lineRule="auto"/>
        <w:rPr>
          <w:sz w:val="20"/>
          <w:szCs w:val="20"/>
          <w:color w:val="auto"/>
        </w:rPr>
      </w:pPr>
      <w:r>
        <w:rPr>
          <w:rFonts w:ascii="Arial" w:cs="Arial" w:eastAsia="Arial" w:hAnsi="Arial"/>
          <w:sz w:val="18"/>
          <w:szCs w:val="18"/>
          <w:color w:val="auto"/>
        </w:rPr>
        <w:t>For the three months ended June 30, 2021 and 2020, our Investment Funds’ returns were 1.4% and 11.7%, respectively. For the six months ended June 30, 2021 and 2020, our Investment Funds’ returns were 10.8% and (7.9)%, respectively. Our Investment Funds’ returns represent a weighted-average composite of the average returns, net of expenses.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performance attribution for the Investment Funds’ returns.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8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0"/>
              </w:rPr>
              <w:t>Three Months Ended June 30,</w:t>
            </w:r>
          </w:p>
        </w:tc>
        <w:tc>
          <w:tcPr>
            <w:tcW w:w="246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Long positions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Short positions</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(5.1)%</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(11.0)%</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(19.3)%</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12.0 %</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r>
      <w:tr>
        <w:trPr>
          <w:trHeight w:val="210"/>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The following table presents net income (loss) for our Investment segment for the three and six months ended June 30, 2021 and 2020.</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390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0"/>
                <w:szCs w:val="20"/>
                <w:color w:val="auto"/>
              </w:rPr>
            </w:pPr>
          </w:p>
        </w:tc>
        <w:tc>
          <w:tcPr>
            <w:tcW w:w="2200" w:type="dxa"/>
            <w:vAlign w:val="bottom"/>
            <w:gridSpan w:val="6"/>
          </w:tcPr>
          <w:p>
            <w:pPr>
              <w:jc w:val="right"/>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09"/>
        </w:trPr>
        <w:tc>
          <w:tcPr>
            <w:tcW w:w="2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r>
      <w:tr>
        <w:trPr>
          <w:trHeight w:val="129"/>
        </w:trPr>
        <w:tc>
          <w:tcPr>
            <w:tcW w:w="26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Long positions</w:t>
            </w:r>
          </w:p>
        </w:tc>
        <w:tc>
          <w:tcPr>
            <w:tcW w:w="17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4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Short positions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933</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2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r>
      <w:tr>
        <w:trPr>
          <w:trHeight w:val="20"/>
        </w:trPr>
        <w:tc>
          <w:tcPr>
            <w:tcW w:w="2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2021 and 2020</w:t>
      </w:r>
    </w:p>
    <w:p>
      <w:pPr>
        <w:spacing w:after="0" w:line="225" w:lineRule="exact"/>
        <w:rPr>
          <w:sz w:val="20"/>
          <w:szCs w:val="20"/>
          <w:color w:val="auto"/>
        </w:rPr>
      </w:pPr>
    </w:p>
    <w:p>
      <w:pPr>
        <w:ind w:left="60" w:right="59" w:firstLine="324"/>
        <w:spacing w:after="0" w:line="253" w:lineRule="auto"/>
        <w:rPr>
          <w:sz w:val="20"/>
          <w:szCs w:val="20"/>
          <w:color w:val="auto"/>
        </w:rPr>
      </w:pPr>
      <w:r>
        <w:rPr>
          <w:rFonts w:ascii="Arial" w:cs="Arial" w:eastAsia="Arial" w:hAnsi="Arial"/>
          <w:sz w:val="18"/>
          <w:szCs w:val="18"/>
          <w:color w:val="auto"/>
        </w:rPr>
        <w:t>For the three months ended June 30, 2021, the Investment Funds’ positive performance was driven by net gains in their long positions, offset in part by net losses in their short positions. The positive performance of our Investment segment’s long positions was driven primarily by gains from two energy sector investments aggregating $494 million and a technology sector investment of $193 million. The aggregate performance of investments with net gains across various sectors accounted for an additional positive performance of our Investment segment’s long positions. The negative performance of our Investment segment’s short positions was driven primarily by the negative performance of broad market hedges of $338 million and an energy sector investment of $256 million. The aggregate performance of investments with net losses across various sectors accounted for an additional negative performance of our Investment segment’s short positions.</w:t>
      </w:r>
    </w:p>
    <w:p>
      <w:pPr>
        <w:spacing w:after="0" w:line="196"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For the three months ended June 30, 2020, the Investment Funds’ positive performance was driven by net gains in their long positions, offset in part by net losses in their short positions. The positive performance of our Investment segment’s long positions was driven by gains from a consumer, cyclical sector investment of $998 million, two energy sector investments aggregating $906 million and aggregate gains from four other consumer, cyclical sector investments of $552 million. The aggregate performance of investments with net gains across various other sectors accounted for an additional positive performance of our Investment segment’s long positions. The negative performance of our Investment segment’s short positions was driven primarily by the negative performance of broad market hedges of approximately $2.1 billion and aggregate losses from short positions across various sectors, offset in part the positive performance of our Investment segment’s short exposure to commercial mortgage-backed securities through credit default swap contracts of $534 million.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2021 and 2020</w:t>
      </w:r>
    </w:p>
    <w:p>
      <w:pPr>
        <w:spacing w:after="0" w:line="225" w:lineRule="exact"/>
        <w:rPr>
          <w:sz w:val="20"/>
          <w:szCs w:val="20"/>
          <w:color w:val="auto"/>
        </w:rPr>
      </w:pPr>
    </w:p>
    <w:p>
      <w:pPr>
        <w:ind w:left="60" w:right="159" w:firstLine="324"/>
        <w:spacing w:after="0" w:line="289" w:lineRule="auto"/>
        <w:rPr>
          <w:sz w:val="20"/>
          <w:szCs w:val="20"/>
          <w:color w:val="auto"/>
        </w:rPr>
      </w:pPr>
      <w:r>
        <w:rPr>
          <w:rFonts w:ascii="Arial" w:cs="Arial" w:eastAsia="Arial" w:hAnsi="Arial"/>
          <w:sz w:val="16"/>
          <w:szCs w:val="16"/>
          <w:color w:val="auto"/>
        </w:rPr>
        <w:t>For the six months ended June 30, 2021, the Investment Funds’ positive performance was driven by net gains in their long positions, offset in part by net losses in their short positions. The positive performance of our Investment segment’s long positions was driven primarily by gains from two energy sector investments aggregating $1.6 billion. The aggregate performance of investments with net gains across various sectors accounted for an additional positive performance of our Investment segment’s long positions. The negative performance of our Investment segment’s short positions was driven primarily by the negative performance of an energy sector investment of $751 million and broad market hedges of $667 million. The aggregate performance of investments with net losses across various sectors accounted for an additional negative performance of our Investment segment’s short positions. The negative performance of our Investment segment’s short positions was offset in part by gains from a consumer, cyclical sector investment of $191 million.</w:t>
      </w:r>
    </w:p>
    <w:p>
      <w:pPr>
        <w:spacing w:after="0" w:line="166"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For the six months ended June 30, 2020, the Investment Funds’ negative performance was driven by net losses in their long positions, offset in part by net gains in their short positions. The negative performance of our Investment segment’s long positions was driven by losses from a consumer, non-cyclical sector investment of $637 million, aggregate losses from three technology sector investments of $745 million and an energy sector investment of $130 million. The aggregate performance of investments with net losses across various other sectors accounted for an additional negative performance of our Investment segment’s long positions. The positive performance of our Investment segment’s short positions was driven by the positive performance of their short exposure to commercial</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mortgage-backed securities through credit default swap contracts of $1.3 billion, offset in part primarily by the negative performance of broad market hedges.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jc w:val="both"/>
        <w:ind w:left="60" w:right="239" w:firstLine="324"/>
        <w:spacing w:after="0" w:line="263" w:lineRule="auto"/>
        <w:rPr>
          <w:sz w:val="20"/>
          <w:szCs w:val="20"/>
          <w:color w:val="auto"/>
        </w:rPr>
      </w:pPr>
      <w:r>
        <w:rPr>
          <w:rFonts w:ascii="Arial" w:cs="Arial" w:eastAsia="Arial" w:hAnsi="Arial"/>
          <w:sz w:val="18"/>
          <w:szCs w:val="18"/>
          <w:color w:val="auto"/>
        </w:rPr>
        <w:t>Our Energy segment is primarily engaged in the petroleum refining and nitrogen fertilizer manufacturing businesses. The petroleum business accounted for approximately 94% and 90% of our Energy segment’s net sales for the six months ended June 30, 2021 and 2020, respectively.</w:t>
      </w:r>
    </w:p>
    <w:p>
      <w:pPr>
        <w:spacing w:after="0" w:line="184"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and other refined products. This supply and demand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short-term fluctuations in the market price of inventory. The effect of changes in crude oil prices on the petroleum business’ results of operations is influenced by the rate at which the prices of refined products adjust to reflect these changes.</w:t>
      </w:r>
    </w:p>
    <w:p>
      <w:pPr>
        <w:spacing w:after="0" w:line="182" w:lineRule="exact"/>
        <w:rPr>
          <w:sz w:val="20"/>
          <w:szCs w:val="20"/>
          <w:color w:val="auto"/>
        </w:rPr>
      </w:pPr>
    </w:p>
    <w:p>
      <w:pPr>
        <w:ind w:left="60" w:right="119" w:firstLine="324"/>
        <w:spacing w:after="0" w:line="289" w:lineRule="auto"/>
        <w:rPr>
          <w:sz w:val="20"/>
          <w:szCs w:val="20"/>
          <w:color w:val="auto"/>
        </w:rPr>
      </w:pPr>
      <w:r>
        <w:rPr>
          <w:rFonts w:ascii="Arial" w:cs="Arial" w:eastAsia="Arial" w:hAnsi="Arial"/>
          <w:sz w:val="16"/>
          <w:szCs w:val="16"/>
          <w:color w:val="auto"/>
        </w:rPr>
        <w:t>The COVID-19 pandemic, and the actions taken by governments and others, has negatively impacted the energy industry. The COVID-19 pandemic has also resulted in significant business and operational disruptions, including business closures, liquidity strains, destruction of non-essential demand, as well as supply chain challenges, travel restrictions, stay-at home orders, and limitations on the availability of the workforce. As a result, the demand for gasoline and diesel in the regions that our Energy segment operates declined beginning in the first quarter of 2020. The declines were amplified in the first quarter of 2020 by market plays between the world’s largest oil producers. The simultaneous shocks in oil supply and demand have resulted in a decline in the price of crude oil and lead to a significant decrease in the price of refined products sold by our Energy segment. However, beginning in late 2020 and into 2021, the U.S. market for refined products improved and demand increased as travel restrictions and stay-at-home orders were eased.</w:t>
      </w:r>
    </w:p>
    <w:p>
      <w:pPr>
        <w:spacing w:after="0" w:line="166"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In addition to recent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of the United States Environmental Protection Agency, which requires it to either blend “renewable fuels” with its transportation fuels or purchase renewable identification numbers (“RINs”), in lieu of blending. The price of RINs has been extremely volatile and the future cost of RINs for the petroleum business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Refer to Note 16, “Commitments and Contingencies,” to the condensed consolidated financial statements for further discussion of RINs.</w:t>
      </w:r>
    </w:p>
    <w:p>
      <w:pPr>
        <w:spacing w:after="0" w:line="182" w:lineRule="exact"/>
        <w:rPr>
          <w:sz w:val="20"/>
          <w:szCs w:val="20"/>
          <w:color w:val="auto"/>
        </w:rPr>
      </w:pPr>
    </w:p>
    <w:p>
      <w:pPr>
        <w:ind w:left="60" w:right="179" w:firstLine="324"/>
        <w:spacing w:after="0" w:line="289" w:lineRule="auto"/>
        <w:rPr>
          <w:sz w:val="20"/>
          <w:szCs w:val="20"/>
          <w:color w:val="auto"/>
        </w:rPr>
      </w:pPr>
      <w:r>
        <w:rPr>
          <w:rFonts w:ascii="Arial" w:cs="Arial" w:eastAsia="Arial" w:hAnsi="Arial"/>
          <w:sz w:val="16"/>
          <w:szCs w:val="16"/>
          <w:color w:val="auto"/>
        </w:rPr>
        <w:t>In December 2020, our Energy segment approved a renewable diesel project at one of its refineries, which would convert the refinery’s hydrocracker to a renewable diesel unit (“RDU”) capable of producing 100 million gallons of renewable diesel per year and approximately 170 to 180 million RINs annually. As a result of conversion, the crude oil capacity of the refinery will be reduced. Further, the conversion enables our Energy segment to capture additional benefits associated with the existing blenders’ tax credit that expires at the end of 2022 and low carbon fuel standard programs in states such as California. Our Energy segment has additional plans to add pretreating capabilities for the RDU and construction of a similar facility at its other refinery. These collective renewable diesel efforts could reduce our Energy segment’s Renewable Fuels Standard (“RFS”) exposure. However, any actions taken by the Supreme Court, resulting administration efforts under the RFS, such as denial of existing or previous waiver applications, and market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conditions could significantly impact the amount by which our Energy segment’s renewable diesel business mitigates our costs to comply with the RFS, if at all.</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58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 30,</w:t>
            </w:r>
          </w:p>
        </w:tc>
        <w:tc>
          <w:tcPr>
            <w:tcW w:w="2160" w:type="dxa"/>
            <w:vAlign w:val="bottom"/>
            <w:gridSpan w:val="5"/>
          </w:tcPr>
          <w:p>
            <w:pPr>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10"/>
        </w:trPr>
        <w:tc>
          <w:tcPr>
            <w:tcW w:w="4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128"/>
        </w:trPr>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3"/>
          </w:tcPr>
          <w:p>
            <w:pPr>
              <w:ind w:left="520"/>
              <w:spacing w:after="0" w:line="129" w:lineRule="exact"/>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r>
      <w:tr>
        <w:trPr>
          <w:trHeight w:val="216"/>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r>
      <w:tr>
        <w:trPr>
          <w:trHeight w:val="209"/>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2021 and 2020</w:t>
      </w:r>
    </w:p>
    <w:p>
      <w:pPr>
        <w:spacing w:after="0" w:line="225" w:lineRule="exact"/>
        <w:rPr>
          <w:sz w:val="20"/>
          <w:szCs w:val="20"/>
          <w:color w:val="auto"/>
        </w:rPr>
      </w:pPr>
    </w:p>
    <w:p>
      <w:pPr>
        <w:ind w:left="60" w:right="159" w:firstLine="324"/>
        <w:spacing w:after="0" w:line="270" w:lineRule="auto"/>
        <w:rPr>
          <w:sz w:val="20"/>
          <w:szCs w:val="20"/>
          <w:color w:val="auto"/>
        </w:rPr>
      </w:pPr>
      <w:r>
        <w:rPr>
          <w:rFonts w:ascii="Arial" w:cs="Arial" w:eastAsia="Arial" w:hAnsi="Arial"/>
          <w:sz w:val="17"/>
          <w:szCs w:val="17"/>
          <w:color w:val="auto"/>
        </w:rPr>
        <w:t>Net sales for our Energy segment increased by $1,108 million (164%) for the three months ended June 30, 2021 as compared to the comparable prior year period due to an increase in our petroleum business’ net sales, which increased $1,075 million, as well as an increase in our nitrogen fertilizer business’ net sales, which increased $33 million over the comparable periods. The increase in the petroleum business’ net sales was primarily due to an increase in sales of gasoline and distillates attributable to an increase in volumes and more favorable pricing conditions. Volumes were lower in the comparable prior year period due to the full planned turnaround at one of the refineries while another refinery experienced reduced utilization in response to demand reductions driven by the impacts of the COVID-19 pandemic. Our nitrogen fertilizer business’ net sales increased primarily due to an increase in urea ammonium nitrate (“UAN”) sales primarily due to favorable pricing conditions.</w:t>
      </w:r>
    </w:p>
    <w:p>
      <w:pPr>
        <w:spacing w:after="0" w:line="181" w:lineRule="exact"/>
        <w:rPr>
          <w:sz w:val="20"/>
          <w:szCs w:val="20"/>
          <w:color w:val="auto"/>
        </w:rPr>
      </w:pPr>
    </w:p>
    <w:p>
      <w:pPr>
        <w:ind w:left="60" w:right="279" w:firstLine="324"/>
        <w:spacing w:after="0" w:line="284" w:lineRule="auto"/>
        <w:rPr>
          <w:sz w:val="20"/>
          <w:szCs w:val="20"/>
          <w:color w:val="auto"/>
        </w:rPr>
      </w:pPr>
      <w:r>
        <w:rPr>
          <w:rFonts w:ascii="Arial" w:cs="Arial" w:eastAsia="Arial" w:hAnsi="Arial"/>
          <w:sz w:val="16"/>
          <w:szCs w:val="16"/>
          <w:color w:val="auto"/>
        </w:rPr>
        <w:t>Cost of goods sold for our Energy segment increased by $1,112 million (172%) for the three months ended June 30, 2021 as compared to the comparable prior year period. The increase was primarily due to our petroleum business as a result of higher cost of consumed crude oil. The higher cost of consumed crude oil was due to an increase in volumes, as discussed above, as well as lower derivative performance of $22 million and a $157 million increase in the net cost of RINs. Gross margin for our Energy segment decreased by $4 million for the three months ended June 30, 2021 as compared to the comparable prior year period. Gross margin as a percentage of net sales was 1% and 4% for the</w:t>
      </w:r>
    </w:p>
    <w:p>
      <w:pPr>
        <w:spacing w:after="0" w:line="4"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three months ended June 30, 2021 and 2020, respectively. The decrease in the gross margin as a percentage of net sales was primarily attributable to the petroleum business, which was primarily due to an increase in the net cost of RINs and lower derivative performance, offset in part by higher crack spreads.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2021 and 2020</w:t>
      </w:r>
    </w:p>
    <w:p>
      <w:pPr>
        <w:spacing w:after="0" w:line="225" w:lineRule="exact"/>
        <w:rPr>
          <w:sz w:val="20"/>
          <w:szCs w:val="20"/>
          <w:color w:val="auto"/>
        </w:rPr>
      </w:pPr>
    </w:p>
    <w:p>
      <w:pPr>
        <w:ind w:left="60" w:right="159" w:firstLine="324"/>
        <w:spacing w:after="0" w:line="270" w:lineRule="auto"/>
        <w:rPr>
          <w:sz w:val="20"/>
          <w:szCs w:val="20"/>
          <w:color w:val="auto"/>
        </w:rPr>
      </w:pPr>
      <w:r>
        <w:rPr>
          <w:rFonts w:ascii="Arial" w:cs="Arial" w:eastAsia="Arial" w:hAnsi="Arial"/>
          <w:sz w:val="17"/>
          <w:szCs w:val="17"/>
          <w:color w:val="auto"/>
        </w:rPr>
        <w:t>Net sales for our Energy segment increased by $1,440 million (80%) for the six months ended June 30, 2021 as compared to the comparable prior year period due to an increase in our petroleum business’ net sales, which increased $1,421 million, as well as an increase in our nitrogen fertilizer business’ net sales, which increased $19 million over the comparable periods. The increase in the petroleum business’ net sales was primarily due to an increase in sales of gasoline and distillates attributable to an increase in volumes and more favorable pricing conditions. Volumes were lower in the comparable prior year period due to the full planned turnaround at one of the refineries while another refinery experienced reduced utilization in response to demand reductions driven by the impacts of the COVID-19 pandemic. Our nitrogen fertilizer business’ net sales increased primarily due to an increase in urea ammonium nitrate (“UAN”) sales primarily due to favorable pricing conditions.</w:t>
      </w:r>
    </w:p>
    <w:p>
      <w:pPr>
        <w:spacing w:after="0" w:line="181" w:lineRule="exact"/>
        <w:rPr>
          <w:sz w:val="20"/>
          <w:szCs w:val="20"/>
          <w:color w:val="auto"/>
        </w:rPr>
      </w:pPr>
    </w:p>
    <w:p>
      <w:pPr>
        <w:ind w:left="60" w:right="139" w:firstLine="324"/>
        <w:spacing w:after="0" w:line="270" w:lineRule="auto"/>
        <w:rPr>
          <w:sz w:val="20"/>
          <w:szCs w:val="20"/>
          <w:color w:val="auto"/>
        </w:rPr>
      </w:pPr>
      <w:r>
        <w:rPr>
          <w:rFonts w:ascii="Arial" w:cs="Arial" w:eastAsia="Arial" w:hAnsi="Arial"/>
          <w:sz w:val="17"/>
          <w:szCs w:val="17"/>
          <w:color w:val="auto"/>
        </w:rPr>
        <w:t>Cost of goods sold for our Energy segment increased by $1,442 million (76%) for the six months ended June 30, 2021 as compared to the comparable prior year period. The increase was primarily due to our petroleum business as a result of higher cost of consumed crude oil. The higher cost of consumed crude oil was due to an increase in volumes, as discussed above, as well as lower derivative performance of $99 million and a $316 million increase in the net cost of RINs. Gross margin for our Energy segment decreased by $2 million for the six months ended June 30, 2021 as compared to the comparable prior year period. Gross margin as a percentage of net sales was (3)% and (5)% for the six months ended June 30, 2021 and 2020, respectively. The improvement in the gross margin as a percentage of net sales was primarily attributable to the petroleum business, which was primarily due to higher crack spreads, offset in part by an increase in the net cost of RINs and lower derivative performance.</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Our Automotive segment’s results of operations are generally driven by the distribution and installation of automotive aftermarket parts and the demand for automotive service and maintenance, and is affected by the relative strength of automotive part replacement trends, among other factors.</w:t>
      </w:r>
    </w:p>
    <w:p>
      <w:pPr>
        <w:spacing w:after="0" w:line="184" w:lineRule="exact"/>
        <w:rPr>
          <w:sz w:val="20"/>
          <w:szCs w:val="20"/>
          <w:color w:val="auto"/>
        </w:rPr>
      </w:pPr>
    </w:p>
    <w:p>
      <w:pPr>
        <w:ind w:left="60" w:right="179" w:firstLine="324"/>
        <w:spacing w:after="0" w:line="289" w:lineRule="auto"/>
        <w:rPr>
          <w:sz w:val="20"/>
          <w:szCs w:val="20"/>
          <w:color w:val="auto"/>
        </w:rPr>
      </w:pPr>
      <w:r>
        <w:rPr>
          <w:rFonts w:ascii="Arial" w:cs="Arial" w:eastAsia="Arial" w:hAnsi="Arial"/>
          <w:sz w:val="16"/>
          <w:szCs w:val="16"/>
          <w:color w:val="auto"/>
        </w:rPr>
        <w:t>Our Automotive segment is in the process of implementing a multi-year transformation plan, which includes the restructuring of its businesses. The transformation plan includes operating the automotive services and aftermarket parts businesses as separate businesses, streamlining Icahn Automotive’s corporate and field support teams, facility closures, consolidations and conversions, inventory optimization actions, and the re-focusing of its automotive parts business on certain core markets. As part of this plan, Icahn Automotive entered into an agreement to sell certain inventory assets relating to its aftermarket parts business at 109 locations and a distribution center in California and certain other inventory and fixed assets in California. Aftermarket parts sales from these locations aggregated $30 million and $65 million during the three and six months ended June 30, 2021. Costs to implement the transformation plan will include restructuring charges, which will be recorded when specific plans are approved, and which may be significant.</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Automotive segment’s priorities include:</w:t>
      </w:r>
    </w:p>
    <w:p>
      <w:pPr>
        <w:spacing w:after="0" w:line="225" w:lineRule="exact"/>
        <w:rPr>
          <w:sz w:val="20"/>
          <w:szCs w:val="20"/>
          <w:color w:val="auto"/>
        </w:rPr>
      </w:pPr>
    </w:p>
    <w:p>
      <w:pPr>
        <w:ind w:left="720" w:hanging="319"/>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Positioning the service business to take advantage of opportunities in the do-it-for-me market and vehicle fleets;</w:t>
      </w:r>
    </w:p>
    <w:p>
      <w:pPr>
        <w:spacing w:after="0" w:line="46" w:lineRule="exact"/>
        <w:rPr>
          <w:rFonts w:ascii="Arial" w:cs="Arial" w:eastAsia="Arial" w:hAnsi="Arial"/>
          <w:sz w:val="16"/>
          <w:szCs w:val="16"/>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Optimizing the value of the commercial parts distribution business in certain high-volume core markets;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Exiting the automotive parts distribution business in certain low volume, non-core markets;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Improving inventory management across Icahn Automotive’s parts and tire distribution network;</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 in customer experience initiatives and selective upgrades in facilities;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 in employees with focus on training and career development investments; and</w:t>
      </w:r>
    </w:p>
    <w:p>
      <w:pPr>
        <w:spacing w:after="0" w:line="9" w:lineRule="exact"/>
        <w:rPr>
          <w:rFonts w:ascii="Arial" w:cs="Arial" w:eastAsia="Arial" w:hAnsi="Arial"/>
          <w:sz w:val="18"/>
          <w:szCs w:val="18"/>
          <w:color w:val="auto"/>
        </w:rPr>
      </w:pPr>
    </w:p>
    <w:p>
      <w:pPr>
        <w:ind w:left="720" w:right="839" w:hanging="319"/>
        <w:spacing w:after="0" w:line="26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process improvements, including investments in our supply chain and information technology capabilities.</w:t>
      </w:r>
    </w:p>
    <w:p>
      <w:pPr>
        <w:spacing w:after="0" w:line="185"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The following table presents our Automotive segment’s operating revenue, cost of revenue and gross margin. Our Automotive segment’s results of operations also include automotive services labor. Automotive services labor revenues are included in other revenues from operations in our condensed consolidated statements of operations, however, the sale of any installed parts or materials related to automotive services are included in net sales. Therefore, we discuss the combined results of our automotive net sales and automotive services labor revenues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256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0"/>
              </w:rPr>
              <w:t>Three Months Ended June 30,</w:t>
            </w:r>
          </w:p>
        </w:tc>
        <w:tc>
          <w:tcPr>
            <w:tcW w:w="220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10"/>
        </w:trPr>
        <w:tc>
          <w:tcPr>
            <w:tcW w:w="4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128"/>
        </w:trPr>
        <w:tc>
          <w:tcPr>
            <w:tcW w:w="4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and other revenue from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r>
      <w:tr>
        <w:trPr>
          <w:trHeight w:val="216"/>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2"/>
              </w:rPr>
              <w:t>Cost of goods sold and other expenses from operations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r>
      <w:tr>
        <w:trPr>
          <w:trHeight w:val="21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0"/>
        </w:trPr>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2021 and 2020</w:t>
      </w:r>
    </w:p>
    <w:p>
      <w:pPr>
        <w:spacing w:after="0" w:line="225" w:lineRule="exact"/>
        <w:rPr>
          <w:sz w:val="20"/>
          <w:szCs w:val="20"/>
          <w:color w:val="auto"/>
        </w:rPr>
      </w:pPr>
    </w:p>
    <w:p>
      <w:pPr>
        <w:ind w:left="60" w:right="119" w:firstLine="324"/>
        <w:spacing w:after="0" w:line="270" w:lineRule="auto"/>
        <w:rPr>
          <w:sz w:val="20"/>
          <w:szCs w:val="20"/>
          <w:color w:val="auto"/>
        </w:rPr>
      </w:pPr>
      <w:r>
        <w:rPr>
          <w:rFonts w:ascii="Arial" w:cs="Arial" w:eastAsia="Arial" w:hAnsi="Arial"/>
          <w:sz w:val="17"/>
          <w:szCs w:val="17"/>
          <w:color w:val="auto"/>
        </w:rPr>
        <w:t>Net sales and other revenue from operations for our Automotive segment for the three months ended June 30, 2021 increased by $50 million (9%) as compared to the comparable prior year period. The increase was attributable to an increase in automotive services revenues of $70 million (25%) offset in part by a decrease in aftermarket parts sales of $20 million (6%). On an organic basis, aftermarket parts sales increased $13 million over the comparable periods due to an increase in commercial sales of $10 million (6%) and an increase in retail sales of $3 million (14%). However, store closures related to the transformation plan accounted for a $33 million decrease in aftermarket parts sales. The increase in automotive services revenues represents an increase on a primarily organic basis as sales have improved over the comparable prior year period. The COVID-19 pandemic, and the impacts of the actions taken by governments and others, have significantly contributed to a decline in revenues beginning in March 2020.</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Cost of goods sold and other expenses from operations for the three months ended June 30, 2021 increased by $27 million (6%) as compared to the comparable prior year period. The increase was due to overall higher sales volumes as described above. Gross margin on net sales and other revenue from operations for the three months ended June 30, 2021 increased by $23 million (15%) as compared to the comparable prior year period. Gross margin as a percentage of net sales and other revenue from operations was 28% and 26% for the three months ended June 30, 2021 and 2020, respectively. Due to the COVID-19 pandemic, our Automotive segment accelerated planned store closures in 2020, shifting our Automotive segment’s business from a majority attributable to aftermarket parts sales to a majority attributable to higher margin automotive services.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2021 and 2020</w:t>
      </w:r>
    </w:p>
    <w:p>
      <w:pPr>
        <w:spacing w:after="0" w:line="225" w:lineRule="exact"/>
        <w:rPr>
          <w:sz w:val="20"/>
          <w:szCs w:val="20"/>
          <w:color w:val="auto"/>
        </w:rPr>
      </w:pPr>
    </w:p>
    <w:p>
      <w:pPr>
        <w:ind w:left="60" w:right="119" w:firstLine="324"/>
        <w:spacing w:after="0" w:line="289" w:lineRule="auto"/>
        <w:rPr>
          <w:sz w:val="20"/>
          <w:szCs w:val="20"/>
          <w:color w:val="auto"/>
        </w:rPr>
      </w:pPr>
      <w:r>
        <w:rPr>
          <w:rFonts w:ascii="Arial" w:cs="Arial" w:eastAsia="Arial" w:hAnsi="Arial"/>
          <w:sz w:val="16"/>
          <w:szCs w:val="16"/>
          <w:color w:val="auto"/>
        </w:rPr>
        <w:t>Net sales and other revenue from operations for our Automotive segment for the six months ended June 30, 2021 increased by $13 million (1%) as compared to the comparable prior year period. The increase was attributable to an increase in automotive services revenues of $83 million (14%) offset in part by a decrease in aftermarket parts sales of $70 million (11%). On an organic basis, aftermarket parts sales increased $2 million over the comparable periods due to an increase in commercial sales of $3 million (1%) offset in part by a decrease in retail sales of $1 million (1%). However, store closures related to the transformation plan accounted for a $72 million decrease in aftermarket parts sales. The increase in automotive services revenues represents an increase on a primarily organic basis as sales have improved over the comparable prior year period. The COVID-19 pandemic, and the impacts of the actions taken by governments and others, have significantly contributed to a decline in revenues beginning in March 2020.</w:t>
      </w:r>
    </w:p>
    <w:p>
      <w:pPr>
        <w:spacing w:after="0" w:line="166"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Cost of goods sold and other expenses from operations for the six months ended June 30, 2021 decreased by $23 million (3%) as compared to the comparable prior year period. The decrease was primarily due to lower costs attributable to lower aftermarket parts sales which exceeded higher costs associated with higher services revenues. Gross margin on net sales and other revenue from operations for the six months ended June 30, 2021 increased by $36 million (12%) as compared to the comparable prior year period. Gross margin as a percentage of net sales and other revenue from operations was 28% and 26% for the six months ended June 30, 2021 and 2020, respectively. Due to the COVID-19 pandemic, our Automotive segment accelerated planned store closures in 2020, shifting our Automotive segment’s business from a majority attributable to aftermarket parts sales to a majority attributable to higher margin automotive services.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Food Packaging</w:t>
      </w:r>
    </w:p>
    <w:p>
      <w:pPr>
        <w:spacing w:after="0" w:line="225" w:lineRule="exact"/>
        <w:rPr>
          <w:sz w:val="20"/>
          <w:szCs w:val="20"/>
          <w:color w:val="auto"/>
        </w:rPr>
      </w:pPr>
    </w:p>
    <w:p>
      <w:pPr>
        <w:jc w:val="both"/>
        <w:ind w:left="60" w:right="419" w:firstLine="324"/>
        <w:spacing w:after="0" w:line="263" w:lineRule="auto"/>
        <w:rPr>
          <w:sz w:val="20"/>
          <w:szCs w:val="20"/>
          <w:color w:val="auto"/>
        </w:rPr>
      </w:pPr>
      <w:r>
        <w:rPr>
          <w:rFonts w:ascii="Arial" w:cs="Arial" w:eastAsia="Arial" w:hAnsi="Arial"/>
          <w:sz w:val="18"/>
          <w:szCs w:val="18"/>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2021 and 2020</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sales for the three months ended June 30, 2021 increased $2 million (2%) as compared to the comparable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prior year period. The increase was due to an increase in price and product mix as well as the favorable effects of foreign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exchange, offset in part by lower volumes. Cost of goods sold for the three months ended June 30, 2021 increased by $6</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million (7%) as compared to the comparable prior year period due to the effects of purchase price variance, manufacturing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variances and distribution costs. Gross margin as a percentage of net sales was 17% and 21% for the three months ended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2021 and 2020, respectively.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2021 and 2020</w:t>
      </w:r>
    </w:p>
    <w:p>
      <w:pPr>
        <w:spacing w:after="0" w:line="225"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Net sales for the six months ended June 30, 2021 increased $5 million (2%) as compared to the comparable prior year period. The increase was due to an increase in price and product mix as well as the favorable effects of foreign exchange, offset in part by lower volumes. Cost of goods sold for the six months ended June 30, 2021 increased by $8 million (5%) as compared to the comparable prior year period due to the effects of purchase price variance, manufacturing variances and distribution costs. Gross margin as a percentage of net sales was 19% and 21% for the six months ended June 30, 2021 and 2020,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Metals</w:t>
      </w:r>
    </w:p>
    <w:p>
      <w:pPr>
        <w:spacing w:after="0" w:line="225"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7"/>
          <w:szCs w:val="17"/>
          <w:color w:val="auto"/>
        </w:rPr>
        <w:t>The scrap metals business is highly cyclical and is substantially dependent upon the overall economic conditions in the United States and other global markets. Ferrous and non-ferrous scrap has been historically vulnerable to significant declines in consumption and product pricing during prolonged periods of economic downturn or stagnation.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2021 and 2020</w:t>
      </w:r>
    </w:p>
    <w:p>
      <w:pPr>
        <w:spacing w:after="0" w:line="225"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Net sales for the three months ended June 30, 2021 increased by $119 million (350%) compared to the comparable prior year period primarily due to higher volumes and higher selling prices. Cost of goods sold for the three months ended June 30, 2021 increased by $101 million (259%) compared to the comparable prior year period due to higher volumes as well as higher material costs. Gross margin as a percentage of net sales was 8% and (15)% for the three months ended June 30, 2021 and 2020, respectively, primarily due to higher material margins as the prior year period was negatively impacted by the effects of the COVID-19 pandemic.</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2021 and 2020</w:t>
      </w:r>
    </w:p>
    <w:p>
      <w:pPr>
        <w:spacing w:after="0" w:line="225"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Net sales for the six months ended June 30, 2021 increased by $153 million (128%) compared to the comparable prior year period primarily due to higher volumes and higher selling prices. Cost of goods sold for the six months ended June 30, 2021 increased by $128 million (103%) compared to the comparable prior year period due to higher volumes as well as higher material costs. Gross margin as a percentage of net sales was 8% and (3)% for the six months ended June 30, 2021 and 2020, respectively, primarily due to higher material margins as the prior year period was negatively impacted by the effects of the COVID-19 pandemic.</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Real Estate</w:t>
      </w:r>
    </w:p>
    <w:p>
      <w:pPr>
        <w:spacing w:after="0" w:line="225" w:lineRule="exact"/>
        <w:rPr>
          <w:sz w:val="20"/>
          <w:szCs w:val="20"/>
          <w:color w:val="auto"/>
        </w:rPr>
      </w:pPr>
    </w:p>
    <w:p>
      <w:pPr>
        <w:ind w:left="60" w:right="59" w:firstLine="324"/>
        <w:spacing w:after="0" w:line="296" w:lineRule="auto"/>
        <w:rPr>
          <w:sz w:val="20"/>
          <w:szCs w:val="20"/>
          <w:color w:val="auto"/>
        </w:rPr>
      </w:pPr>
      <w:r>
        <w:rPr>
          <w:rFonts w:ascii="Arial" w:cs="Arial" w:eastAsia="Arial" w:hAnsi="Arial"/>
          <w:sz w:val="16"/>
          <w:szCs w:val="16"/>
          <w:color w:val="auto"/>
        </w:rPr>
        <w:t>Our Real Estate segment consists primarily of investment properties, the development and sale of single-family homes, and the management of a country club. Sales of single-family homes are included in net sales in our consolidated statements of operations. Results from investment properties and country club operations are included in other revenues from operations in our consolidated statements of operations. Revenue from our real estate operations for each of the six months ended June 30, 2021 and 2020 were primarily derived from the sale of residential units and rental operations.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Home Fashion</w:t>
      </w:r>
    </w:p>
    <w:p>
      <w:pPr>
        <w:spacing w:after="0" w:line="225" w:lineRule="exact"/>
        <w:rPr>
          <w:sz w:val="20"/>
          <w:szCs w:val="20"/>
          <w:color w:val="auto"/>
        </w:rPr>
      </w:pPr>
    </w:p>
    <w:p>
      <w:pPr>
        <w:ind w:left="60" w:right="459" w:firstLine="324"/>
        <w:spacing w:after="0" w:line="277" w:lineRule="auto"/>
        <w:rPr>
          <w:sz w:val="20"/>
          <w:szCs w:val="20"/>
          <w:color w:val="auto"/>
        </w:rPr>
      </w:pPr>
      <w:r>
        <w:rPr>
          <w:rFonts w:ascii="Arial" w:cs="Arial" w:eastAsia="Arial" w:hAnsi="Arial"/>
          <w:sz w:val="18"/>
          <w:szCs w:val="18"/>
          <w:color w:val="auto"/>
        </w:rPr>
        <w:t>Our Home Fashion segment is significantly influenced by the overall economic environment, including consumer spending, at the retail level, for home textile products.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2021 and 2020</w:t>
      </w:r>
    </w:p>
    <w:p>
      <w:pPr>
        <w:spacing w:after="0" w:line="225" w:lineRule="exact"/>
        <w:rPr>
          <w:sz w:val="20"/>
          <w:szCs w:val="20"/>
          <w:color w:val="auto"/>
        </w:rPr>
      </w:pPr>
    </w:p>
    <w:p>
      <w:pPr>
        <w:ind w:left="60" w:right="239" w:firstLine="324"/>
        <w:spacing w:after="0" w:line="286" w:lineRule="auto"/>
        <w:rPr>
          <w:sz w:val="20"/>
          <w:szCs w:val="20"/>
          <w:color w:val="auto"/>
        </w:rPr>
      </w:pPr>
      <w:r>
        <w:rPr>
          <w:rFonts w:ascii="Arial" w:cs="Arial" w:eastAsia="Arial" w:hAnsi="Arial"/>
          <w:sz w:val="16"/>
          <w:szCs w:val="16"/>
          <w:color w:val="auto"/>
        </w:rPr>
        <w:t>Net sales for the three months ended June 30, 2021 increased by $14 million (38%) compared to the comparable prior year period primarily due to the reduced impact of the COVID-19 pandemic on our Home Fashion segment’s hospitality business. Cost of goods sold for the three months ended June 30, 2021 increased $13 million (46%) compared to the comparable prior year period due to higher volumes as well as higher material and freight costs. Gross margin as</w:t>
      </w:r>
    </w:p>
    <w:p>
      <w:pPr>
        <w:spacing w:after="0" w:line="1"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color w:val="auto"/>
        </w:rPr>
        <w:t>a percentage of net sales was 20% and 24% for the three months ended June 30, 2021 and 2020, respectively. The decrease is due to higher material and freight costs.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2021 and 2020</w:t>
      </w:r>
    </w:p>
    <w:p>
      <w:pPr>
        <w:spacing w:after="0" w:line="225"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6"/>
          <w:szCs w:val="16"/>
          <w:color w:val="auto"/>
        </w:rPr>
        <w:t>Net sales for the six months ended June 30, 2021 increased by $5 million (6%) compared to the comparable prior year period primarily due to the reduced impact of the COVID-19 pandemic on our Home Fashion segment’s hospitality business. Cost of goods sold for the six months ended June 30, 2021 increased $6 million (9%) compared to the comparable prior year period due to higher volumes as well as higher material and freight costs. Gross margin as</w:t>
      </w:r>
    </w:p>
    <w:p>
      <w:pPr>
        <w:spacing w:after="0" w:line="1" w:lineRule="exact"/>
        <w:rPr>
          <w:sz w:val="20"/>
          <w:szCs w:val="20"/>
          <w:color w:val="auto"/>
        </w:rPr>
      </w:pPr>
    </w:p>
    <w:p>
      <w:pPr>
        <w:ind w:left="60" w:right="99"/>
        <w:spacing w:after="0" w:line="260" w:lineRule="auto"/>
        <w:rPr>
          <w:sz w:val="20"/>
          <w:szCs w:val="20"/>
          <w:color w:val="auto"/>
        </w:rPr>
      </w:pPr>
      <w:r>
        <w:rPr>
          <w:rFonts w:ascii="Arial" w:cs="Arial" w:eastAsia="Arial" w:hAnsi="Arial"/>
          <w:sz w:val="18"/>
          <w:szCs w:val="18"/>
          <w:color w:val="auto"/>
        </w:rPr>
        <w:t>a percentage of net sales was 18% and 21% for the six months ended June 30, 2021 and 2020, respectively. The decrease is due to higher material and freight costs.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Pharma</w:t>
      </w:r>
    </w:p>
    <w:p>
      <w:pPr>
        <w:spacing w:after="0" w:line="225" w:lineRule="exact"/>
        <w:rPr>
          <w:sz w:val="20"/>
          <w:szCs w:val="20"/>
          <w:color w:val="auto"/>
        </w:rPr>
      </w:pPr>
    </w:p>
    <w:p>
      <w:pPr>
        <w:ind w:left="60" w:right="159" w:firstLine="324"/>
        <w:spacing w:after="0" w:line="272" w:lineRule="auto"/>
        <w:rPr>
          <w:sz w:val="20"/>
          <w:szCs w:val="20"/>
          <w:color w:val="auto"/>
        </w:rPr>
      </w:pPr>
      <w:r>
        <w:rPr>
          <w:rFonts w:ascii="Arial" w:cs="Arial" w:eastAsia="Arial" w:hAnsi="Arial"/>
          <w:sz w:val="17"/>
          <w:szCs w:val="17"/>
          <w:color w:val="auto"/>
        </w:rPr>
        <w:t>Our Pharma segment derives revenues primarily from the sale of its products directly to customers, wholesalers and pharmacies. To a lesser extent, our Pharma segment derives revenues through supply, licensing and royalty arrangements. We began consolidating our Pharma segment in the fourth quarter of 2020. For the three months ended June 30, 2021, our Pharma segment had $16 million of net product revenue, $2 million of supply revenue and $1 million of royalty revenue. For the six months ended June 30, 2021, our Pharma segment had $31 million of net product revenue, $16 million of supply revenue and $2 million of royalty revenue. For our Pharma segment’s supply revenue, $13 million is attributable to the one-time sale of product to a single customer in the first quarter of 2021.</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w:t>
      </w:r>
    </w:p>
    <w:p>
      <w:pPr>
        <w:spacing w:after="0" w:line="225" w:lineRule="exact"/>
        <w:rPr>
          <w:sz w:val="20"/>
          <w:szCs w:val="20"/>
          <w:color w:val="auto"/>
        </w:rPr>
      </w:pPr>
    </w:p>
    <w:p>
      <w:pPr>
        <w:ind w:left="60" w:right="219" w:firstLine="324"/>
        <w:spacing w:after="0" w:line="342" w:lineRule="auto"/>
        <w:rPr>
          <w:sz w:val="20"/>
          <w:szCs w:val="20"/>
          <w:color w:val="auto"/>
        </w:rPr>
      </w:pPr>
      <w:r>
        <w:rPr>
          <w:rFonts w:ascii="Arial" w:cs="Arial" w:eastAsia="Arial" w:hAnsi="Arial"/>
          <w:sz w:val="16"/>
          <w:szCs w:val="16"/>
          <w:color w:val="auto"/>
        </w:rPr>
        <w:t>Our Holding Company’s results of operations primarily reflect investment gains and losses from equity investments and the interest expense on its senior unsecured notes for each of the three and six months ended June 30, 2021 and 2020.</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2021 and 2020</w:t>
      </w:r>
    </w:p>
    <w:p>
      <w:pPr>
        <w:spacing w:after="0" w:line="225"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Our consolidated selling, general and administrative during the three months ended June 30, 2021 increased by $14 million (5%) as compared the comparable prior year period primarily due to higher payroll related costs for our Automotive segment, impacted in the prior year period by the COVID-19 pandemic offset in part by planned store closures over the comparable periods, and the addition of the results of our Pharma segment, offset in part by lower costs resulting from our Real Estate segment, which incurred additional costs in the second quarter of 2020 relating to the demolition of one of its properties.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2021 and 2020</w:t>
      </w:r>
    </w:p>
    <w:p>
      <w:pPr>
        <w:spacing w:after="0" w:line="225" w:lineRule="exact"/>
        <w:rPr>
          <w:sz w:val="20"/>
          <w:szCs w:val="20"/>
          <w:color w:val="auto"/>
        </w:rPr>
      </w:pPr>
    </w:p>
    <w:p>
      <w:pPr>
        <w:ind w:left="60" w:right="299" w:firstLine="324"/>
        <w:spacing w:after="0" w:line="259" w:lineRule="auto"/>
        <w:rPr>
          <w:sz w:val="20"/>
          <w:szCs w:val="20"/>
          <w:color w:val="auto"/>
        </w:rPr>
      </w:pPr>
      <w:r>
        <w:rPr>
          <w:rFonts w:ascii="Arial" w:cs="Arial" w:eastAsia="Arial" w:hAnsi="Arial"/>
          <w:sz w:val="18"/>
          <w:szCs w:val="18"/>
          <w:color w:val="auto"/>
        </w:rPr>
        <w:t>Our consolidated selling, general and administrative during the six months ended June 30, 2021 increased by $22 million (4%) as compared the comparable prior year period primarily due to the addition of the results of our Pharma segment and higher compensation costs for our Investment segment, offset in part by lower costs resulting from planned store closures for our Automotive segment.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2021 and 2020</w:t>
      </w:r>
    </w:p>
    <w:p>
      <w:pPr>
        <w:spacing w:after="0" w:line="225" w:lineRule="exact"/>
        <w:rPr>
          <w:sz w:val="20"/>
          <w:szCs w:val="20"/>
          <w:color w:val="auto"/>
        </w:rPr>
      </w:pPr>
    </w:p>
    <w:p>
      <w:pPr>
        <w:ind w:left="60" w:right="119" w:firstLine="324"/>
        <w:spacing w:after="0" w:line="301" w:lineRule="auto"/>
        <w:rPr>
          <w:sz w:val="20"/>
          <w:szCs w:val="20"/>
          <w:color w:val="auto"/>
        </w:rPr>
      </w:pPr>
      <w:r>
        <w:rPr>
          <w:rFonts w:ascii="Arial" w:cs="Arial" w:eastAsia="Arial" w:hAnsi="Arial"/>
          <w:sz w:val="16"/>
          <w:szCs w:val="16"/>
          <w:color w:val="auto"/>
        </w:rPr>
        <w:t>Our consolidated interest expense during the three months ended June 30, 2021 decreased by $16 million (9%) as compared the comparable prior year period. The decrease was primarily due to lower interest expense from our Investment segment attributable to a decrease in average due to broker balances over the respective periods, as well as lower interest expense for our Holding Company due to lower weighted average interest rates resulting from debt refinancings.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2021 and 2020</w:t>
      </w:r>
    </w:p>
    <w:p>
      <w:pPr>
        <w:spacing w:after="0" w:line="225"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Our consolidated interest expense during the six months ended June 30, 2021 increased by $7 million (2%) as compared the comparable prior year period. The increase was primarily due to higher interest expense from our Investment segment attributable to an increase in average due to broker balances over the respective periods offset in part by lower interest expense for our Holding Company due to lower weighted average interest rates resulting from debt refinancings.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Certain of our subsidiaries are partnerships not subject to taxation in our condensed consolidated financial statements and certain other subsidiaries are corporations, or subsidiaries of corporations, subject to taxation in our condensed consolidated financial statements. Therefore, our consolidated effective tax rate generally differs from the statutory federal tax rate. Refer to Note 13, “Income Taxes,” to the condensed consolidated financial statements for a discussion of income taxes.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 Liquidity</w:t>
      </w:r>
    </w:p>
    <w:p>
      <w:pPr>
        <w:spacing w:after="0" w:line="225"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We are a holding company. Our cash flow and our ability to meet our debt service obligations and make distributions with respect to depositary units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182"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As of June 30, 2021, our Holding Company had cash and cash equivalents of approximately $1.5 billion and total debt of approximately $5.8 billion. As of June 30, 2021, our Holding Company had investments in the Investment Funds with a total fair market value of approximately $4.7 billion. We may redeem our direct investment in the Investment Funds upon notice. See “Investment Segment Liquidity” below for additional information with respect to our Investment segment liquidity. See “Consolidated Cash Flows” below for additional information with respect to our Holding Company liquidity.</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Holding Company Borrowings and Availability</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2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2020</w:t>
            </w:r>
          </w:p>
        </w:tc>
      </w:tr>
      <w:tr>
        <w:trPr>
          <w:trHeight w:val="128"/>
        </w:trPr>
        <w:tc>
          <w:tcPr>
            <w:tcW w:w="6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ind w:left="660"/>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4.750% senior unsecured notes due 2024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6.375% senior unsecured notes due 2025</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5.250% senior unsecured notes due 2027</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999</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4.375% senior unsecured notes due 2029</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5,811</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5,811</w:t>
            </w: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79" w:firstLine="324"/>
        <w:spacing w:after="0" w:line="263" w:lineRule="auto"/>
        <w:rPr>
          <w:sz w:val="20"/>
          <w:szCs w:val="20"/>
          <w:color w:val="auto"/>
        </w:rPr>
      </w:pPr>
      <w:r>
        <w:rPr>
          <w:rFonts w:ascii="Arial" w:cs="Arial" w:eastAsia="Arial" w:hAnsi="Arial"/>
          <w:sz w:val="18"/>
          <w:szCs w:val="18"/>
          <w:color w:val="auto"/>
        </w:rPr>
        <w:t>Holding Company debt consists of various issues of fixed-rate senior unsecured notes issued by the Issuers and guaranteed by Icahn Enterprises Holdings (the “Guarantor”). Interest on each tranche of senior unsecured notes is payable semi-annually.</w:t>
      </w:r>
    </w:p>
    <w:p>
      <w:pPr>
        <w:spacing w:after="0" w:line="184"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In January 2021, Icahn Enterprises and Icahn Enterprises Finance Corp. (together the “Issuers”) issued $750 million in aggregate principal amount of 4.375% senior unsecured notes due 2029 (the “New 2029 Notes”). The proceeds from the New 2029 Notes were used to redeem $750 million principal amount of 6.250% senior unsecured notes due 2022, and to pay accrued interest, related fees and expenses. Interest on the New 2029 Notes is payable semi-annually.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324"/>
        <w:spacing w:after="0" w:line="311" w:lineRule="auto"/>
        <w:rPr>
          <w:sz w:val="20"/>
          <w:szCs w:val="20"/>
          <w:color w:val="auto"/>
        </w:rPr>
      </w:pPr>
      <w:r>
        <w:rPr>
          <w:rFonts w:ascii="Arial" w:cs="Arial" w:eastAsia="Arial" w:hAnsi="Arial"/>
          <w:sz w:val="16"/>
          <w:szCs w:val="16"/>
          <w:color w:val="auto"/>
        </w:rPr>
        <w:t>In April 2021, the Issuers issued $455 million in aggregate principal amount of additional 5.250% senior unsecured notes due 2027. The proceeds from this issuance were used to redeem the remaining $455 million principal amount of 6.250% senior unsecured notes due 2022, and to pay accrued interest, related fees and expenses.</w:t>
      </w:r>
    </w:p>
    <w:p>
      <w:pPr>
        <w:spacing w:after="0" w:line="149"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Each of our senior unsecured notes and the related guarantees are effectively subordinated to the Issuers’ and the Guarantor’s existing and future secured indebtedness to the extent of the collateral securing such indebtedness. Each of our senior unsecured notes and the related guarantees are also effectively subordinated to all indebtedness and other liabilities of the Issuers’ subsidiaries other than the Guarantor.</w:t>
      </w:r>
    </w:p>
    <w:p>
      <w:pPr>
        <w:spacing w:after="0" w:line="177" w:lineRule="exact"/>
        <w:rPr>
          <w:sz w:val="20"/>
          <w:szCs w:val="20"/>
          <w:color w:val="auto"/>
        </w:rPr>
      </w:pPr>
    </w:p>
    <w:p>
      <w:pPr>
        <w:ind w:left="60" w:right="159" w:firstLine="324"/>
        <w:spacing w:after="0" w:line="288" w:lineRule="auto"/>
        <w:rPr>
          <w:sz w:val="20"/>
          <w:szCs w:val="20"/>
          <w:color w:val="auto"/>
        </w:rPr>
      </w:pPr>
      <w:r>
        <w:rPr>
          <w:rFonts w:ascii="Arial" w:cs="Arial" w:eastAsia="Arial" w:hAnsi="Arial"/>
          <w:sz w:val="16"/>
          <w:szCs w:val="16"/>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each of the senior unsecured notes outstanding as of June 30, 2021, except for the 4.750% senior unsecured notes due 2024, the 5.250% senior unsecured notes due 2027 and 4.375% senior unsecured notes due 2029, are subject to optional redemption premiums in the event we redeem any of the notes prior to certain dates as described in the indentures.</w:t>
      </w:r>
    </w:p>
    <w:p>
      <w:pPr>
        <w:spacing w:after="0" w:line="168" w:lineRule="exact"/>
        <w:rPr>
          <w:sz w:val="20"/>
          <w:szCs w:val="20"/>
          <w:color w:val="auto"/>
        </w:rPr>
      </w:pPr>
    </w:p>
    <w:p>
      <w:pPr>
        <w:ind w:left="60" w:right="119" w:firstLine="324"/>
        <w:spacing w:after="0" w:line="279" w:lineRule="auto"/>
        <w:rPr>
          <w:sz w:val="20"/>
          <w:szCs w:val="20"/>
          <w:color w:val="auto"/>
        </w:rPr>
      </w:pPr>
      <w:r>
        <w:rPr>
          <w:rFonts w:ascii="Arial" w:cs="Arial" w:eastAsia="Arial" w:hAnsi="Arial"/>
          <w:sz w:val="17"/>
          <w:szCs w:val="17"/>
          <w:color w:val="auto"/>
        </w:rPr>
        <w:t>As of June 30, 2021 and December 31, 2020, we were in compliance with all covenants, including maintaining certain minimum financial ratios, as defined in the indentures. Additionally, as of June 30, 2021, based on covenants in the indentures governing our senior unsecured notes, we are not permitted to incur additional indebtedness; however, we are permitted to issue new notes in connection with debt refinancings of existing notes.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2021 At-The-Market Offering</w:t>
      </w:r>
    </w:p>
    <w:p>
      <w:pPr>
        <w:spacing w:after="0" w:line="225"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On February 26, 2021, Icahn Enterprises announced the commencement of its “at-the-market” offering pursuant to its Open Market Sale Agreement, pursuant to which Icahn Enterprises may sell its depositary units, from time to time, during the term of the program ending on December 31, 2023, for up to $400 million in aggregate sale proceeds. During the six months ended June 30, 2021, Icahn Enterprises sold 6,618,919 depositary units pursuant to this agreement, resulting in gross proceeds of $384 million. As of June 30, 2021, Icahn Enterprises may sell its depositary units for up to an additional $16 million in aggregate sale proceeds pursuant to this agreement. No assurance can be made that any or all amounts will be sold during the term of the program. Icahn Enterprises’ prior “at-the-market” offering was terminated on February 26, 2021.</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LP Unit Distributions</w:t>
      </w:r>
    </w:p>
    <w:p>
      <w:pPr>
        <w:spacing w:after="0" w:line="225"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During the six months ended June 30, 2021, Icahn Enterprises declared two quarterly distributions aggregating $4.00 per depositary unit in which each depositary unitholder had the option to make an election to receive either cash or additional depositary units. In connection with these distributions, aggregate cash distributions to all depositary unitholders that made a timely election to receive cash was $56 million during the six months ended June 30, 2021.</w:t>
      </w:r>
    </w:p>
    <w:p>
      <w:pPr>
        <w:spacing w:after="0" w:line="157"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On August 4, 2021, the Board of Directors of the general partner of Icahn Enterprises declared a quarterly distribution in the amount of $2.00 per depositary unit, which will be paid on or about September 29, 2021 to depositary unitholders of record at the close of business on August 20, 2021. Depositary unitholders will have until September 17, 2021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5 consecutive trading days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ending September 24, 2021. Icahn Enterprises will make a cash payment in lieu of issuing fractional depositary units to any unitholders electing to receive (or who are deemed to have elected to receive) depositary units.</w:t>
      </w:r>
    </w:p>
    <w:p>
      <w:pPr>
        <w:spacing w:after="0" w:line="170" w:lineRule="exact"/>
        <w:rPr>
          <w:sz w:val="20"/>
          <w:szCs w:val="20"/>
          <w:color w:val="auto"/>
        </w:rPr>
      </w:pPr>
    </w:p>
    <w:p>
      <w:pPr>
        <w:ind w:left="60" w:right="159" w:firstLine="324"/>
        <w:spacing w:after="0" w:line="289" w:lineRule="auto"/>
        <w:rPr>
          <w:sz w:val="20"/>
          <w:szCs w:val="20"/>
          <w:color w:val="auto"/>
        </w:rPr>
      </w:pPr>
      <w:r>
        <w:rPr>
          <w:rFonts w:ascii="Arial" w:cs="Arial" w:eastAsia="Arial" w:hAnsi="Arial"/>
          <w:sz w:val="16"/>
          <w:szCs w:val="16"/>
          <w:color w:val="auto"/>
        </w:rPr>
        <w:t>The declaration and payment of distributions is reviewed quarterly by Icahn Enterprises GP’s board of directors based upon a review of our balance sheet and cash flow,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Segment Liquidity</w:t>
      </w:r>
    </w:p>
    <w:p>
      <w:pPr>
        <w:spacing w:after="0" w:line="225" w:lineRule="exact"/>
        <w:rPr>
          <w:sz w:val="20"/>
          <w:szCs w:val="20"/>
          <w:color w:val="auto"/>
        </w:rPr>
      </w:pPr>
    </w:p>
    <w:p>
      <w:pPr>
        <w:ind w:left="60" w:right="79" w:firstLine="324"/>
        <w:spacing w:after="0" w:line="308" w:lineRule="auto"/>
        <w:rPr>
          <w:sz w:val="20"/>
          <w:szCs w:val="20"/>
          <w:color w:val="auto"/>
        </w:rPr>
      </w:pPr>
      <w:r>
        <w:rPr>
          <w:rFonts w:ascii="Arial" w:cs="Arial" w:eastAsia="Arial" w:hAnsi="Arial"/>
          <w:sz w:val="17"/>
          <w:szCs w:val="17"/>
          <w:color w:val="auto"/>
        </w:rPr>
        <w:t>In addition to investments by us and Mr. Icahn, the Investment Funds historically have access to significant amounts of cash available from prime brokerage lines of credit, subject to customary terms and market conditions.</w:t>
      </w:r>
    </w:p>
    <w:p>
      <w:pPr>
        <w:spacing w:after="0" w:line="146" w:lineRule="exact"/>
        <w:rPr>
          <w:sz w:val="20"/>
          <w:szCs w:val="20"/>
          <w:color w:val="auto"/>
        </w:rPr>
      </w:pPr>
    </w:p>
    <w:p>
      <w:pPr>
        <w:ind w:left="60" w:right="359" w:firstLine="324"/>
        <w:spacing w:after="0" w:line="296" w:lineRule="auto"/>
        <w:rPr>
          <w:sz w:val="20"/>
          <w:szCs w:val="20"/>
          <w:color w:val="auto"/>
        </w:rPr>
      </w:pPr>
      <w:r>
        <w:rPr>
          <w:rFonts w:ascii="Arial" w:cs="Arial" w:eastAsia="Arial" w:hAnsi="Arial"/>
          <w:sz w:val="16"/>
          <w:szCs w:val="16"/>
          <w:color w:val="auto"/>
        </w:rPr>
        <w:t>Additionally, our Investment segment liquidity is driven by the investment activities and performance of the Investment Funds. As of June 30, 2021, the Investment Funds’ had a net long notional exposure of 5%. The Investment Funds’ long exposure was 108% (107% long equity and 1% long credit) and its short exposure was 103% (83% short equity and 20% short credit and other). The notional exposure represents the ratio of the notional exposure of the Investment Funds’ invested capital to the net asset value of the Investment Funds at June 30, 2021.</w:t>
      </w:r>
    </w:p>
    <w:p>
      <w:pPr>
        <w:spacing w:after="0" w:line="161" w:lineRule="exact"/>
        <w:rPr>
          <w:sz w:val="20"/>
          <w:szCs w:val="20"/>
          <w:color w:val="auto"/>
        </w:rPr>
      </w:pPr>
    </w:p>
    <w:p>
      <w:pPr>
        <w:ind w:left="60" w:right="559" w:firstLine="324"/>
        <w:spacing w:after="0" w:line="301" w:lineRule="auto"/>
        <w:rPr>
          <w:sz w:val="20"/>
          <w:szCs w:val="20"/>
          <w:color w:val="auto"/>
        </w:rPr>
      </w:pPr>
      <w:r>
        <w:rPr>
          <w:rFonts w:ascii="Arial" w:cs="Arial" w:eastAsia="Arial" w:hAnsi="Arial"/>
          <w:sz w:val="16"/>
          <w:szCs w:val="16"/>
          <w:color w:val="auto"/>
        </w:rPr>
        <w:t>Of the Investment Funds’ 108% long exposure, 102% was comprised of the fair value of its long positions (with certain adjustments) and 6% was comprised of single name equity forward contracts and credit contracts. Of the Investment Funds’ 103% short exposure, 41% was comprised of the fair value of its short positions and 62% was comprised of short broad market index swap derivative contracts and short credit default swap contracts.</w:t>
      </w:r>
    </w:p>
    <w:p>
      <w:pPr>
        <w:spacing w:after="0" w:line="157" w:lineRule="exact"/>
        <w:rPr>
          <w:sz w:val="20"/>
          <w:szCs w:val="20"/>
          <w:color w:val="auto"/>
        </w:rPr>
      </w:pPr>
    </w:p>
    <w:p>
      <w:pPr>
        <w:ind w:left="60" w:right="139" w:firstLine="324"/>
        <w:spacing w:after="0" w:line="275" w:lineRule="auto"/>
        <w:rPr>
          <w:sz w:val="20"/>
          <w:szCs w:val="20"/>
          <w:color w:val="auto"/>
        </w:rPr>
      </w:pPr>
      <w:r>
        <w:rPr>
          <w:rFonts w:ascii="Arial" w:cs="Arial" w:eastAsia="Arial" w:hAnsi="Arial"/>
          <w:sz w:val="17"/>
          <w:szCs w:val="17"/>
          <w:color w:val="auto"/>
        </w:rPr>
        <w:t>With respect to both our long positions that are not notionalized (102% long exposure) and our short positions that are not notionalized (41%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176"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With respect to the notional value of our other short positions (62%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 Liquidity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Cash and Cash Equivalents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Segment cash and cash equivalents (excluding our Investment segment)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June 30,</w:t>
            </w:r>
          </w:p>
        </w:tc>
        <w:tc>
          <w:tcPr>
            <w:tcW w:w="110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5"/>
          </w:tcPr>
          <w:p>
            <w:pPr>
              <w:jc w:val="right"/>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Automotive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Metals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Home Fashion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Pharma</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78"/>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Segment Borrowings and Availability</w:t>
            </w: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Segment debt consists of the following: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5"/>
          </w:tcPr>
          <w:p>
            <w:pPr>
              <w:jc w:val="right"/>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Automotive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Food Packaging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Metals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Home Fashion</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Refer to our Annual Report on Form 10-K for the year ended December 31, 2020 for information concerning terms, restrictions and covenants pertaining to our subsidiaries’ debt. As of June 30, 2021, all of our subsidiaries were in compliance with all debt covenants.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segments have additional borrowing availability under certain revolving credit facilities as summarized below:</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7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2021</w:t>
            </w:r>
          </w:p>
        </w:tc>
      </w:tr>
      <w:tr>
        <w:trPr>
          <w:trHeight w:val="142"/>
        </w:trPr>
        <w:tc>
          <w:tcPr>
            <w:tcW w:w="7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72"/>
              <w:spacing w:after="0" w:line="142" w:lineRule="exact"/>
              <w:rPr>
                <w:sz w:val="20"/>
                <w:szCs w:val="20"/>
                <w:color w:val="auto"/>
              </w:rPr>
            </w:pPr>
            <w:r>
              <w:rPr>
                <w:rFonts w:ascii="Arial" w:cs="Arial" w:eastAsia="Arial" w:hAnsi="Arial"/>
                <w:sz w:val="14"/>
                <w:szCs w:val="14"/>
                <w:color w:val="auto"/>
              </w:rPr>
              <w:t>(in millions)</w:t>
            </w: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Metals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9"/>
        </w:trPr>
        <w:tc>
          <w:tcPr>
            <w:tcW w:w="77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79" w:firstLine="324"/>
        <w:spacing w:after="0" w:line="277" w:lineRule="auto"/>
        <w:rPr>
          <w:sz w:val="20"/>
          <w:szCs w:val="20"/>
          <w:color w:val="auto"/>
        </w:rPr>
      </w:pPr>
      <w:r>
        <w:rPr>
          <w:rFonts w:ascii="Arial" w:cs="Arial" w:eastAsia="Arial" w:hAnsi="Arial"/>
          <w:sz w:val="18"/>
          <w:szCs w:val="18"/>
          <w:color w:val="auto"/>
        </w:rPr>
        <w:t>The above outstanding debt and borrowing availability with respect to each of our continuing operating segments reflects third-party obligations.</w:t>
      </w:r>
    </w:p>
    <w:p>
      <w:pPr>
        <w:spacing w:after="0" w:line="170" w:lineRule="exact"/>
        <w:rPr>
          <w:sz w:val="20"/>
          <w:szCs w:val="20"/>
          <w:color w:val="auto"/>
        </w:rPr>
      </w:pPr>
    </w:p>
    <w:p>
      <w:pPr>
        <w:ind w:left="60" w:right="359" w:firstLine="324"/>
        <w:spacing w:after="0" w:line="342" w:lineRule="auto"/>
        <w:rPr>
          <w:sz w:val="20"/>
          <w:szCs w:val="20"/>
          <w:color w:val="auto"/>
        </w:rPr>
      </w:pPr>
      <w:r>
        <w:rPr>
          <w:rFonts w:ascii="Arial" w:cs="Arial" w:eastAsia="Arial" w:hAnsi="Arial"/>
          <w:sz w:val="16"/>
          <w:szCs w:val="16"/>
          <w:color w:val="auto"/>
        </w:rPr>
        <w:t>In June 2021, CVR Partners issued $550 million in aggregate principal amount of 6.125% senior secured notes due 2028. Proceeds from these notes were used to fund a partial redemption of its existing 9.25% senior secured notes due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2023. These senior secured notes issued by CVR Partners are guaranteed on a senior secured basis by all of CVR Partners’ existing domestic subsidiaries, excluding CVR Nitrogen Finance Corporation. The indenture governing these notes contain certain covenants that restrict the ability of the issuers and their restricted subsidiaries from incurring additional debt or issuing certain disqualified equity, create liens on certain assets to secure debt, pay dividends/distributions or make other equity distributions, purchase or redeem capital stock/common units, make certain investments, transfer and sell assets, agree to certain restrictions on the ability of restricted subsidiaries to make distributions, loans, or other asset transfers to the issuers, consolidate, merge, sell, or otherwise dispose of all or substantially all of their assets, engage in transactions with affiliates and designate restricted subsidiaries as unrestricted subsidiaries.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Subsidiary Dividends</w:t>
      </w:r>
    </w:p>
    <w:p>
      <w:pPr>
        <w:spacing w:after="0" w:line="225" w:lineRule="exact"/>
        <w:rPr>
          <w:sz w:val="20"/>
          <w:szCs w:val="20"/>
          <w:color w:val="auto"/>
        </w:rPr>
      </w:pPr>
    </w:p>
    <w:p>
      <w:pPr>
        <w:jc w:val="both"/>
        <w:ind w:left="60" w:right="299" w:firstLine="324"/>
        <w:spacing w:after="0" w:line="311" w:lineRule="auto"/>
        <w:rPr>
          <w:sz w:val="20"/>
          <w:szCs w:val="20"/>
          <w:color w:val="auto"/>
        </w:rPr>
      </w:pPr>
      <w:r>
        <w:rPr>
          <w:rFonts w:ascii="Arial" w:cs="Arial" w:eastAsia="Arial" w:hAnsi="Arial"/>
          <w:sz w:val="16"/>
          <w:szCs w:val="16"/>
          <w:color w:val="auto"/>
        </w:rPr>
        <w:t>In the second quarter of 2021, our Energy segment paid a special dividend, which was comprised of $241 million in cash as well as the common stock of an equity investment with a fair value of $251 million. Our portion of the dividend included $171 million in cash and the common stock of an equity investment with a fair value of $177 million.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Subsidiary Stock Repurchase Program</w:t>
      </w:r>
    </w:p>
    <w:p>
      <w:pPr>
        <w:spacing w:after="0" w:line="225" w:lineRule="exact"/>
        <w:rPr>
          <w:sz w:val="20"/>
          <w:szCs w:val="20"/>
          <w:color w:val="auto"/>
        </w:rPr>
      </w:pPr>
    </w:p>
    <w:p>
      <w:pPr>
        <w:ind w:left="60" w:right="199" w:firstLine="324"/>
        <w:spacing w:after="0" w:line="286" w:lineRule="auto"/>
        <w:rPr>
          <w:sz w:val="20"/>
          <w:szCs w:val="20"/>
          <w:color w:val="auto"/>
        </w:rPr>
      </w:pPr>
      <w:r>
        <w:rPr>
          <w:rFonts w:ascii="Arial" w:cs="Arial" w:eastAsia="Arial" w:hAnsi="Arial"/>
          <w:sz w:val="16"/>
          <w:szCs w:val="16"/>
          <w:color w:val="auto"/>
        </w:rPr>
        <w:t>On October 23, 2019, the Board of Directors of CVR Energy approved a stock repurchase program which would enable it to repurchase up to $300 million of its common stock from time to time through open market transactions, block trades, privately negotiated transactions or otherwise in accordance with applicable securities laws. The stock repurchase program has a duration of four years, which may be terminated by the Board of Directors of CVR Energy at any time.</w:t>
      </w:r>
    </w:p>
    <w:p>
      <w:pPr>
        <w:spacing w:after="0" w:line="1" w:lineRule="exact"/>
        <w:rPr>
          <w:sz w:val="20"/>
          <w:szCs w:val="20"/>
          <w:color w:val="auto"/>
        </w:rPr>
      </w:pPr>
    </w:p>
    <w:p>
      <w:pPr>
        <w:ind w:left="60" w:right="299"/>
        <w:spacing w:after="0" w:line="295" w:lineRule="auto"/>
        <w:rPr>
          <w:sz w:val="20"/>
          <w:szCs w:val="20"/>
          <w:color w:val="auto"/>
        </w:rPr>
      </w:pPr>
      <w:r>
        <w:rPr>
          <w:rFonts w:ascii="Arial" w:cs="Arial" w:eastAsia="Arial" w:hAnsi="Arial"/>
          <w:sz w:val="16"/>
          <w:szCs w:val="16"/>
          <w:color w:val="auto"/>
        </w:rPr>
        <w:t>Repurchases, if any, including the timing, price and amount, may be made at the discretion of CVR Energy management and CVR Energy is not obligated to make any repurchases. CVR Energy did not repurchase any shares of its common stock as of June 30, 2021. Due to the market and oil price volatility, coupled with the current economic conditions, CVR Energy does not currently intend to repurchase any stock if these, and other, conditions continue.</w:t>
      </w:r>
    </w:p>
    <w:p>
      <w:pPr>
        <w:spacing w:after="0" w:line="161"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On May 6, 2020, the Board of Directors of CVR Partners’ general partner approved a unit repurchase program which would enable it to repurchase up to $10 million of its common units from time to time through open market transactions, block trades, privately negotiated transactions or otherwise in accordance with applicable securities laws. On February 22, 2021, the Board of Directors of CVR Partners authorized an additional $10 million under the unit repurchase program. During 2021, CVR Partners repurchased common units on the open market at a cost of $1 million. As of June 30, 2021, CVR Partners has $12 million remaining under its unit repurchase program.</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225"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Our Holding Company’s cash flows are generally driven by payments and proceeds associated with our senior unsecured debt obligations and payments and proceeds associated with equity transactions with Icahn Enterprises’ depositary unitholders. Additionally, our Holding Company’s cash flows include transactions with our Investment and other operating segments.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and Brett Icahn, which are included in net cash flows from financing activities. Our other operating segments’ cash flows are driven by the activities and performance of each business as well as transactions with our Holding Company, as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The following table summarizes cash flow information for Icahn Enterprises’ reporting segments and our Holding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2"/>
              </w:rPr>
              <w:t>Six Months Ended June 30, 2021</w:t>
            </w:r>
          </w:p>
        </w:tc>
        <w:tc>
          <w:tcPr>
            <w:tcW w:w="80" w:type="dxa"/>
            <w:vAlign w:val="bottom"/>
          </w:tcPr>
          <w:p>
            <w:pPr>
              <w:spacing w:after="0"/>
              <w:rPr>
                <w:sz w:val="14"/>
                <w:szCs w:val="14"/>
                <w:color w:val="auto"/>
              </w:rPr>
            </w:pPr>
          </w:p>
        </w:tc>
        <w:tc>
          <w:tcPr>
            <w:tcW w:w="272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3"/>
              </w:rPr>
              <w:t>Six Months Ended June 30, 2020</w:t>
            </w: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620" w:type="dxa"/>
            <w:vAlign w:val="bottom"/>
            <w:tcBorders>
              <w:top w:val="single" w:sz="8" w:color="auto"/>
              <w:bottom w:val="single" w:sz="8" w:color="auto"/>
            </w:tcBorders>
            <w:gridSpan w:val="7"/>
          </w:tcPr>
          <w:p>
            <w:pPr>
              <w:jc w:val="center"/>
              <w:ind w:right="14"/>
              <w:spacing w:after="0" w:line="142" w:lineRule="exact"/>
              <w:rPr>
                <w:sz w:val="20"/>
                <w:szCs w:val="20"/>
                <w:color w:val="auto"/>
              </w:rPr>
            </w:pPr>
            <w:r>
              <w:rPr>
                <w:rFonts w:ascii="Arial" w:cs="Arial" w:eastAsia="Arial" w:hAnsi="Arial"/>
                <w:sz w:val="14"/>
                <w:szCs w:val="14"/>
                <w:b w:val="1"/>
                <w:bCs w:val="1"/>
                <w:color w:val="auto"/>
                <w:w w:val="93"/>
              </w:rPr>
              <w:t>Net Cash Provided By (Used In)</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700" w:type="dxa"/>
            <w:vAlign w:val="bottom"/>
            <w:tcBorders>
              <w:top w:val="single" w:sz="8" w:color="auto"/>
              <w:bottom w:val="single" w:sz="8" w:color="auto"/>
            </w:tcBorders>
            <w:gridSpan w:val="7"/>
          </w:tcPr>
          <w:p>
            <w:pPr>
              <w:jc w:val="center"/>
              <w:spacing w:after="0" w:line="142" w:lineRule="exact"/>
              <w:rPr>
                <w:sz w:val="20"/>
                <w:szCs w:val="20"/>
                <w:color w:val="auto"/>
              </w:rPr>
            </w:pPr>
            <w:r>
              <w:rPr>
                <w:rFonts w:ascii="Arial" w:cs="Arial" w:eastAsia="Arial" w:hAnsi="Arial"/>
                <w:sz w:val="14"/>
                <w:szCs w:val="14"/>
                <w:b w:val="1"/>
                <w:bCs w:val="1"/>
                <w:color w:val="auto"/>
                <w:w w:val="94"/>
              </w:rPr>
              <w:t>Net Cash Provided By (Used In)</w:t>
            </w:r>
          </w:p>
        </w:tc>
        <w:tc>
          <w:tcPr>
            <w:tcW w:w="2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Operating</w:t>
            </w:r>
          </w:p>
        </w:tc>
        <w:tc>
          <w:tcPr>
            <w:tcW w:w="120" w:type="dxa"/>
            <w:vAlign w:val="bottom"/>
          </w:tcPr>
          <w:p>
            <w:pPr>
              <w:spacing w:after="0"/>
              <w:rPr>
                <w:sz w:val="10"/>
                <w:szCs w:val="10"/>
                <w:color w:val="auto"/>
              </w:rPr>
            </w:pPr>
          </w:p>
        </w:tc>
        <w:tc>
          <w:tcPr>
            <w:tcW w:w="8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Investing</w:t>
            </w:r>
          </w:p>
        </w:tc>
        <w:tc>
          <w:tcPr>
            <w:tcW w:w="10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Financing</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Operating</w:t>
            </w:r>
          </w:p>
        </w:tc>
        <w:tc>
          <w:tcPr>
            <w:tcW w:w="120" w:type="dxa"/>
            <w:vAlign w:val="bottom"/>
          </w:tcPr>
          <w:p>
            <w:pPr>
              <w:spacing w:after="0"/>
              <w:rPr>
                <w:sz w:val="10"/>
                <w:szCs w:val="10"/>
                <w:color w:val="auto"/>
              </w:rPr>
            </w:pPr>
          </w:p>
        </w:tc>
        <w:tc>
          <w:tcPr>
            <w:tcW w:w="8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Investing</w:t>
            </w:r>
          </w:p>
        </w:tc>
        <w:tc>
          <w:tcPr>
            <w:tcW w:w="120" w:type="dxa"/>
            <w:vAlign w:val="bottom"/>
          </w:tcPr>
          <w:p>
            <w:pPr>
              <w:spacing w:after="0"/>
              <w:rPr>
                <w:sz w:val="10"/>
                <w:szCs w:val="10"/>
                <w:color w:val="auto"/>
              </w:rPr>
            </w:pPr>
          </w:p>
        </w:tc>
        <w:tc>
          <w:tcPr>
            <w:tcW w:w="72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w w:val="97"/>
              </w:rPr>
              <w:t>Financing</w:t>
            </w:r>
          </w:p>
        </w:tc>
        <w:tc>
          <w:tcPr>
            <w:tcW w:w="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Activities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3"/>
              </w:rPr>
              <w:t>Activities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3"/>
              </w:rPr>
              <w:t>Activities</w:t>
            </w:r>
          </w:p>
        </w:tc>
        <w:tc>
          <w:tcPr>
            <w:tcW w:w="20" w:type="dxa"/>
            <w:vAlign w:val="bottom"/>
          </w:tcPr>
          <w:p>
            <w:pPr>
              <w:spacing w:after="0"/>
              <w:rPr>
                <w:sz w:val="14"/>
                <w:szCs w:val="14"/>
                <w:color w:val="auto"/>
              </w:rPr>
            </w:pPr>
          </w:p>
        </w:tc>
      </w:tr>
      <w:tr>
        <w:trPr>
          <w:trHeight w:val="128"/>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4"/>
          </w:tcPr>
          <w:p>
            <w:pPr>
              <w:jc w:val="right"/>
              <w:ind w:right="415"/>
              <w:spacing w:after="0" w:line="129" w:lineRule="exact"/>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Holding Company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20" w:type="dxa"/>
            <w:vAlign w:val="bottom"/>
          </w:tcPr>
          <w:p>
            <w:pPr>
              <w:spacing w:after="0"/>
              <w:rPr>
                <w:sz w:val="18"/>
                <w:szCs w:val="18"/>
                <w:color w:val="auto"/>
              </w:rPr>
            </w:pPr>
          </w:p>
        </w:tc>
      </w:tr>
      <w:tr>
        <w:trPr>
          <w:trHeight w:val="216"/>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751</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3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Other Operating Segments: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Energy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Automotive</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Food Packaging</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Metals</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Home Fashion</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Pharma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31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operating segments</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8"/>
                <w:szCs w:val="18"/>
                <w:color w:val="auto"/>
              </w:rPr>
            </w:pPr>
          </w:p>
        </w:tc>
      </w:tr>
      <w:tr>
        <w:trPr>
          <w:trHeight w:val="209"/>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before eliminations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8"/>
                <w:szCs w:val="18"/>
                <w:color w:val="auto"/>
              </w:rPr>
            </w:pPr>
          </w:p>
        </w:tc>
      </w:tr>
      <w:tr>
        <w:trPr>
          <w:trHeight w:val="210"/>
        </w:trPr>
        <w:tc>
          <w:tcPr>
            <w:tcW w:w="32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Eliminations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18"/>
                <w:szCs w:val="18"/>
                <w:color w:val="auto"/>
              </w:rPr>
            </w:pPr>
          </w:p>
        </w:tc>
      </w:tr>
      <w:tr>
        <w:trPr>
          <w:trHeight w:val="209"/>
        </w:trPr>
        <w:tc>
          <w:tcPr>
            <w:tcW w:w="3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Eliminations</w:t>
      </w:r>
    </w:p>
    <w:p>
      <w:pPr>
        <w:spacing w:after="0" w:line="225"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Eliminations in the table above relate to certain of our Holding Company’s transactions with our Investment and other operating segments. Our Holding Company’s net (investments in) distributions from the Investments Funds, when 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Holding Company</w:t>
      </w:r>
    </w:p>
    <w:p>
      <w:pPr>
        <w:spacing w:after="0" w:line="225"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Our Holding Company’s cash flows from operating activities for each of the six months ended June 30, 2021 and 2020 were primarily attributable to our semi-annual interest payments on our senior unsecured notes. The decrease in interest payments over the comparable periods is due to the timing of the payment of the semi-annual interest as our recent debt transactions resulted in a change in certain interest payment dates as well as a lower weighted average interest rate over the comparative periods. Our Holding Company also had lower interest income and tax receipts during the six months ended June 30, 2021 compared to the comparable prior year period.</w:t>
      </w:r>
    </w:p>
    <w:p>
      <w:pPr>
        <w:spacing w:after="0" w:line="178" w:lineRule="exact"/>
        <w:rPr>
          <w:sz w:val="20"/>
          <w:szCs w:val="20"/>
          <w:color w:val="auto"/>
        </w:rPr>
      </w:pPr>
    </w:p>
    <w:p>
      <w:pPr>
        <w:ind w:left="60" w:right="119" w:firstLine="324"/>
        <w:spacing w:after="0" w:line="253" w:lineRule="auto"/>
        <w:rPr>
          <w:sz w:val="20"/>
          <w:szCs w:val="20"/>
          <w:color w:val="auto"/>
        </w:rPr>
      </w:pPr>
      <w:r>
        <w:rPr>
          <w:rFonts w:ascii="Arial" w:cs="Arial" w:eastAsia="Arial" w:hAnsi="Arial"/>
          <w:sz w:val="18"/>
          <w:szCs w:val="18"/>
          <w:color w:val="auto"/>
        </w:rPr>
        <w:t>Our Holding Company’s cash flows from investing activities for the six months ended June 30, 2021 were primarily attributable to proceeds from the sale of equity investments of $376 million and dividends from our Energy segment of $171 million offset in part by net investments in/contributions to our operating subsidiaries aggregating $47 million, including an investment in our Automotive segment of $50 million. Our Holding Company’s cash flows from investing activities for the six months ended June 30, 2020 were primarily due to our investment in the Investment Funds of $750 million (net of redemptions), our purchase of an equity investment of $114 million and investments in/contributions to our operating subsidiaries aggregating $130 million, including an investment in our Automotive segment of $115 million. This was offset in part by net cash dividends from our Energy segment of $85 million and distributions from our Real Estate segment of $8 million.</w:t>
      </w:r>
    </w:p>
    <w:p>
      <w:pPr>
        <w:spacing w:after="0" w:line="196" w:lineRule="exact"/>
        <w:rPr>
          <w:sz w:val="20"/>
          <w:szCs w:val="20"/>
          <w:color w:val="auto"/>
        </w:rPr>
      </w:pPr>
    </w:p>
    <w:p>
      <w:pPr>
        <w:ind w:left="60" w:right="479" w:firstLine="324"/>
        <w:spacing w:after="0" w:line="342" w:lineRule="auto"/>
        <w:rPr>
          <w:sz w:val="20"/>
          <w:szCs w:val="20"/>
          <w:color w:val="auto"/>
        </w:rPr>
      </w:pPr>
      <w:r>
        <w:rPr>
          <w:rFonts w:ascii="Arial" w:cs="Arial" w:eastAsia="Arial" w:hAnsi="Arial"/>
          <w:sz w:val="16"/>
          <w:szCs w:val="16"/>
          <w:color w:val="auto"/>
        </w:rPr>
        <w:t>Our Holding Company’s cash flows from financing activities for the six months ended June 30, 2021 were due to proceeds from our “at-the-market” offering offset in part by aggregate payments on our quarterly distributions. Our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Holding Company’s cash flows from financing activities for the six months ended June 30, 2020 were primarily due to the effects of certain debt refinancing transactions, which included the repayment of certain senior unsecured notes in January 2020 using proceeds from senior unsecured note issuances in December 2019, and aggregate payments on our quarterly distributions. This was offset in part by proceeds from our “at-the-market” offering.</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Segment</w:t>
      </w:r>
    </w:p>
    <w:p>
      <w:pPr>
        <w:spacing w:after="0" w:line="225"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Our Investment segment’s cash flows from operating activities for the comparable periods were attributable to its net investment transactions.</w:t>
      </w:r>
    </w:p>
    <w:p>
      <w:pPr>
        <w:spacing w:after="0" w:line="170" w:lineRule="exact"/>
        <w:rPr>
          <w:sz w:val="20"/>
          <w:szCs w:val="20"/>
          <w:color w:val="auto"/>
        </w:rPr>
      </w:pPr>
    </w:p>
    <w:p>
      <w:pPr>
        <w:ind w:left="60" w:right="159" w:firstLine="324"/>
        <w:spacing w:after="0" w:line="279" w:lineRule="auto"/>
        <w:rPr>
          <w:sz w:val="20"/>
          <w:szCs w:val="20"/>
          <w:color w:val="auto"/>
        </w:rPr>
      </w:pPr>
      <w:r>
        <w:rPr>
          <w:rFonts w:ascii="Arial" w:cs="Arial" w:eastAsia="Arial" w:hAnsi="Arial"/>
          <w:sz w:val="17"/>
          <w:szCs w:val="17"/>
          <w:color w:val="auto"/>
        </w:rPr>
        <w:t>Our Investment segment’s cash flows from financing activities for the six months ended June 30, 2021 were attributable to Brett Icahn’s contribution to the Funds of $46 million. Our Investment segment’s cash flows from financing activities for the six months ended June 30, 2020 were attributable to our investment in the Investment Funds of $750 million, net of redemptions, and $1 million from Mr. Icahn and his affiliates (excluding us).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Operating Segments</w:t>
      </w:r>
    </w:p>
    <w:p>
      <w:pPr>
        <w:spacing w:after="0" w:line="225"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Our other operating segments’ cash flows from operating activities included net cash flows from operating activities before changes in operating assets and liabilities of $(74) million and $(11) million for the six months ended June 30, 2021 and 2020, respectively, primarily due to the result of our Energy and Automotive segments for each period. The change in cash flows from operating activities for the six months ended June 30, 2021 as compared to the comparable prior year period was primarily due to changes in working capital attributable to our Energy segment. Our Energy segment’s working capital improved over the comparable periods primarily due to the increase in crude oil prices during 2021 and increases in its open RFS position.</w:t>
      </w:r>
    </w:p>
    <w:p>
      <w:pPr>
        <w:spacing w:after="0" w:line="195" w:lineRule="exact"/>
        <w:rPr>
          <w:sz w:val="20"/>
          <w:szCs w:val="20"/>
          <w:color w:val="auto"/>
        </w:rPr>
      </w:pPr>
    </w:p>
    <w:p>
      <w:pPr>
        <w:ind w:left="60" w:right="199" w:firstLine="324"/>
        <w:spacing w:after="0" w:line="257" w:lineRule="auto"/>
        <w:rPr>
          <w:sz w:val="20"/>
          <w:szCs w:val="20"/>
          <w:color w:val="auto"/>
        </w:rPr>
      </w:pPr>
      <w:r>
        <w:rPr>
          <w:rFonts w:ascii="Arial" w:cs="Arial" w:eastAsia="Arial" w:hAnsi="Arial"/>
          <w:sz w:val="18"/>
          <w:szCs w:val="18"/>
          <w:color w:val="auto"/>
        </w:rPr>
        <w:t>Our other operating segments’ cash flows from investing activities were primarily due to the purchase of investments of zero in 2021 compared to $140 million in 2020 and due to capital expenditures of $158 million in 2021, primarily for our Energy segment’s RDU project, and $115 million in 2020, primarily within our Energy and Automotive segments for both periods. In addition, our Energy segment acquired a pipeline for cash consideration of $20 million in the first quarter of 2021.</w:t>
      </w:r>
    </w:p>
    <w:p>
      <w:pPr>
        <w:spacing w:after="0" w:line="188"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Our other operating segments’ cash flows from financing activities were primarily due to net debt transactions. In 2020, our Energy segment had net proceeds from senior debt transactions of $500 million. In addition, our other operating segments also had net distributions to our Holding Company aggregating $124 million for the six months ended June 30, 2021 compared to net contributions aggregating $37 million for the six months ended June 30, 2020, as described above. For the six months ended June 30, 2021 and 2020, our Energy segment had distributions to non-controlling interests of $70 million and $36 million, respectively.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Capital Expenditures</w:t>
      </w:r>
    </w:p>
    <w:p>
      <w:pPr>
        <w:spacing w:after="0" w:line="225" w:lineRule="exact"/>
        <w:rPr>
          <w:sz w:val="20"/>
          <w:szCs w:val="20"/>
          <w:color w:val="auto"/>
        </w:rPr>
      </w:pPr>
    </w:p>
    <w:p>
      <w:pPr>
        <w:ind w:left="60" w:right="739" w:firstLine="324"/>
        <w:spacing w:after="0" w:line="342" w:lineRule="auto"/>
        <w:rPr>
          <w:sz w:val="20"/>
          <w:szCs w:val="20"/>
          <w:color w:val="auto"/>
        </w:rPr>
      </w:pPr>
      <w:r>
        <w:rPr>
          <w:rFonts w:ascii="Arial" w:cs="Arial" w:eastAsia="Arial" w:hAnsi="Arial"/>
          <w:sz w:val="16"/>
          <w:szCs w:val="16"/>
          <w:color w:val="auto"/>
        </w:rPr>
        <w:t>There have been no material changes to our planned capital expenditures as compared to the estimated capital expenditures for 2021 reported in our Annual Report on Form 10-K for the year ended December 31, 2020.</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The critical accounting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2020.</w:t>
      </w:r>
    </w:p>
    <w:p>
      <w:pPr>
        <w:spacing w:after="0" w:line="188" w:lineRule="exact"/>
        <w:rPr>
          <w:sz w:val="20"/>
          <w:szCs w:val="20"/>
          <w:color w:val="auto"/>
        </w:rPr>
      </w:pPr>
    </w:p>
    <w:p>
      <w:pPr>
        <w:ind w:left="60" w:right="259" w:firstLine="324"/>
        <w:spacing w:after="0" w:line="342" w:lineRule="auto"/>
        <w:rPr>
          <w:sz w:val="20"/>
          <w:szCs w:val="20"/>
          <w:color w:val="auto"/>
        </w:rPr>
      </w:pPr>
      <w:r>
        <w:rPr>
          <w:rFonts w:ascii="Arial" w:cs="Arial" w:eastAsia="Arial" w:hAnsi="Arial"/>
          <w:sz w:val="16"/>
          <w:szCs w:val="16"/>
          <w:color w:val="auto"/>
        </w:rPr>
        <w:t>There have been no material changes to our critical accounting policies and estimates during the six months ended June 30, 2021 as compared to those reported in our Annual Report on Form 10-K for the year ended December 31, 2020.</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60" w:right="879" w:firstLine="324"/>
        <w:spacing w:after="0" w:line="342" w:lineRule="auto"/>
        <w:rPr>
          <w:sz w:val="20"/>
          <w:szCs w:val="20"/>
          <w:color w:val="auto"/>
        </w:rPr>
      </w:pPr>
      <w:r>
        <w:rPr>
          <w:rFonts w:ascii="Arial" w:cs="Arial" w:eastAsia="Arial" w:hAnsi="Arial"/>
          <w:sz w:val="16"/>
          <w:szCs w:val="16"/>
          <w:color w:val="auto"/>
        </w:rPr>
        <w:t>Refer to Note 2, “Basis of Presentation and Summary of Significant Accounting Policies,” to the condensed consolidated financial statements for a discussion of recent accounting pronouncements applicable to us.</w:t>
      </w: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Except as discussed below, information about our quantitative and qualitative disclosures about market risk did not differ materially from those disclosed in our Annual Report on Form 10-K for the year ended December 31, 2020.</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164"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June 30, 2021, we estimate that in the event of a 10% adverse change in the fair value of these investments, the fair values of securities owned, securities sold, not yet purchased and derivatives would be negatively impacted by approximately $1,060 million, $423 million and $932 million, respectively. However, as of June 30, 2021, we estimate that the impact to our share of the net gain (loss) from investment activities reported in our condensed consolidated statement of operations would be less than the change in fair value since we have an investment of approximately 46% in the Investment Funds, and the non-controlling interests in income would correspondingly offset approximately 54% of the change in fair value.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As of June 30, 2021,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during the quarter ended June 30, 2021 that have materially affected, or are reasonably likely to materially affect, our internal control over financial reporting.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We are, and will continue to be, subject to litigation from time to time in the ordinary course of business. Refer to Note 16, “Commitments and Contingencies” to the condensed consolidated financial statements, which is incorporated by reference into this Part II, Item 1 of this Report, for information regarding our lawsuits and proceedings. Except for the lawsuits and proceedings disclosed in Note 16, there were no material changes to our lawsuits and proceedings as compared to those reported in our Annual Report on Form 10-K for the year ended December 31, 2020.</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There were no material changes to our risk factors during the six months ended June 30, 2021 as compared to those reported in our Annual Report on Form 10-K for the year ended December 31,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Item 6. Exhibits</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 No.</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0" w:type="dxa"/>
            <w:vAlign w:val="bottom"/>
            <w:gridSpan w:val="8"/>
          </w:tcPr>
          <w:p>
            <w:pPr>
              <w:ind w:left="29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0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line="169" w:lineRule="exact"/>
              <w:rPr>
                <w:sz w:val="20"/>
                <w:szCs w:val="20"/>
                <w:color w:val="auto"/>
              </w:rPr>
            </w:pPr>
            <w:r>
              <w:rPr>
                <w:rFonts w:ascii="Arial" w:cs="Arial" w:eastAsia="Arial" w:hAnsi="Arial"/>
                <w:sz w:val="18"/>
                <w:szCs w:val="18"/>
                <w:color w:val="auto"/>
                <w:w w:val="91"/>
              </w:rPr>
              <w:t>10.1</w:t>
            </w:r>
          </w:p>
        </w:tc>
        <w:tc>
          <w:tcPr>
            <w:tcW w:w="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600" w:type="dxa"/>
            <w:vAlign w:val="bottom"/>
            <w:gridSpan w:val="9"/>
          </w:tcPr>
          <w:p>
            <w:pPr>
              <w:spacing w:after="0" w:line="169"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Deferred Unit Agreement Pursuant to the Icahn Enterprises L.P. 2017 Long-Term Incentive Plan, dated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April 26, 2021, among Icahn Enterprises L.P. and Aris Kekedjian.</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0" w:type="dxa"/>
            <w:vAlign w:val="bottom"/>
            <w:gridSpan w:val="9"/>
          </w:tcPr>
          <w:p>
            <w:pPr>
              <w:spacing w:after="0"/>
              <w:rPr>
                <w:rFonts w:ascii="Arial" w:cs="Arial" w:eastAsia="Arial" w:hAnsi="Arial"/>
                <w:sz w:val="18"/>
                <w:szCs w:val="18"/>
                <w:color w:val="0000EE"/>
                <w:w w:val="94"/>
              </w:rPr>
            </w:pPr>
            <w:hyperlink w:anchor="page75">
              <w:r>
                <w:rPr>
                  <w:rFonts w:ascii="Arial" w:cs="Arial" w:eastAsia="Arial" w:hAnsi="Arial"/>
                  <w:sz w:val="18"/>
                  <w:szCs w:val="18"/>
                  <w:color w:val="0000EE"/>
                  <w:w w:val="94"/>
                </w:rPr>
                <w:t>Certification of Chief Executive Officer pursuant to Section 302(a) of the Sarbanes-Oxley Act of 2002</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and Rule 13a-14(a) of the Securities Exchange Act of 1934.</w:t>
              </w:r>
            </w:hyperlink>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76">
              <w:r>
                <w:rPr>
                  <w:rFonts w:ascii="Arial" w:cs="Arial" w:eastAsia="Arial" w:hAnsi="Arial"/>
                  <w:sz w:val="18"/>
                  <w:szCs w:val="18"/>
                  <w:color w:val="0000EE"/>
                  <w:w w:val="92"/>
                </w:rPr>
                <w:t>Certification of Chief Financial Officer pursuant to Section 302(a) of the Sarbanes-Oxley Act of 2002</w:t>
              </w:r>
            </w:hyperlink>
          </w:p>
        </w:tc>
        <w:tc>
          <w:tcPr>
            <w:tcW w:w="2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9"/>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and Rule 13a-14(a) of the Securities Exchange Act of 1934.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0" w:type="dxa"/>
            <w:vAlign w:val="bottom"/>
            <w:gridSpan w:val="9"/>
          </w:tcPr>
          <w:p>
            <w:pPr>
              <w:spacing w:after="0"/>
              <w:rPr>
                <w:rFonts w:ascii="Arial" w:cs="Arial" w:eastAsia="Arial" w:hAnsi="Arial"/>
                <w:sz w:val="18"/>
                <w:szCs w:val="18"/>
                <w:color w:val="0000EE"/>
                <w:w w:val="99"/>
              </w:rPr>
            </w:pPr>
            <w:hyperlink w:anchor="page77">
              <w:r>
                <w:rPr>
                  <w:rFonts w:ascii="Arial" w:cs="Arial" w:eastAsia="Arial" w:hAnsi="Arial"/>
                  <w:sz w:val="18"/>
                  <w:szCs w:val="18"/>
                  <w:color w:val="0000EE"/>
                  <w:w w:val="99"/>
                </w:rPr>
                <w:t>Certification of Chief Executive Officer and Chief Financial Officer pursuant to Section 906 of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7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9"/>
          </w:tcPr>
          <w:p>
            <w:pPr>
              <w:spacing w:after="0" w:line="196" w:lineRule="exact"/>
              <w:rPr>
                <w:rFonts w:ascii="Arial" w:cs="Arial" w:eastAsia="Arial" w:hAnsi="Arial"/>
                <w:sz w:val="18"/>
                <w:szCs w:val="18"/>
                <w:color w:val="0000EE"/>
                <w:w w:val="95"/>
              </w:rPr>
            </w:pPr>
            <w:hyperlink w:anchor="page77">
              <w:r>
                <w:rPr>
                  <w:rFonts w:ascii="Arial" w:cs="Arial" w:eastAsia="Arial" w:hAnsi="Arial"/>
                  <w:sz w:val="18"/>
                  <w:szCs w:val="18"/>
                  <w:color w:val="0000EE"/>
                  <w:w w:val="95"/>
                </w:rPr>
                <w:t>Sarbanes-Oxley Act of 2002 (18 U.S.C. 1350) and Rule 13a-14(b) of the Securities Exchange Act of</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7">
              <w:r>
                <w:rPr>
                  <w:rFonts w:ascii="Arial" w:cs="Arial" w:eastAsia="Arial" w:hAnsi="Arial"/>
                  <w:sz w:val="18"/>
                  <w:szCs w:val="18"/>
                  <w:color w:val="0000EE"/>
                  <w:w w:val="84"/>
                </w:rPr>
                <w:t>1934.</w:t>
              </w:r>
            </w:hyperlink>
          </w:p>
        </w:tc>
        <w:tc>
          <w:tcPr>
            <w:tcW w:w="39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101.SCH</w:t>
            </w:r>
          </w:p>
        </w:tc>
        <w:tc>
          <w:tcPr>
            <w:tcW w:w="40" w:type="dxa"/>
            <w:vAlign w:val="bottom"/>
          </w:tcPr>
          <w:p>
            <w:pPr>
              <w:spacing w:after="0"/>
              <w:rPr>
                <w:sz w:val="21"/>
                <w:szCs w:val="21"/>
                <w:color w:val="auto"/>
              </w:rPr>
            </w:pPr>
          </w:p>
        </w:tc>
        <w:tc>
          <w:tcPr>
            <w:tcW w:w="760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101.CAL</w:t>
            </w:r>
          </w:p>
        </w:tc>
        <w:tc>
          <w:tcPr>
            <w:tcW w:w="40" w:type="dxa"/>
            <w:vAlign w:val="bottom"/>
          </w:tcPr>
          <w:p>
            <w:pPr>
              <w:spacing w:after="0"/>
              <w:rPr>
                <w:sz w:val="23"/>
                <w:szCs w:val="23"/>
                <w:color w:val="auto"/>
              </w:rPr>
            </w:pPr>
          </w:p>
        </w:tc>
        <w:tc>
          <w:tcPr>
            <w:tcW w:w="760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101.LAB</w:t>
            </w:r>
          </w:p>
        </w:tc>
        <w:tc>
          <w:tcPr>
            <w:tcW w:w="40" w:type="dxa"/>
            <w:vAlign w:val="bottom"/>
          </w:tcPr>
          <w:p>
            <w:pPr>
              <w:spacing w:after="0"/>
              <w:rPr>
                <w:sz w:val="23"/>
                <w:szCs w:val="23"/>
                <w:color w:val="auto"/>
              </w:rPr>
            </w:pPr>
          </w:p>
        </w:tc>
        <w:tc>
          <w:tcPr>
            <w:tcW w:w="760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101.PRE</w:t>
            </w:r>
          </w:p>
        </w:tc>
        <w:tc>
          <w:tcPr>
            <w:tcW w:w="40" w:type="dxa"/>
            <w:vAlign w:val="bottom"/>
          </w:tcPr>
          <w:p>
            <w:pPr>
              <w:spacing w:after="0"/>
              <w:rPr>
                <w:sz w:val="23"/>
                <w:szCs w:val="23"/>
                <w:color w:val="auto"/>
              </w:rPr>
            </w:pPr>
          </w:p>
        </w:tc>
        <w:tc>
          <w:tcPr>
            <w:tcW w:w="760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101.DEF</w:t>
            </w:r>
          </w:p>
        </w:tc>
        <w:tc>
          <w:tcPr>
            <w:tcW w:w="40" w:type="dxa"/>
            <w:vAlign w:val="bottom"/>
          </w:tcPr>
          <w:p>
            <w:pPr>
              <w:spacing w:after="0"/>
              <w:rPr>
                <w:sz w:val="23"/>
                <w:szCs w:val="23"/>
                <w:color w:val="auto"/>
              </w:rPr>
            </w:pPr>
          </w:p>
        </w:tc>
        <w:tc>
          <w:tcPr>
            <w:tcW w:w="760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340" w:hanging="918"/>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99" w:firstLine="324"/>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Icahn Enterprises L.P.</w:t>
      </w:r>
    </w:p>
    <w:p>
      <w:pPr>
        <w:spacing w:after="0" w:line="200" w:lineRule="exact"/>
        <w:rPr>
          <w:sz w:val="20"/>
          <w:szCs w:val="20"/>
          <w:color w:val="auto"/>
        </w:rPr>
      </w:pPr>
    </w:p>
    <w:p>
      <w:pPr>
        <w:spacing w:after="0" w:line="245"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tab/>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tab/>
        <w:t>/s/David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David Willetts,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 and Director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tab/>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tab/>
        <w:t>/s/Ted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Ted Papapostolou,</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6, 2021</w:t>
      </w:r>
    </w:p>
    <w:p>
      <w:pPr>
        <w:spacing w:after="0" w:line="23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Icahn Enterprises Holdings L.P.</w:t>
      </w:r>
    </w:p>
    <w:p>
      <w:pPr>
        <w:spacing w:after="0" w:line="200" w:lineRule="exact"/>
        <w:rPr>
          <w:sz w:val="20"/>
          <w:szCs w:val="20"/>
          <w:color w:val="auto"/>
        </w:rPr>
      </w:pPr>
    </w:p>
    <w:p>
      <w:pPr>
        <w:spacing w:after="0" w:line="245"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tab/>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tab/>
        <w:t>/s/David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David Willetts,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 and Director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tab/>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tab/>
        <w:t>/s/Ted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Ted Papapostolou,</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6,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jc w:val="center"/>
        <w:ind w:right="19"/>
        <w:spacing w:after="0"/>
        <w:rPr>
          <w:sz w:val="20"/>
          <w:szCs w:val="20"/>
          <w:color w:val="auto"/>
        </w:rPr>
      </w:pPr>
      <w:r>
        <w:rPr>
          <w:rFonts w:ascii="Arial" w:cs="Arial" w:eastAsia="Arial" w:hAnsi="Arial"/>
          <w:sz w:val="22"/>
          <w:szCs w:val="22"/>
          <w:b w:val="1"/>
          <w:bCs w:val="1"/>
          <w:color w:val="auto"/>
        </w:rPr>
        <w:t>ICAHN ENTERPRISES L.P.</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DEFERRED UNIT AGREEMENT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THE</w:t>
      </w:r>
    </w:p>
    <w:p>
      <w:pPr>
        <w:jc w:val="center"/>
        <w:ind w:right="19"/>
        <w:spacing w:after="0" w:line="230" w:lineRule="auto"/>
        <w:rPr>
          <w:sz w:val="20"/>
          <w:szCs w:val="20"/>
          <w:color w:val="auto"/>
        </w:rPr>
      </w:pPr>
      <w:r>
        <w:rPr>
          <w:rFonts w:ascii="Arial" w:cs="Arial" w:eastAsia="Arial" w:hAnsi="Arial"/>
          <w:sz w:val="22"/>
          <w:szCs w:val="22"/>
          <w:b w:val="1"/>
          <w:bCs w:val="1"/>
          <w:color w:val="auto"/>
        </w:rPr>
        <w:t>ICAHN ENTERPRISES L.P.</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2017 LONG-TERM INCENTIVE PLAN</w:t>
      </w:r>
    </w:p>
    <w:p>
      <w:pPr>
        <w:spacing w:after="0" w:line="200" w:lineRule="exact"/>
        <w:rPr>
          <w:sz w:val="20"/>
          <w:szCs w:val="20"/>
          <w:color w:val="auto"/>
        </w:rPr>
      </w:pPr>
    </w:p>
    <w:p>
      <w:pPr>
        <w:spacing w:after="0" w:line="279" w:lineRule="exact"/>
        <w:rPr>
          <w:sz w:val="20"/>
          <w:szCs w:val="20"/>
          <w:color w:val="auto"/>
        </w:rPr>
      </w:pPr>
    </w:p>
    <w:p>
      <w:pPr>
        <w:jc w:val="both"/>
        <w:ind w:left="460" w:right="479" w:firstLine="648"/>
        <w:spacing w:after="0" w:line="243" w:lineRule="auto"/>
        <w:rPr>
          <w:sz w:val="20"/>
          <w:szCs w:val="20"/>
          <w:color w:val="auto"/>
        </w:rPr>
      </w:pPr>
      <w:r>
        <w:rPr>
          <w:rFonts w:ascii="Arial" w:cs="Arial" w:eastAsia="Arial" w:hAnsi="Arial"/>
          <w:sz w:val="22"/>
          <w:szCs w:val="22"/>
          <w:color w:val="auto"/>
        </w:rPr>
        <w:t>This AGREEMENT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is effective as of April 26, 2021 by and between Icahn Enterprises L.P., a Delaware limited partnership (the “</w:t>
      </w:r>
      <w:r>
        <w:rPr>
          <w:rFonts w:ascii="Arial" w:cs="Arial" w:eastAsia="Arial" w:hAnsi="Arial"/>
          <w:sz w:val="22"/>
          <w:szCs w:val="22"/>
          <w:b w:val="1"/>
          <w:bCs w:val="1"/>
          <w:u w:val="single" w:color="auto"/>
          <w:color w:val="auto"/>
        </w:rPr>
        <w:t>Partnership</w:t>
      </w:r>
      <w:r>
        <w:rPr>
          <w:rFonts w:ascii="Arial" w:cs="Arial" w:eastAsia="Arial" w:hAnsi="Arial"/>
          <w:sz w:val="22"/>
          <w:szCs w:val="22"/>
          <w:color w:val="auto"/>
        </w:rPr>
        <w:t>”), and Aris Kekedjian (the “</w:t>
      </w:r>
      <w:r>
        <w:rPr>
          <w:rFonts w:ascii="Arial" w:cs="Arial" w:eastAsia="Arial" w:hAnsi="Arial"/>
          <w:sz w:val="22"/>
          <w:szCs w:val="22"/>
          <w:b w:val="1"/>
          <w:bCs w:val="1"/>
          <w:u w:val="single" w:color="auto"/>
          <w:color w:val="auto"/>
        </w:rPr>
        <w:t>Participant</w:t>
      </w:r>
      <w:r>
        <w:rPr>
          <w:rFonts w:ascii="Arial" w:cs="Arial" w:eastAsia="Arial" w:hAnsi="Arial"/>
          <w:sz w:val="22"/>
          <w:szCs w:val="22"/>
          <w:color w:val="auto"/>
        </w:rPr>
        <w: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26" w:lineRule="exact"/>
        <w:rPr>
          <w:sz w:val="20"/>
          <w:szCs w:val="20"/>
          <w:color w:val="auto"/>
        </w:rPr>
      </w:pPr>
    </w:p>
    <w:p>
      <w:pPr>
        <w:jc w:val="both"/>
        <w:ind w:left="460" w:right="479" w:firstLine="648"/>
        <w:spacing w:after="0" w:line="235" w:lineRule="auto"/>
        <w:rPr>
          <w:sz w:val="20"/>
          <w:szCs w:val="20"/>
          <w:color w:val="auto"/>
        </w:rPr>
      </w:pPr>
      <w:r>
        <w:rPr>
          <w:rFonts w:ascii="Arial" w:cs="Arial" w:eastAsia="Arial" w:hAnsi="Arial"/>
          <w:sz w:val="22"/>
          <w:szCs w:val="22"/>
          <w:color w:val="auto"/>
        </w:rPr>
        <w:t>The Committee hereby grants to the Participant as a Service Provider of the Partnership or any of its Affiliates (collectively, the Partnership and its Affiliates shall be referred to herein as the “</w:t>
      </w:r>
      <w:r>
        <w:rPr>
          <w:rFonts w:ascii="Arial" w:cs="Arial" w:eastAsia="Arial" w:hAnsi="Arial"/>
          <w:sz w:val="22"/>
          <w:szCs w:val="22"/>
          <w:b w:val="1"/>
          <w:bCs w:val="1"/>
          <w:u w:val="single" w:color="auto"/>
          <w:color w:val="auto"/>
        </w:rPr>
        <w:t>Employer</w:t>
      </w:r>
      <w:r>
        <w:rPr>
          <w:rFonts w:ascii="Arial" w:cs="Arial" w:eastAsia="Arial" w:hAnsi="Arial"/>
          <w:sz w:val="22"/>
          <w:szCs w:val="22"/>
          <w:color w:val="auto"/>
        </w:rPr>
        <w:t>”), as of the date hereof (the “</w:t>
      </w:r>
      <w:r>
        <w:rPr>
          <w:rFonts w:ascii="Arial" w:cs="Arial" w:eastAsia="Arial" w:hAnsi="Arial"/>
          <w:sz w:val="22"/>
          <w:szCs w:val="22"/>
          <w:b w:val="1"/>
          <w:bCs w:val="1"/>
          <w:u w:val="single" w:color="auto"/>
          <w:color w:val="auto"/>
        </w:rPr>
        <w:t>Grant Date</w:t>
      </w:r>
      <w:r>
        <w:rPr>
          <w:rFonts w:ascii="Arial" w:cs="Arial" w:eastAsia="Arial" w:hAnsi="Arial"/>
          <w:sz w:val="22"/>
          <w:szCs w:val="22"/>
          <w:color w:val="auto"/>
        </w:rPr>
        <w:t>”), pursuant to the Icahn Enterprises L.P. 2017 Long-Term Incentive Plan, as it may be amended from time to time (the “</w:t>
      </w:r>
      <w:r>
        <w:rPr>
          <w:rFonts w:ascii="Arial" w:cs="Arial" w:eastAsia="Arial" w:hAnsi="Arial"/>
          <w:sz w:val="22"/>
          <w:szCs w:val="22"/>
          <w:b w:val="1"/>
          <w:bCs w:val="1"/>
          <w:u w:val="single" w:color="auto"/>
          <w:color w:val="auto"/>
        </w:rPr>
        <w:t>Plan</w:t>
      </w:r>
      <w:r>
        <w:rPr>
          <w:rFonts w:ascii="Arial" w:cs="Arial" w:eastAsia="Arial" w:hAnsi="Arial"/>
          <w:sz w:val="22"/>
          <w:szCs w:val="22"/>
          <w:color w:val="auto"/>
        </w:rPr>
        <w:t>”), the number of deferred Units of the Partnership (“</w:t>
      </w:r>
      <w:r>
        <w:rPr>
          <w:rFonts w:ascii="Arial" w:cs="Arial" w:eastAsia="Arial" w:hAnsi="Arial"/>
          <w:sz w:val="22"/>
          <w:szCs w:val="22"/>
          <w:b w:val="1"/>
          <w:bCs w:val="1"/>
          <w:u w:val="single" w:color="auto"/>
          <w:color w:val="auto"/>
        </w:rPr>
        <w:t>Deferred Units</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below.</w:t>
      </w:r>
    </w:p>
    <w:p>
      <w:pPr>
        <w:spacing w:after="0" w:line="201" w:lineRule="exact"/>
        <w:rPr>
          <w:sz w:val="20"/>
          <w:szCs w:val="20"/>
          <w:color w:val="auto"/>
        </w:rPr>
      </w:pPr>
    </w:p>
    <w:p>
      <w:pPr>
        <w:jc w:val="both"/>
        <w:ind w:left="460" w:right="479" w:firstLine="648"/>
        <w:spacing w:after="0" w:line="249" w:lineRule="auto"/>
        <w:rPr>
          <w:sz w:val="20"/>
          <w:szCs w:val="20"/>
          <w:color w:val="auto"/>
        </w:rPr>
      </w:pPr>
      <w:r>
        <w:rPr>
          <w:rFonts w:ascii="Arial" w:cs="Arial" w:eastAsia="Arial" w:hAnsi="Arial"/>
          <w:sz w:val="21"/>
          <w:szCs w:val="21"/>
          <w:color w:val="auto"/>
        </w:rPr>
        <w:t>Except as otherwise indicated, any capitalized term used but not defined herein shall have the meaning ascribed to such term in the Plan. A copy of the Plan has been delivered to the Participant. By signing and returning this Agreement, the Participant acknowledges having received and read a copy of the Plan and agrees to comply with the Plan, this Agreement and all applicable laws and regulations.</w:t>
      </w:r>
    </w:p>
    <w:p>
      <w:pPr>
        <w:spacing w:after="0" w:line="178"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Accordingly, the parties hereto agree as follows:</w:t>
      </w:r>
    </w:p>
    <w:p>
      <w:pPr>
        <w:spacing w:after="0" w:line="214" w:lineRule="exact"/>
        <w:rPr>
          <w:sz w:val="20"/>
          <w:szCs w:val="20"/>
          <w:color w:val="auto"/>
        </w:rPr>
      </w:pPr>
    </w:p>
    <w:p>
      <w:pPr>
        <w:jc w:val="both"/>
        <w:ind w:left="460" w:right="479" w:firstLine="655"/>
        <w:spacing w:after="0" w:line="246" w:lineRule="auto"/>
        <w:tabs>
          <w:tab w:leader="none" w:pos="1756" w:val="left"/>
        </w:tabs>
        <w:numPr>
          <w:ilvl w:val="0"/>
          <w:numId w:val="13"/>
        </w:numPr>
        <w:rPr>
          <w:rFonts w:ascii="Arial" w:cs="Arial" w:eastAsia="Arial" w:hAnsi="Arial"/>
          <w:sz w:val="21"/>
          <w:szCs w:val="21"/>
          <w:color w:val="auto"/>
        </w:rPr>
      </w:pPr>
      <w:r>
        <w:rPr>
          <w:rFonts w:ascii="Arial" w:cs="Arial" w:eastAsia="Arial" w:hAnsi="Arial"/>
          <w:sz w:val="21"/>
          <w:szCs w:val="21"/>
          <w:b w:val="1"/>
          <w:bCs w:val="1"/>
          <w:u w:val="single" w:color="auto"/>
          <w:color w:val="auto"/>
        </w:rPr>
        <w:t>Grant of Deferred Units</w:t>
      </w:r>
      <w:r>
        <w:rPr>
          <w:rFonts w:ascii="Arial" w:cs="Arial" w:eastAsia="Arial" w:hAnsi="Arial"/>
          <w:sz w:val="21"/>
          <w:szCs w:val="21"/>
          <w:color w:val="auto"/>
        </w:rPr>
        <w:t>. Subject in all respects to the Plan and the terms and</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set forth herein and therein, effective as of the Grant Date, the Partnership hereby awards to the Participant 132,670 Deferred Units. Each Deferred Unit represents the Participant’s right to receive, and the Partnership’s obligation to deliver, one Unit for each Deferred Unit, or, in the discretion of the Board, an amount in cash equal to the Value (as defined below) of one Unit, subject to the vesting conditions set forth in Section 2 below and the other terms and conditions of this Agreement and the Plan. The Deferred Units shall be credited to a book entry account maintained by the Partnership (or its designee) on behalf of the Participant.</w:t>
      </w:r>
    </w:p>
    <w:p>
      <w:pPr>
        <w:spacing w:after="0" w:line="175" w:lineRule="exact"/>
        <w:rPr>
          <w:rFonts w:ascii="Arial" w:cs="Arial" w:eastAsia="Arial" w:hAnsi="Arial"/>
          <w:sz w:val="21"/>
          <w:szCs w:val="21"/>
          <w:color w:val="auto"/>
        </w:rPr>
      </w:pPr>
    </w:p>
    <w:p>
      <w:pPr>
        <w:ind w:left="1760" w:hanging="645"/>
        <w:spacing w:after="0"/>
        <w:tabs>
          <w:tab w:leader="none" w:pos="1760" w:val="left"/>
        </w:tabs>
        <w:numPr>
          <w:ilvl w:val="0"/>
          <w:numId w:val="13"/>
        </w:numPr>
        <w:rPr>
          <w:rFonts w:ascii="Arial" w:cs="Arial" w:eastAsia="Arial" w:hAnsi="Arial"/>
          <w:sz w:val="22"/>
          <w:szCs w:val="22"/>
          <w:color w:val="auto"/>
        </w:rPr>
      </w:pPr>
      <w:r>
        <w:rPr>
          <w:rFonts w:ascii="Arial" w:cs="Arial" w:eastAsia="Arial" w:hAnsi="Arial"/>
          <w:sz w:val="22"/>
          <w:szCs w:val="22"/>
          <w:b w:val="1"/>
          <w:bCs w:val="1"/>
          <w:u w:val="single" w:color="auto"/>
          <w:color w:val="auto"/>
        </w:rPr>
        <w:t>Terms of Deferred Units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60" w:right="479" w:firstLine="1302"/>
        <w:spacing w:after="0" w:line="260" w:lineRule="auto"/>
        <w:tabs>
          <w:tab w:leader="none" w:pos="2405" w:val="left"/>
        </w:tabs>
        <w:numPr>
          <w:ilvl w:val="1"/>
          <w:numId w:val="13"/>
        </w:numPr>
        <w:rPr>
          <w:rFonts w:ascii="Arial" w:cs="Arial" w:eastAsia="Arial" w:hAnsi="Arial"/>
          <w:sz w:val="21"/>
          <w:szCs w:val="21"/>
          <w:color w:val="auto"/>
        </w:rPr>
      </w:pPr>
      <w:r>
        <w:rPr>
          <w:rFonts w:ascii="Arial" w:cs="Arial" w:eastAsia="Arial" w:hAnsi="Arial"/>
          <w:sz w:val="21"/>
          <w:szCs w:val="21"/>
          <w:b w:val="1"/>
          <w:bCs w:val="1"/>
          <w:u w:val="single" w:color="auto"/>
          <w:color w:val="auto"/>
        </w:rPr>
        <w:t>Rights as a Unitholder</w:t>
      </w:r>
      <w:r>
        <w:rPr>
          <w:rFonts w:ascii="Arial" w:cs="Arial" w:eastAsia="Arial" w:hAnsi="Arial"/>
          <w:sz w:val="21"/>
          <w:szCs w:val="21"/>
          <w:color w:val="auto"/>
        </w:rPr>
        <w:t>. The Participant shall not have any rights of a</w:t>
      </w:r>
      <w:r>
        <w:rPr>
          <w:rFonts w:ascii="Arial" w:cs="Arial" w:eastAsia="Arial" w:hAnsi="Arial"/>
          <w:sz w:val="21"/>
          <w:szCs w:val="21"/>
          <w:b w:val="1"/>
          <w:bCs w:val="1"/>
          <w:color w:val="auto"/>
        </w:rPr>
        <w:t xml:space="preserve"> </w:t>
      </w:r>
      <w:r>
        <w:rPr>
          <w:rFonts w:ascii="Arial" w:cs="Arial" w:eastAsia="Arial" w:hAnsi="Arial"/>
          <w:sz w:val="21"/>
          <w:szCs w:val="21"/>
          <w:color w:val="auto"/>
        </w:rPr>
        <w:t>holder of Units with respect to the Deferred Units unless and until the Deferred Units vest and are settled by the issuance of Units in accordance with Section 3 below.</w:t>
      </w:r>
    </w:p>
    <w:p>
      <w:pPr>
        <w:spacing w:after="0" w:line="173" w:lineRule="exact"/>
        <w:rPr>
          <w:rFonts w:ascii="Arial" w:cs="Arial" w:eastAsia="Arial" w:hAnsi="Arial"/>
          <w:sz w:val="21"/>
          <w:szCs w:val="21"/>
          <w:color w:val="auto"/>
        </w:rPr>
      </w:pPr>
    </w:p>
    <w:p>
      <w:pPr>
        <w:jc w:val="both"/>
        <w:ind w:left="460" w:right="459" w:firstLine="1303"/>
        <w:spacing w:after="0" w:line="300" w:lineRule="auto"/>
        <w:tabs>
          <w:tab w:leader="none" w:pos="2404" w:val="left"/>
        </w:tabs>
        <w:numPr>
          <w:ilvl w:val="1"/>
          <w:numId w:val="13"/>
        </w:numPr>
        <w:rPr>
          <w:rFonts w:ascii="Arial" w:cs="Arial" w:eastAsia="Arial" w:hAnsi="Arial"/>
          <w:sz w:val="19"/>
          <w:szCs w:val="19"/>
          <w:color w:val="auto"/>
        </w:rPr>
      </w:pPr>
      <w:r>
        <w:rPr>
          <w:rFonts w:ascii="Arial" w:cs="Arial" w:eastAsia="Arial" w:hAnsi="Arial"/>
          <w:sz w:val="19"/>
          <w:szCs w:val="19"/>
          <w:b w:val="1"/>
          <w:bCs w:val="1"/>
          <w:u w:val="single" w:color="auto"/>
          <w:color w:val="auto"/>
        </w:rPr>
        <w:t>Dividend Equivalents</w:t>
      </w:r>
      <w:r>
        <w:rPr>
          <w:rFonts w:ascii="Arial" w:cs="Arial" w:eastAsia="Arial" w:hAnsi="Arial"/>
          <w:sz w:val="19"/>
          <w:szCs w:val="19"/>
          <w:b w:val="1"/>
          <w:bCs w:val="1"/>
          <w:color w:val="auto"/>
        </w:rPr>
        <w:t xml:space="preserve">. </w:t>
      </w:r>
      <w:r>
        <w:rPr>
          <w:rFonts w:ascii="Arial" w:cs="Arial" w:eastAsia="Arial" w:hAnsi="Arial"/>
          <w:sz w:val="19"/>
          <w:szCs w:val="19"/>
          <w:color w:val="auto"/>
        </w:rPr>
        <w:t>If the Participant holds Deferred Units on the</w:t>
      </w:r>
      <w:r>
        <w:rPr>
          <w:rFonts w:ascii="Arial" w:cs="Arial" w:eastAsia="Arial" w:hAnsi="Arial"/>
          <w:sz w:val="19"/>
          <w:szCs w:val="19"/>
          <w:b w:val="1"/>
          <w:bCs w:val="1"/>
          <w:color w:val="auto"/>
        </w:rPr>
        <w:t xml:space="preserve"> </w:t>
      </w:r>
      <w:r>
        <w:rPr>
          <w:rFonts w:ascii="Arial" w:cs="Arial" w:eastAsia="Arial" w:hAnsi="Arial"/>
          <w:sz w:val="19"/>
          <w:szCs w:val="19"/>
          <w:color w:val="auto"/>
        </w:rPr>
        <w:t>date on which any dividend is paid on Units (whether in the form of cash or units), the Participant will be entitled to receive a dividend equivalent (a “</w:t>
      </w:r>
      <w:r>
        <w:rPr>
          <w:rFonts w:ascii="Arial" w:cs="Arial" w:eastAsia="Arial" w:hAnsi="Arial"/>
          <w:sz w:val="19"/>
          <w:szCs w:val="19"/>
          <w:b w:val="1"/>
          <w:bCs w:val="1"/>
          <w:u w:val="single" w:color="auto"/>
          <w:color w:val="auto"/>
        </w:rPr>
        <w:t>Dividend Equivalent</w:t>
      </w:r>
      <w:r>
        <w:rPr>
          <w:rFonts w:ascii="Arial" w:cs="Arial" w:eastAsia="Arial" w:hAnsi="Arial"/>
          <w:sz w:val="19"/>
          <w:szCs w:val="19"/>
          <w:color w:val="auto"/>
        </w:rPr>
        <w: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568960</wp:posOffset>
            </wp:positionV>
            <wp:extent cx="558038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4" w:name="page65"/>
    <w:bookmarkEnd w:id="64"/>
    <w:p>
      <w:pPr>
        <w:jc w:val="both"/>
        <w:ind w:left="460" w:right="479"/>
        <w:spacing w:after="0" w:line="245" w:lineRule="auto"/>
        <w:rPr>
          <w:sz w:val="20"/>
          <w:szCs w:val="20"/>
          <w:color w:val="auto"/>
        </w:rPr>
      </w:pPr>
      <w:r>
        <w:rPr>
          <w:rFonts w:ascii="Arial" w:cs="Arial" w:eastAsia="Arial" w:hAnsi="Arial"/>
          <w:sz w:val="21"/>
          <w:szCs w:val="21"/>
          <w:color w:val="auto"/>
        </w:rPr>
        <w:t>Dividend Equivalent is an amount, for each one Deferred Unit held, equal to the amount of the dividend declared and paid in respect of one Unit. Dividend Equivalents will be credited in cash, provided that if the dividend is payable in the form of Units, the cash amount of the Dividend Equivalent will be equal to the Fair Market Value of the Units as of the date the dividend is paid. Dividend Equivalents will be subject to the same vesting and other conditions as the Deferred Units to which they relate. If and to the extent that the underlying Deferred Units are forfeited, all related Dividend Equivalents shall also be forfeited. Dividend Equivalents will be paid in cash, without interest, at the same time the underlying Deferred Units are settled.</w:t>
      </w:r>
    </w:p>
    <w:p>
      <w:pPr>
        <w:spacing w:after="0" w:line="192" w:lineRule="exact"/>
        <w:rPr>
          <w:sz w:val="20"/>
          <w:szCs w:val="20"/>
          <w:color w:val="auto"/>
        </w:rPr>
      </w:pPr>
    </w:p>
    <w:p>
      <w:pPr>
        <w:ind w:left="2420" w:hanging="658"/>
        <w:spacing w:after="0"/>
        <w:tabs>
          <w:tab w:leader="none" w:pos="2420" w:val="left"/>
        </w:tabs>
        <w:numPr>
          <w:ilvl w:val="1"/>
          <w:numId w:val="14"/>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 of Deferred Units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460" w:right="479" w:firstLine="1950"/>
        <w:spacing w:after="0" w:line="236" w:lineRule="auto"/>
        <w:tabs>
          <w:tab w:leader="none" w:pos="3053" w:val="left"/>
        </w:tabs>
        <w:numPr>
          <w:ilvl w:val="2"/>
          <w:numId w:val="14"/>
        </w:numPr>
        <w:rPr>
          <w:rFonts w:ascii="Arial" w:cs="Arial" w:eastAsia="Arial" w:hAnsi="Arial"/>
          <w:sz w:val="22"/>
          <w:szCs w:val="22"/>
          <w:color w:val="auto"/>
        </w:rPr>
      </w:pPr>
      <w:r>
        <w:rPr>
          <w:rFonts w:ascii="Arial" w:cs="Arial" w:eastAsia="Arial" w:hAnsi="Arial"/>
          <w:sz w:val="22"/>
          <w:szCs w:val="22"/>
          <w:color w:val="auto"/>
        </w:rPr>
        <w:t>The Deferred Units (together with any Dividend Equivalents thereon) shall vest in full on the third (3</w:t>
      </w:r>
      <w:r>
        <w:rPr>
          <w:rFonts w:ascii="Arial" w:cs="Arial" w:eastAsia="Arial" w:hAnsi="Arial"/>
          <w:sz w:val="16"/>
          <w:szCs w:val="16"/>
          <w:color w:val="auto"/>
        </w:rPr>
        <w:t>rd</w:t>
      </w:r>
      <w:r>
        <w:rPr>
          <w:rFonts w:ascii="Arial" w:cs="Arial" w:eastAsia="Arial" w:hAnsi="Arial"/>
          <w:sz w:val="22"/>
          <w:szCs w:val="22"/>
          <w:color w:val="auto"/>
        </w:rPr>
        <w:t>) anniversary of the Grant Date (the “</w:t>
      </w: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Date</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that the Participant has not experienced a Termination prior to the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Date and remains employed in good standing from the Grant Date up to and including the Vesting Date.</w:t>
      </w:r>
    </w:p>
    <w:p>
      <w:pPr>
        <w:spacing w:after="0" w:line="187" w:lineRule="exact"/>
        <w:rPr>
          <w:rFonts w:ascii="Arial" w:cs="Arial" w:eastAsia="Arial" w:hAnsi="Arial"/>
          <w:sz w:val="22"/>
          <w:szCs w:val="22"/>
          <w:color w:val="auto"/>
        </w:rPr>
      </w:pPr>
    </w:p>
    <w:p>
      <w:pPr>
        <w:jc w:val="both"/>
        <w:ind w:left="460" w:right="479" w:firstLine="1950"/>
        <w:spacing w:after="0" w:line="271" w:lineRule="auto"/>
        <w:tabs>
          <w:tab w:leader="none" w:pos="3053" w:val="left"/>
        </w:tabs>
        <w:numPr>
          <w:ilvl w:val="2"/>
          <w:numId w:val="14"/>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Section 2(c)(i)</w:t>
      </w:r>
      <w:r>
        <w:rPr>
          <w:rFonts w:ascii="Arial" w:cs="Arial" w:eastAsia="Arial" w:hAnsi="Arial"/>
          <w:sz w:val="19"/>
          <w:szCs w:val="19"/>
          <w:color w:val="auto"/>
        </w:rPr>
        <w:t xml:space="preserve">, in the event the Participant’s employment is terminated by the Employer without “Cause” (as defined below) or due to Participant’s death or Disability, in each case prior to the Vesting Date,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of the Deferred Units (together with any Dividend Equivalents thereon) shall immediately become vested on the date of such Termination or death or Disability, calculated by multiplying the number of Deferred Units by a fraction, the numerator of which is the number of days the Participant was employed by the Employer from the Grant Date until the date of Termination or death or Disability, and the denominator of which is the number of days from the Grant Date until the Vesting Date. The vesting of the Deferred Units on the date of Termination or death or Disability and the settlement of the vested Deferred Units thereafter shall be subject to the Participant’s (or the Participant’s estate’s) execution (and non-revocation) of a general release of claims against the Employer, its officers, directors, managers, employees, agents and affiliates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u w:val="single" w:color="auto"/>
          <w:color w:val="auto"/>
        </w:rPr>
        <w:t>Release</w:t>
      </w:r>
      <w:r>
        <w:rPr>
          <w:rFonts w:ascii="Arial" w:cs="Arial" w:eastAsia="Arial" w:hAnsi="Arial"/>
          <w:sz w:val="19"/>
          <w:szCs w:val="19"/>
          <w:color w:val="auto"/>
        </w:rPr>
        <w:t>”), and such Release becoming effective in accordance with its terms, within sixty (60) days following the date of Termination or death or Disability.</w:t>
      </w:r>
    </w:p>
    <w:p>
      <w:pPr>
        <w:spacing w:after="0" w:line="173" w:lineRule="exact"/>
        <w:rPr>
          <w:rFonts w:ascii="Arial" w:cs="Arial" w:eastAsia="Arial" w:hAnsi="Arial"/>
          <w:sz w:val="19"/>
          <w:szCs w:val="19"/>
          <w:color w:val="auto"/>
        </w:rPr>
      </w:pPr>
    </w:p>
    <w:p>
      <w:pPr>
        <w:jc w:val="both"/>
        <w:ind w:left="460" w:right="479" w:firstLine="1950"/>
        <w:spacing w:after="0" w:line="268" w:lineRule="auto"/>
        <w:tabs>
          <w:tab w:leader="none" w:pos="3053" w:val="left"/>
        </w:tabs>
        <w:numPr>
          <w:ilvl w:val="2"/>
          <w:numId w:val="14"/>
        </w:numPr>
        <w:rPr>
          <w:rFonts w:ascii="Arial" w:cs="Arial" w:eastAsia="Arial" w:hAnsi="Arial"/>
          <w:sz w:val="19"/>
          <w:szCs w:val="19"/>
          <w:color w:val="auto"/>
        </w:rPr>
      </w:pPr>
      <w:r>
        <w:rPr>
          <w:rFonts w:ascii="Arial" w:cs="Arial" w:eastAsia="Arial" w:hAnsi="Arial"/>
          <w:sz w:val="19"/>
          <w:szCs w:val="19"/>
          <w:color w:val="auto"/>
        </w:rPr>
        <w:t>Notwithstanding the definition of “Cause” in the Plan, for all purposes of this Agreement, “</w:t>
      </w:r>
      <w:r>
        <w:rPr>
          <w:rFonts w:ascii="Arial" w:cs="Arial" w:eastAsia="Arial" w:hAnsi="Arial"/>
          <w:sz w:val="19"/>
          <w:szCs w:val="19"/>
          <w:b w:val="1"/>
          <w:bCs w:val="1"/>
          <w:u w:val="single" w:color="auto"/>
          <w:color w:val="auto"/>
        </w:rPr>
        <w:t>Cause</w:t>
      </w:r>
      <w:r>
        <w:rPr>
          <w:rFonts w:ascii="Arial" w:cs="Arial" w:eastAsia="Arial" w:hAnsi="Arial"/>
          <w:sz w:val="19"/>
          <w:szCs w:val="19"/>
          <w:color w:val="auto"/>
        </w:rPr>
        <w:t xml:space="preserve">” shall mean, as determined by the Employer in its sole discretion, the Participant’s: (A) willful failure to perform substantially his duties (other than any such failure resulting from incapacity due to documented Disability); (B) commission of, or indictment for, a felony or any crime involving fraud or embezzlement or dishonestly or conviction of, or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 crime or misdemeanor (other than a traffic violation) punishable by imprisonment under federal, state or local law; (C) engagement in an act of fraud or other act of willful dishonesty or misconduct toward the Employer, detrimental to the Employer, or in the performance of the Participant’s duties; (D) negligence in the performance of his employment duties that has a detrimental effect on the Employer;</w:t>
      </w:r>
    </w:p>
    <w:p>
      <w:pPr>
        <w:spacing w:after="0" w:line="8" w:lineRule="exact"/>
        <w:rPr>
          <w:rFonts w:ascii="Arial" w:cs="Arial" w:eastAsia="Arial" w:hAnsi="Arial"/>
          <w:sz w:val="19"/>
          <w:szCs w:val="19"/>
          <w:color w:val="auto"/>
        </w:rPr>
      </w:pPr>
    </w:p>
    <w:p>
      <w:pPr>
        <w:jc w:val="both"/>
        <w:ind w:left="460" w:right="479" w:firstLine="6"/>
        <w:spacing w:after="0" w:line="246" w:lineRule="auto"/>
        <w:tabs>
          <w:tab w:leader="none" w:pos="821" w:val="left"/>
        </w:tabs>
        <w:numPr>
          <w:ilvl w:val="0"/>
          <w:numId w:val="15"/>
        </w:numPr>
        <w:rPr>
          <w:rFonts w:ascii="Arial" w:cs="Arial" w:eastAsia="Arial" w:hAnsi="Arial"/>
          <w:sz w:val="21"/>
          <w:szCs w:val="21"/>
          <w:color w:val="auto"/>
        </w:rPr>
      </w:pPr>
      <w:r>
        <w:rPr>
          <w:rFonts w:ascii="Arial" w:cs="Arial" w:eastAsia="Arial" w:hAnsi="Arial"/>
          <w:sz w:val="21"/>
          <w:szCs w:val="21"/>
          <w:color w:val="auto"/>
        </w:rPr>
        <w:t>violation of a federal or state securities law or regulation; (F) the use of a controlled substance without a prescription or the use of alcohol which, in each case, significantly impairs the Participant’s ability to carry out his duties and responsibilities; (G) material violation of the policies and procedures of the Employer; (H) embezzlement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367665</wp:posOffset>
            </wp:positionV>
            <wp:extent cx="558038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172" w:right="1440" w:bottom="1440" w:gutter="0" w:footer="0" w:header="0"/>
        </w:sectPr>
      </w:pPr>
    </w:p>
    <w:bookmarkStart w:id="65" w:name="page66"/>
    <w:bookmarkEnd w:id="65"/>
    <w:p>
      <w:pPr>
        <w:ind w:left="460" w:right="659"/>
        <w:spacing w:after="0" w:line="274" w:lineRule="auto"/>
        <w:rPr>
          <w:sz w:val="20"/>
          <w:szCs w:val="20"/>
          <w:color w:val="auto"/>
        </w:rPr>
      </w:pPr>
      <w:r>
        <w:rPr>
          <w:rFonts w:ascii="Arial" w:cs="Arial" w:eastAsia="Arial" w:hAnsi="Arial"/>
          <w:sz w:val="21"/>
          <w:szCs w:val="21"/>
          <w:color w:val="auto"/>
        </w:rPr>
        <w:t>misappropriation of property of the Employer; or (I) engaging in conduct involving any immoral acts which is reasonably likely to impair the reputation of the Employer.</w:t>
      </w:r>
    </w:p>
    <w:p>
      <w:pPr>
        <w:spacing w:after="0" w:line="158" w:lineRule="exact"/>
        <w:rPr>
          <w:sz w:val="20"/>
          <w:szCs w:val="20"/>
          <w:color w:val="auto"/>
        </w:rPr>
      </w:pPr>
    </w:p>
    <w:p>
      <w:pPr>
        <w:jc w:val="both"/>
        <w:ind w:left="460" w:right="479" w:firstLine="1302"/>
        <w:spacing w:after="0" w:line="274" w:lineRule="auto"/>
        <w:tabs>
          <w:tab w:leader="none" w:pos="2405" w:val="left"/>
        </w:tabs>
        <w:numPr>
          <w:ilvl w:val="1"/>
          <w:numId w:val="16"/>
        </w:numPr>
        <w:rPr>
          <w:rFonts w:ascii="Arial" w:cs="Arial" w:eastAsia="Arial" w:hAnsi="Arial"/>
          <w:sz w:val="19"/>
          <w:szCs w:val="19"/>
          <w:color w:val="auto"/>
        </w:rPr>
      </w:pPr>
      <w:r>
        <w:rPr>
          <w:rFonts w:ascii="Arial" w:cs="Arial" w:eastAsia="Arial" w:hAnsi="Arial"/>
          <w:sz w:val="19"/>
          <w:szCs w:val="19"/>
          <w:b w:val="1"/>
          <w:bCs w:val="1"/>
          <w:u w:val="single" w:color="auto"/>
          <w:color w:val="auto"/>
        </w:rPr>
        <w:t>Forfeiture</w:t>
      </w:r>
      <w:r>
        <w:rPr>
          <w:rFonts w:ascii="Arial" w:cs="Arial" w:eastAsia="Arial" w:hAnsi="Arial"/>
          <w:sz w:val="19"/>
          <w:szCs w:val="19"/>
          <w:color w:val="auto"/>
        </w:rPr>
        <w:t>. Except as provided in Section 2(c)(ii) above,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shall forfeit to the Partnership, without compensation, any and all unvested Deferred Units (together with all Dividend Equivalents in respect of such unvested Deferred Units) immediately upon the Termination of Participant’s employment by the Partnership for Cause or by the Participant for any reason. In addition, if the Participant’s employment is terminated by the Employer without Cause or due to Participant’s death or Disability, in each case prior to the Vesting Date, and the Participant (or the Participant’s estate) does not timely execute the Release, or the Release has not become irrevocable by its terms on or before the sixtieth (60th) day following the date of Participant’s Termination, all Deferred Units and all Dividend Equivalents related thereto shall immediately be forfeited without compensation.</w:t>
      </w:r>
    </w:p>
    <w:p>
      <w:pPr>
        <w:spacing w:after="0" w:line="151" w:lineRule="exact"/>
        <w:rPr>
          <w:rFonts w:ascii="Arial" w:cs="Arial" w:eastAsia="Arial" w:hAnsi="Arial"/>
          <w:sz w:val="19"/>
          <w:szCs w:val="19"/>
          <w:color w:val="auto"/>
        </w:rPr>
      </w:pPr>
    </w:p>
    <w:p>
      <w:pPr>
        <w:jc w:val="both"/>
        <w:ind w:left="460" w:right="479" w:firstLine="654"/>
        <w:spacing w:after="0" w:line="270" w:lineRule="auto"/>
        <w:tabs>
          <w:tab w:leader="none" w:pos="1757" w:val="left"/>
        </w:tabs>
        <w:numPr>
          <w:ilvl w:val="0"/>
          <w:numId w:val="17"/>
        </w:numPr>
        <w:rPr>
          <w:rFonts w:ascii="Arial" w:cs="Arial" w:eastAsia="Arial" w:hAnsi="Arial"/>
          <w:sz w:val="19"/>
          <w:szCs w:val="19"/>
          <w:color w:val="auto"/>
        </w:rPr>
      </w:pPr>
      <w:r>
        <w:rPr>
          <w:rFonts w:ascii="Arial" w:cs="Arial" w:eastAsia="Arial" w:hAnsi="Arial"/>
          <w:sz w:val="19"/>
          <w:szCs w:val="19"/>
          <w:b w:val="1"/>
          <w:bCs w:val="1"/>
          <w:u w:val="single" w:color="auto"/>
          <w:color w:val="auto"/>
        </w:rPr>
        <w:t>Settlement</w:t>
      </w:r>
      <w:r>
        <w:rPr>
          <w:rFonts w:ascii="Arial" w:cs="Arial" w:eastAsia="Arial" w:hAnsi="Arial"/>
          <w:sz w:val="19"/>
          <w:szCs w:val="19"/>
          <w:color w:val="auto"/>
        </w:rPr>
        <w:t>. Within sixty (60) days following the Vesting Date or the date of</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or death or Disability, as applicable, the Employer shall (i) issue and deliver to the Participant (or the Participant’s estate) that number of Units (together with all Dividend Equivalents in respect of such vested Deferred Units) equal to the number of vested Deferred Units, and (ii) deposit such Units into a brokerage account designated by the Participant (and once deposited in such account, the Units shall be non-forfeitable and freely transferrable, subject to applicable law). Notwithstanding the foregoing, the Board may, in its sole discretion, settle the vested Deferred Units (or any portion thereof) by paying the Participant (or the Participant’s estate) an amount in cash equal to the product of (A) the “Value” (as defined below) of one Unit on the date of settlement, and (B) the number of any such vested Deferred Units. Notwithstanding anything to the contrary, if such sixty (60)-day period following the Termination or death or Disability begins in one calendar year and ends in a second calendar year, the vested Deferred Units will be settled in the second calendar year. For all purposes of this Agreement, “</w:t>
      </w:r>
      <w:r>
        <w:rPr>
          <w:rFonts w:ascii="Arial" w:cs="Arial" w:eastAsia="Arial" w:hAnsi="Arial"/>
          <w:sz w:val="19"/>
          <w:szCs w:val="19"/>
          <w:b w:val="1"/>
          <w:bCs w:val="1"/>
          <w:u w:val="single" w:color="auto"/>
          <w:color w:val="auto"/>
        </w:rPr>
        <w:t>Value</w:t>
      </w:r>
      <w:r>
        <w:rPr>
          <w:rFonts w:ascii="Arial" w:cs="Arial" w:eastAsia="Arial" w:hAnsi="Arial"/>
          <w:sz w:val="19"/>
          <w:szCs w:val="19"/>
          <w:color w:val="auto"/>
        </w:rPr>
        <w:t>” shall mean the volume weighted average price of one Unit for the one hundred and eighty (180)-day period ending on the trading day immediately prior to the settlement date, as reported on the principal national securities exchange in the United States on which the Units are then traded, or, if not traded on any such national securities exchange, as quoted on an automated quotation system sponsored by the Financial Industry Regulatory Authority. If the Units are not traded, listed or otherwise reported or quoted, then the Value of one Unit shall mean the Fair Market Value of one Unit.</w:t>
      </w:r>
    </w:p>
    <w:p>
      <w:pPr>
        <w:spacing w:after="0" w:line="173" w:lineRule="exact"/>
        <w:rPr>
          <w:rFonts w:ascii="Arial" w:cs="Arial" w:eastAsia="Arial" w:hAnsi="Arial"/>
          <w:sz w:val="19"/>
          <w:szCs w:val="19"/>
          <w:color w:val="auto"/>
        </w:rPr>
      </w:pPr>
    </w:p>
    <w:p>
      <w:pPr>
        <w:jc w:val="both"/>
        <w:ind w:left="460" w:right="479" w:firstLine="655"/>
        <w:spacing w:after="0" w:line="283" w:lineRule="auto"/>
        <w:tabs>
          <w:tab w:leader="none" w:pos="1756" w:val="left"/>
        </w:tabs>
        <w:numPr>
          <w:ilvl w:val="0"/>
          <w:numId w:val="17"/>
        </w:numPr>
        <w:rPr>
          <w:rFonts w:ascii="Arial" w:cs="Arial" w:eastAsia="Arial" w:hAnsi="Arial"/>
          <w:sz w:val="19"/>
          <w:szCs w:val="19"/>
          <w:color w:val="auto"/>
        </w:rPr>
      </w:pPr>
      <w:r>
        <w:rPr>
          <w:rFonts w:ascii="Arial" w:cs="Arial" w:eastAsia="Arial" w:hAnsi="Arial"/>
          <w:sz w:val="19"/>
          <w:szCs w:val="19"/>
          <w:b w:val="1"/>
          <w:bCs w:val="1"/>
          <w:u w:val="single" w:color="auto"/>
          <w:color w:val="auto"/>
        </w:rPr>
        <w:t>Certain Legal Restrictions</w:t>
      </w:r>
      <w:r>
        <w:rPr>
          <w:rFonts w:ascii="Arial" w:cs="Arial" w:eastAsia="Arial" w:hAnsi="Arial"/>
          <w:sz w:val="19"/>
          <w:szCs w:val="19"/>
          <w:color w:val="auto"/>
        </w:rPr>
        <w:t>. The Plan, this Agreement, the granting and</w:t>
      </w:r>
      <w:r>
        <w:rPr>
          <w:rFonts w:ascii="Arial" w:cs="Arial" w:eastAsia="Arial" w:hAnsi="Arial"/>
          <w:sz w:val="19"/>
          <w:szCs w:val="19"/>
          <w:b w:val="1"/>
          <w:bCs w:val="1"/>
          <w:color w:val="auto"/>
        </w:rPr>
        <w:t xml:space="preserve"> </w:t>
      </w:r>
      <w:r>
        <w:rPr>
          <w:rFonts w:ascii="Arial" w:cs="Arial" w:eastAsia="Arial" w:hAnsi="Arial"/>
          <w:sz w:val="19"/>
          <w:szCs w:val="19"/>
          <w:color w:val="auto"/>
        </w:rPr>
        <w:t>vesting of the Deferred Units, and any obligations of the Partnership under the Plan and this Agreement, shall be subject to all applicable federal, state and local laws, rules and regulations, and to such approvals by any regulatory or governmental agency as may be required, and to any rules or regulations of any exchange on which the Units are listed.</w:t>
      </w:r>
    </w:p>
    <w:p>
      <w:pPr>
        <w:spacing w:after="0" w:line="156" w:lineRule="exact"/>
        <w:rPr>
          <w:rFonts w:ascii="Arial" w:cs="Arial" w:eastAsia="Arial" w:hAnsi="Arial"/>
          <w:sz w:val="19"/>
          <w:szCs w:val="19"/>
          <w:color w:val="auto"/>
        </w:rPr>
      </w:pPr>
    </w:p>
    <w:p>
      <w:pPr>
        <w:ind w:left="1760" w:hanging="645"/>
        <w:spacing w:after="0"/>
        <w:tabs>
          <w:tab w:leader="none" w:pos="1760" w:val="left"/>
        </w:tabs>
        <w:numPr>
          <w:ilvl w:val="0"/>
          <w:numId w:val="17"/>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 of Taxes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460" w:right="479" w:firstLine="1302"/>
        <w:spacing w:after="0" w:line="283" w:lineRule="auto"/>
        <w:tabs>
          <w:tab w:leader="none" w:pos="2405" w:val="left"/>
        </w:tabs>
        <w:numPr>
          <w:ilvl w:val="1"/>
          <w:numId w:val="17"/>
        </w:numPr>
        <w:rPr>
          <w:rFonts w:ascii="Arial" w:cs="Arial" w:eastAsia="Arial" w:hAnsi="Arial"/>
          <w:sz w:val="19"/>
          <w:szCs w:val="19"/>
          <w:color w:val="auto"/>
        </w:rPr>
      </w:pPr>
      <w:r>
        <w:rPr>
          <w:rFonts w:ascii="Arial" w:cs="Arial" w:eastAsia="Arial" w:hAnsi="Arial"/>
          <w:sz w:val="19"/>
          <w:szCs w:val="19"/>
          <w:b w:val="1"/>
          <w:bCs w:val="1"/>
          <w:u w:val="single" w:color="auto"/>
          <w:color w:val="auto"/>
        </w:rPr>
        <w:t>Responsibility for Taxes</w:t>
      </w:r>
      <w:r>
        <w:rPr>
          <w:rFonts w:ascii="Arial" w:cs="Arial" w:eastAsia="Arial" w:hAnsi="Arial"/>
          <w:sz w:val="19"/>
          <w:szCs w:val="19"/>
          <w:color w:val="auto"/>
        </w:rPr>
        <w:t>. The Partnership or any Affiliate shall have</w:t>
      </w:r>
      <w:r>
        <w:rPr>
          <w:rFonts w:ascii="Arial" w:cs="Arial" w:eastAsia="Arial" w:hAnsi="Arial"/>
          <w:sz w:val="19"/>
          <w:szCs w:val="19"/>
          <w:b w:val="1"/>
          <w:bCs w:val="1"/>
          <w:color w:val="auto"/>
        </w:rPr>
        <w:t xml:space="preserve"> </w:t>
      </w:r>
      <w:r>
        <w:rPr>
          <w:rFonts w:ascii="Arial" w:cs="Arial" w:eastAsia="Arial" w:hAnsi="Arial"/>
          <w:sz w:val="19"/>
          <w:szCs w:val="19"/>
          <w:color w:val="auto"/>
        </w:rPr>
        <w:t>the right to withhold from any compensation or other amount owing to the Participant due to settlement of the Deferred Units applicable withholding taxes as provided in Section 3.9 of the Plan. The Participant acknowledges that, regardless of any action the Employer takes with respect to any or all income tax, employment tax, payroll tax, foreign tax, local tax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347980</wp:posOffset>
            </wp:positionV>
            <wp:extent cx="558038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72" w:right="1440" w:bottom="1440" w:gutter="0" w:footer="0" w:header="0"/>
        </w:sectPr>
      </w:pPr>
    </w:p>
    <w:bookmarkStart w:id="66" w:name="page67"/>
    <w:bookmarkEnd w:id="66"/>
    <w:p>
      <w:pPr>
        <w:jc w:val="both"/>
        <w:ind w:left="460" w:right="479"/>
        <w:spacing w:after="0" w:line="273" w:lineRule="auto"/>
        <w:rPr>
          <w:sz w:val="20"/>
          <w:szCs w:val="20"/>
          <w:color w:val="auto"/>
        </w:rPr>
      </w:pPr>
      <w:r>
        <w:rPr>
          <w:rFonts w:ascii="Arial" w:cs="Arial" w:eastAsia="Arial" w:hAnsi="Arial"/>
          <w:sz w:val="19"/>
          <w:szCs w:val="19"/>
          <w:color w:val="auto"/>
        </w:rPr>
        <w:t>any other taxes related to the Participant’s participation in the Plan and the granting, vesting, settlement and/or payment of the Deferred Units (collectively, the “</w:t>
      </w:r>
      <w:r>
        <w:rPr>
          <w:rFonts w:ascii="Arial" w:cs="Arial" w:eastAsia="Arial" w:hAnsi="Arial"/>
          <w:sz w:val="19"/>
          <w:szCs w:val="19"/>
          <w:b w:val="1"/>
          <w:bCs w:val="1"/>
          <w:u w:val="single" w:color="auto"/>
          <w:color w:val="auto"/>
        </w:rPr>
        <w:t>Taxes</w:t>
      </w:r>
      <w:r>
        <w:rPr>
          <w:rFonts w:ascii="Arial" w:cs="Arial" w:eastAsia="Arial" w:hAnsi="Arial"/>
          <w:sz w:val="19"/>
          <w:szCs w:val="19"/>
          <w:color w:val="auto"/>
        </w:rPr>
        <w:t>”), the ultimate liability for all Taxes is and remains his responsibility and may exceed the amount to be withheld by the Employer. The Participant further acknowledges that the Partnership and the Employer (1) make no representations or undertakings regarding the treatment of any Taxes in connection with any aspect of the Deferred Units, including, but not limited to, the granting, vesting, settlement or payment of the Deferred Units, any issuance of Units (if applicable) upon payment or settlement of the Deferred Units, any subsequent sale of Units that may be acquired pursuant to such issuance (if applicable) and the receipt of Dividend Equivalents; and (2) do not commit to structure the terms of the grant or any aspect of the Deferred Units to reduce or eliminate the Participant’s liability for Taxes or achieve any particular tax result.</w:t>
      </w:r>
    </w:p>
    <w:p>
      <w:pPr>
        <w:spacing w:after="0" w:line="163" w:lineRule="exact"/>
        <w:rPr>
          <w:sz w:val="20"/>
          <w:szCs w:val="20"/>
          <w:color w:val="auto"/>
        </w:rPr>
      </w:pPr>
    </w:p>
    <w:p>
      <w:pPr>
        <w:jc w:val="both"/>
        <w:ind w:left="460" w:right="479" w:firstLine="1302"/>
        <w:spacing w:after="0" w:line="272" w:lineRule="auto"/>
        <w:tabs>
          <w:tab w:leader="none" w:pos="2405" w:val="left"/>
        </w:tabs>
        <w:numPr>
          <w:ilvl w:val="1"/>
          <w:numId w:val="18"/>
        </w:numPr>
        <w:rPr>
          <w:rFonts w:ascii="Arial" w:cs="Arial" w:eastAsia="Arial" w:hAnsi="Arial"/>
          <w:sz w:val="19"/>
          <w:szCs w:val="19"/>
          <w:color w:val="auto"/>
        </w:rPr>
      </w:pPr>
      <w:r>
        <w:rPr>
          <w:rFonts w:ascii="Arial" w:cs="Arial" w:eastAsia="Arial" w:hAnsi="Arial"/>
          <w:sz w:val="19"/>
          <w:szCs w:val="19"/>
          <w:b w:val="1"/>
          <w:bCs w:val="1"/>
          <w:u w:val="single" w:color="auto"/>
          <w:color w:val="auto"/>
        </w:rPr>
        <w:t>Payment for Taxes Upon Settlement in Units</w:t>
      </w:r>
      <w:r>
        <w:rPr>
          <w:rFonts w:ascii="Arial" w:cs="Arial" w:eastAsia="Arial" w:hAnsi="Arial"/>
          <w:sz w:val="19"/>
          <w:szCs w:val="19"/>
          <w:color w:val="auto"/>
        </w:rPr>
        <w:t>. If any tax</w:t>
      </w:r>
      <w:r>
        <w:rPr>
          <w:rFonts w:ascii="Arial" w:cs="Arial" w:eastAsia="Arial" w:hAnsi="Arial"/>
          <w:sz w:val="19"/>
          <w:szCs w:val="19"/>
          <w:b w:val="1"/>
          <w:bCs w:val="1"/>
          <w:color w:val="auto"/>
        </w:rPr>
        <w:t xml:space="preserve"> </w:t>
      </w:r>
      <w:r>
        <w:rPr>
          <w:rFonts w:ascii="Arial" w:cs="Arial" w:eastAsia="Arial" w:hAnsi="Arial"/>
          <w:sz w:val="19"/>
          <w:szCs w:val="19"/>
          <w:color w:val="auto"/>
        </w:rPr>
        <w:t>withholding is required when the Deferred Units are settled in Units, the Employer shall have the right, but not the obligation, to withhold a portion of the Units that has an aggregate Fair Market Value sufficient to pay all required withholding Taxes thereon, and will pay such amounts to the relevant taxing authorities. The Fair Market Value of any Units withheld to satisfy any such tax withholding obligations shall not exceed the amount determined by the applicable minimum statutory withholding rates (or the maximum individual statutory withholding rates for the applicable jurisdiction if use of such rates would not result in adverse accounting consequences or cost). To the maximum extent permitted by law, the Employer has the right to retain without notice from any fees, salary or other amounts (including, without limitation, Units) payable to the Participant, cash having a sufficient value to satisfy any Taxes that the Employer determines cannot be satisfied through the withholding of otherwise deliverable Units or that are due prior to the issuance of Units.</w:t>
      </w:r>
    </w:p>
    <w:p>
      <w:pPr>
        <w:spacing w:after="0" w:line="155" w:lineRule="exact"/>
        <w:rPr>
          <w:rFonts w:ascii="Arial" w:cs="Arial" w:eastAsia="Arial" w:hAnsi="Arial"/>
          <w:sz w:val="19"/>
          <w:szCs w:val="19"/>
          <w:color w:val="auto"/>
        </w:rPr>
      </w:pPr>
    </w:p>
    <w:p>
      <w:pPr>
        <w:jc w:val="both"/>
        <w:ind w:left="460" w:right="479" w:firstLine="654"/>
        <w:spacing w:after="0" w:line="289" w:lineRule="auto"/>
        <w:tabs>
          <w:tab w:leader="none" w:pos="1757" w:val="left"/>
        </w:tabs>
        <w:numPr>
          <w:ilvl w:val="0"/>
          <w:numId w:val="19"/>
        </w:numPr>
        <w:rPr>
          <w:rFonts w:ascii="Arial" w:cs="Arial" w:eastAsia="Arial" w:hAnsi="Arial"/>
          <w:sz w:val="19"/>
          <w:szCs w:val="19"/>
          <w:i w:val="1"/>
          <w:iCs w:val="1"/>
          <w:color w:val="auto"/>
        </w:rPr>
      </w:pPr>
      <w:r>
        <w:rPr>
          <w:rFonts w:ascii="Arial" w:cs="Arial" w:eastAsia="Arial" w:hAnsi="Arial"/>
          <w:sz w:val="19"/>
          <w:szCs w:val="19"/>
          <w:b w:val="1"/>
          <w:bCs w:val="1"/>
          <w:u w:val="single" w:color="auto"/>
          <w:color w:val="auto"/>
        </w:rPr>
        <w:t>Restrictive Covenants</w:t>
      </w:r>
      <w:r>
        <w:rPr>
          <w:rFonts w:ascii="Arial" w:cs="Arial" w:eastAsia="Arial" w:hAnsi="Arial"/>
          <w:sz w:val="19"/>
          <w:szCs w:val="19"/>
          <w:color w:val="auto"/>
        </w:rPr>
        <w:t>. The grant of Deferred Units herein is made in</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consideration of the services to be rendered by the Participant to the Employer, and the non-disparagement, non-compete and non-solicitation covenants of the Participant contained in the offer letter between Icahn Enterprises L.P. and the Participant dated April 4, 2021.</w:t>
      </w:r>
    </w:p>
    <w:p>
      <w:pPr>
        <w:spacing w:after="0" w:line="149" w:lineRule="exact"/>
        <w:rPr>
          <w:rFonts w:ascii="Arial" w:cs="Arial" w:eastAsia="Arial" w:hAnsi="Arial"/>
          <w:sz w:val="19"/>
          <w:szCs w:val="19"/>
          <w:i w:val="1"/>
          <w:iCs w:val="1"/>
          <w:color w:val="auto"/>
        </w:rPr>
      </w:pPr>
    </w:p>
    <w:p>
      <w:pPr>
        <w:jc w:val="both"/>
        <w:ind w:left="460" w:right="479" w:firstLine="655"/>
        <w:spacing w:after="0" w:line="245" w:lineRule="auto"/>
        <w:tabs>
          <w:tab w:leader="none" w:pos="1756" w:val="left"/>
        </w:tabs>
        <w:numPr>
          <w:ilvl w:val="0"/>
          <w:numId w:val="19"/>
        </w:numPr>
        <w:rPr>
          <w:rFonts w:ascii="Arial" w:cs="Arial" w:eastAsia="Arial" w:hAnsi="Arial"/>
          <w:sz w:val="21"/>
          <w:szCs w:val="21"/>
          <w:color w:val="auto"/>
        </w:rPr>
      </w:pPr>
      <w:r>
        <w:rPr>
          <w:rFonts w:ascii="Arial" w:cs="Arial" w:eastAsia="Arial" w:hAnsi="Arial"/>
          <w:sz w:val="21"/>
          <w:szCs w:val="21"/>
          <w:b w:val="1"/>
          <w:bCs w:val="1"/>
          <w:u w:val="single" w:color="auto"/>
          <w:color w:val="auto"/>
        </w:rPr>
        <w:t>Provisions of Plan Control</w:t>
      </w:r>
      <w:r>
        <w:rPr>
          <w:rFonts w:ascii="Arial" w:cs="Arial" w:eastAsia="Arial" w:hAnsi="Arial"/>
          <w:sz w:val="21"/>
          <w:szCs w:val="21"/>
          <w:color w:val="auto"/>
        </w:rPr>
        <w:t>. This Agreement is subject to all the terms,</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and provisions of the Plan, including, without limitation, the amendment provisions thereof, and to such rules, regulations and interpretations relating to the Plan as may be adopted by the Committee and as may be in effect from time to time. The Plan is incorporated herein by reference. If and to the extent that any provision of this Agreement conflicts or is inconsistent with the non-discretionary terms set forth in the Plan, the Plan shall control, and this Agreement shall be deemed to be modified accordingly. Notwithstanding the foregoing, no amendment or modification to the Plan adopted after the date hereof shall adversely affect Participant’s rights under this Agreement without his prior written consent.</w:t>
      </w:r>
    </w:p>
    <w:p>
      <w:pPr>
        <w:spacing w:after="0" w:line="194" w:lineRule="exact"/>
        <w:rPr>
          <w:rFonts w:ascii="Arial" w:cs="Arial" w:eastAsia="Arial" w:hAnsi="Arial"/>
          <w:sz w:val="21"/>
          <w:szCs w:val="21"/>
          <w:color w:val="auto"/>
        </w:rPr>
      </w:pPr>
    </w:p>
    <w:p>
      <w:pPr>
        <w:jc w:val="both"/>
        <w:ind w:left="460" w:right="479" w:firstLine="654"/>
        <w:spacing w:after="0" w:line="300" w:lineRule="auto"/>
        <w:tabs>
          <w:tab w:leader="none" w:pos="1757" w:val="left"/>
        </w:tabs>
        <w:numPr>
          <w:ilvl w:val="0"/>
          <w:numId w:val="19"/>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 This Agreement contains the entire understanding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with respect to the subject matter hereof and supersedes any prior agreements between the Employer and the Participant with respect to the subject matter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337185</wp:posOffset>
            </wp:positionV>
            <wp:extent cx="558038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172" w:right="1440" w:bottom="1440" w:gutter="0" w:footer="0" w:header="0"/>
        </w:sectPr>
      </w:pPr>
    </w:p>
    <w:bookmarkStart w:id="67" w:name="page68"/>
    <w:bookmarkEnd w:id="67"/>
    <w:p>
      <w:pPr>
        <w:jc w:val="both"/>
        <w:ind w:left="460" w:right="479" w:firstLine="654"/>
        <w:spacing w:after="0" w:line="273" w:lineRule="auto"/>
        <w:tabs>
          <w:tab w:leader="none" w:pos="1757" w:val="left"/>
        </w:tabs>
        <w:numPr>
          <w:ilvl w:val="0"/>
          <w:numId w:val="20"/>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to be given under the terms of this Agreement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Partnership shall be addressed to the Partnership in care of the General Counsel of the Partnership (or any other person or entity as designated by the Committee) at the Partnership’s principal office, and any notice to be given to a Participant shall be addressed to the Participant at the Participant’s last address reflected on the Employer’s records. By a notice given pursuant to this Section </w:t>
      </w:r>
      <w:r>
        <w:rPr>
          <w:rFonts w:ascii="Arial" w:cs="Arial" w:eastAsia="Arial" w:hAnsi="Arial"/>
          <w:sz w:val="19"/>
          <w:szCs w:val="19"/>
          <w:u w:val="single" w:color="auto"/>
          <w:color w:val="auto"/>
        </w:rPr>
        <w:t>9</w:t>
      </w:r>
      <w:r>
        <w:rPr>
          <w:rFonts w:ascii="Arial" w:cs="Arial" w:eastAsia="Arial" w:hAnsi="Arial"/>
          <w:sz w:val="19"/>
          <w:szCs w:val="19"/>
          <w:color w:val="auto"/>
        </w:rPr>
        <w:t xml:space="preserve">, either party may hereafter designate a different address for notices to be given to that party. Any notice or communication given hereunder shall be in writing or by electronic means as set forth in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below and, if in writing, shall be deemed to have been duly given: (i) when delivered in person; (ii) two (2) days after being sent by United States mail; or (iii) on the first business day following the date of deposit if delivered by a nationally recognized overnight delivery service.</w:t>
      </w:r>
    </w:p>
    <w:p>
      <w:pPr>
        <w:spacing w:after="0" w:line="168" w:lineRule="exact"/>
        <w:rPr>
          <w:rFonts w:ascii="Arial" w:cs="Arial" w:eastAsia="Arial" w:hAnsi="Arial"/>
          <w:sz w:val="19"/>
          <w:szCs w:val="19"/>
          <w:color w:val="auto"/>
        </w:rPr>
      </w:pPr>
    </w:p>
    <w:p>
      <w:pPr>
        <w:jc w:val="both"/>
        <w:ind w:left="460" w:right="479" w:firstLine="655"/>
        <w:spacing w:after="0" w:line="272" w:lineRule="auto"/>
        <w:tabs>
          <w:tab w:leader="none" w:pos="1756" w:val="left"/>
        </w:tabs>
        <w:numPr>
          <w:ilvl w:val="0"/>
          <w:numId w:val="20"/>
        </w:numPr>
        <w:rPr>
          <w:rFonts w:ascii="Arial" w:cs="Arial" w:eastAsia="Arial" w:hAnsi="Arial"/>
          <w:sz w:val="19"/>
          <w:szCs w:val="19"/>
          <w:color w:val="auto"/>
        </w:rPr>
      </w:pPr>
      <w:r>
        <w:rPr>
          <w:rFonts w:ascii="Arial" w:cs="Arial" w:eastAsia="Arial" w:hAnsi="Arial"/>
          <w:sz w:val="19"/>
          <w:szCs w:val="19"/>
          <w:b w:val="1"/>
          <w:bCs w:val="1"/>
          <w:u w:val="single" w:color="auto"/>
          <w:color w:val="auto"/>
        </w:rPr>
        <w:t>No Guaranteed Employment or Other Service Relationship</w:t>
      </w:r>
      <w:r>
        <w:rPr>
          <w:rFonts w:ascii="Arial" w:cs="Arial" w:eastAsia="Arial" w:hAnsi="Arial"/>
          <w:sz w:val="19"/>
          <w:szCs w:val="19"/>
          <w:color w:val="auto"/>
        </w:rPr>
        <w:t>. Nothing</w:t>
      </w:r>
      <w:r>
        <w:rPr>
          <w:rFonts w:ascii="Arial" w:cs="Arial" w:eastAsia="Arial" w:hAnsi="Arial"/>
          <w:sz w:val="19"/>
          <w:szCs w:val="19"/>
          <w:b w:val="1"/>
          <w:bCs w:val="1"/>
          <w:color w:val="auto"/>
        </w:rPr>
        <w:t xml:space="preserve"> </w:t>
      </w:r>
      <w:r>
        <w:rPr>
          <w:rFonts w:ascii="Arial" w:cs="Arial" w:eastAsia="Arial" w:hAnsi="Arial"/>
          <w:sz w:val="19"/>
          <w:szCs w:val="19"/>
          <w:color w:val="auto"/>
        </w:rPr>
        <w:t>contained in this Agreement shall affect the right of the Partnership or any of its Affiliates to terminate the Participant’s employment or other service relationship at any time, with or without Cause, or shall be deemed to create any rights to employment or continued employment or other service relationship. The rights and obligations arising under this Agreement are not intended to and do not affect the Participant’s employment or other service relationship that otherwise exists between the Participant and the Partnership or any of its Affiliates, whether such employment or other service relationship is at will or defined by an employment or other service contract. Moreover, this Agreement is not intended to and does not amend any existing employment or other service contract between the Participant and the Partnership or any of its Affiliates; to the extent there is a conflict between this Agreement and such an employment or other service contract, the employment or other service contract shall govern and take priority.</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460" w:right="479" w:firstLine="655"/>
        <w:spacing w:after="0" w:line="234" w:lineRule="auto"/>
        <w:tabs>
          <w:tab w:leader="none" w:pos="1756"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WAIVER OF JURY TRIAL</w:t>
      </w:r>
      <w:r>
        <w:rPr>
          <w:rFonts w:ascii="Arial" w:cs="Arial" w:eastAsia="Arial" w:hAnsi="Arial"/>
          <w:sz w:val="22"/>
          <w:szCs w:val="22"/>
          <w:b w:val="1"/>
          <w:bCs w:val="1"/>
          <w:color w:val="auto"/>
        </w:rPr>
        <w:t>. EACH PARTY TO THIS AGREEMENT, FOR ITSELF AND ITS AFFILIATES, HEREBY IRREVOCABLY AND UNCONDITIONALLY WAIVES TO THE FULLEST EXTENT PERMITTED BY APPLICABLE LAW ALL RIGHT TO TRIAL BY JURY IN ANY ACTION, PROCEEDING OR COUNTERCLAIM (WHETHER BASED ON CONTRACT, TORT OR OTHERWISE) ARISING OUT OF OR RELATING TO THE ACTIONS OF THE PARTIES HERETO OR THEIR RESPECTIVE AFFILIATES PURSUANT TO THIS AGREEMENT OR IN THE NEGOTIATION, ADMINISTRATION, PERFORMANCE OR ENFORCEMENT OF THIS AGREEMENT.</w:t>
      </w:r>
    </w:p>
    <w:p>
      <w:pPr>
        <w:spacing w:after="0" w:line="196" w:lineRule="exact"/>
        <w:rPr>
          <w:rFonts w:ascii="Arial" w:cs="Arial" w:eastAsia="Arial" w:hAnsi="Arial"/>
          <w:sz w:val="22"/>
          <w:szCs w:val="22"/>
          <w:b w:val="1"/>
          <w:bCs w:val="1"/>
          <w:color w:val="auto"/>
        </w:rPr>
      </w:pPr>
    </w:p>
    <w:p>
      <w:pPr>
        <w:jc w:val="both"/>
        <w:ind w:left="460" w:right="479" w:firstLine="654"/>
        <w:spacing w:after="0" w:line="300" w:lineRule="auto"/>
        <w:tabs>
          <w:tab w:leader="none" w:pos="1757" w:val="left"/>
        </w:tabs>
        <w:numPr>
          <w:ilvl w:val="0"/>
          <w:numId w:val="20"/>
        </w:numPr>
        <w:rPr>
          <w:rFonts w:ascii="Arial" w:cs="Arial" w:eastAsia="Arial" w:hAnsi="Arial"/>
          <w:sz w:val="19"/>
          <w:szCs w:val="19"/>
          <w:color w:val="auto"/>
        </w:rPr>
      </w:pPr>
      <w:r>
        <w:rPr>
          <w:rFonts w:ascii="Arial" w:cs="Arial" w:eastAsia="Arial" w:hAnsi="Arial"/>
          <w:sz w:val="19"/>
          <w:szCs w:val="19"/>
          <w:b w:val="1"/>
          <w:bCs w:val="1"/>
          <w:u w:val="single" w:color="auto"/>
          <w:color w:val="auto"/>
        </w:rPr>
        <w:t>Interpretation</w:t>
      </w:r>
      <w:r>
        <w:rPr>
          <w:rFonts w:ascii="Arial" w:cs="Arial" w:eastAsia="Arial" w:hAnsi="Arial"/>
          <w:sz w:val="19"/>
          <w:szCs w:val="19"/>
          <w:color w:val="auto"/>
        </w:rPr>
        <w:t>. All section titles and captions in this Agreement are for</w:t>
      </w:r>
      <w:r>
        <w:rPr>
          <w:rFonts w:ascii="Arial" w:cs="Arial" w:eastAsia="Arial" w:hAnsi="Arial"/>
          <w:sz w:val="19"/>
          <w:szCs w:val="19"/>
          <w:b w:val="1"/>
          <w:bCs w:val="1"/>
          <w:color w:val="auto"/>
        </w:rPr>
        <w:t xml:space="preserve"> </w:t>
      </w:r>
      <w:r>
        <w:rPr>
          <w:rFonts w:ascii="Arial" w:cs="Arial" w:eastAsia="Arial" w:hAnsi="Arial"/>
          <w:sz w:val="19"/>
          <w:szCs w:val="19"/>
          <w:color w:val="auto"/>
        </w:rPr>
        <w:t>convenience only, shall not be deemed part of this Agreement, and in no way shall define, limit, extend or describe the scope or intent of any provisions of this Agreement.</w:t>
      </w:r>
    </w:p>
    <w:p>
      <w:pPr>
        <w:spacing w:after="0" w:line="139" w:lineRule="exact"/>
        <w:rPr>
          <w:rFonts w:ascii="Arial" w:cs="Arial" w:eastAsia="Arial" w:hAnsi="Arial"/>
          <w:sz w:val="19"/>
          <w:szCs w:val="19"/>
          <w:color w:val="auto"/>
        </w:rPr>
      </w:pPr>
    </w:p>
    <w:p>
      <w:pPr>
        <w:jc w:val="both"/>
        <w:ind w:left="460" w:right="479" w:firstLine="654"/>
        <w:spacing w:after="0" w:line="278" w:lineRule="auto"/>
        <w:tabs>
          <w:tab w:leader="none" w:pos="1757" w:val="left"/>
        </w:tabs>
        <w:numPr>
          <w:ilvl w:val="0"/>
          <w:numId w:val="20"/>
        </w:numPr>
        <w:rPr>
          <w:rFonts w:ascii="Arial" w:cs="Arial" w:eastAsia="Arial" w:hAnsi="Arial"/>
          <w:sz w:val="19"/>
          <w:szCs w:val="19"/>
          <w:color w:val="auto"/>
        </w:rPr>
      </w:pPr>
      <w:r>
        <w:rPr>
          <w:rFonts w:ascii="Arial" w:cs="Arial" w:eastAsia="Arial" w:hAnsi="Arial"/>
          <w:sz w:val="19"/>
          <w:szCs w:val="19"/>
          <w:b w:val="1"/>
          <w:bCs w:val="1"/>
          <w:u w:val="single" w:color="auto"/>
          <w:color w:val="auto"/>
        </w:rPr>
        <w:t>Mode of Communications</w:t>
      </w:r>
      <w:r>
        <w:rPr>
          <w:rFonts w:ascii="Arial" w:cs="Arial" w:eastAsia="Arial" w:hAnsi="Arial"/>
          <w:sz w:val="19"/>
          <w:szCs w:val="19"/>
          <w:color w:val="auto"/>
        </w:rPr>
        <w:t>. The Participant agrees, to the fullest extent</w:t>
      </w:r>
      <w:r>
        <w:rPr>
          <w:rFonts w:ascii="Arial" w:cs="Arial" w:eastAsia="Arial" w:hAnsi="Arial"/>
          <w:sz w:val="19"/>
          <w:szCs w:val="19"/>
          <w:b w:val="1"/>
          <w:bCs w:val="1"/>
          <w:color w:val="auto"/>
        </w:rPr>
        <w:t xml:space="preserve"> </w:t>
      </w:r>
      <w:r>
        <w:rPr>
          <w:rFonts w:ascii="Arial" w:cs="Arial" w:eastAsia="Arial" w:hAnsi="Arial"/>
          <w:sz w:val="19"/>
          <w:szCs w:val="19"/>
          <w:color w:val="auto"/>
        </w:rPr>
        <w:t>permitted by applicable law, in lieu of receiving documents in paper format, to accept electronic delivery of any documents that the Partnership or any of its Affiliates may deliver in connection with this grant of Deferred Units and any other grants offered by the Partnership, including, without limitation, prospectuses, grant notifications, account statements, annual or quarterly reports, and other communications. The Participant further agrees that electronic delivery of a document may be made via the Employer’s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349885</wp:posOffset>
            </wp:positionV>
            <wp:extent cx="55803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166" w:right="1440" w:bottom="1440" w:gutter="0" w:footer="0" w:header="0"/>
        </w:sectPr>
      </w:pPr>
    </w:p>
    <w:bookmarkStart w:id="68" w:name="page69"/>
    <w:bookmarkEnd w:id="68"/>
    <w:p>
      <w:pPr>
        <w:ind w:left="460" w:right="679"/>
        <w:spacing w:after="0" w:line="250" w:lineRule="auto"/>
        <w:rPr>
          <w:sz w:val="20"/>
          <w:szCs w:val="20"/>
          <w:color w:val="auto"/>
        </w:rPr>
      </w:pPr>
      <w:r>
        <w:rPr>
          <w:rFonts w:ascii="Arial" w:cs="Arial" w:eastAsia="Arial" w:hAnsi="Arial"/>
          <w:sz w:val="22"/>
          <w:szCs w:val="22"/>
          <w:color w:val="auto"/>
        </w:rPr>
        <w:t>or by reference to a location on the Employer’s intranet or website or the online brokerage account system.</w:t>
      </w:r>
    </w:p>
    <w:p>
      <w:pPr>
        <w:spacing w:after="0" w:line="182" w:lineRule="exact"/>
        <w:rPr>
          <w:sz w:val="20"/>
          <w:szCs w:val="20"/>
          <w:color w:val="auto"/>
        </w:rPr>
      </w:pPr>
    </w:p>
    <w:p>
      <w:pPr>
        <w:jc w:val="both"/>
        <w:ind w:left="460" w:right="479" w:firstLine="655"/>
        <w:spacing w:after="0" w:line="239" w:lineRule="auto"/>
        <w:tabs>
          <w:tab w:leader="none" w:pos="1756"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No Waiver</w:t>
      </w:r>
      <w:r>
        <w:rPr>
          <w:rFonts w:ascii="Arial" w:cs="Arial" w:eastAsia="Arial" w:hAnsi="Arial"/>
          <w:sz w:val="22"/>
          <w:szCs w:val="22"/>
          <w:color w:val="auto"/>
        </w:rPr>
        <w:t>. No failure by any party to insist upon the strict performance of</w:t>
      </w:r>
      <w:r>
        <w:rPr>
          <w:rFonts w:ascii="Arial" w:cs="Arial" w:eastAsia="Arial" w:hAnsi="Arial"/>
          <w:sz w:val="22"/>
          <w:szCs w:val="22"/>
          <w:b w:val="1"/>
          <w:bCs w:val="1"/>
          <w:color w:val="auto"/>
        </w:rPr>
        <w:t xml:space="preserve"> </w:t>
      </w:r>
      <w:r>
        <w:rPr>
          <w:rFonts w:ascii="Arial" w:cs="Arial" w:eastAsia="Arial" w:hAnsi="Arial"/>
          <w:sz w:val="22"/>
          <w:szCs w:val="22"/>
          <w:color w:val="auto"/>
        </w:rPr>
        <w:t>any covenant, duty, agreement or condition of this Agreement or to exercise any right or remedy consequent upon a breach thereof shall constitute waiver of any such breach or any other covenant, duty, agreement or condition.</w:t>
      </w:r>
    </w:p>
    <w:p>
      <w:pPr>
        <w:spacing w:after="0" w:line="180" w:lineRule="exact"/>
        <w:rPr>
          <w:rFonts w:ascii="Arial" w:cs="Arial" w:eastAsia="Arial" w:hAnsi="Arial"/>
          <w:sz w:val="22"/>
          <w:szCs w:val="22"/>
          <w:color w:val="auto"/>
        </w:rPr>
      </w:pPr>
    </w:p>
    <w:p>
      <w:pPr>
        <w:jc w:val="both"/>
        <w:ind w:left="460" w:right="479" w:firstLine="654"/>
        <w:spacing w:after="0" w:line="234" w:lineRule="auto"/>
        <w:tabs>
          <w:tab w:leader="none" w:pos="1757"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Agreement is declared or found to be</w:t>
      </w:r>
      <w:r>
        <w:rPr>
          <w:rFonts w:ascii="Arial" w:cs="Arial" w:eastAsia="Arial" w:hAnsi="Arial"/>
          <w:sz w:val="22"/>
          <w:szCs w:val="22"/>
          <w:b w:val="1"/>
          <w:bCs w:val="1"/>
          <w:color w:val="auto"/>
        </w:rPr>
        <w:t xml:space="preserve"> </w:t>
      </w:r>
      <w:r>
        <w:rPr>
          <w:rFonts w:ascii="Arial" w:cs="Arial" w:eastAsia="Arial" w:hAnsi="Arial"/>
          <w:sz w:val="22"/>
          <w:szCs w:val="22"/>
          <w:color w:val="auto"/>
        </w:rPr>
        <w:t>illegal, unenforceable or void, in whole or in part, then the parties hereto shall be relieved of all obligations arising under such provision, but only to the extent that it is illegal, unenforceable or void, it being the intent and agreement of the parties hereto that this Agreement shall be deemed amended by modifying such provision to the extent necessary to make it legal and enforceable while preserving its intent or, if that is not possible, by substituting therefor another provision that is legal and enforceable and achieves the same objectives.</w:t>
      </w:r>
    </w:p>
    <w:p>
      <w:pPr>
        <w:spacing w:after="0" w:line="200" w:lineRule="exact"/>
        <w:rPr>
          <w:rFonts w:ascii="Arial" w:cs="Arial" w:eastAsia="Arial" w:hAnsi="Arial"/>
          <w:sz w:val="22"/>
          <w:szCs w:val="22"/>
          <w:color w:val="auto"/>
        </w:rPr>
      </w:pPr>
    </w:p>
    <w:p>
      <w:pPr>
        <w:jc w:val="both"/>
        <w:ind w:left="460" w:right="479" w:firstLine="655"/>
        <w:spacing w:after="0" w:line="300" w:lineRule="auto"/>
        <w:tabs>
          <w:tab w:leader="none" w:pos="1756" w:val="left"/>
        </w:tabs>
        <w:numPr>
          <w:ilvl w:val="0"/>
          <w:numId w:val="21"/>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counterparts, all of which</w:t>
      </w:r>
      <w:r>
        <w:rPr>
          <w:rFonts w:ascii="Arial" w:cs="Arial" w:eastAsia="Arial" w:hAnsi="Arial"/>
          <w:sz w:val="19"/>
          <w:szCs w:val="19"/>
          <w:b w:val="1"/>
          <w:bCs w:val="1"/>
          <w:color w:val="auto"/>
        </w:rPr>
        <w:t xml:space="preserve"> </w:t>
      </w:r>
      <w:r>
        <w:rPr>
          <w:rFonts w:ascii="Arial" w:cs="Arial" w:eastAsia="Arial" w:hAnsi="Arial"/>
          <w:sz w:val="19"/>
          <w:szCs w:val="19"/>
          <w:color w:val="auto"/>
        </w:rPr>
        <w:t>together shall constitute one agreement binding on all the parties hereto, notwithstanding that all such parties are not signatories to the original or the same counterpart.</w:t>
      </w:r>
    </w:p>
    <w:p>
      <w:pPr>
        <w:spacing w:after="0" w:line="139" w:lineRule="exact"/>
        <w:rPr>
          <w:rFonts w:ascii="Arial" w:cs="Arial" w:eastAsia="Arial" w:hAnsi="Arial"/>
          <w:sz w:val="19"/>
          <w:szCs w:val="19"/>
          <w:color w:val="auto"/>
        </w:rPr>
      </w:pPr>
    </w:p>
    <w:p>
      <w:pPr>
        <w:jc w:val="both"/>
        <w:ind w:left="460" w:right="479" w:firstLine="654"/>
        <w:spacing w:after="0" w:line="243" w:lineRule="auto"/>
        <w:tabs>
          <w:tab w:leader="none" w:pos="1757"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shall be governed by and construed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internal laws of the State of New York, without giving effect to its principles of conflict of laws.</w:t>
      </w:r>
    </w:p>
    <w:p>
      <w:pPr>
        <w:spacing w:after="0" w:line="176" w:lineRule="exact"/>
        <w:rPr>
          <w:rFonts w:ascii="Arial" w:cs="Arial" w:eastAsia="Arial" w:hAnsi="Arial"/>
          <w:sz w:val="22"/>
          <w:szCs w:val="22"/>
          <w:color w:val="auto"/>
        </w:rPr>
      </w:pPr>
    </w:p>
    <w:p>
      <w:pPr>
        <w:jc w:val="both"/>
        <w:ind w:left="460" w:right="479" w:firstLine="654"/>
        <w:spacing w:after="0" w:line="278" w:lineRule="auto"/>
        <w:tabs>
          <w:tab w:leader="none" w:pos="1757" w:val="left"/>
        </w:tabs>
        <w:numPr>
          <w:ilvl w:val="0"/>
          <w:numId w:val="21"/>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 409A</w:t>
      </w:r>
      <w:r>
        <w:rPr>
          <w:rFonts w:ascii="Arial" w:cs="Arial" w:eastAsia="Arial" w:hAnsi="Arial"/>
          <w:sz w:val="19"/>
          <w:szCs w:val="19"/>
          <w:color w:val="auto"/>
        </w:rPr>
        <w:t>. Although the Employer does not guarantee to the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any particular tax treatment relating to the Award under this Agreement, it is intended that all payments pursuant to this Award shall be exempt from Section 409A, and this Agreement shall be interpreted and administered in accordance with such intentions. In no event shall the Partnership or any of its Affiliates be liable for any additional tax, interest or penalties that may be imposed on the Participant by reason of Section 409A or any damages for failing to qualify for an exemption from, or comply with, Section 409A.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Remainder of Page Intentionally Left Blank</w:t>
      </w:r>
      <w:r>
        <w:rPr>
          <w:rFonts w:ascii="Arial" w:cs="Arial" w:eastAsia="Arial" w:hAnsi="Arial"/>
          <w:sz w:val="22"/>
          <w:szCs w:val="22"/>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384175</wp:posOffset>
            </wp:positionV>
            <wp:extent cx="558038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172" w:right="1440" w:bottom="1440" w:gutter="0" w:footer="0" w:header="0"/>
        </w:sectPr>
      </w:pPr>
    </w:p>
    <w:bookmarkStart w:id="69" w:name="page70"/>
    <w:bookmarkEnd w:id="69"/>
    <w:p>
      <w:pPr>
        <w:ind w:left="120" w:right="179"/>
        <w:spacing w:after="0" w:line="251" w:lineRule="auto"/>
        <w:rPr>
          <w:sz w:val="20"/>
          <w:szCs w:val="20"/>
          <w:color w:val="auto"/>
        </w:rPr>
      </w:pPr>
      <w:r>
        <w:rPr>
          <w:rFonts w:ascii="Arial" w:cs="Arial" w:eastAsia="Arial" w:hAnsi="Arial"/>
          <w:sz w:val="22"/>
          <w:szCs w:val="22"/>
          <w:color w:val="auto"/>
        </w:rPr>
        <w:t>IN WITNESS WHEREOF, the parties have executed this Agreement on the date and year first above written.</w:t>
      </w:r>
    </w:p>
    <w:p>
      <w:pPr>
        <w:spacing w:after="0" w:line="186"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auto"/>
        </w:rPr>
        <w:t>ICAHN ENTERPRISES L.P.</w:t>
      </w:r>
    </w:p>
    <w:p>
      <w:pPr>
        <w:spacing w:after="0" w:line="235" w:lineRule="exact"/>
        <w:rPr>
          <w:sz w:val="20"/>
          <w:szCs w:val="20"/>
          <w:color w:val="auto"/>
        </w:rPr>
      </w:pPr>
    </w:p>
    <w:tbl>
      <w:tblPr>
        <w:tblLayout w:type="fixed"/>
        <w:tblInd w:w="4000" w:type="dxa"/>
        <w:tblCellMar>
          <w:top w:w="0" w:type="dxa"/>
          <w:left w:w="0" w:type="dxa"/>
          <w:bottom w:w="0" w:type="dxa"/>
          <w:right w:w="0" w:type="dxa"/>
        </w:tblCellMar>
      </w:tblPr>
      <w:tr>
        <w:trPr>
          <w:trHeight w:val="250"/>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3640" w:type="dxa"/>
            <w:vAlign w:val="bottom"/>
            <w:gridSpan w:val="2"/>
          </w:tcPr>
          <w:p>
            <w:pPr>
              <w:spacing w:after="0"/>
              <w:rPr>
                <w:sz w:val="20"/>
                <w:szCs w:val="20"/>
                <w:color w:val="auto"/>
              </w:rPr>
            </w:pPr>
            <w:r>
              <w:rPr>
                <w:rFonts w:ascii="Arial" w:cs="Arial" w:eastAsia="Arial" w:hAnsi="Arial"/>
                <w:sz w:val="20"/>
                <w:szCs w:val="20"/>
                <w:color w:val="auto"/>
                <w:w w:val="88"/>
              </w:rPr>
              <w:t>Icahn Enterprises G.P. Inc., its general partner</w:t>
            </w:r>
          </w:p>
        </w:tc>
      </w:tr>
      <w:tr>
        <w:trPr>
          <w:trHeight w:val="644"/>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2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7"/>
              </w:rPr>
              <w:t>/s/Ted Papapostolou_____________</w:t>
            </w:r>
          </w:p>
        </w:tc>
        <w:tc>
          <w:tcPr>
            <w:tcW w:w="760" w:type="dxa"/>
            <w:vAlign w:val="bottom"/>
          </w:tcPr>
          <w:p>
            <w:pPr>
              <w:spacing w:after="0"/>
              <w:rPr>
                <w:sz w:val="24"/>
                <w:szCs w:val="24"/>
                <w:color w:val="auto"/>
              </w:rPr>
            </w:pPr>
          </w:p>
        </w:tc>
      </w:tr>
      <w:tr>
        <w:trPr>
          <w:trHeight w:val="233"/>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3640" w:type="dxa"/>
            <w:vAlign w:val="bottom"/>
            <w:gridSpan w:val="2"/>
          </w:tcPr>
          <w:p>
            <w:pPr>
              <w:spacing w:after="0"/>
              <w:rPr>
                <w:sz w:val="20"/>
                <w:szCs w:val="20"/>
                <w:color w:val="auto"/>
              </w:rPr>
            </w:pPr>
            <w:r>
              <w:rPr>
                <w:rFonts w:ascii="Arial" w:cs="Arial" w:eastAsia="Arial" w:hAnsi="Arial"/>
                <w:sz w:val="20"/>
                <w:szCs w:val="20"/>
                <w:color w:val="auto"/>
              </w:rPr>
              <w:t>Ted Papapostolou</w:t>
            </w:r>
          </w:p>
        </w:tc>
      </w:tr>
      <w:tr>
        <w:trPr>
          <w:trHeight w:val="25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3640" w:type="dxa"/>
            <w:vAlign w:val="bottom"/>
            <w:gridSpan w:val="2"/>
          </w:tcPr>
          <w:p>
            <w:pPr>
              <w:spacing w:after="0"/>
              <w:rPr>
                <w:sz w:val="20"/>
                <w:szCs w:val="20"/>
                <w:color w:val="auto"/>
              </w:rPr>
            </w:pPr>
            <w:r>
              <w:rPr>
                <w:rFonts w:ascii="Arial" w:cs="Arial" w:eastAsia="Arial" w:hAnsi="Arial"/>
                <w:sz w:val="20"/>
                <w:szCs w:val="20"/>
                <w:color w:val="auto"/>
              </w:rPr>
              <w:t>Chief Accounting Officer</w:t>
            </w:r>
          </w:p>
        </w:tc>
      </w:tr>
    </w:tbl>
    <w:p>
      <w:pPr>
        <w:spacing w:after="0" w:line="20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PARTICIPANT</w:t>
      </w: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/s/Aris Kekedjian_____________</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Aris Kekedjian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[Aris Kekedjian Deferred Unit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490220</wp:posOffset>
            </wp:positionV>
            <wp:extent cx="558038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0" w:name="page71"/>
    <w:bookmarkEnd w:id="70"/>
    <w:p>
      <w:pPr>
        <w:jc w:val="center"/>
        <w:ind w:right="1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74"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u w:val="single" w:color="auto"/>
          <w:color w:val="auto"/>
        </w:rPr>
        <w:t>General Release of Claims</w:t>
      </w:r>
    </w:p>
    <w:p>
      <w:pPr>
        <w:spacing w:after="0" w:line="104" w:lineRule="exact"/>
        <w:rPr>
          <w:sz w:val="20"/>
          <w:szCs w:val="20"/>
          <w:color w:val="auto"/>
        </w:rPr>
      </w:pPr>
    </w:p>
    <w:p>
      <w:pPr>
        <w:jc w:val="both"/>
        <w:ind w:left="460" w:right="479"/>
        <w:spacing w:after="0" w:line="274" w:lineRule="auto"/>
        <w:rPr>
          <w:sz w:val="20"/>
          <w:szCs w:val="20"/>
          <w:color w:val="auto"/>
        </w:rPr>
      </w:pPr>
      <w:r>
        <w:rPr>
          <w:rFonts w:ascii="Arial" w:cs="Arial" w:eastAsia="Arial" w:hAnsi="Arial"/>
          <w:sz w:val="19"/>
          <w:szCs w:val="19"/>
          <w:color w:val="auto"/>
        </w:rPr>
        <w:t>This General Release of All Claims (the “</w:t>
      </w:r>
      <w:r>
        <w:rPr>
          <w:rFonts w:ascii="Arial" w:cs="Arial" w:eastAsia="Arial" w:hAnsi="Arial"/>
          <w:sz w:val="19"/>
          <w:szCs w:val="19"/>
          <w:u w:val="single" w:color="auto"/>
          <w:color w:val="auto"/>
        </w:rPr>
        <w:t>General Release</w:t>
      </w:r>
      <w:r>
        <w:rPr>
          <w:rFonts w:ascii="Arial" w:cs="Arial" w:eastAsia="Arial" w:hAnsi="Arial"/>
          <w:sz w:val="19"/>
          <w:szCs w:val="19"/>
          <w:color w:val="auto"/>
        </w:rPr>
        <w:t>”) dated as of [DATE], is made by Aris Kekedjian (“</w:t>
      </w:r>
      <w:r>
        <w:rPr>
          <w:rFonts w:ascii="Arial" w:cs="Arial" w:eastAsia="Arial" w:hAnsi="Arial"/>
          <w:sz w:val="19"/>
          <w:szCs w:val="19"/>
          <w:u w:val="single" w:color="auto"/>
          <w:color w:val="auto"/>
        </w:rPr>
        <w:t>Employee</w:t>
      </w:r>
      <w:r>
        <w:rPr>
          <w:rFonts w:ascii="Arial" w:cs="Arial" w:eastAsia="Arial" w:hAnsi="Arial"/>
          <w:sz w:val="19"/>
          <w:szCs w:val="19"/>
          <w:color w:val="auto"/>
        </w:rPr>
        <w:t>”) under the Deferred Unit Agreement dated April 26, 2021 (the “</w:t>
      </w:r>
      <w:r>
        <w:rPr>
          <w:rFonts w:ascii="Arial" w:cs="Arial" w:eastAsia="Arial" w:hAnsi="Arial"/>
          <w:sz w:val="19"/>
          <w:szCs w:val="19"/>
          <w:u w:val="single" w:color="auto"/>
          <w:color w:val="auto"/>
        </w:rPr>
        <w:t>Award Agreement</w:t>
      </w:r>
      <w:r>
        <w:rPr>
          <w:rFonts w:ascii="Arial" w:cs="Arial" w:eastAsia="Arial" w:hAnsi="Arial"/>
          <w:sz w:val="19"/>
          <w:szCs w:val="19"/>
          <w:color w:val="auto"/>
        </w:rPr>
        <w:t>”) pursuant to the Icahn Enterprises L.P. 2017 Long-Term Incentive Plan, as it may be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for good and valuable consideration, the receipt and sufficiency of which is hereby acknowledged. Unless otherwise defined herein, the terms defined in the Award Agreement or the Plan, as applicable, shall have the same defined meaning in this General Release. For purposes of this General Release, the “</w:t>
      </w:r>
      <w:r>
        <w:rPr>
          <w:rFonts w:ascii="Arial" w:cs="Arial" w:eastAsia="Arial" w:hAnsi="Arial"/>
          <w:sz w:val="19"/>
          <w:szCs w:val="19"/>
          <w:u w:val="single" w:color="auto"/>
          <w:color w:val="auto"/>
        </w:rPr>
        <w:t>Company</w:t>
      </w:r>
      <w:r>
        <w:rPr>
          <w:rFonts w:ascii="Arial" w:cs="Arial" w:eastAsia="Arial" w:hAnsi="Arial"/>
          <w:sz w:val="19"/>
          <w:szCs w:val="19"/>
          <w:color w:val="auto"/>
        </w:rPr>
        <w:t>” means, collectively, Icahn Enterprises L.P., Icahn Enterprises Holdings L.P., Icahn Capital LP, and their respective Affiliates.</w:t>
      </w:r>
    </w:p>
    <w:p>
      <w:pPr>
        <w:spacing w:after="0" w:line="185" w:lineRule="exact"/>
        <w:rPr>
          <w:sz w:val="20"/>
          <w:szCs w:val="20"/>
          <w:color w:val="auto"/>
        </w:rPr>
      </w:pPr>
    </w:p>
    <w:p>
      <w:pPr>
        <w:jc w:val="both"/>
        <w:ind w:left="460" w:right="479" w:firstLine="654"/>
        <w:spacing w:after="0" w:line="268" w:lineRule="auto"/>
        <w:tabs>
          <w:tab w:leader="none" w:pos="1757"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Employee, for himself, his spouse, heirs, administrators, children, representatives, executors, successors, assigns, and all other persons claiming through Employee, if any, does hereby release, waive, and forever discharge the Company and its officers, directors, employees and agents (collectively, the “</w:t>
      </w:r>
      <w:r>
        <w:rPr>
          <w:rFonts w:ascii="Arial" w:cs="Arial" w:eastAsia="Arial" w:hAnsi="Arial"/>
          <w:sz w:val="19"/>
          <w:szCs w:val="19"/>
          <w:u w:val="single" w:color="auto"/>
          <w:color w:val="auto"/>
        </w:rPr>
        <w:t>Releasees</w:t>
      </w:r>
      <w:r>
        <w:rPr>
          <w:rFonts w:ascii="Arial" w:cs="Arial" w:eastAsia="Arial" w:hAnsi="Arial"/>
          <w:sz w:val="19"/>
          <w:szCs w:val="19"/>
          <w:color w:val="auto"/>
        </w:rPr>
        <w:t>”), from, and does fully waive any obligations of Releasees to Employee for, any and all liability, actions, charges, causes of action, demands, damages, or claims for relief, remuneration, sums of money, accounts or expenses (including, without limitation, attorneys’ fees and costs) of any kind whatsoever, whether known or unknown or contingent or absolute, which heretofore has been or may have been suffered or sustained, directly or indirectly, by Employee in consequence of, arising out of, or in any way relating to Employee’s employment with the Company and the termination of Employee’s employment. The foregoing release, discharge and waiver includes, but is not limited to, all claims, and any obligations or causes of action arising from such claims, under common or statutory law including, without limitation, any state or federal discrimination, fair employment practices or any other employment-related statute or regulation (as they may have been amended through the date of this General Release) prohibiting discrimination or harassment based upon any protected status including, without limitation, race, color, religion, national origin, age, gender, marital status, disability, handicap, veteran status or sexual orientation. Without limitation, specifically included in this paragraph are any and all waivable claims arising under the Federal Rehabilitation Act, the Age Discrimination in Employment Act of 1967, Title VII of the Civil Rights Act of 1964, Sections 1981 through 1988 of Title 42 of the United States Code, the Americans with Disabilities Act, the Equal Pay Act, the Older Workers Benefits Protection Act, the Genetic Information Non-Discrimination Act, the Immigration Reform and Control Act, the Uniformed Services Employment and Reemployment Rights Act, the Employee Retirement Income Security Act of 1974, the Family and Medical Leave Act of 1993, the National Labor Relations Act, the Consolidated Omnibus Budget Reconciliation Act of 1985, the Sarbanes-Oxley Act, the Dodd-Frank Act, the Florida Civil Rights Act, the Florida Equal Pay Law, the Florida AIDS Act, the Florida Sickle-Cell Trait Discrimination Law, the Florida Private Whistleblower Protection Law, the Florida Public Whistle- Blower’s Act, the Florida Worker’s Compensation Retaliation Law, the Florida Unpaid Wages Law, the Florida Minimum Wage Act, the Florida Leave to Victims of Domestic Violence Act, the Florida Constitution, and any similar state and federal laws (in each case, as such law was enacted or has been amended). The foregoing release and discharge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525145</wp:posOffset>
            </wp:positionV>
            <wp:extent cx="558038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234" w:right="1440" w:bottom="1440" w:gutter="0" w:footer="0" w:header="0"/>
        </w:sectPr>
      </w:pPr>
    </w:p>
    <w:bookmarkStart w:id="71" w:name="page72"/>
    <w:bookmarkEnd w:id="71"/>
    <w:p>
      <w:pPr>
        <w:jc w:val="both"/>
        <w:ind w:left="460" w:right="479"/>
        <w:spacing w:after="0" w:line="270" w:lineRule="auto"/>
        <w:rPr>
          <w:sz w:val="20"/>
          <w:szCs w:val="20"/>
          <w:color w:val="auto"/>
        </w:rPr>
      </w:pPr>
      <w:r>
        <w:rPr>
          <w:rFonts w:ascii="Arial" w:cs="Arial" w:eastAsia="Arial" w:hAnsi="Arial"/>
          <w:sz w:val="19"/>
          <w:szCs w:val="19"/>
          <w:color w:val="auto"/>
        </w:rPr>
        <w:t>expressly includes, without limitation, any claims under any state or federal common law theory, including, without limitation, wrongful or retaliatory discharge, breach of express or implied contract, promissory estoppel, unjust enrichment, breach of covenant of good faith and fair dealing, violation of public policy, defamation, interference with contractual relations, intentional or negligent infliction of emotional distress, invasion of privacy, misrepresentation, deceit, fraud or negligence, claims for alleged physical or personal injury, emotional distress relating to or arising out of Employee’s employment with the Company or the termination of that employment; and any claims under the WARN Act or any similar law, which requires, among other things, that advance notice be given of certain work force reductions. All of the claims, liabilities, actions, charges, causes of action, demands, damages, remuneration, sums of money, accounts or expenses described in this Section 1 shall be described, collectively as the “</w:t>
      </w:r>
      <w:r>
        <w:rPr>
          <w:rFonts w:ascii="Arial" w:cs="Arial" w:eastAsia="Arial" w:hAnsi="Arial"/>
          <w:sz w:val="19"/>
          <w:szCs w:val="19"/>
          <w:u w:val="single" w:color="auto"/>
          <w:color w:val="auto"/>
        </w:rPr>
        <w:t>Released Claims</w:t>
      </w:r>
      <w:r>
        <w:rPr>
          <w:rFonts w:ascii="Arial" w:cs="Arial" w:eastAsia="Arial" w:hAnsi="Arial"/>
          <w:sz w:val="19"/>
          <w:szCs w:val="19"/>
          <w:color w:val="auto"/>
        </w:rPr>
        <w:t>”. Employee waives Employee’s right to any monetary recovery should any agency (such as the Equal Employment Opportunity Commission) pursue any claims on Employee’s behalf. Nothing in this General Release shall be deemed to waive Employee’s right to file a charge with or participate in any investigation or proceeding conducted by the U.S. Equal Employment Opportunity Commission or other government agency, except that even if Employee files a charge or participates in such an investigation or proceeding, Employee will not be able to recover damages or equitable relief of any kind from the Releasees with respect to the Released Claims.</w:t>
      </w:r>
    </w:p>
    <w:p>
      <w:pPr>
        <w:spacing w:after="0" w:line="190" w:lineRule="exact"/>
        <w:rPr>
          <w:sz w:val="20"/>
          <w:szCs w:val="20"/>
          <w:color w:val="auto"/>
        </w:rPr>
      </w:pPr>
    </w:p>
    <w:p>
      <w:pPr>
        <w:jc w:val="both"/>
        <w:ind w:left="460" w:right="479" w:firstLine="655"/>
        <w:spacing w:after="0" w:line="238" w:lineRule="auto"/>
        <w:tabs>
          <w:tab w:leader="none" w:pos="1757" w:val="left"/>
        </w:tabs>
        <w:numPr>
          <w:ilvl w:val="1"/>
          <w:numId w:val="23"/>
        </w:numPr>
        <w:rPr>
          <w:rFonts w:ascii="Arial" w:cs="Arial" w:eastAsia="Arial" w:hAnsi="Arial"/>
          <w:sz w:val="22"/>
          <w:szCs w:val="22"/>
          <w:color w:val="auto"/>
        </w:rPr>
      </w:pPr>
      <w:r>
        <w:rPr>
          <w:rFonts w:ascii="Arial" w:cs="Arial" w:eastAsia="Arial" w:hAnsi="Arial"/>
          <w:sz w:val="22"/>
          <w:szCs w:val="22"/>
          <w:color w:val="auto"/>
        </w:rPr>
        <w:t>Excluded from this General Release are the following: (i) claims and rights that arise after the date Employee signs this General Release; and (ii) any claims for vested benefits Employee may have under any employee benefit plan subject to the Employee Retirement Income Security Act of 1974, as amended.</w:t>
      </w:r>
    </w:p>
    <w:p>
      <w:pPr>
        <w:spacing w:after="0" w:line="225" w:lineRule="exact"/>
        <w:rPr>
          <w:rFonts w:ascii="Arial" w:cs="Arial" w:eastAsia="Arial" w:hAnsi="Arial"/>
          <w:sz w:val="22"/>
          <w:szCs w:val="22"/>
          <w:color w:val="auto"/>
        </w:rPr>
      </w:pPr>
    </w:p>
    <w:p>
      <w:pPr>
        <w:jc w:val="both"/>
        <w:ind w:left="460" w:right="479" w:firstLine="655"/>
        <w:spacing w:after="0" w:line="234" w:lineRule="auto"/>
        <w:tabs>
          <w:tab w:leader="none" w:pos="1757" w:val="left"/>
        </w:tabs>
        <w:numPr>
          <w:ilvl w:val="1"/>
          <w:numId w:val="23"/>
        </w:numPr>
        <w:rPr>
          <w:rFonts w:ascii="Arial" w:cs="Arial" w:eastAsia="Arial" w:hAnsi="Arial"/>
          <w:sz w:val="22"/>
          <w:szCs w:val="22"/>
          <w:color w:val="auto"/>
        </w:rPr>
      </w:pPr>
      <w:r>
        <w:rPr>
          <w:rFonts w:ascii="Arial" w:cs="Arial" w:eastAsia="Arial" w:hAnsi="Arial"/>
          <w:sz w:val="22"/>
          <w:szCs w:val="22"/>
          <w:color w:val="auto"/>
        </w:rPr>
        <w:t xml:space="preserve">Any unresolved dispute arising out of this General Release shall be litigated in any court of competent jurisdiction in the County of Miami-Dade in the State of Florida;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Company may elect to pursue a court action to seek injunctive relief in any court of competent jurisdiction to terminate the violation of its proprietary rights, including but not limited to trade secrets, copyrights or trademarks and to protect any confidential information. Each party shall pay its own costs and fees in connection with any litigation hereunder.</w:t>
      </w:r>
    </w:p>
    <w:p>
      <w:pPr>
        <w:spacing w:after="0" w:line="217" w:lineRule="exact"/>
        <w:rPr>
          <w:rFonts w:ascii="Arial" w:cs="Arial" w:eastAsia="Arial" w:hAnsi="Arial"/>
          <w:sz w:val="22"/>
          <w:szCs w:val="22"/>
          <w:color w:val="auto"/>
        </w:rPr>
      </w:pPr>
    </w:p>
    <w:p>
      <w:pPr>
        <w:ind w:left="1760" w:hanging="657"/>
        <w:spacing w:after="0"/>
        <w:tabs>
          <w:tab w:leader="none" w:pos="17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Employee acknowledges and recites that:</w:t>
      </w:r>
    </w:p>
    <w:p>
      <w:pPr>
        <w:spacing w:after="0" w:line="219" w:lineRule="exact"/>
        <w:rPr>
          <w:rFonts w:ascii="Arial" w:cs="Arial" w:eastAsia="Arial" w:hAnsi="Arial"/>
          <w:sz w:val="22"/>
          <w:szCs w:val="22"/>
          <w:color w:val="auto"/>
        </w:rPr>
      </w:pPr>
    </w:p>
    <w:p>
      <w:pPr>
        <w:ind w:left="2400" w:hanging="635"/>
        <w:spacing w:after="0"/>
        <w:tabs>
          <w:tab w:leader="none" w:pos="2400" w:val="left"/>
        </w:tabs>
        <w:numPr>
          <w:ilvl w:val="2"/>
          <w:numId w:val="24"/>
        </w:numPr>
        <w:rPr>
          <w:rFonts w:ascii="Arial" w:cs="Arial" w:eastAsia="Arial" w:hAnsi="Arial"/>
          <w:sz w:val="21"/>
          <w:szCs w:val="21"/>
          <w:color w:val="auto"/>
        </w:rPr>
      </w:pPr>
      <w:r>
        <w:rPr>
          <w:rFonts w:ascii="Arial" w:cs="Arial" w:eastAsia="Arial" w:hAnsi="Arial"/>
          <w:sz w:val="21"/>
          <w:szCs w:val="21"/>
          <w:color w:val="auto"/>
        </w:rPr>
        <w:t>Employee has  executed  this  General  Release  knowingly  and</w:t>
      </w:r>
    </w:p>
    <w:p>
      <w:pPr>
        <w:spacing w:after="0" w:line="19" w:lineRule="exact"/>
        <w:rPr>
          <w:rFonts w:ascii="Arial" w:cs="Arial" w:eastAsia="Arial" w:hAnsi="Arial"/>
          <w:sz w:val="21"/>
          <w:szCs w:val="21"/>
          <w:color w:val="auto"/>
        </w:rPr>
      </w:pPr>
    </w:p>
    <w:p>
      <w:pPr>
        <w:ind w:left="460"/>
        <w:spacing w:after="0"/>
        <w:rPr>
          <w:rFonts w:ascii="Arial" w:cs="Arial" w:eastAsia="Arial" w:hAnsi="Arial"/>
          <w:sz w:val="21"/>
          <w:szCs w:val="21"/>
          <w:color w:val="auto"/>
        </w:rPr>
      </w:pPr>
      <w:r>
        <w:rPr>
          <w:rFonts w:ascii="Arial" w:cs="Arial" w:eastAsia="Arial" w:hAnsi="Arial"/>
          <w:sz w:val="22"/>
          <w:szCs w:val="22"/>
          <w:color w:val="auto"/>
        </w:rPr>
        <w:t>voluntarily;</w:t>
      </w:r>
    </w:p>
    <w:p>
      <w:pPr>
        <w:spacing w:after="0" w:line="201" w:lineRule="exact"/>
        <w:rPr>
          <w:rFonts w:ascii="Arial" w:cs="Arial" w:eastAsia="Arial" w:hAnsi="Arial"/>
          <w:sz w:val="21"/>
          <w:szCs w:val="21"/>
          <w:color w:val="auto"/>
        </w:rPr>
      </w:pPr>
    </w:p>
    <w:p>
      <w:pPr>
        <w:ind w:left="2400" w:hanging="635"/>
        <w:spacing w:after="0"/>
        <w:tabs>
          <w:tab w:leader="none" w:pos="2400" w:val="left"/>
        </w:tabs>
        <w:numPr>
          <w:ilvl w:val="2"/>
          <w:numId w:val="24"/>
        </w:numPr>
        <w:rPr>
          <w:rFonts w:ascii="Arial" w:cs="Arial" w:eastAsia="Arial" w:hAnsi="Arial"/>
          <w:sz w:val="21"/>
          <w:szCs w:val="21"/>
          <w:color w:val="auto"/>
        </w:rPr>
      </w:pPr>
      <w:r>
        <w:rPr>
          <w:rFonts w:ascii="Arial" w:cs="Arial" w:eastAsia="Arial" w:hAnsi="Arial"/>
          <w:sz w:val="21"/>
          <w:szCs w:val="21"/>
          <w:color w:val="auto"/>
        </w:rPr>
        <w:t>Employee has read and understands this General Release in its</w:t>
      </w:r>
    </w:p>
    <w:p>
      <w:pPr>
        <w:spacing w:after="0" w:line="19" w:lineRule="exact"/>
        <w:rPr>
          <w:rFonts w:ascii="Arial" w:cs="Arial" w:eastAsia="Arial" w:hAnsi="Arial"/>
          <w:sz w:val="21"/>
          <w:szCs w:val="21"/>
          <w:color w:val="auto"/>
        </w:rPr>
      </w:pPr>
    </w:p>
    <w:p>
      <w:pPr>
        <w:ind w:left="460"/>
        <w:spacing w:after="0"/>
        <w:rPr>
          <w:rFonts w:ascii="Arial" w:cs="Arial" w:eastAsia="Arial" w:hAnsi="Arial"/>
          <w:sz w:val="21"/>
          <w:szCs w:val="21"/>
          <w:color w:val="auto"/>
        </w:rPr>
      </w:pPr>
      <w:r>
        <w:rPr>
          <w:rFonts w:ascii="Arial" w:cs="Arial" w:eastAsia="Arial" w:hAnsi="Arial"/>
          <w:sz w:val="22"/>
          <w:szCs w:val="22"/>
          <w:color w:val="auto"/>
        </w:rPr>
        <w:t>entirety;</w:t>
      </w:r>
    </w:p>
    <w:p>
      <w:pPr>
        <w:spacing w:after="0" w:line="201" w:lineRule="exact"/>
        <w:rPr>
          <w:rFonts w:ascii="Arial" w:cs="Arial" w:eastAsia="Arial" w:hAnsi="Arial"/>
          <w:sz w:val="21"/>
          <w:szCs w:val="21"/>
          <w:color w:val="auto"/>
        </w:rPr>
      </w:pPr>
    </w:p>
    <w:p>
      <w:pPr>
        <w:jc w:val="both"/>
        <w:ind w:left="460" w:right="479" w:firstLine="1311"/>
        <w:spacing w:after="0" w:line="297" w:lineRule="auto"/>
        <w:tabs>
          <w:tab w:leader="none" w:pos="2405" w:val="left"/>
        </w:tabs>
        <w:numPr>
          <w:ilvl w:val="2"/>
          <w:numId w:val="24"/>
        </w:numPr>
        <w:rPr>
          <w:rFonts w:ascii="Arial" w:cs="Arial" w:eastAsia="Arial" w:hAnsi="Arial"/>
          <w:sz w:val="19"/>
          <w:szCs w:val="19"/>
          <w:color w:val="auto"/>
        </w:rPr>
      </w:pPr>
      <w:r>
        <w:rPr>
          <w:rFonts w:ascii="Arial" w:cs="Arial" w:eastAsia="Arial" w:hAnsi="Arial"/>
          <w:sz w:val="19"/>
          <w:szCs w:val="19"/>
          <w:color w:val="auto"/>
        </w:rPr>
        <w:t>Employee has been advised and directed orally and in writing (and this subparagraph (c) constitutes such written direction) to seek legal counsel and any other advice he wishes with respect to the terms of this General Release before executing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338455</wp:posOffset>
            </wp:positionV>
            <wp:extent cx="558038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72" w:right="1440" w:bottom="1440" w:gutter="0" w:footer="0" w:header="0"/>
        </w:sectPr>
      </w:pPr>
    </w:p>
    <w:bookmarkStart w:id="72" w:name="page73"/>
    <w:bookmarkEnd w:id="72"/>
    <w:p>
      <w:pPr>
        <w:jc w:val="both"/>
        <w:ind w:left="460" w:right="479" w:firstLine="1311"/>
        <w:spacing w:after="0" w:line="282" w:lineRule="auto"/>
        <w:tabs>
          <w:tab w:leader="none" w:pos="2405" w:val="left"/>
        </w:tabs>
        <w:numPr>
          <w:ilvl w:val="1"/>
          <w:numId w:val="25"/>
        </w:numPr>
        <w:rPr>
          <w:rFonts w:ascii="Arial" w:cs="Arial" w:eastAsia="Arial" w:hAnsi="Arial"/>
          <w:sz w:val="19"/>
          <w:szCs w:val="19"/>
          <w:color w:val="auto"/>
        </w:rPr>
      </w:pPr>
      <w:r>
        <w:rPr>
          <w:rFonts w:ascii="Arial" w:cs="Arial" w:eastAsia="Arial" w:hAnsi="Arial"/>
          <w:sz w:val="19"/>
          <w:szCs w:val="19"/>
          <w:color w:val="auto"/>
        </w:rPr>
        <w:t>Employee’s execution of this General Release has not been forced by any employee or agent of the Company, and Employee has had an opportunity to negotiate about the terms of this General Release and that the agreements and obligations herein are made voluntarily, knowingly and without duress, and that neither the Company nor its agents have made any representation inconsistent with the General Release; and</w:t>
      </w:r>
    </w:p>
    <w:p>
      <w:pPr>
        <w:spacing w:after="0" w:line="174" w:lineRule="exact"/>
        <w:rPr>
          <w:rFonts w:ascii="Arial" w:cs="Arial" w:eastAsia="Arial" w:hAnsi="Arial"/>
          <w:sz w:val="19"/>
          <w:szCs w:val="19"/>
          <w:color w:val="auto"/>
        </w:rPr>
      </w:pPr>
    </w:p>
    <w:p>
      <w:pPr>
        <w:ind w:left="460" w:right="479" w:firstLine="1310"/>
        <w:spacing w:after="0" w:line="250" w:lineRule="auto"/>
        <w:tabs>
          <w:tab w:leader="none" w:pos="2406" w:val="left"/>
        </w:tabs>
        <w:numPr>
          <w:ilvl w:val="1"/>
          <w:numId w:val="25"/>
        </w:numPr>
        <w:rPr>
          <w:rFonts w:ascii="Arial" w:cs="Arial" w:eastAsia="Arial" w:hAnsi="Arial"/>
          <w:sz w:val="22"/>
          <w:szCs w:val="22"/>
          <w:color w:val="auto"/>
        </w:rPr>
      </w:pPr>
      <w:r>
        <w:rPr>
          <w:rFonts w:ascii="Arial" w:cs="Arial" w:eastAsia="Arial" w:hAnsi="Arial"/>
          <w:sz w:val="22"/>
          <w:szCs w:val="22"/>
          <w:color w:val="auto"/>
        </w:rPr>
        <w:t>Employee has been offered 21 calendar days after receipt of this General Release to consider its terms before executing it.</w:t>
      </w:r>
    </w:p>
    <w:p>
      <w:pPr>
        <w:spacing w:after="0" w:line="201" w:lineRule="exact"/>
        <w:rPr>
          <w:rFonts w:ascii="Arial" w:cs="Arial" w:eastAsia="Arial" w:hAnsi="Arial"/>
          <w:sz w:val="22"/>
          <w:szCs w:val="22"/>
          <w:color w:val="auto"/>
        </w:rPr>
      </w:pPr>
    </w:p>
    <w:p>
      <w:pPr>
        <w:jc w:val="both"/>
        <w:ind w:left="460" w:right="479" w:firstLine="654"/>
        <w:spacing w:after="0" w:line="257" w:lineRule="auto"/>
        <w:tabs>
          <w:tab w:leader="none" w:pos="1758"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This General Release shall be governed by, and construed in accordance with, the laws of the United States applicable thereto and the internal laws of the State of Florida, without giving effect to the conflicts of law principles thereof.</w:t>
      </w:r>
    </w:p>
    <w:p>
      <w:pPr>
        <w:spacing w:after="0" w:line="196" w:lineRule="exact"/>
        <w:rPr>
          <w:rFonts w:ascii="Arial" w:cs="Arial" w:eastAsia="Arial" w:hAnsi="Arial"/>
          <w:sz w:val="21"/>
          <w:szCs w:val="21"/>
          <w:color w:val="auto"/>
        </w:rPr>
      </w:pPr>
    </w:p>
    <w:p>
      <w:pPr>
        <w:jc w:val="both"/>
        <w:ind w:left="460" w:right="479" w:firstLine="655"/>
        <w:spacing w:after="0" w:line="235" w:lineRule="auto"/>
        <w:tabs>
          <w:tab w:leader="none" w:pos="1757" w:val="left"/>
        </w:tabs>
        <w:numPr>
          <w:ilvl w:val="0"/>
          <w:numId w:val="26"/>
        </w:numPr>
        <w:rPr>
          <w:rFonts w:ascii="Arial" w:cs="Arial" w:eastAsia="Arial" w:hAnsi="Arial"/>
          <w:sz w:val="22"/>
          <w:szCs w:val="22"/>
          <w:color w:val="auto"/>
        </w:rPr>
      </w:pPr>
      <w:r>
        <w:rPr>
          <w:rFonts w:ascii="Arial" w:cs="Arial" w:eastAsia="Arial" w:hAnsi="Arial"/>
          <w:sz w:val="22"/>
          <w:szCs w:val="22"/>
          <w:color w:val="auto"/>
        </w:rPr>
        <w:t>Employee represents that he has returned all property belonging to the Company required to be returned including, without limitation, keys, access cards, computer software and any other equipment or property. Employee further represents that he has delivered to the Company all documents or materials of any nature belonging to it, whether an original or copies of any kind, including any confidential information, required to be returned.</w:t>
      </w:r>
    </w:p>
    <w:p>
      <w:pPr>
        <w:spacing w:after="0" w:line="214" w:lineRule="exact"/>
        <w:rPr>
          <w:rFonts w:ascii="Arial" w:cs="Arial" w:eastAsia="Arial" w:hAnsi="Arial"/>
          <w:sz w:val="22"/>
          <w:szCs w:val="22"/>
          <w:color w:val="auto"/>
        </w:rPr>
      </w:pPr>
    </w:p>
    <w:p>
      <w:pPr>
        <w:jc w:val="both"/>
        <w:ind w:left="460" w:right="479" w:firstLine="655"/>
        <w:spacing w:after="0" w:line="236" w:lineRule="auto"/>
        <w:tabs>
          <w:tab w:leader="none" w:pos="1757" w:val="left"/>
        </w:tabs>
        <w:numPr>
          <w:ilvl w:val="0"/>
          <w:numId w:val="26"/>
        </w:numPr>
        <w:rPr>
          <w:rFonts w:ascii="Arial" w:cs="Arial" w:eastAsia="Arial" w:hAnsi="Arial"/>
          <w:sz w:val="22"/>
          <w:szCs w:val="22"/>
          <w:color w:val="auto"/>
        </w:rPr>
      </w:pPr>
      <w:r>
        <w:rPr>
          <w:rFonts w:ascii="Arial" w:cs="Arial" w:eastAsia="Arial" w:hAnsi="Arial"/>
          <w:sz w:val="22"/>
          <w:szCs w:val="22"/>
          <w:color w:val="auto"/>
        </w:rPr>
        <w:t>Employee shall have seven days from the date he signs this General Release to revoke it by providing written notice of the revocation to the Company, in which event this General Release shall be unenforceable and null and void. Provided Employee does not revoke this General Release, it shall become effective on the eighth day after Employee signs this General Release.</w:t>
      </w:r>
    </w:p>
    <w:p>
      <w:pPr>
        <w:spacing w:after="0" w:line="227" w:lineRule="exact"/>
        <w:rPr>
          <w:rFonts w:ascii="Arial" w:cs="Arial" w:eastAsia="Arial" w:hAnsi="Arial"/>
          <w:sz w:val="22"/>
          <w:szCs w:val="22"/>
          <w:color w:val="auto"/>
        </w:rPr>
      </w:pPr>
    </w:p>
    <w:p>
      <w:pPr>
        <w:jc w:val="both"/>
        <w:ind w:left="460" w:right="479" w:firstLine="654"/>
        <w:spacing w:after="0" w:line="238" w:lineRule="auto"/>
        <w:tabs>
          <w:tab w:leader="none" w:pos="1758" w:val="left"/>
        </w:tabs>
        <w:numPr>
          <w:ilvl w:val="0"/>
          <w:numId w:val="26"/>
        </w:numPr>
        <w:rPr>
          <w:rFonts w:ascii="Arial" w:cs="Arial" w:eastAsia="Arial" w:hAnsi="Arial"/>
          <w:sz w:val="22"/>
          <w:szCs w:val="22"/>
          <w:color w:val="auto"/>
        </w:rPr>
      </w:pPr>
      <w:r>
        <w:rPr>
          <w:rFonts w:ascii="Arial" w:cs="Arial" w:eastAsia="Arial" w:hAnsi="Arial"/>
          <w:sz w:val="22"/>
          <w:szCs w:val="22"/>
          <w:color w:val="auto"/>
        </w:rPr>
        <w:t>Employee agrees and acknowledges that he continues to be subject to the restrictive covenant provisions contained in the offer letter between Icahn Enterprises L.P. and the Employee dated April 4, 2021, including but not limited to the non-disparagement, non-compete and non-solicitation covenants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370840</wp:posOffset>
            </wp:positionV>
            <wp:extent cx="558038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172" w:right="1440" w:bottom="1440" w:gutter="0" w:footer="0" w:header="0"/>
        </w:sectPr>
      </w:pPr>
    </w:p>
    <w:bookmarkStart w:id="73" w:name="page74"/>
    <w:bookmarkEnd w:id="73"/>
    <w:p>
      <w:pPr>
        <w:jc w:val="both"/>
        <w:ind w:left="200" w:right="219" w:firstLine="648"/>
        <w:spacing w:after="0" w:line="257" w:lineRule="auto"/>
        <w:rPr>
          <w:sz w:val="20"/>
          <w:szCs w:val="20"/>
          <w:color w:val="auto"/>
        </w:rPr>
      </w:pPr>
      <w:r>
        <w:rPr>
          <w:rFonts w:ascii="Arial" w:cs="Arial" w:eastAsia="Arial" w:hAnsi="Arial"/>
          <w:sz w:val="21"/>
          <w:szCs w:val="21"/>
          <w:color w:val="auto"/>
        </w:rPr>
        <w:t>Employee represents and agrees that he has carefully read this General Release; that he has been given ample opportunity to consult with legal counsel or any other party to the extent, if any, that he desires; and that he is voluntarily signing by his own free act.</w:t>
      </w:r>
    </w:p>
    <w:p>
      <w:pPr>
        <w:spacing w:after="0" w:line="196" w:lineRule="exact"/>
        <w:rPr>
          <w:sz w:val="20"/>
          <w:szCs w:val="20"/>
          <w:color w:val="auto"/>
        </w:rPr>
      </w:pPr>
    </w:p>
    <w:p>
      <w:pPr>
        <w:ind w:left="200" w:right="499"/>
        <w:spacing w:after="0" w:line="250" w:lineRule="auto"/>
        <w:rPr>
          <w:sz w:val="20"/>
          <w:szCs w:val="20"/>
          <w:color w:val="auto"/>
        </w:rPr>
      </w:pPr>
      <w:r>
        <w:rPr>
          <w:rFonts w:ascii="Arial" w:cs="Arial" w:eastAsia="Arial" w:hAnsi="Arial"/>
          <w:sz w:val="22"/>
          <w:szCs w:val="22"/>
          <w:color w:val="auto"/>
        </w:rPr>
        <w:t>PLEASE READ THIS GENERAL RELEASE CAREFULLY. IT CONTAINS A RELEASE OF ALL KNOWN AND UNKNOWN CLAIMS.</w:t>
      </w:r>
    </w:p>
    <w:p>
      <w:pPr>
        <w:spacing w:after="0" w:line="200" w:lineRule="exact"/>
        <w:rPr>
          <w:sz w:val="20"/>
          <w:szCs w:val="20"/>
          <w:color w:val="auto"/>
        </w:rPr>
      </w:pPr>
    </w:p>
    <w:p>
      <w:pPr>
        <w:spacing w:after="0" w:line="25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ICAHN ENTERPRISES L.P.</w:t>
      </w:r>
    </w:p>
    <w:p>
      <w:pPr>
        <w:spacing w:after="0" w:line="233" w:lineRule="exact"/>
        <w:rPr>
          <w:sz w:val="20"/>
          <w:szCs w:val="20"/>
          <w:color w:val="auto"/>
        </w:rPr>
      </w:pPr>
    </w:p>
    <w:p>
      <w:pPr>
        <w:ind w:left="4740"/>
        <w:spacing w:after="0"/>
        <w:tabs>
          <w:tab w:leader="none" w:pos="5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Icahn Enterprises G.P. Inc., its</w:t>
      </w:r>
    </w:p>
    <w:p>
      <w:pPr>
        <w:spacing w:after="0" w:line="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General Partner</w:t>
      </w:r>
    </w:p>
    <w:p>
      <w:pPr>
        <w:spacing w:after="0" w:line="200" w:lineRule="exact"/>
        <w:rPr>
          <w:sz w:val="20"/>
          <w:szCs w:val="20"/>
          <w:color w:val="auto"/>
        </w:rPr>
      </w:pPr>
    </w:p>
    <w:p>
      <w:pPr>
        <w:spacing w:after="0" w:line="272"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3209925</wp:posOffset>
            </wp:positionH>
            <wp:positionV relativeFrom="paragraph">
              <wp:posOffset>-17780</wp:posOffset>
            </wp:positionV>
            <wp:extent cx="16116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ind w:left="4800"/>
        <w:spacing w:after="0" w:line="238" w:lineRule="auto"/>
        <w:rPr>
          <w:sz w:val="20"/>
          <w:szCs w:val="20"/>
          <w:color w:val="auto"/>
        </w:rPr>
      </w:pPr>
      <w:r>
        <w:rPr>
          <w:rFonts w:ascii="Arial" w:cs="Arial" w:eastAsia="Arial" w:hAnsi="Arial"/>
          <w:sz w:val="22"/>
          <w:szCs w:val="22"/>
          <w:color w:val="auto"/>
        </w:rPr>
        <w:t>Name:</w:t>
      </w:r>
    </w:p>
    <w:p>
      <w:pPr>
        <w:ind w:left="480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Date: [DATE]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740"/>
        <w:spacing w:after="0"/>
        <w:rPr>
          <w:sz w:val="20"/>
          <w:szCs w:val="20"/>
          <w:color w:val="auto"/>
        </w:rPr>
      </w:pPr>
      <w:r>
        <w:rPr>
          <w:rFonts w:ascii="Arial" w:cs="Arial" w:eastAsia="Arial" w:hAnsi="Arial"/>
          <w:sz w:val="25"/>
          <w:szCs w:val="25"/>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Aris Kekedjian</w:t>
      </w:r>
    </w:p>
    <w:p>
      <w:pPr>
        <w:spacing w:after="0" w:line="139"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Date: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349885</wp:posOffset>
            </wp:positionV>
            <wp:extent cx="558038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72" w:right="1440"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Aris Kekedjian, certify that:</w:t>
      </w:r>
    </w:p>
    <w:p>
      <w:pPr>
        <w:spacing w:after="0" w:line="225" w:lineRule="exact"/>
        <w:rPr>
          <w:sz w:val="20"/>
          <w:szCs w:val="20"/>
          <w:color w:val="auto"/>
        </w:rPr>
      </w:pPr>
    </w:p>
    <w:p>
      <w:pPr>
        <w:ind w:right="140" w:firstLine="321"/>
        <w:spacing w:after="0" w:line="277" w:lineRule="auto"/>
        <w:tabs>
          <w:tab w:leader="none" w:pos="5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joint quarterly report on Form 10-Q of Icahn Enterprises L.P. and Icahn Enterprises Holdings L.P. for the period ended June 30, 2021;</w:t>
      </w:r>
    </w:p>
    <w:p>
      <w:pPr>
        <w:spacing w:after="0" w:line="170"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40" w:firstLine="321"/>
        <w:spacing w:after="0" w:line="263" w:lineRule="auto"/>
        <w:tabs>
          <w:tab w:leader="none" w:pos="5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60" w:firstLine="325"/>
        <w:spacing w:after="0" w:line="263" w:lineRule="auto"/>
        <w:tabs>
          <w:tab w:leader="none" w:pos="829"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/s/Aris Kekedjian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6350</wp:posOffset>
            </wp:positionV>
            <wp:extent cx="33864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Aris Kekedjian</w:t>
      </w:r>
    </w:p>
    <w:p>
      <w:pPr>
        <w:spacing w:after="0" w:line="131" w:lineRule="exact"/>
        <w:rPr>
          <w:sz w:val="20"/>
          <w:szCs w:val="20"/>
          <w:color w:val="auto"/>
        </w:rPr>
      </w:pPr>
    </w:p>
    <w:p>
      <w:pPr>
        <w:jc w:val="both"/>
        <w:ind w:left="4120" w:right="80"/>
        <w:spacing w:after="0" w:line="203"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 and Icahn Enterprises Holdings L.P.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21" w:right="1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Willetts, certify that:</w:t>
      </w:r>
    </w:p>
    <w:p>
      <w:pPr>
        <w:spacing w:after="0" w:line="225" w:lineRule="exact"/>
        <w:rPr>
          <w:sz w:val="20"/>
          <w:szCs w:val="20"/>
          <w:color w:val="auto"/>
        </w:rPr>
      </w:pPr>
    </w:p>
    <w:p>
      <w:pPr>
        <w:ind w:right="140" w:firstLine="321"/>
        <w:spacing w:after="0" w:line="277" w:lineRule="auto"/>
        <w:tabs>
          <w:tab w:leader="none" w:pos="5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joint quarterly report on Form 10-Q of Icahn Enterprises L.P. and Icahn Enterprises Holdings L.P. for the period ended June 30, 2021;</w:t>
      </w:r>
    </w:p>
    <w:p>
      <w:pPr>
        <w:spacing w:after="0" w:line="170"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40" w:firstLine="321"/>
        <w:spacing w:after="0" w:line="263" w:lineRule="auto"/>
        <w:tabs>
          <w:tab w:leader="none" w:pos="5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60" w:firstLine="325"/>
        <w:spacing w:after="0" w:line="263" w:lineRule="auto"/>
        <w:tabs>
          <w:tab w:leader="none" w:pos="829"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6350</wp:posOffset>
            </wp:positionV>
            <wp:extent cx="33864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David Willetts</w:t>
      </w:r>
    </w:p>
    <w:p>
      <w:pPr>
        <w:spacing w:after="0" w:line="77" w:lineRule="exact"/>
        <w:rPr>
          <w:sz w:val="20"/>
          <w:szCs w:val="20"/>
          <w:color w:val="auto"/>
        </w:rPr>
      </w:pPr>
    </w:p>
    <w:p>
      <w:pPr>
        <w:ind w:left="4120" w:right="340"/>
        <w:spacing w:after="0" w:line="254" w:lineRule="auto"/>
        <w:rPr>
          <w:sz w:val="20"/>
          <w:szCs w:val="20"/>
          <w:color w:val="auto"/>
        </w:rPr>
      </w:pPr>
      <w:r>
        <w:rPr>
          <w:rFonts w:ascii="Arial" w:cs="Arial" w:eastAsia="Arial" w:hAnsi="Arial"/>
          <w:sz w:val="16"/>
          <w:szCs w:val="16"/>
          <w:color w:val="auto"/>
        </w:rPr>
        <w:t>Chief Financial Officer of Icahn Enterprises G.P. Inc., the general partner of Icahn Enterprises L.P. and Icahn Enterprises Holdings L.P.</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21" w:right="1239" w:bottom="1440" w:gutter="0" w:footer="0" w:header="0"/>
        </w:sectPr>
      </w:pPr>
    </w:p>
    <w:bookmarkStart w:id="76" w:name="page77"/>
    <w:bookmarkEnd w:id="76"/>
    <w:p>
      <w:pPr>
        <w:ind w:left="8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In connection with the joint quarterly report on Form 10-Q of Icahn Enterprises L.P. and Icahn Enterprises Holdings L.P., for the period ended June 30, 2021, the undersigned certify that, to the best of his knowledge, based upon a review of the Icahn Enterprises L.P. and Icahn Enterprises Holdings L.P. joint quarterly report on Form 10-Q for the period ended June 30, 2021:</w:t>
      </w:r>
    </w:p>
    <w:p>
      <w:pPr>
        <w:spacing w:after="0" w:line="149" w:lineRule="exact"/>
        <w:rPr>
          <w:sz w:val="20"/>
          <w:szCs w:val="20"/>
          <w:color w:val="auto"/>
        </w:rPr>
      </w:pPr>
    </w:p>
    <w:p>
      <w:pPr>
        <w:ind w:right="460" w:firstLine="321"/>
        <w:spacing w:after="0" w:line="277" w:lineRule="auto"/>
        <w:tabs>
          <w:tab w:leader="none" w:pos="57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500" w:firstLine="321"/>
        <w:spacing w:after="0" w:line="277" w:lineRule="auto"/>
        <w:tabs>
          <w:tab w:leader="none" w:pos="57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registrants.</w:t>
      </w:r>
    </w:p>
    <w:p>
      <w:pPr>
        <w:spacing w:after="0" w:line="23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/s/Aris Kekedjian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6350</wp:posOffset>
            </wp:positionV>
            <wp:extent cx="34118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5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Aris Kekedjian</w:t>
      </w:r>
    </w:p>
    <w:p>
      <w:pPr>
        <w:spacing w:after="0" w:line="131" w:lineRule="exact"/>
        <w:rPr>
          <w:sz w:val="20"/>
          <w:szCs w:val="20"/>
          <w:color w:val="auto"/>
        </w:rPr>
      </w:pPr>
    </w:p>
    <w:p>
      <w:pPr>
        <w:jc w:val="both"/>
        <w:ind w:left="4080" w:right="120"/>
        <w:spacing w:after="0" w:line="203"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 and Icahn Enterprises Holdings L.P.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00" w:lineRule="exact"/>
        <w:rPr>
          <w:sz w:val="20"/>
          <w:szCs w:val="20"/>
          <w:color w:val="auto"/>
        </w:rPr>
      </w:pPr>
    </w:p>
    <w:p>
      <w:pPr>
        <w:spacing w:after="0" w:line="30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6350</wp:posOffset>
            </wp:positionV>
            <wp:extent cx="338645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David Willetts</w:t>
      </w:r>
    </w:p>
    <w:p>
      <w:pPr>
        <w:spacing w:after="0" w:line="77" w:lineRule="exact"/>
        <w:rPr>
          <w:sz w:val="20"/>
          <w:szCs w:val="20"/>
          <w:color w:val="auto"/>
        </w:rPr>
      </w:pPr>
    </w:p>
    <w:p>
      <w:pPr>
        <w:ind w:left="4120" w:right="340"/>
        <w:spacing w:after="0" w:line="254" w:lineRule="auto"/>
        <w:rPr>
          <w:sz w:val="20"/>
          <w:szCs w:val="20"/>
          <w:color w:val="auto"/>
        </w:rPr>
      </w:pPr>
      <w:r>
        <w:rPr>
          <w:rFonts w:ascii="Arial" w:cs="Arial" w:eastAsia="Arial" w:hAnsi="Arial"/>
          <w:sz w:val="16"/>
          <w:szCs w:val="16"/>
          <w:color w:val="auto"/>
        </w:rPr>
        <w:t>Chief Financial Officer of Icahn Enterprises G.P. Inc., the general partner of Icahn Enterprises L.P. and Icahn Enterprises Holdings L.P.</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sectPr>
      <w:pgSz w:w="11900" w:h="16838" w:orient="portrait"/>
      <w:cols w:equalWidth="0" w:num="1">
        <w:col w:w="9420"/>
      </w:cols>
      <w:pgMar w:left="1240" w:top="12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8"/>
    </w:lvl>
  </w:abstractNum>
  <w:abstractNum w:abstractNumId="6">
    <w:nsid w:val="431BD7B7"/>
    <w:multiLevelType w:val="hybridMultilevel"/>
    <w:lvl w:ilvl="0">
      <w:lvlJc w:val="left"/>
      <w:lvlText w:val="(%1)"/>
      <w:numFmt w:val="lowerRoman"/>
      <w:start w:val="3"/>
    </w:lvl>
  </w:abstractNum>
  <w:abstractNum w:abstractNumId="7">
    <w:nsid w:val="3F2DBA31"/>
    <w:multiLevelType w:val="hybridMultilevel"/>
    <w:lvl w:ilvl="0">
      <w:lvlJc w:val="left"/>
      <w:lvlText w:val="%1."/>
      <w:numFmt w:val="decimal"/>
      <w:start w:val="11"/>
    </w:lvl>
  </w:abstractNum>
  <w:abstractNum w:abstractNumId="8">
    <w:nsid w:val="7C83E458"/>
    <w:multiLevelType w:val="hybridMultilevel"/>
    <w:lvl w:ilvl="0">
      <w:lvlJc w:val="left"/>
      <w:lvlText w:val="%1."/>
      <w:numFmt w:val="decimal"/>
      <w:start w:val="14"/>
    </w:lvl>
  </w:abstractNum>
  <w:abstractNum w:abstractNumId="9">
    <w:nsid w:val="257130A3"/>
    <w:multiLevelType w:val="hybridMultilevel"/>
    <w:lvl w:ilvl="0">
      <w:lvlJc w:val="left"/>
      <w:lvlText w:val="%1."/>
      <w:numFmt w:val="decimal"/>
      <w:start w:val="15"/>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04"/>
    </w:lvl>
  </w:abstractNum>
  <w:abstractNum w:abstractNumId="12">
    <w:nsid w:val="628C895D"/>
    <w:multiLevelType w:val="hybridMultilevel"/>
    <w:lvl w:ilvl="0">
      <w:lvlJc w:val="left"/>
      <w:lvlText w:val="%1."/>
      <w:numFmt w:val="decimal"/>
      <w:start w:val="1"/>
    </w:lvl>
    <w:lvl w:ilvl="1">
      <w:lvlJc w:val="left"/>
      <w:lvlText w:val="(%2)"/>
      <w:numFmt w:val="lowerLetter"/>
      <w:start w:val="1"/>
    </w:lvl>
  </w:abstractNum>
  <w:abstractNum w:abstractNumId="13">
    <w:nsid w:val="333AB105"/>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4">
    <w:nsid w:val="721DA317"/>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15">
    <w:nsid w:val="2443A858"/>
    <w:multiLevelType w:val="hybridMultilevel"/>
    <w:lvl w:ilvl="0">
      <w:lvlJc w:val="left"/>
      <w:lvlText w:val="%1"/>
      <w:numFmt w:val="decimal"/>
      <w:start w:val="1"/>
    </w:lvl>
    <w:lvl w:ilvl="1">
      <w:lvlJc w:val="left"/>
      <w:lvlText w:val="(%2)"/>
      <w:numFmt w:val="lowerLetter"/>
      <w:start w:val="4"/>
    </w:lvl>
  </w:abstractNum>
  <w:abstractNum w:abstractNumId="16">
    <w:nsid w:val="2D1D5AE9"/>
    <w:multiLevelType w:val="hybridMultilevel"/>
    <w:lvl w:ilvl="0">
      <w:lvlJc w:val="left"/>
      <w:lvlText w:val="%1."/>
      <w:numFmt w:val="decimal"/>
      <w:start w:val="3"/>
    </w:lvl>
    <w:lvl w:ilvl="1">
      <w:lvlJc w:val="left"/>
      <w:lvlText w:val="(%2)"/>
      <w:numFmt w:val="lowerLetter"/>
      <w:start w:val="1"/>
    </w:lvl>
  </w:abstractNum>
  <w:abstractNum w:abstractNumId="17">
    <w:nsid w:val="6763845E"/>
    <w:multiLevelType w:val="hybridMultilevel"/>
    <w:lvl w:ilvl="0">
      <w:lvlJc w:val="left"/>
      <w:lvlText w:val="%1"/>
      <w:numFmt w:val="decimal"/>
      <w:start w:val="1"/>
    </w:lvl>
    <w:lvl w:ilvl="1">
      <w:lvlJc w:val="left"/>
      <w:lvlText w:val="(%2)"/>
      <w:numFmt w:val="lowerLetter"/>
      <w:start w:val="2"/>
    </w:lvl>
  </w:abstractNum>
  <w:abstractNum w:abstractNumId="18">
    <w:nsid w:val="75A2A8D4"/>
    <w:multiLevelType w:val="hybridMultilevel"/>
    <w:lvl w:ilvl="0">
      <w:lvlJc w:val="left"/>
      <w:lvlText w:val="%1."/>
      <w:numFmt w:val="decimal"/>
      <w:start w:val="6"/>
    </w:lvl>
    <w:lvl w:ilvl="1">
      <w:lvlJc w:val="left"/>
      <w:lvlText w:val="%2"/>
      <w:numFmt w:val="lowerLetter"/>
      <w:start w:val="1"/>
    </w:lvl>
  </w:abstractNum>
  <w:abstractNum w:abstractNumId="19">
    <w:nsid w:val="8EDBDAB"/>
    <w:multiLevelType w:val="hybridMultilevel"/>
    <w:lvl w:ilvl="0">
      <w:lvlJc w:val="left"/>
      <w:lvlText w:val="%1."/>
      <w:numFmt w:val="decimal"/>
      <w:start w:val="9"/>
    </w:lvl>
  </w:abstractNum>
  <w:abstractNum w:abstractNumId="20">
    <w:nsid w:val="79838CB2"/>
    <w:multiLevelType w:val="hybridMultilevel"/>
    <w:lvl w:ilvl="0">
      <w:lvlJc w:val="left"/>
      <w:lvlText w:val="%1."/>
      <w:numFmt w:val="decimal"/>
      <w:start w:val="14"/>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3">
    <w:nsid w:val="189A769B"/>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24">
    <w:nsid w:val="54E49EB4"/>
    <w:multiLevelType w:val="hybridMultilevel"/>
    <w:lvl w:ilvl="0">
      <w:lvlJc w:val="left"/>
      <w:lvlText w:val="%1"/>
      <w:numFmt w:val="decimal"/>
      <w:start w:val="1"/>
    </w:lvl>
    <w:lvl w:ilvl="1">
      <w:lvlJc w:val="left"/>
      <w:lvlText w:val="(%2)"/>
      <w:numFmt w:val="lowerLetter"/>
      <w:start w:val="4"/>
    </w:lvl>
  </w:abstractNum>
  <w:abstractNum w:abstractNumId="25">
    <w:nsid w:val="71F32454"/>
    <w:multiLevelType w:val="hybridMultilevel"/>
    <w:lvl w:ilvl="0">
      <w:lvlJc w:val="left"/>
      <w:lvlText w:val="%1."/>
      <w:numFmt w:val="decimal"/>
      <w:start w:val="5"/>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2021-08-06T16:01:31Z</dcterms:created>
  <dcterms:modified xsi:type="dcterms:W3CDTF">2021-08-06T16:01:31Z</dcterms:modified>
</cp:coreProperties>
</file>