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3380"/>
        <w:spacing w:after="0"/>
        <w:tabs>
          <w:tab w:leader="none" w:pos="620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3380"/>
        <w:spacing w:after="0"/>
        <w:tabs>
          <w:tab w:leader="none" w:pos="620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Icahn Enterprises L.P.</w:t>
            </w:r>
          </w:p>
        </w:tc>
        <w:tc>
          <w:tcPr>
            <w:tcW w:w="170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Icahn Enterprises Holdings L.P.</w:t>
            </w:r>
          </w:p>
        </w:tc>
      </w:tr>
      <w:tr>
        <w:trPr>
          <w:trHeight w:val="20"/>
        </w:trPr>
        <w:tc>
          <w:tcPr>
            <w:tcW w:w="1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o</w:t>
            </w:r>
          </w:p>
        </w:tc>
        <w:tc>
          <w:tcPr>
            <w:tcW w:w="3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Accelerated Filer x</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4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Smaller reporting company o</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4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360"/>
        <w:spacing w:after="0"/>
        <w:tabs>
          <w:tab w:leader="none" w:pos="622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2013, there were 109,547,363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Item 2.</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60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4.</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Item 1A.</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This Quarterly Report on Form 10-Q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jc w:val="center"/>
              <w:ind w:left="345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0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430"/>
              <w:spacing w:after="0"/>
              <w:rPr>
                <w:sz w:val="20"/>
                <w:szCs w:val="20"/>
                <w:color w:val="auto"/>
              </w:rPr>
            </w:pPr>
            <w:r>
              <w:rPr>
                <w:rFonts w:ascii="Arial" w:cs="Arial" w:eastAsia="Arial" w:hAnsi="Arial"/>
                <w:sz w:val="18"/>
                <w:szCs w:val="18"/>
                <w:b w:val="1"/>
                <w:bCs w:val="1"/>
                <w:color w:val="auto"/>
                <w:w w:val="90"/>
              </w:rPr>
              <w:t>(In millions, except unit amounts)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9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brokers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0"/>
        </w:trPr>
        <w:tc>
          <w:tcPr>
            <w:tcW w:w="7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Limited partners: Depositary units: 108,025,417 and 104,850,813 units issued and outstanding at March</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31, 2013 and December 31, 2012,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26,261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4"/>
                <w:szCs w:val="14"/>
                <w:color w:val="auto"/>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from investment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allocable to: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LP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weighted average LP units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income per LP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 weighted average LP units 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46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0" w:lineRule="exact"/>
        <w:rPr>
          <w:sz w:val="20"/>
          <w:szCs w:val="20"/>
          <w:color w:val="auto"/>
        </w:rPr>
      </w:pPr>
    </w:p>
    <w:p>
      <w:pPr>
        <w:ind w:left="8920"/>
        <w:spacing w:after="0"/>
        <w:tabs>
          <w:tab w:leader="none" w:pos="1048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5"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83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3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Icahn Enterprises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8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Icahn Enterprises allocable to:</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Limited partners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8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partner</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3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$1,004 million and $982 million at March 31,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4" w:right="25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3"/>
              </w:rPr>
              <w:t>Equity Attributable to Icahn Enterprises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General Partner's</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Total Partners'</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Non-controlling</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(Deficit) Equity</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Pr>
          <w:p>
            <w:pPr>
              <w:spacing w:after="0"/>
              <w:rPr>
                <w:sz w:val="18"/>
                <w:szCs w:val="18"/>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9,773</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695</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equity offering</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20"/>
        </w:trPr>
        <w:tc>
          <w:tcPr>
            <w:tcW w:w="2980" w:type="dxa"/>
            <w:vAlign w:val="bottom"/>
          </w:tcPr>
          <w:p>
            <w:pPr>
              <w:ind w:left="20"/>
              <w:spacing w:after="0"/>
              <w:rPr>
                <w:sz w:val="20"/>
                <w:szCs w:val="20"/>
                <w:color w:val="auto"/>
              </w:rPr>
            </w:pPr>
            <w:r>
              <w:rPr>
                <w:rFonts w:ascii="Arial" w:cs="Arial" w:eastAsia="Arial" w:hAnsi="Arial"/>
                <w:sz w:val="16"/>
                <w:szCs w:val="16"/>
                <w:color w:val="auto"/>
                <w:w w:val="98"/>
              </w:rPr>
              <w:t>Dividends paid to non-controlling interests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2980" w:type="dxa"/>
            <w:vAlign w:val="bottom"/>
          </w:tcPr>
          <w:p>
            <w:pPr>
              <w:ind w:left="100"/>
              <w:spacing w:after="0"/>
              <w:rPr>
                <w:sz w:val="20"/>
                <w:szCs w:val="20"/>
                <w:color w:val="auto"/>
              </w:rPr>
            </w:pPr>
            <w:r>
              <w:rPr>
                <w:rFonts w:ascii="Arial" w:cs="Arial" w:eastAsia="Arial" w:hAnsi="Arial"/>
                <w:sz w:val="16"/>
                <w:szCs w:val="16"/>
                <w:color w:val="auto"/>
              </w:rPr>
              <w:t>in subsidiaries</w:t>
            </w:r>
          </w:p>
        </w:tc>
        <w:tc>
          <w:tcPr>
            <w:tcW w:w="1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CVR Refining IPO</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10,929</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12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5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r>
      <w:tr>
        <w:trPr>
          <w:trHeight w:val="19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Pr>
          <w:p>
            <w:pPr>
              <w:spacing w:after="0"/>
              <w:rPr>
                <w:sz w:val="17"/>
                <w:szCs w:val="17"/>
                <w:color w:val="auto"/>
              </w:rPr>
            </w:pPr>
          </w:p>
        </w:tc>
        <w:tc>
          <w:tcPr>
            <w:tcW w:w="1040" w:type="dxa"/>
            <w:vAlign w:val="bottom"/>
            <w:gridSpan w:val="3"/>
          </w:tcPr>
          <w:p>
            <w:pPr>
              <w:jc w:val="right"/>
              <w:ind w:right="48"/>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17"/>
                <w:szCs w:val="17"/>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from securities transactions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(1,158)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4"/>
              </w:rPr>
              <w:t>(1,756)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4,218</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(4,317)</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(2,412)</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sale of discontinued operations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8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cash held at consolidated affiliated partnerships and restricted cash</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2,729</w:t>
            </w:r>
          </w:p>
        </w:tc>
      </w:tr>
      <w:tr>
        <w:trPr>
          <w:trHeight w:val="264"/>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Changes in other operating assets and liabilities</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Net payments associated with business dispositions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of businesses, net of cash acquired</w:t>
            </w:r>
          </w:p>
        </w:tc>
        <w:tc>
          <w:tcPr>
            <w:tcW w:w="8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equity offerings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Partnership distributions</w:t>
            </w: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in subsidiaries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senior unsecured notes</w:t>
            </w:r>
          </w:p>
        </w:tc>
        <w:tc>
          <w:tcPr>
            <w:tcW w:w="8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Proceeds from other borrowings</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borrowings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Change in restricted cash relating to variable rate note discharge</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1,326</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2,278</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3,467</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information:</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payments for interest, net of amounts capitalized</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r>
      <w:tr>
        <w:trPr>
          <w:trHeight w:val="21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payments for income taxes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Distribution payable to LP unitholders</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unrealized gain on available-for-sale securities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8580" w:type="dxa"/>
            <w:vAlign w:val="bottom"/>
          </w:tcPr>
          <w:p>
            <w:pPr>
              <w:ind w:left="40"/>
              <w:spacing w:after="0"/>
              <w:rPr>
                <w:sz w:val="20"/>
                <w:szCs w:val="20"/>
                <w:color w:val="auto"/>
              </w:rPr>
            </w:pPr>
            <w:r>
              <w:rPr>
                <w:rFonts w:ascii="Arial" w:cs="Arial" w:eastAsia="Arial" w:hAnsi="Arial"/>
                <w:sz w:val="14"/>
                <w:szCs w:val="14"/>
                <w:color w:val="auto"/>
              </w:rPr>
              <w:t>Redemptions payable to non-controlling interests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8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0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CONSOLIDATED BALANCE SHEETS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430"/>
              <w:spacing w:after="0"/>
              <w:rPr>
                <w:sz w:val="20"/>
                <w:szCs w:val="20"/>
                <w:color w:val="auto"/>
              </w:rPr>
            </w:pPr>
            <w:r>
              <w:rPr>
                <w:rFonts w:ascii="Arial" w:cs="Arial" w:eastAsia="Arial" w:hAnsi="Arial"/>
                <w:sz w:val="18"/>
                <w:szCs w:val="18"/>
                <w:b w:val="1"/>
                <w:bCs w:val="1"/>
                <w:color w:val="auto"/>
                <w:w w:val="93"/>
              </w:rPr>
              <w:t>(In millions)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9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brokers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Post-employment benefit liability</w:t>
            </w:r>
          </w:p>
        </w:tc>
        <w:tc>
          <w:tcPr>
            <w:tcW w:w="3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26,275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4"/>
                <w:szCs w:val="14"/>
                <w:color w:val="auto"/>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from investment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 allocable to: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5"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5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Holdings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0"/>
        </w:trPr>
        <w:tc>
          <w:tcPr>
            <w:tcW w:w="8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Holdings allocable to:</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34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$1,004 million and $982 million at March 31,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Equity Attributable to Icahn Enterprises Holdings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General Partner's</w:t>
            </w: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Limited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Total Partners'</w:t>
            </w: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Non-controlling</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 (Deficit)</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Partner's Equity</w:t>
            </w: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Equity</w:t>
            </w: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Pr>
          <w:p>
            <w:pPr>
              <w:spacing w:after="0"/>
              <w:rPr>
                <w:sz w:val="18"/>
                <w:szCs w:val="18"/>
                <w:color w:val="auto"/>
              </w:rPr>
            </w:pPr>
          </w:p>
        </w:tc>
        <w:tc>
          <w:tcPr>
            <w:tcW w:w="1340" w:type="dxa"/>
            <w:vAlign w:val="bottom"/>
          </w:tcPr>
          <w:p>
            <w:pPr>
              <w:jc w:val="right"/>
              <w:ind w:right="277"/>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4,984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4,691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9,795</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7"/>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7"/>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6"/>
                <w:szCs w:val="16"/>
                <w:color w:val="auto"/>
              </w:rPr>
              <w:t>695</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equity offering</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2980" w:type="dxa"/>
            <w:vAlign w:val="bottom"/>
          </w:tcPr>
          <w:p>
            <w:pPr>
              <w:ind w:left="120"/>
              <w:spacing w:after="0"/>
              <w:rPr>
                <w:sz w:val="20"/>
                <w:szCs w:val="20"/>
                <w:color w:val="auto"/>
              </w:rPr>
            </w:pPr>
            <w:r>
              <w:rPr>
                <w:rFonts w:ascii="Arial" w:cs="Arial" w:eastAsia="Arial" w:hAnsi="Arial"/>
                <w:sz w:val="16"/>
                <w:szCs w:val="16"/>
                <w:color w:val="auto"/>
              </w:rPr>
              <w:t>in subsidiaries</w:t>
            </w:r>
          </w:p>
        </w:tc>
        <w:tc>
          <w:tcPr>
            <w:tcW w:w="1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CVR Refining IPO</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487</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5,090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10,951</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5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r>
      <w:tr>
        <w:trPr>
          <w:trHeight w:val="19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Pr>
          <w:p>
            <w:pPr>
              <w:spacing w:after="0"/>
              <w:rPr>
                <w:sz w:val="17"/>
                <w:szCs w:val="17"/>
                <w:color w:val="auto"/>
              </w:rPr>
            </w:pPr>
          </w:p>
        </w:tc>
        <w:tc>
          <w:tcPr>
            <w:tcW w:w="1040" w:type="dxa"/>
            <w:vAlign w:val="bottom"/>
            <w:gridSpan w:val="3"/>
          </w:tcPr>
          <w:p>
            <w:pPr>
              <w:jc w:val="right"/>
              <w:ind w:right="48"/>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17"/>
                <w:szCs w:val="17"/>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from securities transactions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(1,158)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4"/>
              </w:rPr>
              <w:t>(1,756)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4,218</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(4,317)</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(2,412)</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sale of discontinued operations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85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8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cash held at consolidated affiliated partnerships and restricted cash</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2,729</w:t>
            </w:r>
          </w:p>
        </w:tc>
      </w:tr>
      <w:tr>
        <w:trPr>
          <w:trHeight w:val="264"/>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Changes in other operating assets and liabilities</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Net payments associated with business dispositions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of businesses, net of cash acquired</w:t>
            </w:r>
          </w:p>
        </w:tc>
        <w:tc>
          <w:tcPr>
            <w:tcW w:w="8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equity offerings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Partnership distributions</w:t>
            </w: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in subsidiaries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senior unsecured notes</w:t>
            </w:r>
          </w:p>
        </w:tc>
        <w:tc>
          <w:tcPr>
            <w:tcW w:w="8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Proceeds from other borrowings</w:t>
            </w:r>
          </w:p>
        </w:tc>
        <w:tc>
          <w:tcPr>
            <w:tcW w:w="8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borrowings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Change in restricted cash relating to variable rate note discharge</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1,326</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2,278</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3,467</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information:</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payments for interest, net of amounts capitalized</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r>
      <w:tr>
        <w:trPr>
          <w:trHeight w:val="21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payments for income taxes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Distribution payable to Icahn Enterprises LP unitholders</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unrealized gain on available-for-sale securities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8580" w:type="dxa"/>
            <w:vAlign w:val="bottom"/>
          </w:tcPr>
          <w:p>
            <w:pPr>
              <w:ind w:left="40"/>
              <w:spacing w:after="0"/>
              <w:rPr>
                <w:sz w:val="20"/>
                <w:szCs w:val="20"/>
                <w:color w:val="auto"/>
              </w:rPr>
            </w:pPr>
            <w:r>
              <w:rPr>
                <w:rFonts w:ascii="Arial" w:cs="Arial" w:eastAsia="Arial" w:hAnsi="Arial"/>
                <w:sz w:val="14"/>
                <w:szCs w:val="14"/>
                <w:color w:val="auto"/>
              </w:rPr>
              <w:t>Redemptions payable to non-controlling interests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8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6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2013.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the allocation of the general partner interest, which is reflected as an aggregate 1.99% general partner interest in the financial statements of Icahn Enterprises as of March 31, 2013. In addition to the above, Mr. Icahn and his affiliates owned 97,764,251, or approximately 90.5%, of Icahn Enterprises' outstanding depositary units as of March 31, 2013.</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accompanying consolidated financial statements and related notes should be read in conjunction with our consolidated financial statements and related notes contained in our Annual Report on Form 10-K for the year ended December 31, 2012. The consolidated financial statements have been prepared in accordance with the rules and regulations of the Securities and Exchange Commission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On May 4, 2012, we acquired a controlling interest in CVR Energy, Inc. ("CVR") and have allocated the total purchase price to the fair value of assets acquired and liabilities assumed based on their fair values at the acquisition date, with amounts exceeding fair values recorded as goodwill. The purchase price allocation is preliminary and is subject to additional adjustments. The purchase price allocation will be finalized during the second quarter of 2013.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consolidated financial statements include the accounts of (i) Icahn Enterprises and (ii) the wholly and majority owned subsidiaries of Icahn Enterprises, in addition to those entities in which we have a controlling interest as a general partner interest or in which we may be the primary beneficiary of a variable interest entity (“VIE”). In evaluating whether we have 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controlling financial interest in entities in which we would consolidate, we consider the following: (1) for voting interest entities, we consolidate these entities in which we own a majority of the voting interests; and (2) for limited partnership entities that are not considered VIEs,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our long-term debt is based on the quoted market prices for the same or similar issues or on the current rates offered to us for debt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remaining maturities. The carrying value and estimated fair value of our long-term debt as of March 31, 2013 was approximately $8.2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 billion, respectively. The carrying value and estimated fair value of our long-term debt as of December 31, 2012 was approximately $8.5 billion and $8.6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restricted cash balance was approximately $1.3 billion and $0.7 billion as of March 31, 2013 and December 31, 2012,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378"/>
        <w:spacing w:after="0" w:line="288" w:lineRule="auto"/>
        <w:rPr>
          <w:sz w:val="20"/>
          <w:szCs w:val="20"/>
          <w:color w:val="auto"/>
        </w:rPr>
      </w:pPr>
      <w:r>
        <w:rPr>
          <w:rFonts w:ascii="Arial" w:cs="Arial" w:eastAsia="Arial" w:hAnsi="Arial"/>
          <w:sz w:val="16"/>
          <w:szCs w:val="16"/>
          <w:color w:val="auto"/>
        </w:rPr>
        <w:t xml:space="preserve">In December 2011, the FASB issued ASU No. 2011-11, which amends FASB ASC Topic 210,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This ASU requires companies to disclose both gross and net information about instruments and transactions eligible for offset in the statement of financial position as well as instruments and transactions subject to an agreement similar to a master netting arrangement. In January 2013, the FASB issued ASU No. 2013-01, </w:t>
      </w:r>
      <w:r>
        <w:rPr>
          <w:rFonts w:ascii="Arial" w:cs="Arial" w:eastAsia="Arial" w:hAnsi="Arial"/>
          <w:sz w:val="16"/>
          <w:szCs w:val="16"/>
          <w:i w:val="1"/>
          <w:iCs w:val="1"/>
          <w:color w:val="auto"/>
        </w:rPr>
        <w:t>Balance Sheet (Topic 210)</w:t>
      </w:r>
    </w:p>
    <w:p>
      <w:pPr>
        <w:ind w:right="20" w:firstLine="8"/>
        <w:spacing w:after="0" w:line="255" w:lineRule="auto"/>
        <w:tabs>
          <w:tab w:leader="none" w:pos="1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Clarifying the Scope of Disclosures about Offsetting Assets and Liabilities. </w:t>
      </w:r>
      <w:r>
        <w:rPr>
          <w:rFonts w:ascii="Arial" w:cs="Arial" w:eastAsia="Arial" w:hAnsi="Arial"/>
          <w:sz w:val="18"/>
          <w:szCs w:val="18"/>
          <w:color w:val="auto"/>
        </w:rPr>
        <w:t>This ASU limits the scope of the original guidance. These ASUs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retrospectively for interim and annual periods beginning on or after January 1, 2013. We adopted these additional disclosure requirements effective January 1, 2013 which had minimal impact on our disclosures.</w:t>
      </w:r>
    </w:p>
    <w:p>
      <w:pPr>
        <w:spacing w:after="0" w:line="82"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Comprehensive Income (Topic 220): Reporting of Amounts Reclassified out of 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Comprehensive Income. </w:t>
      </w:r>
      <w:r>
        <w:rPr>
          <w:rFonts w:ascii="Arial" w:cs="Arial" w:eastAsia="Arial" w:hAnsi="Arial"/>
          <w:sz w:val="16"/>
          <w:szCs w:val="16"/>
          <w:color w:val="auto"/>
        </w:rPr>
        <w:t>This ASU requires an entity to provide information about amounts reclassified out of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by component. The guidance is effective prospectively for interim and annual periods beginning after December 15, 2012. We adopted these additional disclosure requirements effective January 1, 2013. See Note15, "Changes in Accumulated Other Comprehensive Loss," for additional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 xml:space="preserve">In February 2013, the FASB issued ASU No. 2013-04, which amends FASB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0"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early adopts this guidance, it apply them as of the beginning of the entity's fiscal year of adoption. The adoption of this ASU will not have a material impact on our consolidated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280" w:firstLine="378"/>
        <w:spacing w:after="0" w:line="286" w:lineRule="auto"/>
        <w:rPr>
          <w:sz w:val="20"/>
          <w:szCs w:val="20"/>
          <w:color w:val="auto"/>
        </w:rPr>
      </w:pPr>
      <w:r>
        <w:rPr>
          <w:rFonts w:ascii="Arial" w:cs="Arial" w:eastAsia="Arial" w:hAnsi="Arial"/>
          <w:sz w:val="17"/>
          <w:szCs w:val="17"/>
          <w:color w:val="auto"/>
        </w:rPr>
        <w:t xml:space="preserve">Federal-Mogul Corporation (“Federal-Mogul”), CVR, American Railcar Industries, Inc. (“ARI”) and Tropicana Entertainment Inc. (“Tropicana”) are each a public reporting entity under the Securities Exchange Act of 1934, as amended, and file annual, quarterly and current reports and proxy and information statements with the Securities and Exchange Commission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Icahn Onshore LP and Icahn Offshore LP (together, the “General Partners”) act as general partner of Icahn Partners LP ("Icahn Partners") and the Master Funds (as defined herein), respectively. The General Partners provide investment advisory and certain administrative and back office services to the Investment Funds (as defined below) but do not provide such services to any other entities, individuals or accounts. The “Master Funds” consist of (i) Master Fund I, (ii) Master Fund II and (iii) Master Fund III. Icahn Partners and the Master Funds are collectively referred to herein as the “Investment Funds.” Interests in the Investment Funds are not offered to outside investors.</w:t>
      </w:r>
    </w:p>
    <w:p>
      <w:pPr>
        <w:spacing w:after="0" w:line="80"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We had interests in the Investment Funds with a fair value of approximately $2.6 billion and $2.4 billion as of March 31, 2013 and December 31, 2012, respectively. Mr. Icahn and his affiliates (excluding Icahn Enterprises and Icahn Enterprises Holdings) had direct investments in the Investment Funds of approximately $3.9 billion and $3.5 billion as of March 31, 2013, and December 31, 2012,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right="180" w:firstLine="378"/>
        <w:spacing w:after="0" w:line="279" w:lineRule="auto"/>
        <w:rPr>
          <w:sz w:val="20"/>
          <w:szCs w:val="20"/>
          <w:color w:val="auto"/>
        </w:rPr>
      </w:pPr>
      <w:r>
        <w:rPr>
          <w:rFonts w:ascii="Arial" w:cs="Arial" w:eastAsia="Arial" w:hAnsi="Arial"/>
          <w:sz w:val="17"/>
          <w:szCs w:val="17"/>
          <w:color w:val="auto"/>
        </w:rPr>
        <w:t>We conduct our Automotive segment through our majority ownership in Federal-Mogul. Federal-Mogul is a leading global supplier of technology and innovation in vehicle and industrial products for fuel economy, emissions reduction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w:t>
      </w:r>
    </w:p>
    <w:p>
      <w:pPr>
        <w:spacing w:after="0" w:line="63" w:lineRule="exact"/>
        <w:rPr>
          <w:sz w:val="20"/>
          <w:szCs w:val="20"/>
          <w:color w:val="auto"/>
        </w:rPr>
      </w:pPr>
    </w:p>
    <w:p>
      <w:pPr>
        <w:ind w:right="280" w:firstLine="378"/>
        <w:spacing w:after="0" w:line="290" w:lineRule="auto"/>
        <w:rPr>
          <w:sz w:val="20"/>
          <w:szCs w:val="20"/>
          <w:color w:val="auto"/>
        </w:rPr>
      </w:pPr>
      <w:r>
        <w:rPr>
          <w:rFonts w:ascii="Arial" w:cs="Arial" w:eastAsia="Arial" w:hAnsi="Arial"/>
          <w:sz w:val="16"/>
          <w:szCs w:val="16"/>
          <w:color w:val="auto"/>
        </w:rPr>
        <w:t>Effective September 1, 2012, Federal-Mogul began operating with two end-customer focused business units. The Powertrain (“PT”) unit focuses on original equipment powertrain and systems protection products for automotive, heavy-duty and industrial applications. The Vehicle Components Solutions (“VCS”) unit sells and distributes a broad portfolio of products in the global vehicle aftermarket and OES market, while also serving OEMs with vehicle products including brake friction, chassis, wipers and other vehicle components. The new organizational model allows for a strong product line focus benefiting both original equipment and aftermarket customers and will enable the global Federal-Mogul teams to be responsive to customers' needs for superior products and to promote greater identification with Federal-Mogul premium brands. The division of the global Federal-Mogul business into two business units is expected to enhance management focus to capitalize on opportunities for organic or acquisition growth, profit improvement, resource utilization and business model optimization in line with the unique requirements of the two different customer bases.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2013, we owned approximately 77.6%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 xml:space="preserve">Federal-Mogul's subsidiaries in Brazil, France, Germany, Italy, Japan and the United States are party to accounts receivable factoring and securitization facilities. Gross accounts receivable transferred under these facilities were $248 million and $217 million as of March 31, 2013 and December 31, 2012, respectively. Of those gross amounts, $244 million and $216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consolidated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sheets within accounts receivable, net and debt. Under the terms of these facilities, Federal-Mogul is not obligated to draw cash immediately upon the transfer of accounts receivable. As of both March 31, 2013 and December 31, 2012, Federal-Mogul had no outstanding transferred receivables for which cash had not yet been drawn. Proceeds from the transfers of accounts receivable qualifying as sales were approximately $333 million and $414 million for the three months ended March 31, 2013 and 2012, respectively.</w:t>
      </w:r>
    </w:p>
    <w:p>
      <w:pPr>
        <w:spacing w:after="0" w:line="71"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For the three months ended March 31, 2013 and 2012, expenses associated with transfers of receivables were $1 million and $2 million, respectively, and were recorded in the consolidated statements of operations within other income, net. Where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Federal-Mogul receives a fee to service and monitor these transferred receivables, such fees are sufficient to offset the costs and as such, a servicing asset or liability is not incurred as a result of such activities.</w:t>
      </w:r>
    </w:p>
    <w:p>
      <w:pPr>
        <w:spacing w:after="0" w:line="62" w:lineRule="exact"/>
        <w:rPr>
          <w:sz w:val="20"/>
          <w:szCs w:val="20"/>
          <w:color w:val="auto"/>
        </w:rPr>
      </w:pPr>
    </w:p>
    <w:p>
      <w:pPr>
        <w:jc w:val="both"/>
        <w:ind w:right="140" w:firstLine="378"/>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exposures to Federal-Mogul associated with certain of these facilities' terms were $29 million and $19 million at March 31, 2013 and December 31, 2012, respectively. Based on Federal-Mogul's analysis of the creditworthiness of its customers on which such receivables were sold and outstanding as of March 31, 2013 and December 31, 2012,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200" w:firstLine="378"/>
        <w:spacing w:after="0" w:line="312" w:lineRule="auto"/>
        <w:rPr>
          <w:sz w:val="20"/>
          <w:szCs w:val="20"/>
          <w:color w:val="auto"/>
        </w:rPr>
      </w:pPr>
      <w:r>
        <w:rPr>
          <w:rFonts w:ascii="Arial" w:cs="Arial" w:eastAsia="Arial" w:hAnsi="Arial"/>
          <w:sz w:val="16"/>
          <w:szCs w:val="16"/>
          <w:color w:val="auto"/>
        </w:rPr>
        <w:t>In June 2012, Federal-Mogul announced a restructuring plan ("Restructuring 2012") to reduce or eliminate capacity at several high-cost VCS facilities and transfer production to lower-cost locations. Restructuring 2012 is anticipated to be completed within two years. In connection Restructuring 2012, Federal-Mogul recorded $1 million in restructuring charges for the three months ended March 31, 2013, all of which pertain to employee costs.</w:t>
      </w:r>
    </w:p>
    <w:p>
      <w:pPr>
        <w:spacing w:after="0" w:line="3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$82 million, of which $65 million and $17 million pertains to employee costs and facility costs, respectively. In connection with Restructuring 2013, Federal-Mogul recorded $7 million in restructuring charges for the three months ended March 31, 2013, all of which pertain to employee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Energy segment through our majority ownership in CVR. We acquired a controlling interest in CVR on May 4, 2012.</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March 31, 2013, CVR owned the general partner and approximately 81% of the common units of CVR Refining (following the initial public offering of CVR Refining ("CVR Refining IPO") as discussed below) and approximately 70% of the common units of CVR Partners.</w:t>
      </w:r>
    </w:p>
    <w:p>
      <w:pPr>
        <w:spacing w:after="0" w:line="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this offering. Additionally, on January 30, 2013, the underwriters closed their option to purchase additional common units of CVR Refining, resulting in gross proceeds of $90 million, before giving effect to underwriting discounts and other offering costs.</w:t>
      </w:r>
    </w:p>
    <w:p>
      <w:pPr>
        <w:spacing w:after="0" w:line="80"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Following the CVR Refining IPO, CVR indirectly owned approximately 81% of CVR Refining's outstanding common units and 100% of the Partnership's general partner, which holds a non-economic general partner interest.</w:t>
      </w:r>
    </w:p>
    <w:p>
      <w:pPr>
        <w:spacing w:after="0" w:line="62"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As of March 31, 2013, we owned 82.0% of the total outstanding common stock of CVR. In addition, as of March 31, 2013, as a result of purchasing common units of CVR Refining as discussed above, we owned approximately 2.7% of the total outstanding common stock of CVR Refining.</w:t>
      </w:r>
    </w:p>
    <w:p>
      <w:pPr>
        <w:spacing w:after="0" w:line="1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Petroleum business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petroleum business consists of CVR's interest in CVR Refining. CVR's petroleum business includes a 115,000 barrels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("bpd") complex full coking medium-sour crude oil refinery in Coffeyville, Kansas and a 70,000 bpd crude oil unit refinery in Wynnewood, Oklahoma. The combined production capacity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5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 addition to the refineries, CVR's petroleum business owns and operates the following: (1) a crude oil gathering system with a gathering capacity of approximately 50,000 bpd serving Kansas, Oklahoma, Missouri, Nebraska and Texas, (2) a rack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350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and (6) 1.0 million barrels of company owned crude oil storage in Cushing, Oklahoma.</w:t>
      </w:r>
    </w:p>
    <w:p>
      <w:pPr>
        <w:spacing w:after="0" w:line="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Nitrogen fertilizer business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nitrogen fertilizer business consists of CVR's interest in CVR Partners. The nitrogen fertilizer business consists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nitrogen fertilizer manufacturing facility that is the only operation in North America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378"/>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conduct our Railcar segment through our majority ownership in ARI and our indirect wholly-owned subsidiary AEP Leasing LLC ("AEP Leasing"). ARI manufactures railcars, which are offered for sale or lease, custom designed railcar parts and other industrial products, primarily aluminum and special alloy steel castings. These products are sold to various types of companies including leasing companies, railroads, industrial companies and other non-rail companies. ARI leases railcars that it manufactures to certain markets. ARI provides railcar repair and maintenance services for railcar fleets. In addition, ARI provides fleet management, maintenance, engineering and field services for railcars owned by certain customers. Such services include maintenance planning, project management, tracking and tracing, regulatory compliance, mileage audit, rolling stock taxes and online service access.</w:t>
      </w:r>
    </w:p>
    <w:p>
      <w:pPr>
        <w:spacing w:after="0" w:line="5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August 17, 2012, AEP Leasing was formed for the purpose of leasing railcars. AEP Leasing's business is managed by American Railcar Leasing LLC ("ARL"), an entity controlled by Mr. Icahn and which also manages ARI's leasing business. AEP Leasing began purchasing railcars from ARI in the third quarter of 2012 with terms and pricing not less favorable to ARI than the terms and pricing available to unaffiliated third parties. Transactions between AEP Leasing and ARI have been eliminated in consolidation.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2013, we owned approximately 55.6%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372,000 square feet of gaming space with 7,100 slot machines, 210 table games and 6,000 hotel rooms with three casino facilities located in Nevada and one in each of Mississippi, Indiana, Louisiana, New Jersey and Aruba.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2013,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poultry industry. Viskase currently operates eight manufacturing facilities and ten distribution centers throughout North America, Europe, South America and Asia and derives approximately 73% of its total net sales from customers located outside the United States.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2013, we owned approximately 70.8%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As of March 31, 2013,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322 and 870 units of residential housing, respectively. Both developments operate golf and resort operations as well. In addition, our Real Estate segment owns an unfinished development property which is located on approximately 23 acres in Las Vegas, Nevada.</w:t>
      </w:r>
    </w:p>
    <w:p>
      <w:pPr>
        <w:spacing w:after="0" w:line="57" w:lineRule="exact"/>
        <w:rPr>
          <w:sz w:val="20"/>
          <w:szCs w:val="20"/>
          <w:color w:val="auto"/>
        </w:rPr>
      </w:pPr>
    </w:p>
    <w:p>
      <w:pPr>
        <w:ind w:right="280" w:firstLine="378"/>
        <w:spacing w:after="0" w:line="342" w:lineRule="auto"/>
        <w:rPr>
          <w:sz w:val="20"/>
          <w:szCs w:val="20"/>
          <w:color w:val="auto"/>
        </w:rPr>
      </w:pPr>
      <w:r>
        <w:rPr>
          <w:rFonts w:ascii="Arial" w:cs="Arial" w:eastAsia="Arial" w:hAnsi="Arial"/>
          <w:sz w:val="16"/>
          <w:szCs w:val="16"/>
          <w:color w:val="auto"/>
        </w:rPr>
        <w:t>As of March 31, 2013 and December 31, 2012, $72 million and $73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manufacturing, sourcing, designing, marketing, distributing and selling home fashion consumer products. WPH markets a broad range of manufactured and sourced bed and bath products, including sheets, pillowcases, bedspreads, quilts, comforters and duvet covers, featherbeds,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70"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WPH has transitioned a significant majority of its manufacturing to low-cost countries but continues to maintain its corporate offices and certain distribution operations in the United States.</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2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March 31, 2013 and December 31, 2012, the total fair market value of investments in the Investment Funds made by Mr. Icahn and his affiliates was approximately $3.9 billion and $3.5 billion, respectively.</w:t>
      </w:r>
    </w:p>
    <w:p>
      <w:pPr>
        <w:spacing w:after="0" w:line="73"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Effective April 1, 2011, based on an expense-sharing arrangement, certain expenses borne by Icahn Capital are reimbursed by the Investment Funds, generally when such expenses are paid. Such expenses relate to the operation, administration and investment activities of Icahn Capital for the benefit of the Investment Funds (including salaries, benefits and rent) and shall be allocated pro rata in accordance with each investor's capital accounts in the Investment Funds. For the three months ended March 31, 2013 and 2012, $27 million and $3 million, respectively, was allocated to the Investment Funds based on this expense-sharing arrangement.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American Railcar Leasing LLC</w:t>
      </w:r>
    </w:p>
    <w:p>
      <w:pPr>
        <w:spacing w:after="0" w:line="117"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Effective April 16, 2011, ARI entered into a fleet services agreement ("Railcar Services Agreement") with ARL, a company controlled by Mr. Icahn, for a term of three years that will automatically renew for additional one-year periods unless either party provides at least 60 days written prior notice of termination. As stipulated in the Railcar Services Agreement, ARI provides railcar repair, engineering, administrative and other services, on an as needed basis, for ARL's lease fleet at mutually agreed-upon prices. Railcar services revenues, included in other revenues from operations in our consolidated statements of operations, recorded by ARI were $5 million under this agreement for each of the three months ended March 31, 2013 and 2012, respectively. The terms and pricing on services to related parties are not less favorable to ARI than the terms and pricing on services provided to unaffiliated third parties. The Railcar Services Agreement was unanimously approved by the independent directors of ARI's audit committee on the basis that the terms were no less favorable than those terms that could have been obtained in a comparable transaction with an unaffiliated third party.</w:t>
      </w:r>
    </w:p>
    <w:p>
      <w:pPr>
        <w:spacing w:after="0" w:line="71"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On February 29, 2012, ARI entered into a railcar management agreement (the "ARI Railcar Management Agreement") with ARL, pursuant to which ARI engaged ARL to sell or lease ARI's railcars in certain markets, subject to the terms and conditions of the ARI Railcar Management Agreement. The ARI Railcar Management Agreement was effective as of January 1, 2011, will continue through December 31, 2015 and may be renewed upon written agreement by both parties. In December 2012, a subsidiary of ARI entered into a similar agreement with ARL with a term of five years.</w:t>
      </w:r>
    </w:p>
    <w:p>
      <w:pPr>
        <w:spacing w:after="0" w:line="46" w:lineRule="exact"/>
        <w:rPr>
          <w:sz w:val="20"/>
          <w:szCs w:val="20"/>
          <w:color w:val="auto"/>
        </w:rPr>
      </w:pPr>
    </w:p>
    <w:p>
      <w:pPr>
        <w:ind w:right="180" w:firstLine="378"/>
        <w:spacing w:after="0" w:line="302" w:lineRule="auto"/>
        <w:rPr>
          <w:sz w:val="20"/>
          <w:szCs w:val="20"/>
          <w:color w:val="auto"/>
        </w:rPr>
      </w:pPr>
      <w:r>
        <w:rPr>
          <w:rFonts w:ascii="Arial" w:cs="Arial" w:eastAsia="Arial" w:hAnsi="Arial"/>
          <w:sz w:val="16"/>
          <w:szCs w:val="16"/>
          <w:color w:val="auto"/>
        </w:rPr>
        <w:t>On August 30, 2012, AEP Leasing entered into a railcar management agreement with ARL (the "AEP Railcar Management Agreement" and together with the ARI Railcar Management Agreement, the "Railcar Management Agreements"), pursuant to which AEP Leasing engaged ARL to sell or lease AEP Leasing's railcars in certain markets, subject to the terms and conditions of the AEP Railcar Management Agreement. The AEP Railcar Management Agreement was effective as of August 30, 2012, will continue through December 31, 2022 and may be renewed upon written agreement by both parties.</w:t>
      </w:r>
    </w:p>
    <w:p>
      <w:pPr>
        <w:spacing w:after="0" w:line="46"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The Railcar Management Agreements also provide that ARL will manage ARI's and AEP Leasing's leased railcars including arranging for services, such as repairs or maintenance, as deemed necessary. Subject to the terms and conditions of the agreement, ARL will receive, in respect of leased railcars, a fee consisting of a lease origination fee and a management fee based on the lease revenues, and, in respect of railcars sold by ARL, sales commissions. The ARI Railcar Management Agreement was unanimously approved by ARI's special committee and Icahn Enterprises' audit committee who were advised by independent counsel and an independent financial advisor. The AEP Railcar Management Agreement was unanimously approved by Icahn Enterprises' audit committee was advised by independent counsel and an independent financial advisor. Each of the Railcar Management Agreements was approved by the applicable special or audit committees on the basis that the terms of the Railcar Management Agreements were not materially less favorable than those terms that could have been obtained in a comparable transaction with an unaffiliated third party. Combined fees incurred by ARI and AEP Leasing in connection with the Railcar Management Agreements were immaterial for each of the three months ended March 31, 2013 and 2012.</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2013 and December 31, 2012, our Railcar segment had accounts receivable of $3 million and $2 million, respectively, due from ARL.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included in other assets in our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2013. In addition to the minority equity interest held by Icahn Enterprises Holdings, certain subsidiaries of Icahn Enterprises Holdings, including Federal-Mogul, CVR, Tropicana, ARI, Viskase, PSC Metals and WPH also acquired minority equity interests in Insight Portfolio Group and agreed to pay a portion of Insight Portfolio Group's operating expenses in 2013. A number of other entities with which Mr. Icahn has a relationship also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7"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acquired equity interests in Insight Portfolio Group and also agreed to pay certain of Insight Portfolio Group's operating expenses in 2013.</w:t>
      </w:r>
    </w:p>
    <w:p>
      <w:pPr>
        <w:spacing w:after="0" w:line="31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5, "Fair Value Measurements-Investment," for details of the investments for our Investment segment.</w:t>
      </w:r>
    </w:p>
    <w:p>
      <w:pPr>
        <w:spacing w:after="0" w:line="73"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Our Investment segment applied the fair value option to certain of its investments that would have otherwise been subject to the equity method of accounting. As of March 31, 2013, the fair value of these investments was $354 million. During the three months ended March 31, 2013 and 2012, our Investment segment recorded gains of $40 million and $121 million, respectively, associated with these investments. Such amounts are included in net gain from investment activities in our consolidated statements of operations. Included in these investment gains and losses is the Investment Funds' gains and losses in The Hain Celestial Group, Inc. (“Hain”) and Metro-Golden-Mayer Inc. ("MGM"). As of March 31, 2013, the Investment Funds, together with their affiliates held, in the aggregate, approximately 16% of the outstanding shares of Hain. As of March 31, 2013, the Investment Funds no longer held any shares of MGM. The General Partners have applied the fair value option to their investments in Hain and previously to MGM.</w:t>
      </w:r>
    </w:p>
    <w:p>
      <w:pPr>
        <w:spacing w:after="0" w:line="70" w:lineRule="exact"/>
        <w:rPr>
          <w:sz w:val="20"/>
          <w:szCs w:val="20"/>
          <w:color w:val="auto"/>
        </w:rPr>
      </w:pPr>
    </w:p>
    <w:p>
      <w:pPr>
        <w:ind w:right="600" w:firstLine="378"/>
        <w:spacing w:after="0" w:line="308" w:lineRule="auto"/>
        <w:rPr>
          <w:sz w:val="20"/>
          <w:szCs w:val="20"/>
          <w:color w:val="auto"/>
        </w:rPr>
      </w:pPr>
      <w:r>
        <w:rPr>
          <w:rFonts w:ascii="Arial" w:cs="Arial" w:eastAsia="Arial" w:hAnsi="Arial"/>
          <w:sz w:val="17"/>
          <w:szCs w:val="17"/>
          <w:color w:val="auto"/>
        </w:rPr>
        <w:t xml:space="preserve">We believe that these investments to which we applied the fair value option are not material, individually or in the aggregate, to our consolidated financial statements. Hain is a registered SEC reporting companies whose financial statements are available at </w:t>
      </w:r>
      <w:r>
        <w:rPr>
          <w:rFonts w:ascii="Arial" w:cs="Arial" w:eastAsia="Arial" w:hAnsi="Arial"/>
          <w:sz w:val="17"/>
          <w:szCs w:val="17"/>
          <w:i w:val="1"/>
          <w:iCs w:val="1"/>
          <w:color w:val="auto"/>
        </w:rPr>
        <w:t>www.sec.gov.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The carrying value of investments held by our Automotive, Gaming, Railcar and Home Fashion segments and our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March 31, 2013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2012</w:t>
            </w:r>
          </w:p>
        </w:tc>
      </w:tr>
      <w:tr>
        <w:trPr>
          <w:trHeight w:val="27"/>
        </w:trPr>
        <w:tc>
          <w:tcPr>
            <w:tcW w:w="6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82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312" w:lineRule="auto"/>
        <w:rPr>
          <w:sz w:val="20"/>
          <w:szCs w:val="20"/>
          <w:color w:val="auto"/>
        </w:rPr>
      </w:pPr>
      <w:r>
        <w:rPr>
          <w:rFonts w:ascii="Arial" w:cs="Arial" w:eastAsia="Arial" w:hAnsi="Arial"/>
          <w:sz w:val="16"/>
          <w:szCs w:val="16"/>
          <w:color w:val="auto"/>
        </w:rPr>
        <w:t>Our Holding Company applies the fair value option to its investments that would otherwise be subject to the equity method of accounting. We record unrealized gains and losses for the change in fair value of such investments as a component of net gain from investment activities in the consolidated statements of operations. We believe that these investments, individually, or in the aggregate, are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March 31, 2013 and December 31,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360"/>
              <w:spacing w:after="0"/>
              <w:rPr>
                <w:sz w:val="20"/>
                <w:szCs w:val="20"/>
                <w:color w:val="auto"/>
              </w:rPr>
            </w:pPr>
            <w:r>
              <w:rPr>
                <w:rFonts w:ascii="Arial" w:cs="Arial" w:eastAsia="Arial" w:hAnsi="Arial"/>
                <w:sz w:val="16"/>
                <w:szCs w:val="16"/>
                <w:b w:val="1"/>
                <w:bCs w:val="1"/>
                <w:color w:val="auto"/>
              </w:rPr>
              <w:t>March 31, 2013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6,146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6,146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37"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in investments measured at fair value for which our Investment segment has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gains (losses)</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378"/>
        <w:spacing w:after="0" w:line="342" w:lineRule="auto"/>
        <w:rPr>
          <w:sz w:val="20"/>
          <w:szCs w:val="20"/>
          <w:color w:val="auto"/>
        </w:rPr>
      </w:pPr>
      <w:r>
        <w:rPr>
          <w:rFonts w:ascii="Arial" w:cs="Arial" w:eastAsia="Arial" w:hAnsi="Arial"/>
          <w:sz w:val="16"/>
          <w:szCs w:val="16"/>
          <w:color w:val="auto"/>
        </w:rPr>
        <w:t>Unrealized gains of $4 million are included in earnings related to Level 3 investments still held at March 31, 2013. Total realized and unrealized gains and losses recorded for Level 3 investments, if any, are reported in net gain from investment activities in our consolidated statements of operations.</w:t>
      </w:r>
    </w:p>
    <w:p>
      <w:pPr>
        <w:spacing w:after="0" w:line="16"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The Investment Funds held one Level 3 corporate debt investment at March 31, 2013. Fair value was determined through yield analysis of comparable loans to which we applied a risk premium that we determined to be appropriate, which resulted in a lower valuation for our Level 3 investment. Adjusting the risk premium by 1% in either direction would result in a 2% change in the fair value of the loan.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derivative contracts and other liabilities by the above fair value hierarchy levels as of March 31, 2013 and December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in trading securities measured at fair value for which our Holding Company have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3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52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20" w:type="dxa"/>
            <w:vAlign w:val="bottom"/>
            <w:gridSpan w:val="3"/>
          </w:tcPr>
          <w:p>
            <w:pPr>
              <w:jc w:val="right"/>
              <w:ind w:right="95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5260" w:type="dxa"/>
            <w:vAlign w:val="bottom"/>
            <w:tcBorders>
              <w:bottom w:val="single" w:sz="8" w:color="CCEEFF"/>
            </w:tcBorders>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Purchase</w:t>
            </w:r>
          </w:p>
        </w:tc>
        <w:tc>
          <w:tcPr>
            <w:tcW w:w="3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unrealized losses</w:t>
            </w:r>
          </w:p>
        </w:tc>
        <w:tc>
          <w:tcPr>
            <w:tcW w:w="39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8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398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980" w:type="dxa"/>
            <w:vAlign w:val="bottom"/>
            <w:vMerge w:val="restart"/>
          </w:tcPr>
          <w:p>
            <w:pPr>
              <w:jc w:val="right"/>
              <w:ind w:right="177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3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Certain derivative contracts with a single counterparty executed by the Investment Funds, our Automotive or Energy segments, or by our Holding Company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60" w:firstLine="378"/>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other payments,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180" w:firstLine="378"/>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 or loss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 March 31, 2013, the maximum payout amounts relating to certain put options written by the Investment Funds were approximately $859 million. At December 31, 2012, the maximum payout amounts relating to certain put options written by the Investment Funds approximated $7.9 billion, of which approximately $6.8 billion related to covered put options on existing short positions on a certain stock index. As of March 31, 2013 and December 31, 2012, there were unrealized gains of $1 million and $180 million, respectively.</w:t>
      </w:r>
    </w:p>
    <w:p>
      <w:pPr>
        <w:spacing w:after="0" w:line="71"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derivative instruments with credit-risk-related contingent features that are in a liability position at March 31, 2013 and December 31, 2012 was $478 million and $84 million, respectively.</w:t>
      </w:r>
    </w:p>
    <w:p>
      <w:pPr>
        <w:spacing w:after="0" w:line="80"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At March 31, 2013 and December 31, 2012, the Investment Funds had $40 million and $148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380" w:firstLine="378"/>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jc w:val="both"/>
        <w:ind w:right="180" w:firstLine="378"/>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700" w:firstLine="378"/>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0" w:firstLine="378"/>
        <w:spacing w:after="0" w:line="255" w:lineRule="auto"/>
        <w:rPr>
          <w:sz w:val="20"/>
          <w:szCs w:val="20"/>
          <w:color w:val="auto"/>
        </w:rPr>
      </w:pPr>
      <w:r>
        <w:rPr>
          <w:rFonts w:ascii="Arial" w:cs="Arial" w:eastAsia="Arial" w:hAnsi="Arial"/>
          <w:sz w:val="18"/>
          <w:szCs w:val="18"/>
          <w:color w:val="auto"/>
        </w:rPr>
        <w:t>During 2008, Federal-Mogul entered into a series of five-year interest rate swap agreements with a total notional value of $1,190 million to hedge the variability of interest payments associated with its variable-rate term loans. During the first quarter of 2013, the majority of these interest swap agreements expired. As of March 31, 2013 the remaining five-year interest swap agreements have a total notional value of $140 million. As of March 31, 2013 and December 31, 2012, unrealized net losses of $2 million and $10 million, respectively, were recorded in accumulated other comprehensive loss as a result of these hedges. As of March 31, 2013, losses of $2 million are expected to be reclassified from accumulated other comprehensive loss to the consolidated statement of operations within the next 9 months.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These interest rate swaps reduce Federal-Mogul's overall interest rate risk. However, due to the remaining outstanding borrowings on Federal-Mogul's debt facilities and other borrowing facilities that continue to have variable interest rates, management believes that interest rate risk to Federal-Mogul could be material if there are significant adverse changes in interest rates. To the extent that interest rates change by 25 basis points, Federal-Mogul's annual interest expense would show a corresponding change of approximately $7 million and $2 million for the years 2014 and 2015, respectively, representing the term of Federal-Mogul's variable-rate term loans.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$52 million and $45 million at March 31, 2013 and December 31, 2012, respectively, substantially all of which mature within one year in each of the respective periods and substantially all were designated as hedging instruments for accounting purposes. Unrealized net (losses) gains of $(1) million and $1 million were recorded in accumulated other comprehensive loss as of March 31, 2013 and December 31, 2012,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40" w:firstLine="378"/>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right="20" w:firstLine="378"/>
        <w:spacing w:after="0" w:line="288" w:lineRule="auto"/>
        <w:rPr>
          <w:sz w:val="20"/>
          <w:szCs w:val="20"/>
          <w:color w:val="auto"/>
        </w:rPr>
      </w:pPr>
      <w:r>
        <w:rPr>
          <w:rFonts w:ascii="Arial" w:cs="Arial" w:eastAsia="Arial" w:hAnsi="Arial"/>
          <w:sz w:val="16"/>
          <w:szCs w:val="16"/>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Federal-Mogul had notional values of $126 million and $160 million of foreign currency hedge contracts outstanding at March 31, 2013 and December 31, 2012, respectively, of which $14 million and $11 million, respectively, were designated as cash flow hedging instruments for accounting purposes. Unrealized net gains of zero and $1 million were recorded in accumulated other comprehensive loss as of March 31, 2013 and December 31, 2012, respectively, for the contracts designated as hedging instruments. The remaining outstanding contracts as of March 31, 2013 were entered into by Federal-Mogul in order to offset fluctuations in consolidated earnings caused by changes in currency rates used to translate earnings at foreign subsidiaries into U.S. dollars over the next 12 months. These contracts are not designated as hedging instruments for accounting purposes and are marked to market through the income statement. Unrealized gains of $3 million related to these contracts were recorded in other income, net for the three months ended March 31, 2013.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220" w:firstLine="378"/>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three months ended March 31, 2013. Federal-Mogul had one VCS customer that accounted for 18% of its net accounts receivable balance as of March 31, 2013.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37"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CVR has adopted accounting standards which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(loss) income, net in the consolidated statement of operations.</w:t>
      </w:r>
    </w:p>
    <w:p>
      <w:pPr>
        <w:spacing w:after="0" w:line="8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within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 fair value of the open commodity positions as of each of March 31, 2013 and December 31, 2012 was a net loss of less than $1 million which is included in accrued expenses and other liabilities. For the three months ended March 31, 2013, CVR recognized a net realized and unrealized loss of $2 million which is included in other (loss) income, net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w:t>
      </w:r>
    </w:p>
    <w:p>
      <w:pPr>
        <w:spacing w:after="0" w:line="117"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In September 2011, CVR Refining entered into several commodity swap contracts with effective periods beginning in January 2012.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March 31, 2013 and December 31, 2012, CVR had open commodity hedging instruments consisting of 22.8 million and 23.3 million barrels, respectively, of crack spreads primarily to fix the margin on a portion of its future gasoline and distillate production. The fair value of the outstanding contracts at March 31, 2013 and December 31, 2012 was a net liability of $34 million and $67 million, respectively. For the three months ended March 31, 2013, CVR recognized a net realized and unrealized loss of $18 million which is included in other (loss) income, net in the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June 30 and July 1, 2011, Coffeyville Resources Nitrogen Fertilizers, LLC ("CRNF") entered into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 month LIBOR and pay a fixed rate of 1.94%. Under the terms of the interest rate swap agreement entered into on July 1, 2011, CRNF will receive a floating rate based on three 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agreement. As of both March 31, 2013 and December 31, 2012,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 in the consolidated statement of operations. The realized loss on the interest rate swap reclassified from accumulated other comprehensive loss into interest expense was less than $1 million for the three months ended March 31, 2013.</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37"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 March 31, 2013, the volume of our derivative activities based on their notional exposure, categorized by primary underlying risk,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Long Notional Exposure</w:t>
            </w:r>
          </w:p>
        </w:tc>
        <w:tc>
          <w:tcPr>
            <w:tcW w:w="20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Short Notional Exposure</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2"/>
          </w:tcPr>
          <w:p>
            <w:pPr>
              <w:jc w:val="right"/>
              <w:ind w:right="474"/>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9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forwards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9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9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9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20" w:type="dxa"/>
            <w:vAlign w:val="bottom"/>
            <w:gridSpan w:val="11"/>
          </w:tcPr>
          <w:p>
            <w:pPr>
              <w:ind w:left="340"/>
              <w:spacing w:after="0"/>
              <w:rPr>
                <w:sz w:val="20"/>
                <w:szCs w:val="20"/>
                <w:color w:val="auto"/>
              </w:rPr>
            </w:pPr>
            <w:r>
              <w:rPr>
                <w:rFonts w:ascii="Arial" w:cs="Arial" w:eastAsia="Arial" w:hAnsi="Arial"/>
                <w:sz w:val="18"/>
                <w:szCs w:val="18"/>
                <w:color w:val="auto"/>
                <w:w w:val="92"/>
              </w:rPr>
              <w:t>The following table presents the consolidated fair values of our derivatives that are not designated as hedging instruments: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05"/>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72"/>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3"/>
                <w:szCs w:val="23"/>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2012</w:t>
            </w: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6"/>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14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37"/>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Sub-total</w:t>
            </w:r>
          </w:p>
        </w:tc>
        <w:tc>
          <w:tcPr>
            <w:tcW w:w="14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300" w:type="dxa"/>
            <w:vAlign w:val="bottom"/>
            <w:gridSpan w:val="2"/>
            <w:shd w:val="clear" w:color="auto" w:fill="CCEEFF"/>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14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30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48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right="640" w:hanging="172"/>
        <w:spacing w:after="0" w:line="255"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March 31, 2013 and December 31, 2012 was $40 million and $148 million, respectively, across all counterparties.</w:t>
      </w:r>
    </w:p>
    <w:p>
      <w:pPr>
        <w:spacing w:after="0" w:line="82"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months ended March 31, 2013 and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87"/>
              </w:rPr>
              <w:t>Gain (Loss) Recognized in Income</w:t>
            </w:r>
            <w:r>
              <w:rPr>
                <w:rFonts w:ascii="Arial" w:cs="Arial" w:eastAsia="Arial" w:hAnsi="Arial"/>
                <w:sz w:val="25"/>
                <w:szCs w:val="25"/>
                <w:b w:val="1"/>
                <w:bCs w:val="1"/>
                <w:color w:val="auto"/>
                <w:w w:val="87"/>
                <w:vertAlign w:val="superscript"/>
              </w:rPr>
              <w:t>(1)</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744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60" w:type="dxa"/>
            <w:vAlign w:val="bottom"/>
          </w:tcPr>
          <w:p>
            <w:pPr>
              <w:spacing w:after="0"/>
              <w:rPr>
                <w:sz w:val="20"/>
                <w:szCs w:val="20"/>
                <w:color w:val="auto"/>
              </w:rPr>
            </w:pPr>
          </w:p>
        </w:tc>
        <w:tc>
          <w:tcPr>
            <w:tcW w:w="1580" w:type="dxa"/>
            <w:vAlign w:val="bottom"/>
          </w:tcPr>
          <w:p>
            <w:pPr>
              <w:jc w:val="right"/>
              <w:ind w:right="71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7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gridSpan w:val="3"/>
          </w:tcPr>
          <w:p>
            <w:pPr>
              <w:jc w:val="center"/>
              <w:ind w:left="952"/>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2"/>
                <w:szCs w:val="22"/>
                <w:color w:val="auto"/>
              </w:rPr>
            </w:pPr>
          </w:p>
        </w:tc>
      </w:tr>
      <w:tr>
        <w:trPr>
          <w:trHeight w:val="256"/>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180" w:right="28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fair values of our derivative instruments that are designated as cash flow hedging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20" w:type="dxa"/>
            <w:vAlign w:val="bottom"/>
            <w:gridSpan w:val="5"/>
          </w:tcPr>
          <w:p>
            <w:pPr>
              <w:ind w:left="1080"/>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380" w:type="dxa"/>
            <w:vAlign w:val="bottom"/>
          </w:tcPr>
          <w:p>
            <w:pPr>
              <w:spacing w:after="0"/>
              <w:rPr>
                <w:sz w:val="21"/>
                <w:szCs w:val="21"/>
                <w:color w:val="auto"/>
              </w:rPr>
            </w:pPr>
          </w:p>
        </w:tc>
        <w:tc>
          <w:tcPr>
            <w:tcW w:w="3600" w:type="dxa"/>
            <w:vAlign w:val="bottom"/>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196"/>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10"/>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2013</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2012</w:t>
            </w:r>
          </w:p>
        </w:tc>
        <w:tc>
          <w:tcPr>
            <w:tcW w:w="3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2013</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2012</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spacing w:after="0"/>
              <w:rPr>
                <w:sz w:val="21"/>
                <w:szCs w:val="21"/>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Netting across contract types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26"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the three months ended March 31, 2013 and 2012: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37"/>
        </w:trPr>
        <w:tc>
          <w:tcPr>
            <w:tcW w:w="380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00" w:type="dxa"/>
            <w:vAlign w:val="bottom"/>
          </w:tcPr>
          <w:p>
            <w:pPr>
              <w:spacing w:after="0"/>
              <w:rPr>
                <w:sz w:val="24"/>
                <w:szCs w:val="24"/>
                <w:color w:val="auto"/>
              </w:rPr>
            </w:pPr>
          </w:p>
        </w:tc>
        <w:tc>
          <w:tcPr>
            <w:tcW w:w="3400" w:type="dxa"/>
            <w:vAlign w:val="bottom"/>
            <w:gridSpan w:val="5"/>
          </w:tcPr>
          <w:p>
            <w:pPr>
              <w:ind w:left="480"/>
              <w:spacing w:after="0"/>
              <w:rPr>
                <w:sz w:val="20"/>
                <w:szCs w:val="20"/>
                <w:color w:val="auto"/>
              </w:rPr>
            </w:pPr>
            <w:r>
              <w:rPr>
                <w:rFonts w:ascii="Arial" w:cs="Arial" w:eastAsia="Arial" w:hAnsi="Arial"/>
                <w:sz w:val="18"/>
                <w:szCs w:val="18"/>
                <w:b w:val="1"/>
                <w:bCs w:val="1"/>
                <w:color w:val="auto"/>
                <w:w w:val="93"/>
              </w:rPr>
              <w:t>Three Months Ended March 31, 2012</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37"/>
        </w:trPr>
        <w:tc>
          <w:tcPr>
            <w:tcW w:w="380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872"/>
        </w:trPr>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12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ind w:left="380"/>
              <w:spacing w:after="0"/>
              <w:rPr>
                <w:sz w:val="20"/>
                <w:szCs w:val="20"/>
                <w:color w:val="auto"/>
              </w:rPr>
            </w:pPr>
            <w:r>
              <w:rPr>
                <w:rFonts w:ascii="Arial" w:cs="Arial" w:eastAsia="Arial" w:hAnsi="Arial"/>
                <w:sz w:val="18"/>
                <w:szCs w:val="18"/>
                <w:color w:val="auto"/>
              </w:rPr>
              <w:t>Inventories, net consists of the following:</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2012</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4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right="8280" w:hanging="372"/>
        <w:spacing w:after="0" w:line="469" w:lineRule="auto"/>
        <w:tabs>
          <w:tab w:leader="none" w:pos="32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665</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915</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378"/>
        <w:spacing w:after="0" w:line="308" w:lineRule="auto"/>
        <w:rPr>
          <w:sz w:val="20"/>
          <w:szCs w:val="20"/>
          <w:color w:val="auto"/>
        </w:rPr>
      </w:pPr>
      <w:r>
        <w:rPr>
          <w:rFonts w:ascii="Arial" w:cs="Arial" w:eastAsia="Arial" w:hAnsi="Arial"/>
          <w:sz w:val="17"/>
          <w:szCs w:val="17"/>
          <w:color w:val="auto"/>
        </w:rPr>
        <w:t>We recorded amortization expense associated with definite-lived intangible assets for the three months ended March 31, 2013 and 2012 of $21 million and $15 million, respectively. We utilize the straight-line method of amortization, recognized over the estimated useful lives of the assets.</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During the three months ended March 31, 2013, we increased our Automotive segment's goodwill by $7 million and decreased definite-lived intangible assets by $3 million to adjust for the purchase price allocation relating to its BERU spark plug business acquisition in June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6060" w:type="dxa"/>
            <w:vAlign w:val="bottom"/>
          </w:tcPr>
          <w:p>
            <w:pPr>
              <w:ind w:left="38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8"/>
        </w:trPr>
        <w:tc>
          <w:tcPr>
            <w:tcW w:w="606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2012</w:t>
            </w: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240" w:type="dxa"/>
            <w:vAlign w:val="bottom"/>
          </w:tcPr>
          <w:p>
            <w:pPr>
              <w:spacing w:after="0"/>
              <w:rPr>
                <w:sz w:val="21"/>
                <w:szCs w:val="21"/>
                <w:color w:val="auto"/>
              </w:rPr>
            </w:pPr>
          </w:p>
        </w:tc>
        <w:tc>
          <w:tcPr>
            <w:tcW w:w="3740" w:type="dxa"/>
            <w:vAlign w:val="bottom"/>
            <w:gridSpan w:val="4"/>
          </w:tcPr>
          <w:p>
            <w:pPr>
              <w:jc w:val="right"/>
              <w:ind w:right="1530"/>
              <w:spacing w:after="0"/>
              <w:rPr>
                <w:sz w:val="20"/>
                <w:szCs w:val="20"/>
                <w:color w:val="auto"/>
              </w:rPr>
            </w:pPr>
            <w:r>
              <w:rPr>
                <w:rFonts w:ascii="Arial" w:cs="Arial" w:eastAsia="Arial" w:hAnsi="Arial"/>
                <w:sz w:val="14"/>
                <w:szCs w:val="14"/>
                <w:color w:val="auto"/>
              </w:rPr>
              <w:t>(in millions)</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2,064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15 - 39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8,440</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6,523</w:t>
            </w: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three months ended March 31, 2013 and 2012 was $134 million and $85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Icahn Enterprises</w:t>
            </w:r>
          </w:p>
        </w:tc>
        <w:tc>
          <w:tcPr>
            <w:tcW w:w="140" w:type="dxa"/>
            <w:vAlign w:val="bottom"/>
          </w:tcPr>
          <w:p>
            <w:pPr>
              <w:spacing w:after="0"/>
              <w:rPr>
                <w:sz w:val="24"/>
                <w:szCs w:val="24"/>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92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 senior unsecured notes due 2018 - Icahn Enterprises/Icahn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unsecured variable rate convertible notes due 2013 - Icahn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Enterprises/Icahn Enterprises Holdings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Automotive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Energy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Energy</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and secured term loan facility - Railcar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Mortgages payable - Real Estate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8,184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 Icahn Enterprises and Icahn Enterprises Holdings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Senior Unsecured Notes Due 2018 and 7.75% Senior Unsecured Notes Due 2016</w:t>
      </w:r>
    </w:p>
    <w:p>
      <w:pPr>
        <w:spacing w:after="0" w:line="117"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On January 15, 2010, we and Icahn Enterprises Finance Corp. (“Icahn Enterprises Finance”) (collectively, the “Issuers”), issued $850 million aggregate principal amount of 7.75% Senior Unsecured Notes due 2016 (the “2016 Notes”) and $1,150 million aggregate principal amount of 8% Senior Unsecured Notes due 2018 (the “2018 Notes” and, together with the 2016 Notes, referred to as the “Initial Notes”) pursuant to the purchase agreement, dated January 12, 2010, by and among the Issuers, Icahn Enterprises Holdings, as guarantor (the “Guarantor”), and Jefferies &amp; Company, Inc., as initial purchaser. The gross proceeds from the sale of the Initial Notes were $1,987 million, a portion of which was used to retire certain notes during 2010. Interest on the 2016 Notes and 2018 Notes are payable on January 15 and July 15 of each year, commencing July 15, 2010.</w:t>
      </w:r>
    </w:p>
    <w:p>
      <w:pPr>
        <w:spacing w:after="0" w:line="70" w:lineRule="exact"/>
        <w:rPr>
          <w:sz w:val="20"/>
          <w:szCs w:val="20"/>
          <w:color w:val="auto"/>
        </w:rPr>
      </w:pPr>
    </w:p>
    <w:p>
      <w:pPr>
        <w:ind w:right="100" w:firstLine="378"/>
        <w:spacing w:after="0" w:line="270" w:lineRule="auto"/>
        <w:rPr>
          <w:sz w:val="20"/>
          <w:szCs w:val="20"/>
          <w:color w:val="auto"/>
        </w:rPr>
      </w:pPr>
      <w:r>
        <w:rPr>
          <w:rFonts w:ascii="Arial" w:cs="Arial" w:eastAsia="Arial" w:hAnsi="Arial"/>
          <w:sz w:val="17"/>
          <w:szCs w:val="17"/>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aggregate $1,000 million principal amount of the 2018 Notes (such notes are collectively referred to as the “2012 Additional Notes”), pursuant to their respective purchase agreements, by and among the Issuers, Icahn Enterprises Holdings, as guarantor and Jefferies &amp; Company, Inc., as initial purchaser. The aggregate gross proceeds from the sale of 2012 Additional Notes were $1,030 million and will be used for general corporate purposes. The 2010 Additional Notes and 2012 Additional Notes constitute the same series of securities as the Initial Notes for purposes of the indenture governing the notes and vote together on all matters with such series. These notes have substantially identical terms as the Initial Notes.</w:t>
      </w:r>
    </w:p>
    <w:p>
      <w:pPr>
        <w:spacing w:after="0" w:line="74"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The Initial Notes, 2010 Additional Notes and 2012 Additional Notes (referred to collectively as the notes) were issued under and are governed by an indenture, dated January 15, 2010 (the “Indenture”), among the Issuers, the Guarantor and Wilmington Trust Company, as trustee. The Indenture contains customary events of defaults and covenants relating to, among other things, the incurrence of debt, affiliate transactions, liens and restricted payments. On or after January 15, 2013,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Issuers may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may redeem all of the 2018 Notes at a price equal to 104.000% of the principal amount of the 2018 Notes, plus accrued and unpaid interest, with such option redemption prices decreasing to 102.000% on and after January 15, 2015 and 100% on and after January 15, 2016. Before January 15, 2013, the Issuers may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remains outstanding immediately after such redemption. If the Issuers experience a change of control, the Issuers must offer to purchase for cash all or any part of each holder's notes at a purchase price equal to 101% of the principal amount of the notes, plus accrued and unpaid interest.</w:t>
      </w:r>
    </w:p>
    <w:p>
      <w:pPr>
        <w:spacing w:after="0" w:line="59"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The notes and the related guarantee are the senior unsecured obligations of the Issuers and rank equally with all of the Issuers' and the Guarantor's existing and future senior unsecured indebtedness and rank senior to all of the Issuers' and the Guarantor's existing and future subordinated indebtedness. The notes and the related guarantee are effectively subordinated to the Issuers' and the Guarantor's existing and future secured indebtedness to the extent of the collateral securing such indebtedness. The notes and the related guarantee are also effectively subordinated to all indebtedness and other liabilities of the Issuers' subsidiaries other than the Guarantor.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Variable Rate Convertible Notes Due 2013 - Icahn Enterprises and Icahn Enterprises Holdings</w:t>
      </w:r>
    </w:p>
    <w:p>
      <w:pPr>
        <w:spacing w:after="0" w:line="117"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In April 2007, we issued an aggregate of $600 million of variable rate senior convertible notes due 2013 (“variable rate notes”). The variable rate notes were sold in a private placement pursuant to Section 4(2) of the Securities Act, and issued pursuant to an indenture dated as of April 5, 2007, by and among us, as issuer, Icahn Enterprises Finance, as co-issuer, and Wilmington Trust Company, as trustee. Other than Icahn Enterprises Holdings, no other subsidiaries guaranteed payment on the variable rate notes. The variable rate notes bore interest at a rate of three-month LIBOR minus 125 basis points, but the all-in-rate can be no less than 4.0% nor more than 5.5%, and were eligible to be convertible into our depositary units. As of March 31, 2013, the interest rate was 4.0%. The interest on the variable rate notes is payable quarterly on each January 15, April 15, July 15 and October 15. The variable rate notes mature on August 15, 2013. As discussed below, as a result of our delivery of notice of satisfaction and discharge (the "Notice") with respect to the variable rate notes on January 25, 2013, the holders of the variable rate notes will continue to have the right to receive payment of principal and interest on the variable notes through maturity, but will no longer have the right to convert variable rate notes into our depositary units.</w:t>
      </w:r>
    </w:p>
    <w:p>
      <w:pPr>
        <w:spacing w:after="0" w:line="74"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Prior to our delivery of Notice, in the event that we had declared a cash dividend or similar cash distribution in any calendar quarter with respect to our depositary units in an amount in excess of $0.10 per depositary unit (as adjusted for splits, reverse splits and/or stock dividends) ("Excess Dividends"), the indenture governing the variable rate notes required that we simultaneously make such distribution to holders of the variable rate notes in accordance with a formula set forth in the indenture. As discussed below, this provision was nullified by the Notice. Accordingly, no distributions in respect of Excess Dividends will be paid to holders of the variable rate notes for the year ending December 31, 2013. In addition, because there were no Excess Dividends during the year ended December 31, 2012, no such distributions were paid to holders of the variable rate notes for this period.</w:t>
      </w:r>
    </w:p>
    <w:p>
      <w:pPr>
        <w:spacing w:after="0" w:line="70" w:lineRule="exact"/>
        <w:rPr>
          <w:sz w:val="20"/>
          <w:szCs w:val="20"/>
          <w:color w:val="auto"/>
        </w:rPr>
      </w:pPr>
    </w:p>
    <w:p>
      <w:pPr>
        <w:ind w:right="300" w:firstLine="378"/>
        <w:spacing w:after="0" w:line="302" w:lineRule="auto"/>
        <w:rPr>
          <w:sz w:val="20"/>
          <w:szCs w:val="20"/>
          <w:color w:val="auto"/>
        </w:rPr>
      </w:pPr>
      <w:r>
        <w:rPr>
          <w:rFonts w:ascii="Arial" w:cs="Arial" w:eastAsia="Arial" w:hAnsi="Arial"/>
          <w:sz w:val="16"/>
          <w:szCs w:val="16"/>
          <w:color w:val="auto"/>
        </w:rPr>
        <w:t>On January 25, 2013, Icahn Enterprises and Icahn Enterprises Holdings delivered the Notice to the registered holders of our outstanding variable rate notes in accordance with the terms of the indenture dated as of April 5, 2007, among Icahn Enterprises, as issuer, Icahn Enterprises Finance Corp., as co-issuer, Icahn Enterprises Holdings, as guarantor, and Wilmington Trust Company, as trustee, governing the variable rate notes. The aggregate outstanding principal amount of the variable rate notes prior to the discharge was $600 million, of which $44 million was held directly by Icahn Enterprises Holdings.</w:t>
      </w:r>
    </w:p>
    <w:p>
      <w:pPr>
        <w:spacing w:after="0" w:line="46" w:lineRule="exact"/>
        <w:rPr>
          <w:sz w:val="20"/>
          <w:szCs w:val="20"/>
          <w:color w:val="auto"/>
        </w:rPr>
      </w:pPr>
    </w:p>
    <w:p>
      <w:pPr>
        <w:ind w:right="80" w:firstLine="413"/>
        <w:spacing w:after="0" w:line="271" w:lineRule="auto"/>
        <w:rPr>
          <w:sz w:val="20"/>
          <w:szCs w:val="20"/>
          <w:color w:val="auto"/>
        </w:rPr>
      </w:pPr>
      <w:r>
        <w:rPr>
          <w:rFonts w:ascii="Arial" w:cs="Arial" w:eastAsia="Arial" w:hAnsi="Arial"/>
          <w:sz w:val="17"/>
          <w:szCs w:val="17"/>
          <w:color w:val="auto"/>
        </w:rPr>
        <w:t>As set forth in the Notice, on January 29, 2013 (“Discharge Date”), Icahn Enterprises deposited with Wilmington Trust Company, to be held in trust by it in accordance with the provisions of the variable rate notes and the indenture dated as of April 5, 2007, cash in the amount sufficient to pay and discharge all indebtedness on the outstanding variable rate notes consisting of: (a) all accrued and unpaid interest payable on the quarterly interest payment dates on April 15 and July 15, 2013, and (b) all principal and accrued and unpaid interest payable upon maturity of the variable rate notes on August 15, 2013. On and after the Discharge Date, (a) the indenture dated as of April 5, 2007 was discharged and ceased to be of further effect as to all variable rate notes and Note Guarantees (as defined in such indenture) issued thereunder and (b) holders will continue to have the right to receive payment of principal and interest on the variable rate notes through maturity, but will no longer have the right to convert variable rate notes into Depositary Units (as defined in such indenture) of Icahn Enterprises. In addition,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1380"/>
        <w:spacing w:after="0" w:line="375" w:lineRule="auto"/>
        <w:rPr>
          <w:sz w:val="20"/>
          <w:szCs w:val="20"/>
          <w:color w:val="auto"/>
        </w:rPr>
      </w:pPr>
      <w:r>
        <w:rPr>
          <w:rFonts w:ascii="Arial" w:cs="Arial" w:eastAsia="Arial" w:hAnsi="Arial"/>
          <w:sz w:val="18"/>
          <w:szCs w:val="18"/>
          <w:color w:val="auto"/>
        </w:rPr>
        <w:t xml:space="preserve">the holders of the variable rate notes will no longer receive the right to receive Excess Dividends in respect to our declaration of dividends. </w:t>
      </w:r>
      <w:r>
        <w:rPr>
          <w:rFonts w:ascii="Arial" w:cs="Arial" w:eastAsia="Arial" w:hAnsi="Arial"/>
          <w:sz w:val="18"/>
          <w:szCs w:val="18"/>
          <w:i w:val="1"/>
          <w:iCs w:val="1"/>
          <w:color w:val="auto"/>
        </w:rPr>
        <w:t>Senior Unsecured Notes Restrictions and Covenants</w:t>
      </w:r>
    </w:p>
    <w:p>
      <w:pPr>
        <w:spacing w:after="0" w:line="1"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The indenture governing the variable rate notes, and the indenture governing both the 2016 Notes and the 2018 Notes (including the 2010 Additional Notes and the 2012 Additional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applicable indenture,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As of March 31, 2013 and December 31, 2012, we were in compliance with all covenants, including maintaining certain minimum financial ratios, as defined in the applicable indentures. Additionally, as of March 31, 2013, based on covenants in the applicable indenture governing our senior unsecured notes, we are permitted to incur approximately $2.4 billion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On December 27, 2007, Federal-Mogul entered into a Term Loan and Revolving Credit Agreement (“Federal-Mogul Debt Facilities”) with Citicorp U.S.A. Inc. as Administrative Agent, JPMorgan Chase Bank, N.A. as Syndication Agent and certain lenders. The Federal-Mogul Debt Facilities include a $540 million revolving credit facility (which is subject to a borrowing base and can be increased under certain circumstances and subject to certain conditions) and a $2,960 million term loan credit facility divided into a $1,960 million tranche B loan and a $1,000 million tranche C loan. The obligations under the revolving credit facility mature December 27, 2013 and bear interest in accordance with a pricing grid based on availability under the revolving credit facility. Interest rates on the pricing grid range from LIBOR plus 1.50% to LIBOR plus 2.00% and ABR plus 0.50% to ABR plus 1.00%. The tranche B term loans mature December 27, 2014 and the tranche C term loans mature December 27, 2015. All of the Federal-Mogul Debt Facilities term loans bear interest at LIBOR plus 1.9375% or at ABR plus 0.9375% at Federal-Mogul's election.</w:t>
      </w:r>
    </w:p>
    <w:p>
      <w:pPr>
        <w:spacing w:after="0" w:line="71"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As of March 31, 2013 and December 31, 2012, the borrowing availability under Federal-Mogul's revolving credit facility was $504 million and $451 million, respectively. Federal-Mogul had $37 million of letters of credit outstanding as of both March 31, 2013 and December 31, 2012 pertaining to Federal-Mogul's term loan credit facility. To the extent letters of credit associated with the revolving credit facility are issued, there is a corresponding decrease in borrowings available under this facility.</w:t>
      </w:r>
    </w:p>
    <w:p>
      <w:pPr>
        <w:spacing w:after="0" w:line="79"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The obligations of Federal-Mogul under the Federal-Mogul Debt Facilities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The Federal-Mogul Debt Facilities contain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40" w:firstLine="8"/>
        <w:spacing w:after="0" w:line="254"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(ii) certain acquisitions, mergers or consolidations; (iii) sale and leaseback transactions; (iv) certain transactions with affiliates and (v) dividends and other payments in respect of capital stock. Pursuant to the terms of the Federal-Mogul Debt Facilities, $50 million of the Tranche C Term Loan proceeds were deposited in a term letter of credit account. At March 31, 2013 and December 31, 2012, Federal-Mogul was in compliance with all debt covenants under the Federal-Mogul Debt Facilities.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On April 6, 2010, Coffeyville Resources, LLC ("CRLLC") and its then wholly owned subsidiary, Coffeyville Finance Inc. (together the "CVR Issuers"), completed a private offering of $275 million aggregate principal amount of 9.0% First Lien Senior Secured Notes due 2015 (the "CVR First Lien Notes") and $225 million aggregate principal amount of 10.875% Second Lien Senior Secured Notes due 2017 ("CVR Second Lien Notes" and, together with the CVR First Lien Notes, the "CVR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37"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Notes"). On December 15, 2011, the CVR Issuers sold an additional $200 million aggregate principal amount of 9.0% First Lien Senior Secured Notes due 2015 ("New CVR Notes"). The New CVR Notes were issued as "Additional CVR Notes" pursuant to the indenture dated April 6, 2010 (the "CVR Indenture") and, together with the existing CVR First Lien Notes, are treated as a single class for all purposes under the CVR Indenture including, without limitation, waivers, amendments, redemptions and other offers to purchase. Unless otherwise indicated, the New CVR Notes and the existing first lien notes are collectively referred to herein as the "CVR First Lien Notes."</w:t>
      </w:r>
    </w:p>
    <w:p>
      <w:pPr>
        <w:spacing w:after="0" w:line="80"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CVR First Lien Notes were scheduled to mature on April 1, 2015, unless earlier redeemed or repurchased by the CVR Issuers. See further discussion below related to the tender and redemption of all the outstanding CVR First Lien Notes in the fourth quarter of 2012. The CVR Second Lien Notes mature on April 1, 2017, unless earlier redeemed or repurchased by the CVR Issuers. On January 23, 2013, a portion of the proceeds from the CVR Refining's IPO were utilized to satisfy and discharge the indenture governing the CVR Second Lien Notes. As a result, all of the outstanding CVR Second Lien Notes were redeemed on January 23, 2013 resulting in a gain on extinguishment of debt of approximately $5 million for our Energy segment in the first quarter of 2013.</w:t>
      </w:r>
    </w:p>
    <w:p>
      <w:pPr>
        <w:spacing w:after="0" w:line="85"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Interest was payable on the Notes semi-annually on April 1 and October 1 of each year. The CVR Notes were fully and unconditionally guaranteed by each of CRLLC's subsidiaries other than CVR Partners and CRNF.</w:t>
      </w:r>
    </w:p>
    <w:p>
      <w:pPr>
        <w:spacing w:after="0" w:line="62"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As a result of our acquisition of CVR on May 4, 2012, we revalued the CVR Notes to its acquisition date fair values, resulting in the recognition of premiums aggregating $54 million which was amortized to interest expense on a straight line basis over the life of the CVR Notes. As a result of redemption of the CVR Second Lien Notes discussed above, the premium balance of $25 million was written off during the first quarter of 2013. In addition our acquisition of a controlling interest in CVR constituted a change of control requiring the CVR Issuers to make an offer to repurchase all of its outstanding CVR Notes at 101.0% of the principal amount of notes tendered. On June 4, 2012, the CVR Issuers offered to purchase all or any part of the CVR Notes, at a cash purchase price of 101% of the aggregate principal amount of the CVR Notes, plus accrued and unpaid interest, if any. The offer expired on July 5, 2012 with none of the outstanding CVR Notes tendered.</w:t>
      </w:r>
    </w:p>
    <w:p>
      <w:pPr>
        <w:spacing w:after="0" w:line="81"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On October 23, 2012, CVR Refining LLC (“Refining LLC”) and its wholly-owned subsidiary, Coffeyville Finance Inc., completed a private offering of $500 million in aggregate principal amount of 6.50% Second Lien Secured Notes due 2022 (the "2022 Notes"). The 2022 Notes were issued at par. Refining LLC received approximately $493 million of cash proceeds, net of the underwriting fees, but before deducting other third-party fees and expenses associated with the offering. The 2022 Notes were secured by substantially the same assets that secured the then outstanding CVR Second Lien Notes, subject to exceptions, until such time that the outstanding CVR Second Lien Notes were satisfied and discharged in full. The 2022 Notes are guaranteed by the CVR Refining, Refining LLC and its existing domestic subsidiaries. Prior to the satisfaction and discharge of the CVR Second Lien Notes, which occurred on January 23, 2013, the 2022 Notes were also guaranteed by CRLLC. CVR, CVR Partners and CRNF are not guarantors. Approximately $348 million of the net proceeds from the offering was used to fund a completed and settled tender offer resulting in the purchase of approximately $323 million of the 9.0% First Lien Notes due April 1, 2015 and to settle accrued interest of approximately $2 million through October 23, 2012 and to pay related fees and expenses. A premium of approximately $23 million was incurred associated with the tender.</w:t>
      </w:r>
    </w:p>
    <w:p>
      <w:pPr>
        <w:spacing w:after="0" w:line="70"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The 2022 Notes mature on November 1, 2022, unless earlier redeemed or repurchased by the issuers. Interest is payable on the 2022 Notes semi-annually on May 1 and November 1 of each year, commencing on May 1, 2013.</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2022 Notes requires that CVR Refining to maintain a minimum fixed charge coverage ratio and contains customary covenants for a financing of this type that limit, subject to certain exceptions, the incurrence of additional indebtedness or guarantees, the creation of liens on assets, the ability to dispose of assets, the ability to make payments on subordinated or unsecured debt, the ability to merge, consolidate with or into another entity and the ability to enter into certain affiliate transactions. The 2022 Notes provide that CVR Refining can make distributions to holders of its common units provided, among other things, it is in compliance with the fixed coverage ratio and there is no default or event of default under the 2022 Notes. As of March 31, 2013, CVR Refining was in compliance with the covenants contained in the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On December 20, 2012, CRLLC, CVR Refining, and Refining LLC and each of the operating subsidiaries of Refining LLC (collectively, the “Credit Parties”) entered into an amended and restated ABL credit agreement (“Amended and Restated ABL Credit Facility") with a group of lenders and Wells Fargo Bank, National Association (“Wells Fargo”), as administrative agent and collateral agent. The Amended and Restated ABL Credit Facility replaced a previous ABL credit facility and is scheduled to mature on December 20, 2017. Under the Amended and Restated ABL Credit Facility, CVR Refining assumed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CVR's position as borrower and CVR's obligations under the facility upon the closing of CVR Refining's IPO on January 23, 2013.</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Amended and Restated ABL Credit Facility is a senior secured asset based revolving credit facility in an aggregate principal amount of up to $400 million with an incremental facility, which permits an increase in borrowings of up to $200 million subject to additional lender commitments and certain other conditions. The proceeds of the loans may be used for capital expenditures and working capital and general corporate purposes of the Credit Parties and their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w:t>
      </w:r>
    </w:p>
    <w:p>
      <w:pPr>
        <w:spacing w:after="0" w:line="85"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the Credit Parties and their respective subsidiaries to, among other things, incur liens, engage in a consolidation, merger, purchase or sale of assets, pay dividends, incur indebtedness, make advances, investment and loans, enter into affiliate transactions, issue equity interests, or create subsidiaries and unrestricted subsidiaries. The amended and restated facility also contains a fixed charge coverage ratio financial covenant, as defined under the facility. The Credit Parties were in compliance with the covenants of the Amended and Restated ABL Credit Facility as of March 31, 2013.</w:t>
      </w:r>
    </w:p>
    <w:p>
      <w:pPr>
        <w:spacing w:after="0" w:line="64"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As of March 31, 2013, CRLLC had availability under the Amended and Restated ABL Credit Facility of $373 million and had letters of credit outstanding of $27 million. There were no borrowings outstanding under the Amended and Restated ABL Credit Facility as of March 31, 2013 and December 31,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March 31, 2013, with an uncommitted incremental facility of up to $50 million. No amounts were outstanding under the revolving credit facility at March 31, 2013.</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and the ability of CVR Partners to dispose of assets, to make restricted payments, investments and acquisitions, or enter into sale-leaseback transactions and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March 31, 2013, CRNF was in compliance with the covenants contained in the credit facility.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and Secured Term Loan Facility - Railcar</w:t>
      </w:r>
    </w:p>
    <w:p>
      <w:pPr>
        <w:spacing w:after="0" w:line="117"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In February 2007, ARI issued $275 million senior unsecured fixed rate notes that were subsequently exchanged for registered notes in March 2007 (“ARI Notes”). In September 2012, ARI completed a voluntary partial early redemption of $100 million of the ARI Notes at a rate of 101.875% of the principal amount, plus any accrued interest and unpaid interest. The ARI Notes bore a fixed interest rate of 7.5%. On March 1, 2013, ARI voluntarily redeemed the remaining $175 million of ARI Notes outstanding at par value. In connection with the redemption, ARI recorded a loss of less than $1 million on debt extinguishment in the first quarter of 2013.</w:t>
      </w:r>
    </w:p>
    <w:p>
      <w:pPr>
        <w:spacing w:after="0" w:line="80"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In December 2012, ARI, through its wholly-owned subsidiary, entered into a senior secured delayed draw term loan facility ("ARI Term Loan") that is secured by a portfolio of railcars, railcar leases, the receivables associated with those railcars and leases and certain other assets. The ARI Term Loan provides for an initial draw at closing ("Initial Draw") and allows for up to two additional draws. The capacity of the ARI Term Loan is limited to the lesser of approximately $200 million or 75% of the Net Aggregate Equipment Value, as defined in the credit agreement and matures on February 27, 2018.</w:t>
      </w:r>
    </w:p>
    <w:p>
      <w:pPr>
        <w:spacing w:after="0" w:line="46"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Upon closing, the Initial Draw was $98 million, net of fees and expenses. During February 2013, ARI made an additional draw, which resulted in net proceeds of approximately $50 million. After this draw, availability under the lease fleet financing is up to $50 million. As of March 31, 2013 and December 31, 2012, the outstanding principal balance on the ARI Term Loan was $150 million and $100 million, respectively.</w:t>
      </w:r>
    </w:p>
    <w:p>
      <w:pPr>
        <w:spacing w:after="0" w:line="57" w:lineRule="exact"/>
        <w:rPr>
          <w:sz w:val="20"/>
          <w:szCs w:val="20"/>
          <w:color w:val="auto"/>
        </w:rPr>
      </w:pPr>
    </w:p>
    <w:p>
      <w:pPr>
        <w:ind w:firstLine="378"/>
        <w:spacing w:after="0" w:line="284" w:lineRule="auto"/>
        <w:rPr>
          <w:sz w:val="20"/>
          <w:szCs w:val="20"/>
          <w:color w:val="auto"/>
        </w:rPr>
      </w:pPr>
      <w:r>
        <w:rPr>
          <w:rFonts w:ascii="Arial" w:cs="Arial" w:eastAsia="Arial" w:hAnsi="Arial"/>
          <w:sz w:val="16"/>
          <w:szCs w:val="16"/>
          <w:color w:val="auto"/>
        </w:rPr>
        <w:t>The ARI Term Loan bears interest at one-month LIBOR plus 2.5%, subject to an alternative fee as set forth in the credit agreement, and is payable on the 15th of each month. The interest rate increases by 2.0% following certain defaults. ARI is required to pay principal at an annual rate of 3.33% of the borrowed amount via monthly payments that are due on the Payment Date, with any remaining balance payable on the final scheduled maturity. The ARI Term Loan may be prepaid at any time without premium or penalty, other than customary LIBOR breakage fees. The ARI Term Loan contains restrictive covenants that limit a subsidiary of ARI's ability to, among other things, incur additional debt, issue additional equity, sell certain assets, make certain restricted payments and enter into certain significant transactions with stockholders and affiliates. Certain covenants, including those that restrict a subsidiary of ARI's ability to incur additional indebtedness and issue equity, become more restrictive if a subsidiary of ARI's debt service coverage ratio, as defined, is less than 1.05 to 1.0 as measured on a rolling three-quarter basis. ARI was in compliance with all of its covenants under the ARI Term Loan as of March 31, 2013. As of</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March 31, 2013 and December 31, 2012, the net book value of the railcars that were pledged as part of the ARI Term Loan was $170 million and $112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In March 2012, Tropicana entered into credit facilities ("Tropicana Credit Facilities"), which consist of (i) a senior secured first lien term loan facility in an aggregate principal amount of $175 million, issued at a discount of 2% ("Tropicana Term Loan") and (ii) a cash collateralized letter of credit facility in a maximum aggregate amount of $15 million ("Tropicana Letter of Credit"). Commencing on June 30, 2012, the Tropicana Term Loan requires quarterly principal payments of 0.25% of the original principal amount with any remaining outstanding amounts due on the maturity date, March 16, 2018. The Tropicana Term Loan is secured by substantially all of Tropicana's assets and is guaranteed by all of its domestic subsidiaries.</w:t>
      </w:r>
    </w:p>
    <w:p>
      <w:pPr>
        <w:spacing w:after="0" w:line="64"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At the election of Tropicana and subject to certain conditions, the amount available under the Tropicana Term Loan may be increased by up to $75 million, which increased amount may be comprised of additional term loans and up to $20 million of revolving loans. The Tropicana Letter of Credit provides for the issuance of letters of credit with an aggregate stated amount of up to $15 million, through a termination date of March 16, 2017. The letters of credit issued under the Tropicana Letter of Credit will be secured by cash collateral in an amount no less than 103% of the face amounts of such letters of credit.</w:t>
      </w:r>
    </w:p>
    <w:p>
      <w:pPr>
        <w:spacing w:after="0" w:line="46" w:lineRule="exact"/>
        <w:rPr>
          <w:sz w:val="20"/>
          <w:szCs w:val="20"/>
          <w:color w:val="auto"/>
        </w:rPr>
      </w:pPr>
    </w:p>
    <w:p>
      <w:pPr>
        <w:ind w:right="160" w:firstLine="378"/>
        <w:spacing w:after="0" w:line="273" w:lineRule="auto"/>
        <w:rPr>
          <w:sz w:val="20"/>
          <w:szCs w:val="20"/>
          <w:color w:val="auto"/>
        </w:rPr>
      </w:pPr>
      <w:r>
        <w:rPr>
          <w:rFonts w:ascii="Arial" w:cs="Arial" w:eastAsia="Arial" w:hAnsi="Arial"/>
          <w:sz w:val="17"/>
          <w:szCs w:val="17"/>
          <w:color w:val="auto"/>
        </w:rPr>
        <w:t>The obligations under the Tropicana Term Loan bear interest, at Tropicana's election, at an annual rate equal to either: (i) the sum of (a) the Adjusted LIBOR Rate (as defined in the Tropicana Term Loan) (subject to a 1.50% floor); plus (b) a margin of 6.00%; or (ii) the sum of: (a) the alternate base rate, which is equal to the greatest of: (1) the corporate base rate of UBS AG, Stamford Branch; (2) the Federal Funds Effective Rate (as defined in the Tropicana Term Loan) plus 0.50%; or (3) the Adjusted LIBOR Rate (as defined in the Tropicana Term Loan) for one month plus 1.00% (all subject to a 2.50% floor); plus (b) a margin of 5.00%; such that, in either case, the applicable interest rate shall not be less than 7.50%. An additional 2% default rate also applies in certain instances described in the Tropicana Term Loan. As of March 31, 2013, the interest rate was 7.5%.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60" w:firstLine="378"/>
        <w:spacing w:after="0" w:line="254" w:lineRule="auto"/>
        <w:rPr>
          <w:sz w:val="20"/>
          <w:szCs w:val="20"/>
          <w:color w:val="auto"/>
        </w:rPr>
      </w:pPr>
      <w:r>
        <w:rPr>
          <w:rFonts w:ascii="Arial" w:cs="Arial" w:eastAsia="Arial" w:hAnsi="Arial"/>
          <w:sz w:val="18"/>
          <w:szCs w:val="18"/>
          <w:color w:val="auto"/>
        </w:rPr>
        <w:t>The Tropicana Term Loan may be prepaid at the option of Tropicana at any time without penalty (other than customary breakage fees). The Tropicana Term Loan contains mandatory prepayment provisions from proceeds received by Tropicana and its subsidiaries as a result of asset sales, the incurrence of indebtedness and issuance of equity, casualty events and excess cash flow (subject in each case to certain exceptions). Key covenants binding Tropicana and its subsidiaries include (i) limitations on indebtedness, liens, investments, acquisitions, asset sales, dividends and other restricted payments, and affiliate and extraordinary transactions, (ii) compliance with a first lien net leverage ratio, measured quarterly on a trailing twelve-month basis (3.25:1.00 for the quarter ended March 31, 2013, and reducing over time to 2.50:1.00 beginning as of the quarter ending March 31, 2016), and (iii) compliance with a total net leverage ratio, measured quarterly on a trailing twelve-month basis, of 5.00:1.00. Tropicana was in compliance with the covenants of the Tropicana Term Loan at March 31, 2013.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In December 2009, Viskase issued $175 million of 9.875% Senior Secured Notes due 2018 (“Viskase Notes”). The Viskase Notes bear interest at a rate of 9.875% per annum, payable semi-annually in cash on January 15 and July 15, commencing on July 15, 2010. The Viskase Notes have a maturity date of January 15, 2018.</w:t>
      </w:r>
    </w:p>
    <w:p>
      <w:pPr>
        <w:spacing w:after="0" w:line="73"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In May 2010, Viskase issued an additional $40 million aggregate principal amount of Viskase 9.875% Notes under the indenture governing the Viskase Notes Indenture (“Viskase Notes Indenture”). The additional notes constitute the same series of securities as the initial Viskase Notes. Holders of the initial and additional Viskase Notes will vote together on all matters and the initial and additional Viskase Notes will be equally and ratably secured by all collateral.</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notes and related guarantees by any of Viskase's future domestic restricted subsidiaries are secured by substantially all of Viskase's and such domestic restricted subsidiaries' current and future tangible and intangible assets. The Viskase Notes Indenture permits Viskase to incur other senior secured indebtedness and to grant liens on its assets under certain circumstances.</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Prior to January 15, 2014, Viskase may redeem, at its option, up to 35% of the aggregate principal amount of the Viskase Notes issued under the Viskase Notes Indenture with the net proceeds of any equity offering at 109.875% of their principal amount, plus accrued and unpaid interest to the date of redemption, provided that at least 65% of the aggregate principal amount of the Viskase Notes issued under the Viskase Notes Indenture dated December 21, 2009 remains outstanding immediately following the redemption.</w:t>
      </w:r>
    </w:p>
    <w:p>
      <w:pPr>
        <w:spacing w:after="0" w:line="79" w:lineRule="exact"/>
        <w:rPr>
          <w:sz w:val="20"/>
          <w:szCs w:val="20"/>
          <w:color w:val="auto"/>
        </w:rPr>
      </w:pPr>
    </w:p>
    <w:p>
      <w:pPr>
        <w:ind w:right="60" w:firstLine="378"/>
        <w:spacing w:after="0" w:line="290" w:lineRule="auto"/>
        <w:rPr>
          <w:sz w:val="20"/>
          <w:szCs w:val="20"/>
          <w:color w:val="auto"/>
        </w:rPr>
      </w:pPr>
      <w:r>
        <w:rPr>
          <w:rFonts w:ascii="Arial" w:cs="Arial" w:eastAsia="Arial" w:hAnsi="Arial"/>
          <w:sz w:val="16"/>
          <w:szCs w:val="16"/>
          <w:color w:val="auto"/>
        </w:rPr>
        <w:t>In November 2007, Viskase entered into a $25 million secured revolving credit facility (“Viskase Revolving Credit Facility”) with Arnos Corporation, an affiliate of Mr. Icahn. In connection with our majority acquisition of Viskase on January 15, 2010, we assumed the Viskase Revolving Credit Facility from Arnos Corporation. We have entered into several agreements with Viskase to extend the maturity date of Viskase Revolving Credit Facility, the latest of which extends the maturity date to July 31, 2015. Borrowings under the loan and security agreement governing the Viskase Revolving Credit Facility are subject to a borrowing base formula based on percentages of eligible domestic receivables and eligible domestic inventory. Under the Viskase Revolving Credit Facility, the interest rate is LIBOR plus a margin of 2.00% currently (which margin will be subject to performance based increases up to 2.50%); provided that the minimum interest rate shall be at least equal to 3.00%. Viskase Revolving Credit Facility also provides for an unused line fee of 0.375% per annum. There were no borrowings under the Viskase Revolving Credit Facility as of each of March 31, 2013 and December 31, 2012.</w:t>
      </w:r>
    </w:p>
    <w:p>
      <w:pPr>
        <w:spacing w:after="0" w:line="58"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Indebtedness under the Viskase Revolving Credit Facility is secured by liens on substantially all of Viskase's domestic and Mexican assets, with liens on certain assets that are contractually senior to the Viskase 9.875% Notes and the related guarantees pursuant to an intercreditor agreement and the Viskase 9.875% Notes.</w:t>
      </w:r>
    </w:p>
    <w:p>
      <w:pPr>
        <w:spacing w:after="0" w:line="73"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Viskase Revolving Credit Facility contains various covenants which restrict Viskase's ability to, among other things, incur indebtedness, enter into mergers or consolidation transactions, dispose of assets (other than in the ordinary course of business), acquire assets, make certain restricted payments, create liens on our assets, make investments, create guarantee obligations and enter into sale and leaseback transactions and transactions with affiliates, in each case subject to permitted exceptions. The Viskase Revolving Credit Facility also requires that Viskase complies with various financial covenants. Viskase is in compliance with these requirements as of March 31, 2013 and December 31, 2012.</w:t>
      </w:r>
    </w:p>
    <w:p>
      <w:pPr>
        <w:spacing w:after="0" w:line="64"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In its foreign operations, Viskase has unsecured lines of credit with various banks providing approximately $8 million of availability. There were no borrowings under the lines of credit at March 31, 2013 and December 31, 2012.</w:t>
      </w:r>
    </w:p>
    <w:p>
      <w:pPr>
        <w:spacing w:after="0" w:line="62"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March 31, 2013 and December 31, 2012.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7.99% and have maturities between May 31, 2013 and October 31,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 Facility - Home Fashion</w:t>
      </w:r>
    </w:p>
    <w:p>
      <w:pPr>
        <w:spacing w:after="0" w:line="117"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color w:val="auto"/>
        </w:rPr>
        <w:t>On October 15, 2012, upon the expiration of a certain senior secured revolving credit facility of WPH, WPH entered into a letter of credit facility ("WPH Letter of Credit"), with a nationally recognized bank ("LC Issuer"). The one-year WPH Letter of Credit has a $10 million credit line. Issuance of letters of credit under the WPH Letter of Credit is subject to 0.50% annual fee on the outstanding face amount of the letters of credit issued under the WPH Letter of Credit, which face amount as of March 31, 2013 was approximately $6 million. Obligations under the WPH Letter of Credit are secured by a cash collateral account pledged by WPH to LC Issuer. The WPH Letter of Credit does not contain any financial covenants. WPH has determined that its liquidity needs are sufficiently covered by existing and projected cash resources for the foreseeable future. In the future, WPH may explore other financing options as circumstances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Federal-Mogul, ARI and Viskase each sponsor several defined benefit pension plans (''Pension Benefits'') (and, in the case of Viskase, its pension plans include defined contribution plans). Additionally, Federal-Mogul, ARI and Viskase each sponsors health care and life insurance benefits (''OPEB'') for certain employees and retirees around the world. The Pension Benefits are funded based on the funding requirements of federal and international laws and regulations, as applicable, and are typically funded in advance of benefit payments. Other Post-Employment Benefits are funded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net periodic benefit cost (gain) for the three months ended March 31, 2013 and 2012 are as follows:</w:t>
      </w:r>
    </w:p>
    <w:p>
      <w:pPr>
        <w:spacing w:after="0" w:line="275" w:lineRule="exact"/>
        <w:rPr>
          <w:sz w:val="20"/>
          <w:szCs w:val="20"/>
          <w:color w:val="auto"/>
        </w:rPr>
      </w:pPr>
    </w:p>
    <w:p>
      <w:pPr>
        <w:ind w:left="5400"/>
        <w:spacing w:after="0"/>
        <w:tabs>
          <w:tab w:leader="none" w:pos="9420" w:val="left"/>
        </w:tabs>
        <w:rPr>
          <w:sz w:val="20"/>
          <w:szCs w:val="20"/>
          <w:color w:val="auto"/>
        </w:rPr>
      </w:pPr>
      <w:r>
        <w:rPr>
          <w:rFonts w:ascii="Arial" w:cs="Arial" w:eastAsia="Arial" w:hAnsi="Arial"/>
          <w:sz w:val="18"/>
          <w:szCs w:val="18"/>
          <w:b w:val="1"/>
          <w:bCs w:val="1"/>
          <w:color w:val="auto"/>
        </w:rPr>
        <w:t>Pension Benefits</w:t>
      </w:r>
      <w:r>
        <w:rPr>
          <w:sz w:val="20"/>
          <w:szCs w:val="20"/>
          <w:color w:val="auto"/>
        </w:rPr>
        <w:tab/>
      </w:r>
      <w:r>
        <w:rPr>
          <w:rFonts w:ascii="Arial" w:cs="Arial" w:eastAsia="Arial" w:hAnsi="Arial"/>
          <w:sz w:val="16"/>
          <w:szCs w:val="16"/>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77"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48895</wp:posOffset>
            </wp:positionV>
            <wp:extent cx="2229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130" w:lineRule="exact"/>
        <w:rPr>
          <w:sz w:val="20"/>
          <w:szCs w:val="20"/>
          <w:color w:val="auto"/>
        </w:rPr>
      </w:pPr>
    </w:p>
    <w:p>
      <w:pPr>
        <w:sectPr>
          <w:pgSz w:w="11900" w:h="16838" w:orient="portrait"/>
          <w:cols w:equalWidth="0" w:num="2">
            <w:col w:w="7720" w:space="720"/>
            <w:col w:w="29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7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jc w:val="both"/>
        <w:ind w:right="580" w:firstLine="378"/>
        <w:spacing w:after="0" w:line="312" w:lineRule="auto"/>
        <w:rPr>
          <w:sz w:val="20"/>
          <w:szCs w:val="20"/>
          <w:color w:val="auto"/>
        </w:rPr>
      </w:pPr>
      <w:r>
        <w:rPr>
          <w:rFonts w:ascii="Arial" w:cs="Arial" w:eastAsia="Arial" w:hAnsi="Arial"/>
          <w:sz w:val="16"/>
          <w:szCs w:val="16"/>
          <w:color w:val="auto"/>
        </w:rPr>
        <w:t>For Icahn Enterprises, basic income per LP unit is based on net income attributable to Icahn Enterprises allocable to limited partners. Net income allocable to limited partners is divided by the weighted-average number of LP units outstanding. Diluted income per LP unit is based on basic income adjusted for interest charges applicable to the variable rate notes as well as the weighted-average number of units and equivalent units outstanding.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780" w:type="dxa"/>
            <w:vAlign w:val="bottom"/>
            <w:gridSpan w:val="4"/>
          </w:tcPr>
          <w:p>
            <w:pPr>
              <w:jc w:val="right"/>
              <w:ind w:right="70"/>
              <w:spacing w:after="0"/>
              <w:rPr>
                <w:sz w:val="20"/>
                <w:szCs w:val="20"/>
                <w:color w:val="auto"/>
              </w:rPr>
            </w:pPr>
            <w:r>
              <w:rPr>
                <w:rFonts w:ascii="Arial" w:cs="Arial" w:eastAsia="Arial" w:hAnsi="Arial"/>
                <w:sz w:val="14"/>
                <w:szCs w:val="14"/>
                <w:color w:val="auto"/>
              </w:rPr>
              <w:t>(in millions, except per unit data)</w:t>
            </w:r>
          </w:p>
        </w:tc>
        <w:tc>
          <w:tcPr>
            <w:tcW w:w="52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Icahn Enterprises allocable to limited partners (98.01% allocation)</w:t>
            </w:r>
          </w:p>
        </w:tc>
        <w:tc>
          <w:tcPr>
            <w:tcW w:w="108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311"/>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LP unit</w:t>
            </w:r>
          </w:p>
        </w:tc>
        <w:tc>
          <w:tcPr>
            <w:tcW w:w="108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324"/>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324"/>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60" w:firstLine="378"/>
        <w:spacing w:after="0" w:line="277" w:lineRule="auto"/>
        <w:rPr>
          <w:sz w:val="20"/>
          <w:szCs w:val="20"/>
          <w:color w:val="auto"/>
        </w:rPr>
      </w:pPr>
      <w:r>
        <w:rPr>
          <w:rFonts w:ascii="Arial" w:cs="Arial" w:eastAsia="Arial" w:hAnsi="Arial"/>
          <w:sz w:val="18"/>
          <w:szCs w:val="18"/>
          <w:color w:val="auto"/>
        </w:rPr>
        <w:t>Because their effect would have been anti-dilutive, 5 million equivalent units relating to our variable rate notes have been excluded from diluted weighted average LP units outstanding for the three months ended March 31,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On February 28, 2013, Icahn Enterprises entered into an underwriting agreement (“Underwriting Agreement”) with Jefferies &amp; Company, Inc. (“Underwriter”), providing for the issuance and purchase of an aggregate of 3,174,604 depositary units representing limited partner interests in Icahn Enterprises at a price to the public of $63.00 per depositary unit (“Equity Offering”). The depositary units were delivered to the unitholders on March 6, 2013, raising $194 million after deducting underwriting discounts, commissions and other offering related fees and expenses. In connection with this offering, our general partner made an aggregate contribution of $4 million to Icahn Enterprises and Icahn Enterprises Holdings in order to maintain its 1% general partner interest in each of Icahn Enterprises and Icahn Enterprises Holdings.</w:t>
      </w:r>
    </w:p>
    <w:p>
      <w:pPr>
        <w:spacing w:after="0" w:line="85" w:lineRule="exact"/>
        <w:rPr>
          <w:sz w:val="20"/>
          <w:szCs w:val="20"/>
          <w:color w:val="auto"/>
        </w:rPr>
      </w:pPr>
    </w:p>
    <w:p>
      <w:pPr>
        <w:ind w:right="800" w:firstLine="378"/>
        <w:spacing w:after="0" w:line="277" w:lineRule="auto"/>
        <w:rPr>
          <w:sz w:val="20"/>
          <w:szCs w:val="20"/>
          <w:color w:val="auto"/>
        </w:rPr>
      </w:pPr>
      <w:r>
        <w:rPr>
          <w:rFonts w:ascii="Arial" w:cs="Arial" w:eastAsia="Arial" w:hAnsi="Arial"/>
          <w:sz w:val="18"/>
          <w:szCs w:val="18"/>
          <w:color w:val="auto"/>
        </w:rPr>
        <w:t>Pursuant to the Underwriting Agreement, Icahn Enterprises also granted the Underwriter a 30-day option to purchase up to 476,191 additional depositary units at the same public offering price, which the underwriter did not exercise.</w:t>
      </w:r>
    </w:p>
    <w:p>
      <w:pPr>
        <w:spacing w:after="0" w:line="62" w:lineRule="exact"/>
        <w:rPr>
          <w:sz w:val="20"/>
          <w:szCs w:val="20"/>
          <w:color w:val="auto"/>
        </w:rPr>
      </w:pPr>
    </w:p>
    <w:p>
      <w:pPr>
        <w:jc w:val="both"/>
        <w:ind w:right="340" w:firstLine="378"/>
        <w:spacing w:after="0" w:line="264" w:lineRule="auto"/>
        <w:rPr>
          <w:sz w:val="20"/>
          <w:szCs w:val="20"/>
          <w:color w:val="auto"/>
        </w:rPr>
      </w:pPr>
      <w:r>
        <w:rPr>
          <w:rFonts w:ascii="Arial" w:cs="Arial" w:eastAsia="Arial" w:hAnsi="Arial"/>
          <w:sz w:val="18"/>
          <w:szCs w:val="18"/>
          <w:color w:val="auto"/>
        </w:rPr>
        <w:t>The issuance and purchase of the depositary units in connection with the Equity Offering is registered under the Securities Act of 1933, as amended, pursuant to a shelf registration statement on Form S-3 (File No. 333-333-158705) filed by Icahn Enterprises with the SEC on April 22, 2009 and declared effective by the SEC on May 17, 2010.</w:t>
      </w:r>
    </w:p>
    <w:p>
      <w:pPr>
        <w:spacing w:after="0" w:line="73"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We intend to use the net proceeds from the Equity Offering for general partnership purposes, which may include investments in operating subsidiaries and potential acquisitions in accordance with our investment strategy.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On February 10, 2013, Icahn Enterprises declared a quarterly distribution in the amount of $1.00 per depositary unit in which each depositary unit holder had the option to make an election to receive either cash or additional depositary units. As a result, on April 15, 2013, Icahn Enterprises distributed an aggregate 1,521,946 depositary units to unit holders electing to receive depositary units in connection with this distribution. Mr. Icahn and his affiliates elected to receive a majority of their</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37"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proportionate share of this distribution in depositary units. As of May 2, 2013, Mr. Icahn and his affiliates owned 90.6% of Icahn Enterprises outstanding depositary units.</w:t>
      </w:r>
    </w:p>
    <w:p>
      <w:pPr>
        <w:spacing w:after="0" w:line="62"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Because the depositary unit holder has the election to receive the distribution either in cash or additional depositary units, we recorded a unit distribution liability of $105 million on our consolidated balance sheets as the unit distribution had not been made as of March 31, 2013. In addition, the unit distribution liability is considered a potentially dilutive security and is included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80" w:firstLine="378"/>
        <w:spacing w:after="0" w:line="273" w:lineRule="auto"/>
        <w:rPr>
          <w:sz w:val="20"/>
          <w:szCs w:val="20"/>
          <w:color w:val="auto"/>
        </w:rPr>
      </w:pPr>
      <w:r>
        <w:rPr>
          <w:rFonts w:ascii="Arial" w:cs="Arial" w:eastAsia="Arial" w:hAnsi="Arial"/>
          <w:sz w:val="17"/>
          <w:szCs w:val="17"/>
          <w:color w:val="auto"/>
        </w:rPr>
        <w:t>As of March 31, 2013, our nine operating segments, which also constitute our reporting segments, are: (1) Investment; (2) Automotive; (3) Energy; (4) 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w:t>
      </w:r>
    </w:p>
    <w:p>
      <w:pPr>
        <w:spacing w:after="0" w:line="70" w:lineRule="exact"/>
        <w:rPr>
          <w:sz w:val="20"/>
          <w:szCs w:val="20"/>
          <w:color w:val="auto"/>
        </w:rPr>
      </w:pPr>
    </w:p>
    <w:p>
      <w:pPr>
        <w:ind w:right="660" w:firstLine="378"/>
        <w:spacing w:after="0" w:line="264" w:lineRule="auto"/>
        <w:rPr>
          <w:sz w:val="20"/>
          <w:szCs w:val="20"/>
          <w:color w:val="auto"/>
        </w:rPr>
      </w:pPr>
      <w:r>
        <w:rPr>
          <w:rFonts w:ascii="Arial" w:cs="Arial" w:eastAsia="Arial" w:hAnsi="Arial"/>
          <w:sz w:val="18"/>
          <w:szCs w:val="18"/>
          <w:color w:val="auto"/>
        </w:rPr>
        <w:t>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condensed statements of operations by reporting segment for the three months ended March 31, 2013 and 2012 are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60" w:type="dxa"/>
            <w:vAlign w:val="bottom"/>
            <w:gridSpan w:val="11"/>
          </w:tcPr>
          <w:p>
            <w:pPr>
              <w:jc w:val="center"/>
              <w:ind w:right="300"/>
              <w:spacing w:after="0"/>
              <w:rPr>
                <w:sz w:val="20"/>
                <w:szCs w:val="20"/>
                <w:color w:val="auto"/>
              </w:rPr>
            </w:pPr>
            <w:r>
              <w:rPr>
                <w:rFonts w:ascii="Arial" w:cs="Arial" w:eastAsia="Arial" w:hAnsi="Arial"/>
                <w:sz w:val="11"/>
                <w:szCs w:val="11"/>
                <w:b w:val="1"/>
                <w:bCs w:val="1"/>
                <w:color w:val="auto"/>
                <w:w w:val="90"/>
              </w:rPr>
              <w:t>Three Months Ended March 31,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4,574</w:t>
            </w: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189</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578</w:t>
            </w: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(46)</w:t>
            </w:r>
          </w:p>
        </w:tc>
      </w:tr>
      <w:tr>
        <w:trPr>
          <w:trHeight w:val="242"/>
        </w:trPr>
        <w:tc>
          <w:tcPr>
            <w:tcW w:w="3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1,680</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2,338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138</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5,319</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3,893</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w:t>
            </w: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369</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r>
      <w:tr>
        <w:trPr>
          <w:trHeight w:val="242"/>
        </w:trPr>
        <w:tc>
          <w:tcPr>
            <w:tcW w:w="3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2,016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117</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4,504</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815</w:t>
            </w: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(120)</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695</w:t>
            </w: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(418)</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1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278</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31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155</w:t>
            </w:r>
          </w:p>
        </w:tc>
      </w:tr>
      <w:tr>
        <w:trPr>
          <w:trHeight w:val="22"/>
        </w:trPr>
        <w:tc>
          <w:tcPr>
            <w:tcW w:w="3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964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964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964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964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964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37" w:right="239" w:bottom="1440" w:gutter="0" w:footer="0" w:header="0"/>
          <w:type w:val="continuous"/>
        </w:sectPr>
      </w:pPr>
    </w:p>
    <w:bookmarkStart w:id="42" w:name="page43"/>
    <w:bookmarkEnd w:id="42"/>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8"/>
          </w:tcPr>
          <w:p>
            <w:pPr>
              <w:jc w:val="center"/>
              <w:ind w:left="126"/>
              <w:spacing w:after="0"/>
              <w:rPr>
                <w:sz w:val="20"/>
                <w:szCs w:val="20"/>
                <w:color w:val="auto"/>
              </w:rPr>
            </w:pPr>
            <w:r>
              <w:rPr>
                <w:rFonts w:ascii="Arial" w:cs="Arial" w:eastAsia="Arial" w:hAnsi="Arial"/>
                <w:sz w:val="11"/>
                <w:szCs w:val="11"/>
                <w:b w:val="1"/>
                <w:bCs w:val="1"/>
                <w:color w:val="auto"/>
                <w:w w:val="91"/>
              </w:rPr>
              <w:t>Three Months Ended March 31, 2012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5"/>
          </w:tcPr>
          <w:p>
            <w:pPr>
              <w:jc w:val="center"/>
              <w:ind w:right="54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2,399</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192</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r>
      <w:tr>
        <w:trPr>
          <w:trHeight w:val="242"/>
        </w:trPr>
        <w:tc>
          <w:tcPr>
            <w:tcW w:w="37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1,774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2,684</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2,072</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309</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r>
      <w:tr>
        <w:trPr>
          <w:trHeight w:val="242"/>
        </w:trPr>
        <w:tc>
          <w:tcPr>
            <w:tcW w:w="37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1,731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2,613</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30</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(52)</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197</w:t>
            </w:r>
          </w:p>
        </w:tc>
      </w:tr>
      <w:tr>
        <w:trPr>
          <w:trHeight w:val="270"/>
        </w:trPr>
        <w:tc>
          <w:tcPr>
            <w:tcW w:w="37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-1186180</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-1529080</wp:posOffset>
            </wp:positionV>
            <wp:extent cx="2392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239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80" w:right="180" w:hanging="172"/>
        <w:spacing w:after="0" w:line="273" w:lineRule="auto"/>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$9 million and $8 million for the three months ended March 31, 2013 and 2012, respectively.</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Enterprises' condensed balance sheets by reporting segment as of March 31, 2013 and December 31, 2012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4"/>
          </w:tcPr>
          <w:p>
            <w:pPr>
              <w:jc w:val="right"/>
              <w:ind w:right="26"/>
              <w:spacing w:after="0"/>
              <w:rPr>
                <w:sz w:val="20"/>
                <w:szCs w:val="20"/>
                <w:color w:val="auto"/>
              </w:rPr>
            </w:pPr>
            <w:r>
              <w:rPr>
                <w:rFonts w:ascii="Arial" w:cs="Arial" w:eastAsia="Arial" w:hAnsi="Arial"/>
                <w:sz w:val="11"/>
                <w:szCs w:val="11"/>
                <w:b w:val="1"/>
                <w:bCs w:val="1"/>
                <w:color w:val="auto"/>
                <w:w w:val="91"/>
              </w:rPr>
              <w:t>March 31, 2013</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97"/>
              </w:rPr>
              <w:t>Railcar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w w:val="82"/>
              </w:rPr>
              <w:t>Gaming</w:t>
            </w:r>
          </w:p>
        </w:tc>
        <w:tc>
          <w:tcPr>
            <w:tcW w:w="1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4"/>
          </w:tcPr>
          <w:p>
            <w:pPr>
              <w:jc w:val="right"/>
              <w:ind w:right="126"/>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36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1,424</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7,690</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1,968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430</w:t>
            </w:r>
          </w:p>
        </w:tc>
        <w:tc>
          <w:tcPr>
            <w:tcW w:w="16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6,571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3,269</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387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51</w:t>
            </w:r>
          </w:p>
        </w:tc>
        <w:tc>
          <w:tcPr>
            <w:tcW w:w="16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874</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7,233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852</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26,261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4,667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170</w:t>
            </w: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8,184</w:t>
            </w:r>
          </w:p>
        </w:tc>
        <w:tc>
          <w:tcPr>
            <w:tcW w:w="0" w:type="dxa"/>
            <w:vAlign w:val="bottom"/>
          </w:tcPr>
          <w:p>
            <w:pPr>
              <w:spacing w:after="0"/>
              <w:rPr>
                <w:sz w:val="1"/>
                <w:szCs w:val="1"/>
                <w:color w:val="auto"/>
              </w:rPr>
            </w:pPr>
          </w:p>
        </w:tc>
      </w:tr>
      <w:tr>
        <w:trPr>
          <w:trHeight w:val="242"/>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6,080</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303</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301</w:t>
            </w: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15,332</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382</w:t>
            </w:r>
          </w:p>
        </w:tc>
        <w:tc>
          <w:tcPr>
            <w:tcW w:w="16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696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(2,633)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5,068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169</w:t>
            </w: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5,861</w:t>
            </w:r>
          </w:p>
        </w:tc>
        <w:tc>
          <w:tcPr>
            <w:tcW w:w="0" w:type="dxa"/>
            <w:vAlign w:val="bottom"/>
          </w:tcPr>
          <w:p>
            <w:pPr>
              <w:spacing w:after="0"/>
              <w:rPr>
                <w:sz w:val="1"/>
                <w:szCs w:val="1"/>
                <w:color w:val="auto"/>
              </w:rPr>
            </w:pPr>
          </w:p>
        </w:tc>
      </w:tr>
      <w:tr>
        <w:trPr>
          <w:trHeight w:val="242"/>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1,153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3,677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472</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551</w:t>
            </w: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696</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(2,633)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10,929</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7,233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852</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26,261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337" w:right="239" w:bottom="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019"/>
          </w:cols>
          <w:pgMar w:left="1440" w:top="801"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36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3,071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1,841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6,523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968</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24,556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4,214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1,488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8,548</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6,073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2,461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4,260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14,783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4,669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5,104</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5,908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3,282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9,773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24,556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March 31,</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2012</w:t>
            </w:r>
          </w:p>
        </w:tc>
      </w:tr>
      <w:tr>
        <w:trPr>
          <w:trHeight w:val="144"/>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(in millions)</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6,593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7,233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7,282</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417</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862</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1,323</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24,570</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77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37" w:right="239" w:bottom="771"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$9 million and $8 million for the three months ended March 31,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For the three months ended March 31, 2013, both Icahn Enterprises and Icahn Enterprises Holdings recorded an income tax expense of $120 million on pre-tax income of $815 million compared to an income tax benefit of $30 million on pre-tax income of $71 million for the three months ended March 31, 2012. Our effective income tax rate was 14.7% and (42.3)% for the three months ended March 31, 2013 and 2012, respectively.</w:t>
      </w:r>
    </w:p>
    <w:p>
      <w:pPr>
        <w:spacing w:after="0" w:line="57"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For the three months ended March 31, 2013, the difference between the effective tax rate and statutory federal rate of 35% is principally due to partnership income not subject to taxation, as such taxes are the responsibility of the partners. For the three months ended March 31, 2012, the difference between the effective tax rate and statutory federal rate of 35% is principally due to changes in valuation allowances and partnership income not subject to taxation, as such taxes are the responsibility of the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Post-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Employment</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Hedge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Benefits, Net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Instruments, Net</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and Other, Net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of Tax</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of Tax</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80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 net of tax</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Reclassifications from accumulated other comprehensive loss to earnings</w:t>
            </w:r>
            <w:r>
              <w:rPr>
                <w:rFonts w:ascii="Arial" w:cs="Arial" w:eastAsia="Arial" w:hAnsi="Arial"/>
                <w:sz w:val="25"/>
                <w:szCs w:val="25"/>
                <w:color w:val="auto"/>
                <w:w w:val="91"/>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0" w:right="300" w:hanging="10"/>
        <w:spacing w:after="0" w:line="238" w:lineRule="auto"/>
        <w:tabs>
          <w:tab w:leader="none" w:pos="342"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Refer to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16. Other (Loss) Income, Net.</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Other (loss) income, net consists of the following:</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40" w:type="dxa"/>
            <w:vAlign w:val="bottom"/>
            <w:gridSpan w:val="3"/>
          </w:tcPr>
          <w:p>
            <w:pPr>
              <w:jc w:val="right"/>
              <w:ind w:right="85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discontinued operations</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Gain (loss) on extinguishment of debt</w:t>
            </w:r>
          </w:p>
        </w:tc>
        <w:tc>
          <w:tcPr>
            <w:tcW w:w="112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 on derivatives, net</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Dividend expense related to securities sold, not yet purchased</w:t>
            </w:r>
          </w:p>
        </w:tc>
        <w:tc>
          <w:tcPr>
            <w:tcW w:w="11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assets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2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During the first quarter of 2013, our Automotive segment recorded a loss on discontinued operations of $47 million related to the disposal of a certain business. Because the financial results from the disposal of this business was not material to our consolidated financial statements, we did not reflect the disposition of this business as discontinued operations in either the current period or on a retrospective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right="20" w:firstLine="423"/>
        <w:spacing w:after="0" w:line="289" w:lineRule="auto"/>
        <w:rPr>
          <w:sz w:val="20"/>
          <w:szCs w:val="20"/>
          <w:color w:val="auto"/>
        </w:rPr>
      </w:pPr>
      <w:r>
        <w:rPr>
          <w:rFonts w:ascii="Arial" w:cs="Arial" w:eastAsia="Arial" w:hAnsi="Arial"/>
          <w:sz w:val="16"/>
          <w:szCs w:val="16"/>
          <w:color w:val="auto"/>
        </w:rPr>
        <w:t xml:space="preserve">On March 28, 2012 an action was filed in the U.S. District Court, Southern District of New York, entitled </w:t>
      </w:r>
      <w:r>
        <w:rPr>
          <w:rFonts w:ascii="Arial" w:cs="Arial" w:eastAsia="Arial" w:hAnsi="Arial"/>
          <w:sz w:val="16"/>
          <w:szCs w:val="16"/>
          <w:i w:val="1"/>
          <w:iCs w:val="1"/>
          <w:color w:val="auto"/>
        </w:rPr>
        <w:t>Silsby v. Icahn et. al</w:t>
      </w:r>
      <w:r>
        <w:rPr>
          <w:rFonts w:ascii="Arial" w:cs="Arial" w:eastAsia="Arial" w:hAnsi="Arial"/>
          <w:sz w:val="16"/>
          <w:szCs w:val="16"/>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that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which purports to be a class action on behalf of Dynegy shareholders who acquired their securities between July 10, 2011 and March 9, 2012. However, we believe that we have meritorious defenses to the claims and intend to file a motion to dismiss. At present, the case is being held in temporary abeyance pending a decision by the federal court as to the scope of plaintiff's right to proceed with this action.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378"/>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$15 million at March 31, 2013 and December 31, 2012, respectively, and are included in accrued expenses and other liabilities in our consolidated balance sheets.</w:t>
      </w:r>
    </w:p>
    <w:p>
      <w:pPr>
        <w:spacing w:after="0" w:line="62"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March 31, 2013, Federal-Mogul estimates reasonably possible material additional losses, above and beyond its best estimate of required remediation costs as recorded, to approximate $42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$29 million at each of March 31, 2013 and December 31, 2012, respectively, for ARO's,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CVR leases various equipment, including rail cars, and real properties under long-term operating leases expiring at various dates. For the three months ended March 31, 2013, lease expense approximated $2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jc w:val="both"/>
        <w:ind w:right="320" w:firstLine="378"/>
        <w:spacing w:after="0" w:line="279" w:lineRule="auto"/>
        <w:rPr>
          <w:sz w:val="20"/>
          <w:szCs w:val="20"/>
          <w:color w:val="auto"/>
        </w:rPr>
      </w:pPr>
      <w:r>
        <w:rPr>
          <w:rFonts w:ascii="Arial" w:cs="Arial" w:eastAsia="Arial" w:hAnsi="Arial"/>
          <w:sz w:val="17"/>
          <w:szCs w:val="17"/>
          <w:color w:val="auto"/>
        </w:rPr>
        <w:t>On August 31, 2012, Coffeyville Resources Refining &amp; Marketing, LLC ("CRRM") and Vitol Inc. (“Vitol”), entered into an Amended and Restated Crude Oil Supply Agreement (“Vitol Agreement”). The Vitol Agreement amends and restates the Crude Oil Supply Agreement between CRRM and Vitol dated March 30, 2011, as amended (“Previous Supply Agreement”). Under the Vitol Agreement, Vitol supplies the petroleum business with crude oil and intermediation logistics, which helps to reduce CVR Refining's inventory position and mitigate crude oil pricing risk.</w:t>
      </w:r>
    </w:p>
    <w:p>
      <w:pPr>
        <w:spacing w:after="0" w:line="63"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The Vitol Agreement has an initial term commencing on August 31, 2012 and extending through December 31, 2014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 Notwithstanding the foregoing, CRRM has an option to terminate the Vitol Agreement effective December 31, 2013 by providing written notice of termination to Vitol on or before May 1, 2013.</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CVR's management estimates of the outcomes will change due to uncertainties inherent in litigation and settlement negotiations. In the opinion of CVR management, the ultimate resolution of any other litigation matters is not expected to have a material adverse effect on the consolidated financial statements. There can be no assurance that CVR management's beliefs or opinions with respect to liability for potential litigation matters are accurate.</w:t>
      </w:r>
    </w:p>
    <w:p>
      <w:pPr>
        <w:spacing w:after="0" w:line="70"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In May 2010, separate groups of plaintiffs ("Anstine and Arrow cases") filed two lawsuits against CRRM and other defendants in state court in Oklahoma and Kansas. Both lawsuits were removed to federal court and were then transferred to the Bankruptcy Court for the United States District Court for the District of Delaware. The Anstine and Arrow cases allege the respective plaintiffs sold crude oil to a group of companies, which generally are known as SemCrude or SemGroup (collectively, “Sem”), which later declared bankruptcy and that Sem has not paid such plaintiffs for all of the crude oil purchased from Sem. Both lawsuits seek the same remedy, the imposition of a trust, an accounting and the return of crude oil or the proceeds therefrom. In February 2013, CRRM agreed to a settlement in the Anstine and Arrow cases. The settlement did not have a material adverse effect on the consolidated financial statements.</w:t>
      </w:r>
    </w:p>
    <w:p>
      <w:pPr>
        <w:spacing w:after="0" w:line="81" w:lineRule="exact"/>
        <w:rPr>
          <w:sz w:val="20"/>
          <w:szCs w:val="20"/>
          <w:color w:val="auto"/>
        </w:rPr>
      </w:pPr>
    </w:p>
    <w:p>
      <w:pPr>
        <w:jc w:val="both"/>
        <w:ind w:right="140" w:firstLine="378"/>
        <w:spacing w:after="0" w:line="257" w:lineRule="auto"/>
        <w:rPr>
          <w:sz w:val="20"/>
          <w:szCs w:val="20"/>
          <w:color w:val="auto"/>
        </w:rPr>
      </w:pPr>
      <w:r>
        <w:rPr>
          <w:rFonts w:ascii="Arial" w:cs="Arial" w:eastAsia="Arial" w:hAnsi="Arial"/>
          <w:sz w:val="18"/>
          <w:szCs w:val="18"/>
          <w:color w:val="auto"/>
        </w:rPr>
        <w:t>On June 21, 2012, Goldman, Sachs &amp; Co. (“GS”) filed suit against CVR in state court in New York, alleging that CVR failed to pay GS approximately $18.5 million in fees allegedly due to GS by CVR pursuant to an engagement letter dated March 21, 2012, which according to the allegations set forth in the complaint, provided that GS was engaged by CVR to assist CVR and the CVR board of directors in connection with a tender offer for CVR's common stock made by Carl C. Icahn and certain of his affiliates. CVR believes it has meritorious defenses and intends to vigorously defend against the suit. This amount has been fully accrued as of March 31, 2013 and December 31, 2012.</w:t>
      </w:r>
    </w:p>
    <w:p>
      <w:pPr>
        <w:spacing w:after="0" w:line="80"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On August 10, 2012, Deutsche Bank (“DB”) filed suit against CVR in state court in New York, alleging that CVR failed to pay DB $18.5 million in fees allegedly due to DB by CVR pursuant to an engagement letter dated March 23, 2012, which according to the allegations set forth in the complaint, provided that DB was engaged by CVR to assist CVR and the CVR board of directors in connection with a tender offer for CVR's stock made by Carl C. Icahn and certain of his affiliates. CVR believes it has meritorious defenses and intends to vigorously defend against the suit. This amount has been fully accrued as of March 31, 2013 and December 31, 2012.</w:t>
      </w:r>
    </w:p>
    <w:p>
      <w:pPr>
        <w:spacing w:after="0" w:line="80"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On December 17, 2012, Gary Community Investment Company, f/k/a The Gary-Williams Company and GWEC Holding Company, Inc. (referred to herein collectively as “Gary-Williams”) filed a lawsuit in the Supreme Court of New York, New York County (Gary Community Investment Co. v. CVR Energy, Inc., No. 654401/12) against CVR and CRLLC (referred to collectively for purposes of this paragraph as “CVR”). The action arises out of claims relating to CVR's purchase of the Wynnewood, Oklahoma refinery pursuant to the Purchase and Sale Agreement entered into by the parties on November 2, 2011 (“Purchase Agreement”). Specifically, CVR provided notice to Gary-Williams that it sought indemnification for various breaches of the Purchase Agreement and subsequently made a claim notice for payment of the entire escrow property pursuant to the Escrow Agreement by and among Gary-Williams, CRLLC, and the escrow agent, dated as of December 15, 2011. Gary-Williams, in its lawsuit, alleges that CVR breached the Purchase Agreement and the Escrow Agreement, and is seeking a declaratory judgment that CVR's claims are without any legal basis, damages in an unspecified amount, and release of the full amount of the escrow property to Gary-Williams.</w:t>
      </w:r>
    </w:p>
    <w:p>
      <w:pPr>
        <w:spacing w:after="0" w:line="74"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CRNF received a ten-year property tax abatement from Montgomery County, Kansas in connection with the construction of the nitrogen fertilizer plant that expired on December 31, 2007. In connection with the expiration of the abatement, the county reclassified and reassessed CRNF's nitrogen fertilizer plant for property tax purposes. The reclassification and reassessment resulted in an increase in CRNF's annual property tax expense by an average of $11 million per year for each of the years ended December 31, 2008 and 2009, $12 million for the year ended December 31, 2010 and $11 million for each of the years ended December 31, 2011 and 2012. CRNF protested the classification and resulting valuation for each of those years to the Kansas Court of Tax Appeals ("COTA"), followed by an appeal to the Kansas Court of Appeals. However, CRNF fully accrued and paid the property taxes the county claimed were owed for the years ended December 31, 2011, 2010, 2009 and 2008 and has estimated and accrued for property tax for the year ended December 31, 2012. The first payment in respect to CRNF's 2012 property taxes was made in December 2012 and the second payment will be made in May 2013.</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jc w:val="both"/>
        <w:ind w:right="20" w:firstLine="378"/>
        <w:spacing w:after="0" w:line="259" w:lineRule="auto"/>
        <w:rPr>
          <w:sz w:val="20"/>
          <w:szCs w:val="20"/>
          <w:color w:val="auto"/>
        </w:rPr>
      </w:pPr>
      <w:r>
        <w:rPr>
          <w:rFonts w:ascii="Arial" w:cs="Arial" w:eastAsia="Arial" w:hAnsi="Arial"/>
          <w:sz w:val="18"/>
          <w:szCs w:val="18"/>
          <w:color w:val="auto"/>
        </w:rPr>
        <w:t>On February 25, 2013, Montgomery County and CRNF agreed to a settlement for tax years 2009 through 2012, which will lower CRNF's property taxes by about $11 million per year for tax years 2013 through 2016 based on current mill levy rates. In addition, the settlement provides that Montgomery County will support CRNF's application before COTA for a ten year tax exemption for the UAN expansion. Finally, the settlement provides that CRNF will continue its appeal of the 2008 reclassification and reassessment.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right="140" w:firstLine="378"/>
        <w:spacing w:after="0" w:line="270" w:lineRule="auto"/>
        <w:rPr>
          <w:sz w:val="20"/>
          <w:szCs w:val="20"/>
          <w:color w:val="auto"/>
        </w:rPr>
      </w:pPr>
      <w:r>
        <w:rPr>
          <w:rFonts w:ascii="Arial" w:cs="Arial" w:eastAsia="Arial" w:hAnsi="Arial"/>
          <w:sz w:val="17"/>
          <w:szCs w:val="17"/>
          <w:color w:val="auto"/>
        </w:rPr>
        <w:t>Crude oil was discharged from CVR's Coffeyville refinery on July 1, 2007, due to the short amount of time available to shut down and secure the refinery in preparation for the flood that occurred on June 30, 2007. In connection with the discharge, CVR received in May 2008 notices of claims from 16 private claimants under the Oil Pollution Act ("OPA") in an aggregate amount of approximately $4 million (plus punitive damages). In August 2008, those claimants filed suit against CVR in the United States District Court for the District of Kansas in Wichita (the "Angleton Case"). In October 2009 and June 2010, companion cases to the Angleton Case were filed in the United States District Court for the District of Kansas in Wichita, seeking a total of approximately $3 million (plus punitive damages) for three additional plaintiffs as a result of the July 1, 2007 crude oil discharge. CVR has settled all of the claims with the plaintiffs from the Angleton Case and has settled all of the claims except for one of the plaintiffs from the companion cases. The settlements did not have a material adverse effect on the consolidated financial statements. CVR believes that the resolution of the remaining claim will not have a material adverse effect on our Energy segment's financial results.</w:t>
      </w:r>
    </w:p>
    <w:p>
      <w:pPr>
        <w:spacing w:after="0" w:line="74"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On October 25, 2010, CVR received a letter from the United States Coast Guard on behalf of the EPA seeking $2 million in oversight cost reimbursement. CVR responded by asserting defenses to the Coast Guard's claim for oversight costs. On September 23, 2011, the United States Department of Justice ("DOJ"), acting on behalf of the U.S. Environmental Protection Agency ("EPA") and the United States Coast Guard, filed suit against CRRM in the United States District Court for the District of Kansas seeking recovery from CRRM related to alleged non-compliance with the Clean Air Act's Risk Management Program (“RMP”), the Clean Water Act (“CWA”) and the OPA. CRRM has reached an agreement with the DOJ resolving its claims under CWA and OPA. The agreement is memorialized in a Consent Decree that was filed and approved with the Court on February 12, 2013 and March 25, 2013, respectively (“2013 Consent Decree”). On April 19, 2013, CRRM paid a civil penalty plus accrued interest in the amount of $0.6 million for CWA violations and reimbursed the Coast Guard for oversight costs under OPA in the amount of $1.7 million. The 2013 Consent Decree also requires CRRM to make small capital upgrades to the Coffeyville refinery crude oil tank farm, develop flood procedures and provide employee training. The parties also are negotiating an agreement to settle DOJ's RMP claims. Any liability to DOJ related to the RMP claims is not expected to be material.</w:t>
      </w:r>
    </w:p>
    <w:p>
      <w:pPr>
        <w:spacing w:after="0" w:line="61"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CVR is seeking insurance coverage for this release and for the ultimate costs for remediation and third-party property damage claims. On July 10, 2008, CVR filed a lawsuit in the United States District Court for the District of Kansas against certain of CVR's environmental insurance carriers requesting insurance coverage indemnification for the June/July 2007 flood and crude oil discharge losses. Each insurer reserved its rights under various policy exclusions and limitations and cited potential coverage defenses. Although the Court has now issued summary judgment opinions that eliminate the majority of the insurance defendants' reservations and defenses, CVR cannot be certain of the ultimate amount or timing of such recovery because of the difficulty inherent in projecting the ultimate resolution of CVR's claims. CVR has received $25 million of insurance proceeds under its primary environmental liability insurance policy which constitutes full payment to CVR of the primary pollution liability policy limit.</w:t>
      </w:r>
    </w:p>
    <w:p>
      <w:pPr>
        <w:spacing w:after="0" w:line="70"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 lawsuit with the insurance carriers under the environmental policies remains the only unsettled lawsuit with the insurance carriers related to these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CRRM, CRNF, Coffeyville Resources Crude Transportation ("CRCT"), Wynnewood Refining Company, LLC ("WRC") and Coffeyville Resources Terminal, LLC ("CRT") own and/or operate manufacturing and ancillary operations at various locations directly related to petroleum refining and distribution and nitrogen fertilizer manufacturing. Therefore, CRRM,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37"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OPA generally subjects owners and operators of facilities to strict, joint and several liability for all containment and clean-up costs, natural resource damages, and potential governmental oversight costs arising from oil spills into the waters of the United States.</w:t>
      </w:r>
    </w:p>
    <w:p>
      <w:pPr>
        <w:spacing w:after="0" w:line="58"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CRRM and CRT have agreed to perform corrective actions at the Coffeyville, Kansas refinery and the now-closed Phillipsburg, Kansas terminal facility, pursuant to Administrative Orders on Consent issued under RCRA to address historical contamination by the prior owners (RCRA Docket No. VII-94-H-0020 and Docket No. VII-95-H-011, respectively). As of both March 31, 2013 and December 31, 2012, environmental accruals of $2 million were reflected in the consolidated balance sheets for probable and estimated costs for remediation of environmental contamination under the RCRA Administrative Orders. Accruals were determined based on an estimate of payment costs through 2031, for which the scope of remediation was arranged with the EPA, and were discounted at the appropriate risk free rates at March 31, 2013 and December 31, 2012. The accruals include estimated closure and post-closure costs of $1 million for two landfills as of both March 31, 2013 and December 31, 2012.</w:t>
      </w:r>
    </w:p>
    <w:p>
      <w:pPr>
        <w:spacing w:after="0" w:line="70" w:lineRule="exact"/>
        <w:rPr>
          <w:sz w:val="20"/>
          <w:szCs w:val="20"/>
          <w:color w:val="auto"/>
        </w:rPr>
      </w:pPr>
    </w:p>
    <w:p>
      <w:pPr>
        <w:ind w:right="860" w:firstLine="378"/>
        <w:spacing w:after="0" w:line="308" w:lineRule="auto"/>
        <w:rPr>
          <w:sz w:val="20"/>
          <w:szCs w:val="20"/>
          <w:color w:val="auto"/>
        </w:rPr>
      </w:pPr>
      <w:r>
        <w:rPr>
          <w:rFonts w:ascii="Arial" w:cs="Arial" w:eastAsia="Arial" w:hAnsi="Arial"/>
          <w:sz w:val="17"/>
          <w:szCs w:val="17"/>
          <w:color w:val="auto"/>
        </w:rPr>
        <w:t>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38" w:lineRule="exact"/>
        <w:rPr>
          <w:sz w:val="20"/>
          <w:szCs w:val="20"/>
          <w:color w:val="auto"/>
        </w:rPr>
      </w:pPr>
    </w:p>
    <w:p>
      <w:pPr>
        <w:ind w:right="100" w:firstLine="378"/>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 ultimate impact on CVR's business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right="140" w:firstLine="378"/>
        <w:spacing w:after="0" w:line="302" w:lineRule="auto"/>
        <w:rPr>
          <w:sz w:val="20"/>
          <w:szCs w:val="20"/>
          <w:color w:val="auto"/>
        </w:rPr>
      </w:pPr>
      <w:r>
        <w:rPr>
          <w:rFonts w:ascii="Arial" w:cs="Arial" w:eastAsia="Arial" w:hAnsi="Arial"/>
          <w:sz w:val="16"/>
          <w:szCs w:val="16"/>
          <w:color w:val="auto"/>
        </w:rPr>
        <w:t>In 2007, the EPA promulgated the Mobile Source Air Toxic II (“MSAT II”) rule that requires the reduction of benzene in gasoline by 2011. CRRM and WRC are considered to be small refiners under the MSAT II rule and compliance with the rule is extended until 2015 for small refiners. As a result of our purchase of a controlling interest in CVR on May 4, 2012, CVR's MSATII projects have been accelerated by three months due to the loss of small refiner status. Capital expenditures to comply with the rule are expected to be approximately $59 million for CRRM and approximately $94 million for WRC.</w:t>
      </w:r>
    </w:p>
    <w:p>
      <w:pPr>
        <w:spacing w:after="0" w:line="46"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petroleum business is subject to the Renewable Fuel Standard ("RFS") which requires refiners to blend "renewable fuels" in with their transportation fuels or purchase renewable energy credits, known as renewable identification numbers ("RINs"), in lieu of blending. The EPA is required to determine and publish the applicable annual renewable fuel percentage standards for each compliance year by November 30 for the forthcoming year. The percentage standards represent the ratio of renewable fuel volume to gasoline and diesel volume. In 2013, about 9.6% of all transportation fuel is required to be "renewable fuel". Beginning in 2011, the Coffeyville refinery was required to blend renewable fuels into its gasoline and diesel fuel or purchase RINs in lieu of blending, and in 2013, the Wynnewood refinery was required to comply. From time to time, the petroleum business may purchase RINs on the open market or waiver credits for cellulosic biofuels from the EPA in order to comply with RFS. While the petroleum business cannot predict the future prices of RINs or waiver credits, the cost of purchasing RINs has been extremely volatile and has significantly increased over the last year. If the petroleum business is unable to pass the costs of compliance with RFS on to its customers, if sufficient RINs are unavailable for purchase at times when the petroleum business seeks to purchase RINs, if the petroleum business has to pay a significant higher price for RINs or if the petroleum business is subject to penalties as a result of delays in its ability to timely deliver RINs to the EPA, its business, financial condition and results of operations could be materially adversely affected.</w:t>
      </w:r>
    </w:p>
    <w:p>
      <w:pPr>
        <w:spacing w:after="0" w:line="6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2013, the EPA proposed "Tier 3" gasoline sulfur standards. Based on the proposed standards, CRRM anticipates it will incur less than $20 million of capital expenditures to install controls in order to meet the anticipated new standards. The project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is expected to be completed during the Coffeyville refinery's next scheduled turnaround in 2016. It is not anticipated that the Wynnewood refinery would require additional controls or capital expenditures to meet the anticipated new standard.</w:t>
      </w:r>
    </w:p>
    <w:p>
      <w:pPr>
        <w:spacing w:after="0" w:line="62" w:lineRule="exact"/>
        <w:rPr>
          <w:sz w:val="20"/>
          <w:szCs w:val="20"/>
          <w:color w:val="auto"/>
        </w:rPr>
      </w:pPr>
    </w:p>
    <w:p>
      <w:pPr>
        <w:ind w:right="220" w:firstLine="378"/>
        <w:spacing w:after="0" w:line="297" w:lineRule="auto"/>
        <w:rPr>
          <w:sz w:val="20"/>
          <w:szCs w:val="20"/>
          <w:color w:val="auto"/>
        </w:rPr>
      </w:pPr>
      <w:r>
        <w:rPr>
          <w:rFonts w:ascii="Arial" w:cs="Arial" w:eastAsia="Arial" w:hAnsi="Arial"/>
          <w:sz w:val="16"/>
          <w:szCs w:val="16"/>
          <w:color w:val="auto"/>
        </w:rPr>
        <w:t>In March 2004, CRRM and CRT entered into a Consent Decree (the "2004 Consent Decree") with the EPA and the Kansas Department of Health and Environment (the "KDHE") to resolve air compliance concerns raised by the EPA and KDHE related to Farmland Industries Inc.'s prior ownership and operation of the Coffeyville crude oil refinery and the now-closed Phillipsburg terminal facilities. Under the 2004 Consent Decree, CRRM agreed to install controls to reduce emissions of sulfur dioxide, nitrogen oxides and particulate matter from its FCCU by January 1, 2011. In addition, pursuant to the 2004 Consent Decree, CRRM and CRT assumed clean-up obligations at the Coffeyville refinery and the now-closed Phillipsburg terminal facilities.</w:t>
      </w:r>
    </w:p>
    <w:p>
      <w:pPr>
        <w:spacing w:after="0" w:line="50"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In March 2012, CRRM entered into a "Second Consent Decree" with the EPA, which replaces the 2004 Consent Decree, as amended (other than certain financial assurance provisions associated with corrective action at the refinery and terminal under RCRA). The Second Consent Decree gives CRRM more time to install the FCCU controls from the 2004 Consent Decree and expands the scope of the settlement so that it is now considered a "global settlement" under the EPA's "National Petroleum Refining Initiative." Under the National Petroleum Refining Initiative, the EPA identified industry-wide noncompliance with four "marquee" issues under the Clean Air Act: New Source Review, Flaring, Leak Detection and Repair, and Benzene Waste Operations NESHAP. The National Petroleum Refining Initiative has resulted in most U.S. refineries (representing more than 90% of the US refining capacity) entering into consent decrees imposing civil penalties and requiring the installation of pollution control equipment and enhanced operating procedures. Under the Second Consent Decree, CVR was required to pay a civil penalty of less than $1 million and complete the installation of FCCU controls required under the 2004 Consent Decree, add controls to certain heaters and boilers and enhance certain work practices relating to wastewater and fugitive emissions. The remaining costs of complying with the Second Consent Decree are expected to be approximately $41 million, of which approximately $39 million is expected to consist of capital expenditures for air pollution control equipment. CRRM also agreed to complete a voluntary environmental project that will reduce air emissions and conserve water at an estimated cost of $1 million. Additional incremental capital expenditures associated with the Second Consent Decree will not be material and will be limited primarily to the retrofit and replacement of heaters and boilers over a five to seven year time-frame. The Second Consent Decree was entered by the U.S. District Court for the District of Kansas on April 19, 2012.</w:t>
      </w:r>
    </w:p>
    <w:p>
      <w:pPr>
        <w:spacing w:after="0" w:line="64" w:lineRule="exact"/>
        <w:rPr>
          <w:sz w:val="20"/>
          <w:szCs w:val="20"/>
          <w:color w:val="auto"/>
        </w:rPr>
      </w:pPr>
    </w:p>
    <w:p>
      <w:pPr>
        <w:ind w:right="80" w:firstLine="378"/>
        <w:spacing w:after="0" w:line="290" w:lineRule="auto"/>
        <w:rPr>
          <w:sz w:val="20"/>
          <w:szCs w:val="20"/>
          <w:color w:val="auto"/>
        </w:rPr>
      </w:pPr>
      <w:r>
        <w:rPr>
          <w:rFonts w:ascii="Arial" w:cs="Arial" w:eastAsia="Arial" w:hAnsi="Arial"/>
          <w:sz w:val="16"/>
          <w:szCs w:val="16"/>
          <w:color w:val="auto"/>
        </w:rPr>
        <w:t>WRC's refinery has not entered into a global settlement with the EPA and the Oklahoma Department of Environmental Quality ("ODEQ") under the National Petroleum Refining Initiative, although it had discussions with the EPA and the ODEQ about doing so. Instead, WRC entered into a Consent Order with the ODEQ in August 2011 ("Wynnewood Consent Order"). The Wynnewood Consent Order addresses some, but not all, of the traditional marquee issues under the National Petroleum Refining Initiative and addresses certain historic Clean Air Act compliance issues that are generally beyond the scope of a traditional global settlement. Under the Wynnewood Consent Order, WRC paid a civil penalty of $950,000 and agreed to install certain controls, enhance certain compliance programs, and undertake additional testing and auditing. A substantial portion of the costs of complying with the Wynnewood Consent Order were expended during the last turnaround. The remaining costs are expected to be $2 million. In consideration for entering into the Wynnewood Consent Order, WRC received a release from liability from ODEQ for matters described in the ODEQ order.</w:t>
      </w:r>
    </w:p>
    <w:p>
      <w:pPr>
        <w:spacing w:after="0" w:line="58" w:lineRule="exact"/>
        <w:rPr>
          <w:sz w:val="20"/>
          <w:szCs w:val="20"/>
          <w:color w:val="auto"/>
        </w:rPr>
      </w:pPr>
    </w:p>
    <w:p>
      <w:pPr>
        <w:ind w:right="220" w:firstLine="378"/>
        <w:spacing w:after="0" w:line="255" w:lineRule="auto"/>
        <w:rPr>
          <w:sz w:val="20"/>
          <w:szCs w:val="20"/>
          <w:color w:val="auto"/>
        </w:rPr>
      </w:pPr>
      <w:r>
        <w:rPr>
          <w:rFonts w:ascii="Arial" w:cs="Arial" w:eastAsia="Arial" w:hAnsi="Arial"/>
          <w:sz w:val="18"/>
          <w:szCs w:val="18"/>
          <w:color w:val="auto"/>
        </w:rPr>
        <w:t>From time to time, the EPA has conducted inspections and issued information requests to CRNF with respect to CVR's compliance with the RMP and the release reporting requirements under CERCLA and the EPCRA. These previous investigations have resulted in the issuance of preliminary findings regarding CRNF's compliance status. In the fourth quarter of 2010, following CRNF's reported release of ammonia from its cooling water system and the rupture of its UAN vessel (which released ammonia and other regulated substances), the EPA conducted its most recent inspection and issued an additional request for information to CRNF. The EPA has not made any formal claims against CVR and CVR has not accrued for any liability associated with the investigations or releases.</w:t>
      </w:r>
    </w:p>
    <w:p>
      <w:pPr>
        <w:spacing w:after="0" w:line="85"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WRC has entered into a series of Clean Water Act consent orders with ODEQ. The latest Consent Order ("CWA Consent Order"), which supersedes other consent orders, became effective in September 2011. The CWA Consent Order addresses alleged noncompliance by WRC with its Oklahoma Pollutant Discharge Elimination System permit limits. The CWA Consent Order requires WRC to take corrective action steps, including undertaking studies to determine whether the Wynnewood refinery's wastewater treatment plant capacity is sufficient. The Wynnewood refinery may need to install additional controls or make operational changes to satisfy the requirements of the CWA Consent Order. The cost of additional controls, if any, cannot be predicted at this time. However, based on CVR's experience with wastewater treatment and controls, CVR does not anticipate that the costs of any required additional controls or operational changes would be material.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37"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ind w:right="480" w:firstLine="378"/>
        <w:spacing w:after="0" w:line="342" w:lineRule="auto"/>
        <w:rPr>
          <w:sz w:val="20"/>
          <w:szCs w:val="20"/>
          <w:color w:val="auto"/>
        </w:rPr>
      </w:pPr>
      <w:r>
        <w:rPr>
          <w:rFonts w:ascii="Arial" w:cs="Arial" w:eastAsia="Arial" w:hAnsi="Arial"/>
          <w:sz w:val="16"/>
          <w:szCs w:val="16"/>
          <w:color w:val="auto"/>
        </w:rPr>
        <w:t>Environmental expenditures are capitalized when such expenditures are expected to result in future economic benefits. For the three months ended March 31, 2013, capital expenditures were $22 million and were incurred to improve the environmental compliance and efficiency of the operations.</w:t>
      </w:r>
    </w:p>
    <w:p>
      <w:pPr>
        <w:spacing w:after="0" w:line="16"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CRRM, CRNF, CRCT, WRC and CRT each believes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73" w:lineRule="exact"/>
        <w:rPr>
          <w:sz w:val="20"/>
          <w:szCs w:val="20"/>
          <w:color w:val="auto"/>
        </w:rPr>
      </w:pPr>
    </w:p>
    <w:p>
      <w:pPr>
        <w:ind w:right="80" w:firstLine="378"/>
        <w:spacing w:after="0" w:line="290" w:lineRule="auto"/>
        <w:rPr>
          <w:sz w:val="20"/>
          <w:szCs w:val="20"/>
          <w:color w:val="auto"/>
        </w:rPr>
      </w:pPr>
      <w:r>
        <w:rPr>
          <w:rFonts w:ascii="Arial" w:cs="Arial" w:eastAsia="Arial" w:hAnsi="Arial"/>
          <w:sz w:val="16"/>
          <w:szCs w:val="16"/>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was no environmental impact. The refinery was in the final stages of shutdown for turnaround maintenance at the time of the incident. The petroleum business completed an internal investigation of the incident and continues to cooperate with OSHA and Oklahoma Department of Labor ("ODL") investigations. OSHA also conducted a general inspection of the facility during the boiler incident investigation. In March 2013, OSHA completed its investigation and communicated its citations to WRC. OSHA also placed WRC in its Severe Violators Enforcement Program (“SVEP”). WRC has filed its notice of contest against the citations, and will vigorously defend against the citations and OSHA's placement of WRC in the SVEP. WRC is in the process of reviewing the citations and no settlement has been reached. Any penalties associated with OSHA's citations are not expected to have a material adverse effect on the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$29 million for both March 31, 2013 and December 31, 2012.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PSC Metals has negotiated a settlement with the EPA that resolves PSC Metals and its predecessors' liability associated with the Port Refinery superfund site in the Village of Rye Brook, NY. PSC Metals made a one-time payment of $225,000 to resolve the matter.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March 31, 2013 and December 31, 2012. If it is determined that PSC Metals has liability to remediate those sites and that more expensive remediation approaches are required in the future, PSC Metals could incur additional obligations, which could be material.</w:t>
      </w:r>
    </w:p>
    <w:p>
      <w:pPr>
        <w:spacing w:after="0" w:line="59"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In November and December of 2011, PSC Metals received three notices of violation from the Missouri Department of Natural Resources ("MDNR") for hazardous waste and water violations related to its Festus, Missouri location. PSC Metals has responded to the notices of violation and is cooperating with MDNR. PSC Metals is in the process of negotiating a settlement with MDNR that will resolve the three notices of violation referenced above. PSC Metals cannot estimate the cost of any settlement with MDNR at this time. PSC Metals believes that it has a claim for indemnification against the prior owner of the facility associated with the above-referenced notices of violation.</w:t>
      </w:r>
    </w:p>
    <w:p>
      <w:pPr>
        <w:spacing w:after="0" w:line="80"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MDNR has undertaken sampling for lead at residences near PSC Metals' Festus yard. MDNR has indicated to PSC Metals that this sampling was initiated in response to citizen complaints regarding its Festus yard. MDNR has received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results of this sampling. PSC Metals has been provided with the MDNR sampling results and is undertaking a technical review with its environmental experts. PSC Metals has been informed by MDNR that of the approximately 50 residences that were sampled and tested, 15 tested above residential standards for lead contamination and may require some amount of limited soil remediation. Neither MDNR nor PSC Metals has undertaken a lead isotope or similar analysis that would tie the lead contamination that was discovered to a specific location or source. MDNR has requested that PSC Metals sample 19 additional residential properties to assess whether those sites are above residential standards for lead contamination. PSC Metals and MDNR are discussing the scope and extent of any future sampling and the potential for limited soil remediation. At this time, PSC Metals believes that it has adequately reserved for the cost of remediation associated with its Festus yard and the residential areas near the yard, should such remediation be required. However, as negotiations with MDNR are on-going and additional sampling could be required, PSC Metals cannot assess its liability with certainty at this time. To the extent that MDNR does seek to hold PSC Metals liable for off-site contamination, PSC Metals believes that such liability was retained by the prior owner of the Festus yard and it would have a claim for indemnification against the prior owner.</w:t>
      </w:r>
    </w:p>
    <w:p>
      <w:pPr>
        <w:spacing w:after="0" w:line="70"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for the next three years. PSC Metals estimates that the cost associated with the required injunctive relief will range from $0.8 million to $1.7 million, exclusive of a civil penalty of $199,000 assessed in connection with the consent decree which PSC Metals paid in 2011.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ARI is subject to comprehensive federal, state, local and international environmental laws and regulations relating to the release or discharge of materials into the environment, the management, use, processing, handling, storage, transport or disposal of hazardous materials and wastes, or otherwise relating to the protection of human health and the environment. These laws and regulations not only expose ARI to liability for the environmental condition of its current or formerly owned or operated facilities, and its own negligent acts, but also may expose ARI to liability for the conduct of others or for ARI's actions that were in compliance with all applicable laws at the time these actions were taken. In addition, these laws may require significant expenditures to achieve compliance, and are frequently modified or revised to impose new obligations. Civil and criminal fines and penalties and other sanctions may be imposed for non-compliance with these environmental laws and regulations. ARI's operations that involve hazardous materials also raise potential risks of liability under common law. Management believes that there are no current environmental issues identified that would have a material adverse effect on ARI. Certain real property ARI acquired from ACF Industries LLC ("ACF") in 1994 has been involved in investigation and remediation activities to address contamination. Substantially all of the issues identified relate to the use of these properties prior to their transfer to ARI by ACF and for which ACF has retained liability for environmental contamination that may have existed at the time of transfer to ARI. ACF has also agreed to indemnify ARI for any cost that might be incurred with those existing issues. As of March 31, 2013, ARI does not believe it will incur material costs in connection with any investigation or remediation activities relating to these properties, but it cannot assure that this will be the case. If ACF fails to honor its obligations to ARI, ARI could be responsible for the cost of such remediation. ARI believes that its operations and facilities are in substantial compliance with applicable laws and regulations and that any noncompliance is not likely to have a material adverse effect on its operations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On September 2, 2009, a complaint was filed by George Tedder ("Plaintiff") against ARI in the U.S. District Court, Eastern District of Arkansas. The Plaintiff alleged that ARI was liable for an injury that resulted during the Plaintiff's break on April 24, 2008. At trial on April 9, 2012, the jury ruled in favor of the Plaintiff, which was subsequently appealed. As a result of the appeal, the judge reduced the amount awarded to the plaintiff, which was fully accrued as of March 31, 2013 and December 31, 2012. In the first quarter of 2013, ARI filed an appeal of the revised ruling.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On August 12, 2010, Aztar filed a broker malpractice and breach of contract action in the Superior Court of New Jersey, Atlantic County, Law Division (the “Court”), against Marsh &amp; McLennan Companies, Marsh, Inc., Marsh USA, Inc. and various fictitious Marsh entities (together, the "Marsh Defendants"). The claim seeks $100 million or more in compensatory 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81" w:lineRule="exact"/>
        <w:rPr>
          <w:sz w:val="20"/>
          <w:szCs w:val="20"/>
          <w:color w:val="auto"/>
        </w:rPr>
      </w:pPr>
    </w:p>
    <w:p>
      <w:pPr>
        <w:ind w:right="40" w:firstLine="378"/>
        <w:spacing w:after="0" w:line="290" w:lineRule="auto"/>
        <w:rPr>
          <w:sz w:val="20"/>
          <w:szCs w:val="20"/>
          <w:color w:val="auto"/>
        </w:rPr>
      </w:pPr>
      <w:r>
        <w:rPr>
          <w:rFonts w:ascii="Arial" w:cs="Arial" w:eastAsia="Arial" w:hAnsi="Arial"/>
          <w:sz w:val="16"/>
          <w:szCs w:val="16"/>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Subsequently, Aztar filed a Motion for Reconsideration with the Court, which motion was denied. In September 2012, Aztar appealed the Court's decision to dismiss the case with the Superior Court of New Jersey, Appellate Division, which appeal is currently pending. Any recovery obtained by Aztar in this action will be recoverable by Tropicana as the current owner of Tropicana AC.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January 2013 we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will receive approximately $50 million refund in the form of credits against future year real estate tax bills beginning in 2013 and ending in 2017. The credits are front-loaded in 2013 and 2014 so that after the credits are applied, Tropicana will pay approximately $2 million in taxes in 2013 and $3 million in taxes in 2014, with the remainder of the credits spread over the remaining three years, 2015 through 2017. Tropicana will recognize these credits as a reduction to operating expenses in the periods they are utilized.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During 2005, Viskase Brasil Embalagens Ltda. (“Viskase Brazil”) received three tax assessments by São Paulo tax authorities with respect to Viskase Brazil's alleged failure to pay value added and sales and services tax (“ICMS”) levied on the importation of raw materials, and sales of goods in and out of the State of São Paulo, and alleged improper credits taken, from 2000 through 2005. In late December 2012, São Paulo issued a decree announcing a special installment program (“PEP Program”) for eligible companies that wish to settle alleged ICMS liabilities arising prior to July 31, 2012. The PEP Program offers significant reductions in interest and penalties to companies that choose to participate. Viskase Brazil is currently reviewing the terms of the PEP Program. Viskase Brazil has vigorously defended against these assessments in administrative and/or judicial proceedings since receipt, and continues to do so.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$1 million at both March 31, 2013 and December 31,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90.5% of Icahn Enterprises' outstanding depositary units as of March 31, 2013.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60" w:firstLine="378"/>
        <w:spacing w:after="0" w:line="288"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all entities in which Mr. Icahn has a direct or indirect ownership interest of at least 80%. One such entity, ACF, is the sponsor of several pension plans. All the minimum funding requirements of the Code and the Employee Retirement Income Security Act of 1974, as amended by the Pension Protection Act of 2006, for these plans have been met as of March 31, 2013 and December 31, 2012. If the plans were voluntarily terminated, they would be underfunded by approximately $127 million and $130 million as of March 31, 2013 and December 31, 2012,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1"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ACF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Starfire Holding Corporation ("Starfire") which is 100%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April 29, 2013, the Board of Directors of the general partner of Icahn Enterprises declared a quarterly distribution in the amount of $1.00, which will be paid on or about July 5, 2013 to depositary unit holders of record at the close of business on May 13, 2013. Depositary unit holders will have until June 3, 2013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20 consecutive trading days ending July 1, 2013.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 April 2013, Federal-Mogul ceased operations at one of its U.S. manufacturing locations. The resulting reduction in the average remaining future service period to the full eligibility date of the remaining active plan participants in Federal-Mogul's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37" w:right="25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2013 (Unaudited)</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 Welfare Benefit Plan will trigger the recognition of an OPEB curtailment gain of approximately $19 million in the second quarter of 2013, which will be included in selling, general and administrative in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to March 31, 2013, an affiliate of Mr. Icahn invested $45 million in the Investment Funds.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337" w:right="279" w:bottom="1440" w:gutter="0" w:footer="0" w:header="0"/>
        </w:sectPr>
      </w:pPr>
    </w:p>
    <w:bookmarkStart w:id="57" w:name="page58"/>
    <w:bookmarkEnd w:id="57"/>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reviewed the accompanying consolidated balance sheet of Icahn Enterprises L.P. and Subsidiaries (the “Partnership”) (a Delaware limited partnership) as of March 31, 2013, and the related consolidated statements of operations, cash flows and comprehensive income for the three month periods ended March 31, 2013 and 2012, and the consolidated statement of changes in equity for the three-month period ended March 31, 2013. These consolidated interim financial statements are the responsibility of the Partnership's management.</w:t>
      </w:r>
    </w:p>
    <w:p>
      <w:pPr>
        <w:spacing w:after="0" w:line="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were furnished with the report of other accountants on their reviews of the condensed consolidated interim financial statements of CVR Energy, Inc., a subsidiary, whose total assets as of March 31, 2013 were $3,772 million, and whose revenues for the three-month period ended March 31, 2013 constituted $2,352 million, of the related consolidated totals.</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our reviews and the report of other accountants, we are not aware of any material modifications that should be made to the accompanying consolidated interim financial statements referred to above for them to be in conformity with accounting principles generally accepted in the United States of America.</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Partnership as of December 31, 2012, and the related consolidated statements of operations, comprehensive income, changes in equity, and cash flows for the year then ended (not presented herein); and in our report dated March 14, 2013 we expressed an unqualified opinion on those consolidated financial statements. Our report made reference to the report of other auditors as it relates to amounts included for CVR Energy, Inc. for the year ended December 31, 2012. In our opinion, the information set forth in the accompanying consolidated balance sheet as of December 31, 2012,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364" w:right="299" w:bottom="1440" w:gutter="0" w:footer="0" w:header="0"/>
        </w:sectPr>
      </w:pPr>
    </w:p>
    <w:bookmarkStart w:id="58" w:name="page59"/>
    <w:bookmarkEnd w:id="58"/>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reviewed the accompanying consolidated balance sheet of Icahn Enterprises Holdings L.P. and Subsidiaries (the “Partnership”) (a Delaware limited partnership) as of March 31, 2013, and the related consolidated statements of operations, cash flows and comprehensive income for the three month periods ended March 31, 2013 and 2012, and the consolidated statement of changes in equity for the three-month period ended March 31, 2013. These consolidated interim financial statements are the responsibility of the Partnership's management.</w:t>
      </w:r>
    </w:p>
    <w:p>
      <w:pPr>
        <w:spacing w:after="0" w:line="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were furnished with the report of other accountants on their reviews of the condensed consolidated interim financial statements of CVR Energy, Inc., a subsidiary, whose total assets as of March 31, 2013 were $3,772 million, and whose revenues for the three-month period ended March 31, 2013 constituted $2,352 million, of the related consolidated totals.</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our reviews and the report of other accountants, we are not aware of any material modifications that should be made to the accompanying consolidated interim financial statements referred to above for them to be in conformity with accounting principles generally accepted in the United States of America.</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Partnership as of December 31, 2012, and the related consolidated statements of operations, comprehensive income, changes in equity, and cash flows for the year then ended (not presented herein); and in our report dated March 14, 2013 we expressed an unqualified opinion on those consolidated financial statements. Our report made reference to the report of other auditors as it relates to amounts included for CVR Energy, Inc. for the year ended December 31, 2012. In our opinion, the information set forth in the accompanying consolidated balance sheet as of December 31, 2012,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364" w:right="299" w:bottom="1440" w:gutter="0" w:footer="0" w:header="0"/>
        </w:sectPr>
      </w:pPr>
    </w:p>
    <w:bookmarkStart w:id="59" w:name="page60"/>
    <w:bookmarkEnd w:id="59"/>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CVR Energy, Inc.:</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have reviewed the condensed consolidated balance sheet of CVR Energy, Inc. and subsidiaries (the Company) as of March 31, 2013, and the related condensed consolidated statements of operations, comprehensive income (loss), changes in equity, and cash flows for the three-month period then ended. These condensed consolidated financial statements are the responsibility of the Company's management.</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6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Quarterly Report on Form 10-Q for the period ended March 31, 2013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0" w:firstLine="378"/>
        <w:spacing w:after="0" w:line="286" w:lineRule="auto"/>
        <w:rPr>
          <w:sz w:val="20"/>
          <w:szCs w:val="20"/>
          <w:color w:val="auto"/>
        </w:rPr>
      </w:pPr>
      <w:r>
        <w:rPr>
          <w:rFonts w:ascii="Arial" w:cs="Arial" w:eastAsia="Arial" w:hAnsi="Arial"/>
          <w:sz w:val="17"/>
          <w:szCs w:val="17"/>
          <w:color w:val="auto"/>
        </w:rPr>
        <w:t>Icahn Enterprises L.P. (“Icahn Enterprises”) is a master limited partnership formed in Delaware on February 17, 1987. Icahn Enterprises Holdings L.P. (“Icahn Enterprises Holdings”) is a limited partnership formed in Delaware on February 17, 1987. References to "Company," "we," "our" or "us" herein include both Icahn Enterprises and Icahn Enterprises Holdings and their subsidiaries, unless the context otherwise requires.</w:t>
      </w:r>
    </w:p>
    <w:p>
      <w:pPr>
        <w:spacing w:after="0" w:line="57" w:lineRule="exact"/>
        <w:rPr>
          <w:sz w:val="20"/>
          <w:szCs w:val="20"/>
          <w:color w:val="auto"/>
        </w:rPr>
      </w:pPr>
    </w:p>
    <w:p>
      <w:pPr>
        <w:ind w:right="160" w:firstLine="378"/>
        <w:spacing w:after="0" w:line="291"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2013.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as of March 31, 2013. In addition to the above, Mr. Icahn and his affiliates owned 97,764,251, or approximately 90.5%, of Icahn Enterprises' outstanding depositary units as of March 31, 2013.</w:t>
      </w:r>
    </w:p>
    <w:p>
      <w:pPr>
        <w:spacing w:after="0" w:line="5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On February 28, 2013, Icahn Enterprises entered into an underwriting agreement (the “Underwriting Agreement”) with Jefferies &amp; Company, Inc. (the “Underwriter”), providing for the issuance and purchase of an aggregate of 3,174,604 depositary units representing limited partner interests in Icahn Enterprises at a price to the public of $63.00 per depositary unit (“Equity Offering”). The depositary units were delivered to the unitholders on March 6, 2013, resulting in proceeds of $194 million, after deducting underwriting discounts, commissions and other offering related fees and expenses. In connection with this offering, our general partner made an aggregate contribution of $4 million to Icahn Enterprises and Icahn Enterprises Holdings in order to maintain its 1% general partner interest in each of Icahn Enterprises and Icahn Enterprises Holdings.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April 2013, Federal-Mogul ceased operations at one of its U.S. manufacturing locations. The resulting reduction in the average remaining future service period to the full eligibility date of the remaining active plan participants in Federal-Mogul's U.S. Welfare Benefit Plan will trigger the recognition of an OPEB curtailment gain of $19 million in the second quarter of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and Icahn Enterprises Holdings for each of our reporting segments and the Holding Company for the three months ended March 31, 2013 and 2012.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0"/>
              </w:rPr>
              <w:t>Enterprises/</w:t>
            </w:r>
          </w:p>
        </w:tc>
        <w:tc>
          <w:tcPr>
            <w:tcW w:w="98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Revenues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left="56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196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 March 31,</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1,680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Energy</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2,338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1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5,319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170"/>
        <w:spacing w:after="0"/>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We consolidated CVR effective May 4, 2012.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Our operating businesses are managed on a decentralized basis. Due to the structure of our business, we discuss the results of operations below by individual reporting segments. Refer to Note 2, “Operating Units,” to the consolidated financial statements for a description of each of our operating segments and Note 13, "Segment Reporting," for a reconciliation of each of our reporting segment's results of operations to our consolidated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Icahn Onshore LP and Icahn Offshore LP (together, the "General Partners") act as general partner of Icahn Partners LP ("Icahn Partners") and the Master Funds (as defined herein). The General Partners provide investment advisory and certain administrative and back office services to the Investment Funds (as defined below) but do not provide such services to any other entities, individuals or accounts. The “Master Funds” consist of (i) Icahn Partners Master Fund LP, (ii) Icahn Partners Master Fund II LP and (iii) Icahn Partners Master Fund III LP. Icahn Partners and the Master Funds are collectively referred to herein as the “Investment Funds.” Interests in the Investment Funds are not offered to outside investors.</w:t>
      </w:r>
    </w:p>
    <w:p>
      <w:pPr>
        <w:spacing w:after="0" w:line="64"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March 31, 2013 and December 31, 2012, the total fair market value of investments in the Investment Funds made by Mr. Icahn and his affiliates was approximately $3.9 billion and $3.5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As of March 31, 2013 and December 31, 2012, we had investments with a fair market value of approximately $2.6 billion and $2.4 billion, respectively, in the Investment Funds.</w:t>
      </w:r>
    </w:p>
    <w:p>
      <w:pPr>
        <w:spacing w:after="0" w:line="62"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Our share of the Investment Funds' net profit through our interests in the Investment Funds was $233 million and $31 million for the three months ended March 31, 2013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34290</wp:posOffset>
            </wp:positionV>
            <wp:extent cx="2160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34290</wp:posOffset>
            </wp:positionV>
            <wp:extent cx="2160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r>
      <w:tr>
        <w:trPr>
          <w:trHeight w:val="27"/>
        </w:trPr>
        <w:tc>
          <w:tcPr>
            <w:tcW w:w="80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9140" w:type="dxa"/>
            <w:vAlign w:val="bottom"/>
            <w:gridSpan w:val="2"/>
            <w:shd w:val="clear" w:color="auto" w:fill="CCEEFF"/>
          </w:tcPr>
          <w:p>
            <w:pPr>
              <w:jc w:val="right"/>
              <w:ind w:right="7820"/>
              <w:spacing w:after="0"/>
              <w:rPr>
                <w:sz w:val="20"/>
                <w:szCs w:val="20"/>
                <w:color w:val="auto"/>
              </w:rPr>
            </w:pPr>
            <w:r>
              <w:rPr>
                <w:rFonts w:ascii="Arial" w:cs="Arial" w:eastAsia="Arial" w:hAnsi="Arial"/>
                <w:sz w:val="18"/>
                <w:szCs w:val="18"/>
                <w:color w:val="auto"/>
                <w:w w:val="90"/>
              </w:rPr>
              <w:t>Investment Funds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80" w:firstLine="378"/>
        <w:spacing w:after="0" w:line="312" w:lineRule="auto"/>
        <w:rPr>
          <w:sz w:val="20"/>
          <w:szCs w:val="20"/>
          <w:color w:val="auto"/>
        </w:rPr>
      </w:pPr>
      <w:r>
        <w:rPr>
          <w:rFonts w:ascii="Arial" w:cs="Arial" w:eastAsia="Arial" w:hAnsi="Arial"/>
          <w:sz w:val="16"/>
          <w:szCs w:val="16"/>
          <w:color w:val="auto"/>
        </w:rPr>
        <w:t>The Investment Funds' aggregate gross return was 9.7% for the three months ended March 31, 2013. During the first quarter of 2013, the Investment Funds' performance was driven by gains in long equity positions, primarily in a few of the largest core holdings. The Investment Funds' short equity exposure, including broad market hedges, was a negative contributor to performance as equity markets rallied in the first quarter of 2013.</w:t>
      </w:r>
    </w:p>
    <w:p>
      <w:pPr>
        <w:spacing w:after="0" w:line="39"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Investment Funds' aggregate gross return was 1.0% for the three months ended March 31, 2012. Gains were primarily due to the Investment Funds' long exposure to the equity markets that were primarily driven by certain core holdings offset in part by short positions.</w:t>
      </w:r>
    </w:p>
    <w:p>
      <w:pPr>
        <w:spacing w:after="0" w:line="62"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Since inception in November 2004, the Investment Funds' gross return is 199%, representing an annualized rate of return of 14% through March 31, 2013.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Automotive</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1,465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1,487</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308" w:lineRule="auto"/>
        <w:rPr>
          <w:sz w:val="20"/>
          <w:szCs w:val="20"/>
          <w:color w:val="auto"/>
        </w:rPr>
      </w:pPr>
      <w:r>
        <w:rPr>
          <w:rFonts w:ascii="Arial" w:cs="Arial" w:eastAsia="Arial" w:hAnsi="Arial"/>
          <w:sz w:val="17"/>
          <w:szCs w:val="17"/>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8" w:lineRule="exact"/>
        <w:rPr>
          <w:sz w:val="20"/>
          <w:szCs w:val="20"/>
          <w:color w:val="auto"/>
        </w:rPr>
      </w:pPr>
    </w:p>
    <w:p>
      <w:pPr>
        <w:ind w:right="240" w:firstLine="378"/>
        <w:spacing w:after="0" w:line="255"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alternative energies, environment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 Federal-Mogul participates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the life cycle of a broad range of products to a diverse customer base.</w:t>
      </w:r>
    </w:p>
    <w:p>
      <w:pPr>
        <w:spacing w:after="0" w:line="81"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Geographically, Federal-Mogul derived 38% of its net sales in the United States and 62% internationally during the three months ended March 31, 2013. Federal-Mogul has operations in established markets including Canada, France, Germany, Italy, Japan, Spain, Sweden, the United Kingdom and the United States, and developing markets including Argentina, Brazil, China, Czech Republic, Hungary, India, Korea, Mexico, Poland, Russia, South Africa, Thailand, Turkey and Venezuela. The attendant risks of Federal-Mogul's international operations are primarily related to currency fluctuations, changes in local economic and political conditions, and changes in laws and regulations.</w:t>
      </w:r>
    </w:p>
    <w:p>
      <w:pPr>
        <w:spacing w:after="0" w:line="80"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Federal-Mogul operates in an extremely competitive industry, driven by global vehicle production volumes and part replacement trends. Business is typically awarded to the supplier offering the most favorable combination of cost, quality, technology and service. Customers continue to require periodic cost reductions that require Federal-Mogul to continually assess, redefine and improve its operations, products, and manufacturing capabilities to maintain and improve profitability. Management continues to develop and execute initiatives to meet the challenges of the industry and to achieve its strategy for sustainable global profitable growth.</w:t>
      </w:r>
    </w:p>
    <w:p>
      <w:pPr>
        <w:spacing w:after="0" w:line="80" w:lineRule="exact"/>
        <w:rPr>
          <w:sz w:val="20"/>
          <w:szCs w:val="20"/>
          <w:color w:val="auto"/>
        </w:rPr>
      </w:pPr>
    </w:p>
    <w:p>
      <w:pPr>
        <w:ind w:right="520" w:firstLine="378"/>
        <w:spacing w:after="0" w:line="277" w:lineRule="auto"/>
        <w:rPr>
          <w:sz w:val="20"/>
          <w:szCs w:val="20"/>
          <w:color w:val="auto"/>
        </w:rPr>
      </w:pPr>
      <w:r>
        <w:rPr>
          <w:rFonts w:ascii="Arial" w:cs="Arial" w:eastAsia="Arial" w:hAnsi="Arial"/>
          <w:sz w:val="18"/>
          <w:szCs w:val="18"/>
          <w:color w:val="auto"/>
        </w:rPr>
        <w:t>Effective September 1, 2012, Federal-Mogul began operating with two end-customer focused business units. The Powertrain (“PT”) business unit focuses on original equipment products for automotive, heavy duty and industrial applications.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63" w:name="page64"/>
    <w:bookmarkEnd w:id="63"/>
    <w:p>
      <w:pPr>
        <w:ind w:right="80"/>
        <w:spacing w:after="0" w:line="293" w:lineRule="auto"/>
        <w:rPr>
          <w:sz w:val="20"/>
          <w:szCs w:val="20"/>
          <w:color w:val="auto"/>
        </w:rPr>
      </w:pPr>
      <w:r>
        <w:rPr>
          <w:rFonts w:ascii="Arial" w:cs="Arial" w:eastAsia="Arial" w:hAnsi="Arial"/>
          <w:sz w:val="16"/>
          <w:szCs w:val="16"/>
          <w:color w:val="auto"/>
        </w:rPr>
        <w:t>The Vehicle Components Solutions (“VCS”) business unit sells and distributes a broad portfolio of products in the global aftermarket, while also serving original equipment manufacturers with products including braking, chassis, wipers and other vehicle components. The new organizational model allows for a strong product line focus benefiting both original equipment and aftermarket customers and will enable the global Federal-Mogul teams to be responsive to customers' needs for superior products and to promote greater identification with Federal-Mogul premium brands. The division of the global Federal-Mogul business into two operating business units is expected to enhance management focus to capitalize on opportunities for organic or acquisition growth, profit improvement, resource utilization and business model optimization in line with the unique requirements of the two different customer bases.</w:t>
      </w:r>
    </w:p>
    <w:p>
      <w:pPr>
        <w:spacing w:after="0" w:line="57"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Net sales for the three months ended March 31, 2013 as compared to the comparable prior year period decreased by $51 million (3%). Sales volumes decreased by $52 million, of which $44 million occurred in PT Europe. The rest was attributable to the VCS business unit due to the cessation of selected non-strategic business contracts, and lower export sales to Venezuela as a result of the country's currency devaluation, partially offset by additional sales gained from a distribution agreement. The sales decrease also reflects some level of impact of the U.S. dollar strengthening, primarily against the euro, which reduced reported sales by $8 million. These decreases were partially offset by $8 million of increased sales directly related to acquisitions.</w:t>
      </w:r>
    </w:p>
    <w:p>
      <w:pPr>
        <w:spacing w:after="0" w:line="50"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During the first quarter of 2013, sales were negatively impacted by reductions in European light vehicle production as well as reduced global commercial vehicle production. Although the U.S. passenger car market contracted slightly, this had only a minor impact on Federal-Mogul's sales given that the majority of its OEM sales are to customers outside the U.S. The European passenger car market is also continuing to see its demand shifting away from diesel towards gasoline vehicles.</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Over 70% of Federal-Mogul's European OEM business serves the light vehicle diesel and heavy duty markets, and given the generally greater technical complexity of these applications, the margins for these parts are generally higher than those serving light vehicle gasoline market. Therefore, not only are Federal-Mogul's sales significantly impacted by the changes in European demand, but its profits are disproportionately affected by adverse impacts of reductions occurring in some of the most profitable applications within those regions.</w:t>
      </w:r>
    </w:p>
    <w:p>
      <w:pPr>
        <w:spacing w:after="0" w:line="79"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Cost of goods sold for the three months ended March 31, 2013 as compared to the comparable prior year period decreased by $22 million (1%). The reduction in materials, labor and overheads as a direct result of the reduction in sales volume was $20 million, due to adverse changes in regional and product mix. Federal-Mogul noted materials and services sourcing savings of $12 million. The impact of the relative strength of the U.S. dollar, primarily against the euro, decreased cost of products sold by $3 million. These decreases were partially offset by $5 million of cost increases directly related to an acquisition's sales volume and increased depreciation of $3 million. Furthermore, costs of goods sold for the three months ended March 31, 2013 as compared to the comparable prior year period increased by $6 million due to unfavorable productivity which includes labor and benefits inflation and $1 million in increase in pension costs.</w:t>
      </w:r>
    </w:p>
    <w:p>
      <w:pPr>
        <w:spacing w:after="0" w:line="81"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Gross margin for the three months ended March 31, 2013 as compared to the comparable prior year period decreased by $29 million (10%). Gross margin was 14% and 16% of net sales for the three months ended March 31, 2013 and 2012, respectively. The decrease in gross margin as a percent of sales mainly reflects the market driven drop in OEM volumes on the more profitable applications within the OE business. These elements are reflected as unfavorable sales volumes / mix impact of $32 million, increased depreciation of $3 million, and unfavorable productivity of $6 million which includes year-over-year labor and benefits inflation. The impact of the relative strength of the U.S. dollar, primarily against the euro, decreased gross margin by $5 million. These decreases were partially offset by a favorable impact on margin of $12 million from materials and services sourcing savings, $3 million of additional margin directly related to an acquisition.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6"/>
          </w:tcPr>
          <w:p>
            <w:pPr>
              <w:jc w:val="center"/>
              <w:ind w:left="692"/>
              <w:spacing w:after="0"/>
              <w:rPr>
                <w:sz w:val="20"/>
                <w:szCs w:val="20"/>
                <w:color w:val="auto"/>
              </w:rPr>
            </w:pPr>
            <w:r>
              <w:rPr>
                <w:rFonts w:ascii="Arial" w:cs="Arial" w:eastAsia="Arial" w:hAnsi="Arial"/>
                <w:sz w:val="18"/>
                <w:szCs w:val="18"/>
                <w:b w:val="1"/>
                <w:bCs w:val="1"/>
                <w:color w:val="auto"/>
                <w:w w:val="91"/>
              </w:rPr>
              <w:t>Three Months Ended March 31, 2013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12"/>
              <w:spacing w:after="0"/>
              <w:rPr>
                <w:sz w:val="20"/>
                <w:szCs w:val="20"/>
                <w:color w:val="auto"/>
              </w:rPr>
            </w:pPr>
            <w:r>
              <w:rPr>
                <w:rFonts w:ascii="Arial" w:cs="Arial" w:eastAsia="Arial" w:hAnsi="Arial"/>
                <w:sz w:val="18"/>
                <w:szCs w:val="18"/>
                <w:b w:val="1"/>
                <w:bCs w:val="1"/>
                <w:color w:val="auto"/>
              </w:rPr>
              <w:t>Petroleum</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Fertilizer</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20" w:type="dxa"/>
            <w:vAlign w:val="bottom"/>
            <w:gridSpan w:val="6"/>
          </w:tcPr>
          <w:p>
            <w:pPr>
              <w:jc w:val="center"/>
              <w:ind w:left="672"/>
              <w:spacing w:after="0"/>
              <w:rPr>
                <w:sz w:val="20"/>
                <w:szCs w:val="20"/>
                <w:color w:val="auto"/>
              </w:rPr>
            </w:pPr>
            <w:r>
              <w:rPr>
                <w:rFonts w:ascii="Arial" w:cs="Arial" w:eastAsia="Arial" w:hAnsi="Arial"/>
                <w:sz w:val="14"/>
                <w:szCs w:val="14"/>
                <w:color w:val="auto"/>
                <w:w w:val="96"/>
              </w:rPr>
              <w:t>(in millions, except for barrel metrics)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194,816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80" w:type="dxa"/>
            <w:vAlign w:val="bottom"/>
          </w:tcPr>
          <w:p>
            <w:pPr>
              <w:ind w:left="40"/>
              <w:spacing w:after="0"/>
              <w:rPr>
                <w:sz w:val="20"/>
                <w:szCs w:val="20"/>
                <w:color w:val="auto"/>
              </w:rPr>
            </w:pPr>
            <w:r>
              <w:rPr>
                <w:rFonts w:ascii="Arial" w:cs="Arial" w:eastAsia="Arial" w:hAnsi="Arial"/>
                <w:sz w:val="18"/>
                <w:szCs w:val="18"/>
                <w:color w:val="auto"/>
                <w:w w:val="94"/>
              </w:rPr>
              <w:t>Refining margin adjusted for FIFO impact per crude oil throughput barrel</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20" w:type="dxa"/>
            <w:vAlign w:val="bottom"/>
            <w:vMerge w:val="restart"/>
          </w:tcPr>
          <w:p>
            <w:pPr>
              <w:jc w:val="right"/>
              <w:ind w:right="510"/>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64" w:name="page65"/>
    <w:bookmarkEnd w:id="64"/>
    <w:p>
      <w:pPr>
        <w:ind w:right="240" w:firstLine="378"/>
        <w:spacing w:after="0" w:line="277" w:lineRule="auto"/>
        <w:rPr>
          <w:sz w:val="20"/>
          <w:szCs w:val="20"/>
          <w:color w:val="auto"/>
        </w:rPr>
      </w:pPr>
      <w:r>
        <w:rPr>
          <w:rFonts w:ascii="Arial" w:cs="Arial" w:eastAsia="Arial" w:hAnsi="Arial"/>
          <w:sz w:val="18"/>
          <w:szCs w:val="18"/>
          <w:color w:val="auto"/>
        </w:rPr>
        <w:t xml:space="preserve">CVR's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8"/>
          <w:szCs w:val="18"/>
          <w:i w:val="1"/>
          <w:iCs w:val="1"/>
          <w:color w:val="auto"/>
        </w:rPr>
        <w:t>www.sec.gov.</w:t>
      </w:r>
    </w:p>
    <w:p>
      <w:pPr>
        <w:spacing w:after="0" w:line="62"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We acquired a controlling interest in CVR on May 4, 2012. CVR is a diversified holding company primarily engaged in the petroleum refining and nitrogen fertilizer manufacturing industries through its holdings in CVR Refining, LP (“CVR Refining”) and CVR Partners, LP (“CVR Partners”). CVR Refining is an independent petroleum refiner and marketer of high value transportation fuels. CVR Partners produces nitrogen fertilizers in the form of ammonia and urea ammonium nitrate ("UAN"). CVR owns the general partner and a majority of the common units representing limited partner interests in each of CVR Refining and CVR Partners.</w:t>
      </w:r>
    </w:p>
    <w:p>
      <w:pPr>
        <w:spacing w:after="0" w:line="8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January 23, 2013, CVR Refining completed its initial public offering of its common units representing limited partner interests (“CVR Refining IPO”), resulting in gross proceeds of $600 million, before giving effect to underwriting discounts and other offering expenses. Included in these proceeds is $100 million paid by us for the purchase of common units of CVR Refining in connection with this offering. Additionally, on January 30, 2013, the underwriters closed their option to purchase additional common units of CVR Refining, resulting in gross proceeds of $90 million, before giving effect to underwriting discounts and other offering costs. Following the CVR Refining IPO, CVR indirectly owns approximately 81% of CVR Refining's outstanding common units and 100% of CVR Refining's general partner, which holds a non-economic general partner interest. In addition, as of March 31, 2013, as a result of purchasing common units of CVR Refining as discussed above, we owned approximately 2.7% of the total outstanding common stock of CVR Refining.</w:t>
      </w:r>
    </w:p>
    <w:p>
      <w:pPr>
        <w:spacing w:after="0" w:line="84"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between nitrogen fertilizer product prices, on-stream factors and direct operating expenses.</w:t>
      </w:r>
    </w:p>
    <w:p>
      <w:pPr>
        <w:spacing w:after="0" w:line="73"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Refining margin is a non-GAAP measure that we believe is important to investors in evaluating the performance of our Energy segment's refineries as a general indication of the amount above our Energy segment's cost of product sold that it is able to sell refined products. Our Energy segment's calculation of refining margin may differ from similar calculations of other companies in its industry, thereby limiting its usefulness as a comparative measure. In order to derive the refining margin per crude oil throughput barrel, our Energy segment utilizes the total dollar figures for refining margin, as derived above, and divides that by the applicable number of crude oil throughput barrels for the period.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w:t>
      </w:r>
    </w:p>
    <w:p>
      <w:pPr>
        <w:spacing w:after="0" w:line="70"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In assessing the operating performance of the nitrogen fertilizer business, CVR calculates plant gate price to determine its operating margin. Plant gate price refers to the unit price of nitrogen fertilizer, in dollars per ton, offered on a delivered basis, excluding shipment costs.</w:t>
      </w:r>
    </w:p>
    <w:p>
      <w:pPr>
        <w:spacing w:after="0" w:line="62"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Net sales for the petroleum business for the three months ended March 31, 2013 was approximately $2.3 billion. For the three months ended March 31, 2013, CVR's petroleum business sold 9.6 million and 7.8 million barrels of gasoline and distillate, respectively, with an average sales price per gallon for gasoline and distillate of $2.82 and $3.11, respectively.</w:t>
      </w:r>
    </w:p>
    <w:p>
      <w:pPr>
        <w:spacing w:after="0" w:line="73"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Net sales for the fertilizer business for the three months ended March 31, 2013 was $81 million, of which $19 million and $62 million were attributable to ammonia and UAN, respectively. For the three months ended March 31, 2013, CVR sold 27,572 and 194,141 tons of ammonia and UAN, respectively, with an average plant gate price of $679 and $323 per ton, respectively. The sales volume of UAN for the three months ended March 31, 2013 benefited from the UAN expansion coming online during the first quarter of 2013. On-stream factors (total number of hours operated divided by total hours in the reporting period) for the gasification, ammonia and UAN units continue to demonstrate their reliability with the units reporting 99.5%, 98.8% and 92.8%, respectively, on-stream for the three months ended March 31, 2013.</w:t>
      </w:r>
    </w:p>
    <w:p>
      <w:pPr>
        <w:spacing w:after="0" w:line="85"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Cost of goods sold for the petroleum business for the three months ended March 31, 2013 was approximately $1.9 billion. Cost of goods sold for the petroleum business includes cost of crude oil, other feedstocks and blendstocks, purchased products for resale,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The petroleum business' average cost per barrel of crude oil consumed for the three months ended March 31, 2013 was $89.34. Sales volume of refined fuels for the petroleum business for the three months ended March 31, 2013 was approximately 17.4 million barrels. The impact of FIFO accounting also impacted cost of product sold the three months ended March 31, 2013. Under our FIFO accounting method, changes in crude oil prices can cause fluctuations in the inventory valuation of our crude oil, work in process and finished goods, thereby resulting in a favorable FIFO inventory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76" w:right="279" w:bottom="1440" w:gutter="0" w:footer="0" w:header="0"/>
        </w:sectPr>
      </w:pPr>
    </w:p>
    <w:bookmarkStart w:id="65" w:name="page66"/>
    <w:bookmarkEnd w:id="65"/>
    <w:p>
      <w:pPr>
        <w:ind w:right="20"/>
        <w:spacing w:after="0" w:line="277" w:lineRule="auto"/>
        <w:rPr>
          <w:sz w:val="20"/>
          <w:szCs w:val="20"/>
          <w:color w:val="auto"/>
        </w:rPr>
      </w:pPr>
      <w:r>
        <w:rPr>
          <w:rFonts w:ascii="Arial" w:cs="Arial" w:eastAsia="Arial" w:hAnsi="Arial"/>
          <w:sz w:val="18"/>
          <w:szCs w:val="18"/>
          <w:color w:val="auto"/>
        </w:rPr>
        <w:t>impact when crude oil prices increase and an unfavorable FIFO inventory impact when crude oil prices decrease. For the three months ended March 31, 2013, the petroleum business had a favorable FIFO inventory impact of approximately $5 million.</w:t>
      </w:r>
    </w:p>
    <w:p>
      <w:pPr>
        <w:spacing w:after="0" w:line="62"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Refining margin per barrel of crude oil throughput for the petroleum business was $26.71 for the three months ended March 31, 2013. Refining margin adjusted for FIFO impact for CVR's petroleum business was $26.44 per crude oil throughput barrel for the three months ended March 31, 2013. Gross margin per barrel for the petroleum business was $19.75 for the three months ended March 31, 2013. (For the three months ended March 31, 2013, $86 million of direct operating expenses and $36 million of depreciation and amortization are excluded in the calculation of the refining margin per barrel of crude oil throughput related to the petroleum business).</w:t>
      </w:r>
    </w:p>
    <w:p>
      <w:pPr>
        <w:spacing w:after="0" w:line="80" w:lineRule="exact"/>
        <w:rPr>
          <w:sz w:val="20"/>
          <w:szCs w:val="20"/>
          <w:color w:val="auto"/>
        </w:rPr>
      </w:pPr>
    </w:p>
    <w:p>
      <w:pPr>
        <w:ind w:right="240" w:firstLine="378"/>
        <w:spacing w:after="0" w:line="342" w:lineRule="auto"/>
        <w:rPr>
          <w:sz w:val="20"/>
          <w:szCs w:val="20"/>
          <w:color w:val="auto"/>
        </w:rPr>
      </w:pPr>
      <w:r>
        <w:rPr>
          <w:rFonts w:ascii="Arial" w:cs="Arial" w:eastAsia="Arial" w:hAnsi="Arial"/>
          <w:sz w:val="16"/>
          <w:szCs w:val="16"/>
          <w:color w:val="auto"/>
        </w:rPr>
        <w:t>The fertilizer business' cost of goods sold for the three months ended March 31, 2013 was $42 million. Cost of goods sold for the fertilizer business is primarily comprised of pet coke expense, freight expense, distribution expense, direct operating expenses and depreciation and amortization.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82"/>
        </w:trPr>
        <w:tc>
          <w:tcPr>
            <w:tcW w:w="812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331</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months ended March 31, 2013 and 2012 are as follows:</w:t>
      </w:r>
    </w:p>
    <w:p>
      <w:pPr>
        <w:spacing w:after="0" w:line="167"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gridSpan w:val="3"/>
          </w:tcPr>
          <w:p>
            <w:pPr>
              <w:ind w:left="360"/>
              <w:spacing w:after="0"/>
              <w:rPr>
                <w:sz w:val="20"/>
                <w:szCs w:val="20"/>
                <w:color w:val="auto"/>
              </w:rPr>
            </w:pPr>
            <w:r>
              <w:rPr>
                <w:rFonts w:ascii="Arial" w:cs="Arial" w:eastAsia="Arial" w:hAnsi="Arial"/>
                <w:sz w:val="14"/>
                <w:szCs w:val="14"/>
                <w:color w:val="auto"/>
              </w:rPr>
              <w:t>(in 000s)</w:t>
            </w:r>
          </w:p>
        </w:tc>
        <w:tc>
          <w:tcPr>
            <w:tcW w:w="118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67,634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60,923</w:t>
            </w:r>
          </w:p>
        </w:tc>
      </w:tr>
      <w:tr>
        <w:trPr>
          <w:trHeight w:val="20"/>
        </w:trPr>
        <w:tc>
          <w:tcPr>
            <w:tcW w:w="8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Net sales for the three months ended March 31, 2013 decreased by $68 million (20%) compared to the comparable prior year period. The decrease was primarily driven by lower ferrous shipment volumes and selling prices in the three months ended March 31, 2013 as compared to the comparable prior year period.</w:t>
      </w:r>
    </w:p>
    <w:p>
      <w:pPr>
        <w:spacing w:after="0" w:line="73" w:lineRule="exact"/>
        <w:rPr>
          <w:sz w:val="20"/>
          <w:szCs w:val="20"/>
          <w:color w:val="auto"/>
        </w:rPr>
      </w:pPr>
    </w:p>
    <w:p>
      <w:pPr>
        <w:ind w:right="40" w:firstLine="378"/>
        <w:spacing w:after="0" w:line="254" w:lineRule="auto"/>
        <w:rPr>
          <w:sz w:val="20"/>
          <w:szCs w:val="20"/>
          <w:color w:val="auto"/>
        </w:rPr>
      </w:pPr>
      <w:r>
        <w:rPr>
          <w:rFonts w:ascii="Arial" w:cs="Arial" w:eastAsia="Arial" w:hAnsi="Arial"/>
          <w:sz w:val="18"/>
          <w:szCs w:val="18"/>
          <w:color w:val="auto"/>
        </w:rPr>
        <w:t>Ferrous shipments decreased by 79,000 gross tons (17%) and average pricing was $75 per gross ton (17%) lower during the three months ended March 31, 2013 compared to the comparable prior year period. The decrease in average pricing was largely driven by lower market prices for ferrous scrap. The domestic steel capacity utilization rate was 75.7% during the three months ended March 31, 2013, 3.6 percentage points lower than the rate during the comparable prior year period. Lower domestic demand and weak scrap exports in the period resulted in lower market prices in the three months ended March 31, 2013 as compared to the prior year. Lower demand was also the primary driver of the decrease in ferrous shipment volumes. Non-ferrous shipment volumes increased by 6,711,000 pounds (11%), primarily driven by increased shipments of aluminum ingots and electric motors. Average selling prices for non-ferrous decreased $0.08 per pound (8%) primarily due to lower market pricing and a shift to a higher proportion of lower priced aluminum and electric motor shipments.</w:t>
      </w:r>
    </w:p>
    <w:p>
      <w:pPr>
        <w:spacing w:after="0" w:line="84"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Cost of goods sold for the three months ended March 31, 2013 decreased by $64 million (19%) compared to the comparable prior year period. The decrease was primarily due to lower ferrous shipment volumes, lower market prices for ferrous raw materials and lower processing costs. Gross margin as a percentage of net sales was a loss of 1% for the three months ended March 31, 2013 compared to income of less than 1% for the comparable prior year period. Intense competition for feedstock continues to negatively impact margin percentages. The increase of aluminum and electric motors in the non-ferrous shipment mix also contributed to the lower margin percentage.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2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8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8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Manufacturing revenues above include intra-segment sales and related cost of goods sold of railcars by our Railcar segment to its railcar leasing business. Elimination amounts represent eliminations of intra-segment sales and related cost of goods sold to arrive at our external net sales and cost of goods sold for our Railcar segment.</w:t>
      </w:r>
    </w:p>
    <w:p>
      <w:pPr>
        <w:spacing w:after="0" w:line="73" w:lineRule="exact"/>
        <w:rPr>
          <w:sz w:val="20"/>
          <w:szCs w:val="20"/>
          <w:color w:val="auto"/>
        </w:rPr>
      </w:pPr>
    </w:p>
    <w:p>
      <w:pPr>
        <w:ind w:right="380" w:firstLine="378"/>
        <w:spacing w:after="0" w:line="342" w:lineRule="auto"/>
        <w:rPr>
          <w:sz w:val="20"/>
          <w:szCs w:val="20"/>
          <w:color w:val="auto"/>
        </w:rPr>
      </w:pPr>
      <w:r>
        <w:rPr>
          <w:rFonts w:ascii="Arial" w:cs="Arial" w:eastAsia="Arial" w:hAnsi="Arial"/>
          <w:sz w:val="16"/>
          <w:szCs w:val="16"/>
          <w:color w:val="auto"/>
        </w:rPr>
        <w:t xml:space="preserve">American Railcar Industries, Inc's ("ARI's")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The North American railcar market has been, and we expect it to continue to be highly cyclical. Industry-wide demand for tank railcars continues to be strong while demand for most other railcar types remains weak. While industry-wide orders for tank railcars during the first quarter of 2013 were at their highest level in the past 8 years, we are being selective on which tank railcar orders to accept. In addition, consistent with industry expectations, we anticipate the plastic pellet demand for hopper railcars to strengthen late in 2013 for delivery into 2014 through 2016. We cannot assure you that the tank railcar market will continue to operate at historically strong levels, that demand for any other railcar types will improve, or that our railcar orders and shipments will track industry-wide trends.</w:t>
      </w:r>
    </w:p>
    <w:p>
      <w:pPr>
        <w:spacing w:after="0" w:line="85" w:lineRule="exact"/>
        <w:rPr>
          <w:sz w:val="20"/>
          <w:szCs w:val="20"/>
          <w:color w:val="auto"/>
        </w:rPr>
      </w:pPr>
    </w:p>
    <w:p>
      <w:pPr>
        <w:ind w:right="700" w:firstLine="378"/>
        <w:spacing w:after="0" w:line="342" w:lineRule="auto"/>
        <w:rPr>
          <w:sz w:val="20"/>
          <w:szCs w:val="20"/>
          <w:color w:val="auto"/>
        </w:rPr>
      </w:pPr>
      <w:r>
        <w:rPr>
          <w:rFonts w:ascii="Arial" w:cs="Arial" w:eastAsia="Arial" w:hAnsi="Arial"/>
          <w:sz w:val="16"/>
          <w:szCs w:val="16"/>
          <w:color w:val="auto"/>
        </w:rPr>
        <w:t>Railcar shipments the three months ended March 31, 2013 were approximately 1,900 railcars, including approximately 1,030 railcars to leasing customers, as compared to 2,200 railcars for the comparable prior year period, including approximately 460 railcars to leasing customers.</w:t>
      </w:r>
    </w:p>
    <w:p>
      <w:pPr>
        <w:spacing w:after="0" w:line="16" w:lineRule="exact"/>
        <w:rPr>
          <w:sz w:val="20"/>
          <w:szCs w:val="20"/>
          <w:color w:val="auto"/>
        </w:rPr>
      </w:pPr>
    </w:p>
    <w:p>
      <w:pPr>
        <w:ind w:firstLine="378"/>
        <w:spacing w:after="0" w:line="308" w:lineRule="auto"/>
        <w:rPr>
          <w:sz w:val="20"/>
          <w:szCs w:val="20"/>
          <w:color w:val="auto"/>
        </w:rPr>
      </w:pPr>
      <w:r>
        <w:rPr>
          <w:rFonts w:ascii="Arial" w:cs="Arial" w:eastAsia="Arial" w:hAnsi="Arial"/>
          <w:sz w:val="17"/>
          <w:szCs w:val="17"/>
          <w:color w:val="auto"/>
        </w:rPr>
        <w:t>As of March 31, 2013, our Railcar segment had a backlog of approximately 6,400 railcars, including approximately 3,610 railcars for lease customers. In response to changes in customer demand, our Railcar segment continues to adjust production rates at its railcar manufacturing facilities.</w:t>
      </w:r>
    </w:p>
    <w:p>
      <w:pPr>
        <w:spacing w:after="0" w:line="38"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Total manufacturing revenues, before elimination of railcar sales to our Railcar segment's leasing business, for the three months ended March 31, 2013 increased by $16 million (8%) over the comparable prior year period. The increase was primarily due to a higher mix of tank railcars, which generally sell at higher prices due to more material and labor content, and improved general market conditions for tank railcars. This increase was partially offset by a decrease in volume of railcar shipments as well as lower revenues from certain material cost changes that we pass through to customers. The decrease in volume was primarily due to softer demand for hopper railcars, partially offset by improved demand for tank railcars. Manufacturing revenues for the three months ended March 31, 2013 include estimated revenues of $118 million relating to railcars built for our Railcar segment's leasing business, compared to $48 million for the comparable prior year period. The increase in railcars built for our Railcar segment's leasing business is primarily due to sales of railcars to AEP Leasing, which was formed in 2012 for the purpose of leasing railcars.</w:t>
      </w:r>
    </w:p>
    <w:p>
      <w:pPr>
        <w:spacing w:after="0" w:line="71"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Gross margin from manufacturing operations, before eliminations relating to railcar sales to our Railcar segment's leasing business, for the three months ended March 31, 2013 was $46 million compared to $36 million for the comparable prior year period. Gross margin from manufacturing operations as a percentage of manufacturing revenues was 20% for the three months ended March 31, 2013 compared to 17% for the comparable prior year period. The increase in gross margin percentage over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the respective period was primarily due to a shift in the sales mix to a higher concentration of tank railcars, which have seen improved market conditions.</w:t>
      </w:r>
    </w:p>
    <w:p>
      <w:pPr>
        <w:spacing w:after="0" w:line="140"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Railcar leasing revenues increased for the three months ended March 31, 2013 as compared to the corresponding prior year period due to an increase in number of railcars leased to customers as the lease fleet grew from approximately 950 railcars at March 31, 2012 to approximately 4,100 railcars at March 31,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consolidated financial statements.</w:t>
      </w:r>
    </w:p>
    <w:p>
      <w:pPr>
        <w:spacing w:after="0" w:line="62" w:lineRule="exact"/>
        <w:rPr>
          <w:sz w:val="20"/>
          <w:szCs w:val="20"/>
          <w:color w:val="auto"/>
        </w:rPr>
      </w:pPr>
    </w:p>
    <w:p>
      <w:pPr>
        <w:ind w:right="640" w:firstLine="378"/>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Casino revenues are one of Tropicana's main performance indicators and account for a significant portion of its net revenues. The decrease in casino revenues for the three months ended March 31, 2013 as compared to the comparable prior year period was primarily due to a 14.2% decrease in consolidated gaming volumes, primarily due to lower gaming volumes at Tropicana AC and Baton Rouge. Tropicana's consolidated gaming hold percentage was 9.9% and 9.4% for the for the three months ended March 31, 2013 and 2012, respectively. The improvement in the consolidated hold percentage was primarily due to an increase in table hold percentage for Tropicana AC over the respective period.</w:t>
      </w:r>
    </w:p>
    <w:p>
      <w:pPr>
        <w:spacing w:after="0" w:line="64"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Net revenues from Tropicana AC comprise approximately 39% our Gaming segment's net revenues for each of the three months ended March 31, 2013 and 2012. Based on market data, the Atlantic City market experienced year over year declines in casino win of 12.1% in the three months ended March 31, 2013. Tropicana AC's casino win percentage decreased less than the Atlantic City market as a whole for the three months ended March 31, 2013 as compared to the corresponding prior year period, despite the presence of an additional competitor in the Atlantic City casino market starting in May 2012 as well as increased regional market competition. Tropicana AC's gaming results were negatively impacted by lower table games and slot volumes primarily due to the increased competition coupled with the lingering effects of Super Storm Sandy which occurred in late October 2012. Although Tropicana AC did not suffer any significant damage, the severity of the property damage to a large portion of the Atlantic City feeder markets resulted in long term business interruption and its customer visitation has yet to return to normalized levels.</w:t>
      </w:r>
    </w:p>
    <w:p>
      <w:pPr>
        <w:spacing w:after="0" w:line="71" w:lineRule="exact"/>
        <w:rPr>
          <w:sz w:val="20"/>
          <w:szCs w:val="20"/>
          <w:color w:val="auto"/>
        </w:rPr>
      </w:pPr>
    </w:p>
    <w:p>
      <w:pPr>
        <w:ind w:right="400" w:firstLine="378"/>
        <w:spacing w:after="0" w:line="264" w:lineRule="auto"/>
        <w:rPr>
          <w:sz w:val="20"/>
          <w:szCs w:val="20"/>
          <w:color w:val="auto"/>
        </w:rPr>
      </w:pPr>
      <w:r>
        <w:rPr>
          <w:rFonts w:ascii="Arial" w:cs="Arial" w:eastAsia="Arial" w:hAnsi="Arial"/>
          <w:sz w:val="18"/>
          <w:szCs w:val="18"/>
          <w:color w:val="auto"/>
        </w:rPr>
        <w:t>Revenues from rooms decreased for the three months ended March 31, 2013 as compared to the corresponding prior year period. The average daily room rate and occupancy across all of Tropicana's gaming properties were $65 and 55%, respectively, for the three months ended March 31, 2013 as compared to $66 and 61%, respectively, for the three months ended March 31,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40" w:firstLine="378"/>
        <w:spacing w:after="0" w:line="308" w:lineRule="auto"/>
        <w:rPr>
          <w:sz w:val="20"/>
          <w:szCs w:val="20"/>
          <w:color w:val="auto"/>
        </w:rPr>
      </w:pPr>
      <w:r>
        <w:rPr>
          <w:rFonts w:ascii="Arial" w:cs="Arial" w:eastAsia="Arial" w:hAnsi="Arial"/>
          <w:sz w:val="17"/>
          <w:szCs w:val="17"/>
          <w:color w:val="auto"/>
        </w:rPr>
        <w:t>Viskase Companies, Inc. ("Viskase") currently operates eight manufacturing facilities and ten distribution centers throughout North America, Europe, South America and Asia and derives approximately 73% of total net sales from customers located outside the United States.</w:t>
      </w:r>
    </w:p>
    <w:p>
      <w:pPr>
        <w:spacing w:after="0" w:line="38"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Net sales for the three months ended March 31, 2013 increased by $5 million (6%) compared to the comparable prior year period. The increase was due to an increase of $5 million attributable to volume and $1 million attributable to price and product mix, offset in part by $1 million attributable to foreign currency translation.</w:t>
      </w:r>
    </w:p>
    <w:p>
      <w:pPr>
        <w:spacing w:after="0" w:line="73"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Cost of goods sold for the three months ended March 31, 2013 increased $4 million as compared to the comparable prior year period. The increase was due to growth in unit volume, slightly higher raw material costs and energy prices, partially offset by exchange rates and improved manufacturing efficiencies. Gross margin as a percent of net sales was 24% for each of the three months ended March 31, 2013 and 2012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240" w:firstLine="378"/>
        <w:spacing w:after="0" w:line="312" w:lineRule="auto"/>
        <w:rPr>
          <w:sz w:val="20"/>
          <w:szCs w:val="20"/>
          <w:color w:val="auto"/>
        </w:rPr>
      </w:pPr>
      <w:r>
        <w:rPr>
          <w:rFonts w:ascii="Arial" w:cs="Arial" w:eastAsia="Arial" w:hAnsi="Arial"/>
          <w:sz w:val="16"/>
          <w:szCs w:val="16"/>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76" w:right="259" w:bottom="1440" w:gutter="0" w:footer="0" w:header="0"/>
        </w:sectPr>
      </w:pPr>
    </w:p>
    <w:bookmarkStart w:id="68" w:name="page69"/>
    <w:bookmarkEnd w:id="68"/>
    <w:p>
      <w:pPr>
        <w:jc w:val="both"/>
        <w:ind w:right="80" w:firstLine="378"/>
        <w:spacing w:after="0" w:line="264" w:lineRule="auto"/>
        <w:rPr>
          <w:sz w:val="20"/>
          <w:szCs w:val="20"/>
          <w:color w:val="auto"/>
        </w:rPr>
      </w:pPr>
      <w:r>
        <w:rPr>
          <w:rFonts w:ascii="Arial" w:cs="Arial" w:eastAsia="Arial" w:hAnsi="Arial"/>
          <w:sz w:val="18"/>
          <w:szCs w:val="18"/>
          <w:color w:val="auto"/>
        </w:rPr>
        <w:t>Revenues from our real estate operations for each of the quarters ended March 31, 2013 and 2012 were substantially derived from our resort and rental operations. Revenues from sales of residential units in our real estate development operations represent less than 5% of total Real Estate revenues for each of three months ended March 31, 2013 and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80" w:firstLine="378"/>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Net sales for the three months ended March 31, 2013 decreased by $10 million (18%) compared to the comparable prior year period. The decrease was primarily due to a decrease in sales volume resulting from the effects of exiting certain unprofitable programs and customers. Cost of goods sold for the three months ended March 31, 2013 decreased by $13 million (24%) compared to the comparable prior year period. The decrease was primarily due to lower sales volume and lower commodity costs. Gross margin for the three months ended March 31, 2013 increased by $3 million (150%) compared to the comparable prior year period. Gross margin as a percentage of net sales was 11% for the three months ended March 31, 2013 as compared to 4% for the comparable prior year period. The improvement was primarily due to the effects of exiting certain unprofitable programs and customers and lower commodity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Our consolidated selling, general and administrative ("SG&amp;A") for the three months ended March 31, 2013 increased by $60 million (19%) as compared to the comparable prior year period. The increase was primarily due to the inclusion of $34 million of SG&amp;A expenses related to CVR for the three months ended March 31, 2013 for which there are no comparable results in the comparable prior year period as we consolidated CVR effective May 4, 2012. In addition, SG&amp;A increased by $25 million for our Investment segment for the three months ended March 31, 2013 as compared to the corresponding prior year period due to an increase in compensation expense as a result of certain fund performance during the three months ended March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Our consolidated restructuring costs were $8 million and $7 million for the three months ended March 31, 2013 and 2012, respectively, which were primarily attributable to Federal-Mogul in each of the respective periods. During the three months ended March 31, 2013 and 2012, Federal-Mogul recorded $8 million and $6 million in restructuring charges, respectively. 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$82 million, of which $65 million and $17 million pertains to employee costs and facility costs, respectively. In connection with Restructuring 2013, Federal-Mogul recorded $7 million in restructuring charges for the three months ended March 31, 2013, all of which pertain to employee costs. The restructuring charges for the three months ended March 31, 2012 were primarily related to other restructuring charges resulting from certain headcount reduction actions associated with the aftermarket. In addition, restructuring charges for the three months ended March 31, 2013 included $1 million related to a restructuring plan announced in June 2012 ("Restructuring 2012") headcount reduction actions associated with the aftermarket and corporate unit. In June 2012, Federal-Mogul announced Restructuring 2012 to reduce or eliminate capacity at several high-cost VCS facilities and transfer production to lower-cost locations. Restructuring 2012 is expected to be completed by the year ending December 31, 2014.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Interest expense for both Icahn Enterprises and Icahn Enterprises Holdings during the three months ended March 31, 2013 increased by $17 million (15%) as compared the corresponding prior year period. The increase was primarily due to the inclusion of interest expense related to CVR's debt effective May 4, 2012, higher interest expense incurred on certain debt issued during the third quarter of 2012, offset in part by lower interest expense incurred by our Automotive segment as a result of the expiration of certain interest swaps during the first quarter of 2013.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For the three months ended March 31, 2013, both Icahn Enterprises and Icahn Enterprises Holdings recorded an income tax expense of $120 million on pre-tax income of $815 million compared to an income tax benefit of $30 million on pre-tax</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76" w:right="259" w:bottom="1440" w:gutter="0" w:footer="0" w:header="0"/>
        </w:sectPr>
      </w:pPr>
    </w:p>
    <w:bookmarkStart w:id="69" w:name="page70"/>
    <w:bookmarkEnd w:id="69"/>
    <w:p>
      <w:pPr>
        <w:ind w:right="700"/>
        <w:spacing w:after="0" w:line="277" w:lineRule="auto"/>
        <w:rPr>
          <w:sz w:val="20"/>
          <w:szCs w:val="20"/>
          <w:color w:val="auto"/>
        </w:rPr>
      </w:pPr>
      <w:r>
        <w:rPr>
          <w:rFonts w:ascii="Arial" w:cs="Arial" w:eastAsia="Arial" w:hAnsi="Arial"/>
          <w:sz w:val="18"/>
          <w:szCs w:val="18"/>
          <w:color w:val="auto"/>
        </w:rPr>
        <w:t>income of $71 million for the three months ended March 31, 2012. Our effective income tax rate was 14.7% and (42.3)% for the three months ended March 31, 2013 and 2012, respectively.</w:t>
      </w:r>
    </w:p>
    <w:p>
      <w:pPr>
        <w:spacing w:after="0" w:line="62"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For the three months ended March 31, 2013, the difference between the effective tax rate and statutory federal rate of 35% is principally due to partnership income not subject to taxation, as such taxes are the responsibility of the partners. For the three months ended March 31, 2012, the difference between the effective tax rate and statutory federal rate of 35% is principally due to changes in valuation allowances and partnership income not subject to taxation, as such taxes are the responsibility of the partners.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firstLine="378"/>
        <w:spacing w:after="0" w:line="308" w:lineRule="auto"/>
        <w:rPr>
          <w:sz w:val="20"/>
          <w:szCs w:val="20"/>
          <w:color w:val="auto"/>
        </w:rPr>
      </w:pPr>
      <w:r>
        <w:rPr>
          <w:rFonts w:ascii="Arial" w:cs="Arial" w:eastAsia="Arial" w:hAnsi="Arial"/>
          <w:sz w:val="17"/>
          <w:szCs w:val="17"/>
          <w:color w:val="auto"/>
        </w:rPr>
        <w:t>As of March 31, 2013, the Holding Company had investments in the Investment Funds with a total fair market value of approximately $2.6 billion. As of March 31, 2013, our Holding Company had cash and cash equivalents of approximately $0.8 billion and total debt of approximately $4.1 billion.</w:t>
      </w:r>
    </w:p>
    <w:p>
      <w:pPr>
        <w:spacing w:after="0" w:line="38" w:lineRule="exact"/>
        <w:rPr>
          <w:sz w:val="20"/>
          <w:szCs w:val="20"/>
          <w:color w:val="auto"/>
        </w:rPr>
      </w:pPr>
    </w:p>
    <w:p>
      <w:pPr>
        <w:ind w:right="40" w:firstLine="378"/>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120" w:firstLine="378"/>
        <w:spacing w:after="0" w:line="342" w:lineRule="auto"/>
        <w:rPr>
          <w:sz w:val="20"/>
          <w:szCs w:val="20"/>
          <w:color w:val="auto"/>
        </w:rPr>
      </w:pPr>
      <w:r>
        <w:rPr>
          <w:rFonts w:ascii="Arial" w:cs="Arial" w:eastAsia="Arial" w:hAnsi="Arial"/>
          <w:sz w:val="16"/>
          <w:szCs w:val="16"/>
          <w:color w:val="auto"/>
        </w:rPr>
        <w:t>As of March 31, 2013 based on covenants in the indenture governing our senior notes, we could incur approximately $2.4 billion in additional indebtedness. See Note 10, “Debt,” to the consolidated financial statements for additional information concerning credit facilities for us and our subsidiaries.</w:t>
      </w:r>
    </w:p>
    <w:p>
      <w:pPr>
        <w:spacing w:after="0" w:line="16" w:lineRule="exact"/>
        <w:rPr>
          <w:sz w:val="20"/>
          <w:szCs w:val="20"/>
          <w:color w:val="auto"/>
        </w:rPr>
      </w:pPr>
    </w:p>
    <w:p>
      <w:pPr>
        <w:ind w:right="40" w:firstLine="378"/>
        <w:spacing w:after="0" w:line="286" w:lineRule="auto"/>
        <w:rPr>
          <w:sz w:val="20"/>
          <w:szCs w:val="20"/>
          <w:color w:val="auto"/>
        </w:rPr>
      </w:pPr>
      <w:r>
        <w:rPr>
          <w:rFonts w:ascii="Arial" w:cs="Arial" w:eastAsia="Arial" w:hAnsi="Arial"/>
          <w:sz w:val="17"/>
          <w:szCs w:val="17"/>
          <w:color w:val="auto"/>
        </w:rPr>
        <w:t>On January 24, 2013, the board of directors of CVR adopted a quarterly cash dividend policy. Subject to declaration by its Board of Directors, CVR's initial quarterly dividend is expected to be $0.75 per share, or $3.00 per share on an annualized basis, which it began paying in the second quarter of 2013. As we own approximately 82% of the common shares of CVR, the majority of CVR's dividend will directly upstream to us.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April 29, 2013, the Board of Directors of the general partner of Icahn Enterprises declared a quarterly distribution in the amount of $1.00, which will be paid on or about July 5, 2013 to depositary unit holders of record at the close of business on May 13, 2013. Depositary unit holders will have until June 3, 2013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20 consecutive trading days ending July 1, 2013.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On February 10, 2013, the Board of Directors of the general partner of Icahn Enterprises declared a quarterly distribution in the amount of $1.00, which was paid on April 15, 2013 to depositary unit holders of record at the close of business on February 21, 2013. Depositary unit holders had until March 14, 2013 to make an election to receive either cash or additional depositary units; if a holder did not make an election, it was automatically deemed to have elected to receive the dividend in cash. Depositary unit holders that elected to receive additional depositary units received units valued at the volume weighted average trading price of the units on NASDAQ during the 20 consecutive trading days immediately following the election deadline. No fractional depositary units were issued pursuant to the dividend payment. Icahn Enterprises made a cash payment in lieu of issuing fractional depositary units to holders electing to receive depositary units. Any holders that were only eligible to receive a fraction of a depositary unit based on the above calculation received a cash payment.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ind w:right="640" w:firstLine="378"/>
        <w:spacing w:after="0" w:line="277" w:lineRule="auto"/>
        <w:rPr>
          <w:sz w:val="20"/>
          <w:szCs w:val="20"/>
          <w:color w:val="auto"/>
        </w:rPr>
      </w:pPr>
      <w:r>
        <w:rPr>
          <w:rFonts w:ascii="Arial" w:cs="Arial" w:eastAsia="Arial" w:hAnsi="Arial"/>
          <w:sz w:val="18"/>
          <w:szCs w:val="18"/>
          <w:color w:val="auto"/>
        </w:rPr>
        <w:t>On February 28, 2013, Icahn Enterprises entered into an underwriting agreement with Jefferies &amp; Company, Inc., providing for the issuance and purchase of an aggregate of 3,174,604 depositary units representing limited partner interests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70" w:name="page71"/>
    <w:bookmarkEnd w:id="70"/>
    <w:p>
      <w:pPr>
        <w:ind w:right="100"/>
        <w:spacing w:after="0" w:line="277" w:lineRule="auto"/>
        <w:rPr>
          <w:sz w:val="20"/>
          <w:szCs w:val="20"/>
          <w:color w:val="auto"/>
        </w:rPr>
      </w:pPr>
      <w:r>
        <w:rPr>
          <w:rFonts w:ascii="Arial" w:cs="Arial" w:eastAsia="Arial" w:hAnsi="Arial"/>
          <w:sz w:val="18"/>
          <w:szCs w:val="18"/>
          <w:color w:val="auto"/>
        </w:rPr>
        <w:t>Icahn Enterprises at a price to the public of $63.00 per depositary unit. The depositary units were delivered to the unitholders on March 6, 2013, raising $194 million after deducting underwriting discounts, commissions and other offering related fees and expenses.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Icahn Enterprises</w:t>
            </w:r>
          </w:p>
        </w:tc>
        <w:tc>
          <w:tcPr>
            <w:tcW w:w="140" w:type="dxa"/>
            <w:vAlign w:val="bottom"/>
          </w:tcPr>
          <w:p>
            <w:pPr>
              <w:spacing w:after="0"/>
              <w:rPr>
                <w:sz w:val="24"/>
                <w:szCs w:val="24"/>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92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 senior unsecured notes due 2018 - Icahn Enterprises/Icahn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unsecured variable rate convertible notes due 2013 - Icahn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Enterprises/Icahn Enterprises Holdings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Automotive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Energy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Energy</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and secured term loan facility - Railcar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Mortgages payable - Real Estate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8,184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38"/>
        <w:spacing w:after="0" w:line="277" w:lineRule="auto"/>
        <w:rPr>
          <w:sz w:val="20"/>
          <w:szCs w:val="20"/>
          <w:color w:val="auto"/>
        </w:rPr>
      </w:pPr>
      <w:r>
        <w:rPr>
          <w:rFonts w:ascii="Arial" w:cs="Arial" w:eastAsia="Arial" w:hAnsi="Arial"/>
          <w:sz w:val="18"/>
          <w:szCs w:val="18"/>
          <w:color w:val="auto"/>
        </w:rPr>
        <w:t>See Note 10, “Debt,” to the consolidated financial statements contained elsewhere in this Report for additional information concerning terms, restrictions and covenants of our debt. As of March 31, 2013,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have been no material changes to our contractual commitments and contingencies as compared to those reported in our 2012 Form 10-K</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6, “Financial Instruments,” to the consolidated financial statements contained elsewhere in this Report.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The following table summarizes cash flow information for the three months ended March 31, 2013 and cash and cash equivalents as of March 31, 2013 for Icahn Enterprises' operating segments and the Holding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2"/>
              </w:rPr>
              <w:t>Three Months Ended March 31, 2013</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 2013</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Energy</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ind w:left="200" w:hanging="192"/>
        <w:spacing w:after="0" w:line="197" w:lineRule="auto"/>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3"/>
          <w:szCs w:val="13"/>
          <w:color w:val="auto"/>
        </w:rPr>
        <w:t>CVR was consolidated effective May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-128905</wp:posOffset>
            </wp:positionV>
            <wp:extent cx="3833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04" w:lineRule="exact"/>
        <w:rPr>
          <w:sz w:val="20"/>
          <w:szCs w:val="20"/>
          <w:color w:val="auto"/>
        </w:rPr>
      </w:pPr>
    </w:p>
    <w:p>
      <w:pPr>
        <w:ind w:right="60" w:firstLine="243"/>
        <w:spacing w:after="0" w:line="283" w:lineRule="auto"/>
        <w:rPr>
          <w:sz w:val="20"/>
          <w:szCs w:val="20"/>
          <w:color w:val="auto"/>
        </w:rPr>
      </w:pPr>
      <w:r>
        <w:rPr>
          <w:rFonts w:ascii="Arial" w:cs="Arial" w:eastAsia="Arial" w:hAnsi="Arial"/>
          <w:sz w:val="17"/>
          <w:szCs w:val="17"/>
          <w:color w:val="auto"/>
        </w:rPr>
        <w:t>The consolidated cash flows of Icahn Enterprises and Icahn Enterprises Holdings are substantially the same. The immaterial differences between Icahn Enterprises' and Icahn Enterprises Holdings' consolidated statements of cash flows primarily relate to non-cash charges for interest expense which is included in net cash provided by operating activities. Therefore, we discuss only the consolidated cash flows of Icahn Enterprises below.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Net cash provided by operating activities for the three months ended March 31, 2013 was primarily attributable to our Energy segment which had net cash provided by operating activities of $212 million, offset in part by the Holding Company which had cash payments for interest expense of $144 million during the first quarter of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Net cash used in investing activities for the three months ended March 31, 2013 was primarily due to consolidated capital expenditures of $278 million, of which $101 million was related to our Railcar segment and $93 million was related to our Automotive segment. Capital expenditures for our Railcar segment for the three months ended March 31, 2013 included $94 million for manufacturing railcars for lease to others, which are included in property, plant and equipment, net on our consolidated balance sheets. Additionally, the Holding Company purchased investments of $47 million and our Automotive segment had net payments associated with business dispositions of $40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60" w:firstLine="378"/>
        <w:spacing w:after="0" w:line="312" w:lineRule="auto"/>
        <w:rPr>
          <w:sz w:val="20"/>
          <w:szCs w:val="20"/>
          <w:color w:val="auto"/>
        </w:rPr>
      </w:pPr>
      <w:r>
        <w:rPr>
          <w:rFonts w:ascii="Arial" w:cs="Arial" w:eastAsia="Arial" w:hAnsi="Arial"/>
          <w:sz w:val="16"/>
          <w:szCs w:val="16"/>
          <w:color w:val="auto"/>
        </w:rPr>
        <w:t>Net cash used in financing activities for the three months ended March 31, 2013 was primarily due to the Holding Company which had an increase in restricted cash in connection with the discharge of the $600 million variable rate notes, as discussed in Note 10, "Debt" to the consolidated financial statements, offset in part by net proceeds of $198 million in connection with Icahn Enterprises' offering of depositary units, as discussed above.</w:t>
      </w:r>
    </w:p>
    <w:p>
      <w:pPr>
        <w:spacing w:after="0" w:line="39" w:lineRule="exact"/>
        <w:rPr>
          <w:sz w:val="20"/>
          <w:szCs w:val="20"/>
          <w:color w:val="auto"/>
        </w:rPr>
      </w:pPr>
    </w:p>
    <w:p>
      <w:pPr>
        <w:ind w:right="340" w:firstLine="378"/>
        <w:spacing w:after="0" w:line="286" w:lineRule="auto"/>
        <w:rPr>
          <w:sz w:val="20"/>
          <w:szCs w:val="20"/>
          <w:color w:val="auto"/>
        </w:rPr>
      </w:pPr>
      <w:r>
        <w:rPr>
          <w:rFonts w:ascii="Arial" w:cs="Arial" w:eastAsia="Arial" w:hAnsi="Arial"/>
          <w:sz w:val="17"/>
          <w:szCs w:val="17"/>
          <w:color w:val="auto"/>
        </w:rPr>
        <w:t>Our Energy segment received net proceeds of $556 million from the CVR Refining IPO, which excludes $100 million paid by us for the purchase of common units of CVR Refining in connection with this offering, offset in part by repayments of debt of $244 million by our Energy segment, as well as aggregate dividends paid by our Energy segment of $90 million to its common unitholders, excluding dividends paid to us.</w:t>
      </w:r>
    </w:p>
    <w:p>
      <w:pPr>
        <w:spacing w:after="0" w:line="57"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In addition, as discussed in Note 10, "Debt," to the consolidated financial statements, our Railcar segment repaid debt of $175 million and received proceeds of $50 million from the draw down of a certain term loan.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investment strategy utilized by the Investment segment is generally not heavily reliant on leverage. As of March 31, 2013, the Investment Funds' net notional exposure was 21%. The Investment Funds' long exposure was 125% (117% long equity and 8% long credit) and the Investment Funds' short exposure was 104% (104% short equity). The Investment Funds historically have had access to significant amounts of cash from prime brokers, subject to customary terms and market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As of March 31, 2013 and December 31, 2012, the borrowing availability under the revolving credit facility was $504 million and $451 million, respectively. Federal-Mogul had $37 million of letters of credit outstanding as of both March 31, 2013 and December 31, 2012 pertaining to the term loan credit facility. To the extent letters of credit associated with the revolving credit facility are issued, there is a corresponding decrease in borrowings available under this facility. See Note 10, "Debt-Automotive," to the consolidated financial statements for additional discussion regarding Federal-Mogul's debt facilities.</w:t>
      </w:r>
    </w:p>
    <w:p>
      <w:pPr>
        <w:spacing w:after="0" w:line="80"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Federal-Mogul has explored in the past and continues to explore alternatives for refinancing all or a portion of the Debt Facilities. Federal-Mogul may determine to seek to raise additional equity in order to reduce its total debt, increase equity and/or facilitate debt refinancing transactions.</w:t>
      </w:r>
    </w:p>
    <w:p>
      <w:pPr>
        <w:spacing w:after="0" w:line="3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Federal-Mogul's ability to obtain cash adequate to fund its needs depends generally on the results of its operations, restructuring initiatives, and the availability of financing. Federal-Mogul believes that cash on hand, cash flow from operations, and available borrowings under its Debt Facilities will be sufficient to fund capital expenditures and meet its operating obligations through the end of 2013. In the longer term, Federal-Mogul believes that its base operating potential, supplemented by the benefits from its announced restructuring programs, will provide adequate long-term cash flows. However, there can be no assurance that such initiatives are achievable in this regard.</w:t>
      </w:r>
    </w:p>
    <w:p>
      <w:pPr>
        <w:spacing w:after="0" w:line="8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Federal-Mogul's subsidiaries in Brazil, France, Germany, Italy, Japan and the United States are party to accounts receivable factoring and securitization facilities. Gross accounts receivable transferred under these facilities were $248 million and $217 million as of March 31, 2013 and December 31, 2012, respectively. Of those gross amounts, $244 million and $216 million, respectively, qualify as sales as defined in FASB ASC Topic 860, </w:t>
      </w:r>
      <w:r>
        <w:rPr>
          <w:rFonts w:ascii="Arial" w:cs="Arial" w:eastAsia="Arial" w:hAnsi="Arial"/>
          <w:sz w:val="18"/>
          <w:szCs w:val="18"/>
          <w:i w:val="1"/>
          <w:iCs w:val="1"/>
          <w:color w:val="auto"/>
        </w:rPr>
        <w:t>Transfers and</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w:t>
      </w:r>
      <w:r>
        <w:rPr>
          <w:rFonts w:ascii="Arial" w:cs="Arial" w:eastAsia="Arial" w:hAnsi="Arial"/>
          <w:sz w:val="18"/>
          <w:szCs w:val="18"/>
          <w:color w:val="auto"/>
        </w:rPr>
        <w:t>. The remaining transferred receivables were pledged as collateral and accounted for as secured borrowings and recorded in the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within accounts receivable, net and debt. Under the terms of these facilities, Federal-Mogul is not obligated to draw cash immediately upon the transfer of accounts receivable. As of both March 31, 2013 and December 31, 2012, Federal-Mogul had no outstanding transferred receivables for which cash had not yet been drawn. Proceeds from the transfers of accounts receivable qualifying as sales were $333 million and $414 million for the three months ended March 31, 2013 and 2012, respectively.</w:t>
      </w:r>
    </w:p>
    <w:p>
      <w:pPr>
        <w:spacing w:after="0" w:line="8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exposures to Federal-Mogul associated with certain of these facilities' terms were $29 million and $19 million at March 31, 2013 and December 31, 2012, respectively. Based on Federal-Mogul's analysis of the creditworthiness of its customers on which such receivables were sold and outstanding as of March 31, 2013 and December 31, 2012,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As of March 31, 2013, CRLLC had availability under the Amended and Restated ABL Credit Facility of $373 million and had letters of credit outstanding of $27 million. There were no borrowings outstanding under the ABL Credit Facility as of March 31, 2013. In addition, as of March 31, 2013, CVR Partners had $25 million availability under its revolving credit facility, with an uncommitted incremental facility of up to $50 million.</w:t>
      </w:r>
    </w:p>
    <w:p>
      <w:pPr>
        <w:spacing w:after="0" w:line="57"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See Note 10, “Debt-Energy," to our consolidated financial statements for further discussion regarding CVR's credit facilities, including the Amended and Restated ABL Credit Facility.</w:t>
      </w:r>
    </w:p>
    <w:p>
      <w:pPr>
        <w:spacing w:after="0" w:line="62"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CVR Refining and CVR Partners have a distribution policy in which they will generally distribute all of their available cash each quarter, within 60 days after the end of each quarter for CVR Refining and 45 days after the end of each quarter for CVR Partners. CVR Refining's distributions began with the quarter ending March 31, 2013 and have been adjusted to exclude the period prior to the CVR Refining IPO from January 1, 2013 through January 22, 2013 (the period preceding the closing of the CVR Refining IPO). The distributions will be made to all common unitholders. CVR currently holds approximately 81%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3" w:name="page74"/>
    <w:bookmarkEnd w:id="73"/>
    <w:p>
      <w:pPr>
        <w:ind w:right="60"/>
        <w:spacing w:after="0" w:line="255" w:lineRule="auto"/>
        <w:rPr>
          <w:sz w:val="20"/>
          <w:szCs w:val="20"/>
          <w:color w:val="auto"/>
        </w:rPr>
      </w:pPr>
      <w:r>
        <w:rPr>
          <w:rFonts w:ascii="Arial" w:cs="Arial" w:eastAsia="Arial" w:hAnsi="Arial"/>
          <w:sz w:val="18"/>
          <w:szCs w:val="18"/>
          <w:color w:val="auto"/>
        </w:rPr>
        <w:t>and 70%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or 45 days, respectively, following each quarter. CVR Refining and CVR Partners do not have a legal obligation to pay distributions and there is no guarantee that they will pay any distributions on the units in any quarter.</w:t>
      </w:r>
    </w:p>
    <w:p>
      <w:pPr>
        <w:spacing w:after="0" w:line="85" w:lineRule="exact"/>
        <w:rPr>
          <w:sz w:val="20"/>
          <w:szCs w:val="20"/>
          <w:color w:val="auto"/>
        </w:rPr>
      </w:pPr>
    </w:p>
    <w:p>
      <w:pPr>
        <w:ind w:right="260" w:firstLine="378"/>
        <w:spacing w:after="0" w:line="255"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 CVR estimates that the total capital spending for the year ending December 31, 2013 to range between approximately $293 million and $323 million.</w:t>
      </w:r>
    </w:p>
    <w:p>
      <w:pPr>
        <w:spacing w:after="0" w:line="85"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CVR Partner's nitrogen fertilizer business has been and will be determined by the board of directors of its general partner. Capital spending for CVR Refining's petroleum business will be determined by the board of directors of its general partner.</w:t>
      </w:r>
    </w:p>
    <w:p>
      <w:pPr>
        <w:spacing w:after="0" w:line="64"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CVR believes that its cash flows from operations and existing cash and cash equivalents and improvements in its working capital, together with borrowings under its existing credit facilities as necessary, will be sufficient to satisfy the anticipated cash requirements associated with our existing operations for at least the next twelve months. However, its future capital expenditures and other cash requirements could be higher than CVR currently expects as a result of various factors. Additionally, CVR's ability to generate sufficient cash from its operating activities depends on its future performance, which is subject to general economic, political, financial, competitive, and other factors beyond its control. Depending on the needs of CVR's business contractual limitations and market conditions, it may from time to time seek to use equity securities, incur additional debt, modify the terms of our existing debt, issue debt securities, or otherwise refinance our existing debt. There can be no assurance that CVR will seek to do any of the foregoing or that it will be able to do any of the foregoing on terms acceptable to it or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March 31, 2013 as compared to those reported in our 2012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Updates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 xml:space="preserve">In February 2013, the FASB issued ASU No. 2013-04, which amends FASB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0"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early adopts this guidance, it apply them as of the beginning of the entity's fiscal year of adoption. The adoption of this ASU will not have a material impact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76"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Forward-looking statements regarding management's present plans or expectations involve risks and uncertainties and changing economic or competitive conditions, as well as the negotiation of agreements with third parties, which could cause actual results to differ from present plans or expectations, and such differences could be material. Factors that could cause or contribute to such differences include, but are not limited to, those discussed in this document. These statements are subject to risks and uncertainties that could cause actual results to differ materially from those predicted. Also, please see "Risk Factors" in Part I, Item 1A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However, the majority of these fair value changes are absorbed by the non-controlling interest holders in the Investment Funds.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March 31, 2013, we estimate that in the event of a 10% adverse change in the fair value of these investments, the fair values of securities owned, securities sold, not yet purchased and derivatives would decrease by $723 million, $62 million and $832 million, respectively. However, as of March 31, 2013, we estimate that the impact to our share of the net gain from investment activities reported on our consolidated statement of operations would be significantly less than the change in fair value since we have an investment of approximately 40.3% in these Investment Funds, and the non-controlling interests in income would correspondingly offset approximately 59.7% of the change in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117"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The Investment Funds are not materially exposed to foreign exchange risk since foreign investments are economically hedged by foreign currency forward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Refer to Note 6,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three months ended March 31, 2013, our Automotive segment derived 38% of its sales in the United States and 62% internationally. Of these international sales, 57% are denominated in the euro, with no other single currency representing more than 8%.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over the three months ended March 31, 2013 would have decreased net income attributable to Icahn Enterprises for our Automotive segment by approximately $2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378"/>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At March 31, 2013, CVR Refining had open commodity hedging instruments consisting of 22.8 million barrels of crack spreads primarily to fix the margin on a portion of our future gasoline and distillate production. The fair value of the outstanding contracts at March 31, 2013 was a net unrealized loss of $34 million. A change of $1.00 per barrel in the fair value of the crack spread swaps would result in an increase or decrease in the related fair values of commodity hedging instruments of approximately $23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78"/>
        <w:spacing w:after="0" w:line="284"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the nitrogen fertilizer business'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spacing w:after="0" w:line="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90 days. The effect of these swap agreements is to lock in a fixed rate of interest of approximately 1.96% plus the applicable margin paid to lenders over three month LIBOR as governed by the CRNF credit agreement. At March 31, 2013, the effective rate was approximately 4.6%.The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33" w:right="239" w:bottom="1440" w:gutter="0" w:footer="0" w:header="0"/>
        </w:sectPr>
      </w:pPr>
    </w:p>
    <w:bookmarkStart w:id="76" w:name="page77"/>
    <w:bookmarkEnd w:id="76"/>
    <w:p>
      <w:pPr>
        <w:ind w:right="80" w:firstLine="378"/>
        <w:spacing w:after="0" w:line="264" w:lineRule="auto"/>
        <w:rPr>
          <w:sz w:val="20"/>
          <w:szCs w:val="20"/>
          <w:color w:val="auto"/>
        </w:rPr>
      </w:pPr>
      <w:r>
        <w:rPr>
          <w:rFonts w:ascii="Arial" w:cs="Arial" w:eastAsia="Arial" w:hAnsi="Arial"/>
          <w:sz w:val="18"/>
          <w:szCs w:val="18"/>
          <w:color w:val="auto"/>
        </w:rPr>
        <w:t>CVR Partners still has exposure to interest rate risk on 50% of its $125 million floating rate term debt. A 1.0% increase over the Eurodollar floor spread of 3.5%, as specified in the credit agreement, would increase interest cost to CVR Partners by approximately $0.6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right="240" w:firstLine="378"/>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senior secured first lien term loan facility ("Tropicana Term Loan") that bears interest based on floating rates. Based on Tropicana's borrowings as of March 31, 2013, assuming a 1% increase over the 7.5% floor specified in the Tropicana Term Loan, Tropicana's annual interest cost would change by approximately $2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378"/>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March 31, 2013, the impact of a 100 basis point increase or decrease in interest rates on fixed rate debt would have no impact on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Based on sensitivity analysis for our equity price risks as of March 31, 2013, the effects of a hypothetical 10% increase or decrease in market prices would result in a gain or loss of approximately $13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As of March 31, 2013,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first quarter of 2013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3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20" w:firstLine="378"/>
        <w:spacing w:after="0" w:line="308" w:lineRule="auto"/>
        <w:rPr>
          <w:sz w:val="20"/>
          <w:szCs w:val="20"/>
          <w:color w:val="auto"/>
        </w:rPr>
      </w:pPr>
      <w:r>
        <w:rPr>
          <w:rFonts w:ascii="Arial" w:cs="Arial" w:eastAsia="Arial" w:hAnsi="Arial"/>
          <w:sz w:val="17"/>
          <w:szCs w:val="17"/>
          <w:color w:val="auto"/>
        </w:rPr>
        <w:t>See Note 17, “Commitments and Contingencies” to the consolidated financial statements located in Part I, Item I of this Report, which is incorporated by reference into this Part II, Item 1, for a description of the litigation, legal and administrative proceedings and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Except as disclosed below, there have been no material changes to our risk factors during the three months ended March 31, 2013 as compared to those reported in our 2012 Form 10-K.</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carry significant goodwill on our consolidated balance sheets, which is subject to impairment testing and could subject us to significant non-cash charges to earnings if impairment occurs.</w:t>
      </w:r>
    </w:p>
    <w:p>
      <w:pPr>
        <w:spacing w:after="0" w:line="62" w:lineRule="exact"/>
        <w:rPr>
          <w:sz w:val="20"/>
          <w:szCs w:val="20"/>
          <w:color w:val="auto"/>
        </w:rPr>
      </w:pPr>
    </w:p>
    <w:p>
      <w:pPr>
        <w:jc w:val="both"/>
        <w:ind w:right="60" w:firstLine="378"/>
        <w:spacing w:after="0" w:line="288" w:lineRule="auto"/>
        <w:rPr>
          <w:sz w:val="20"/>
          <w:szCs w:val="20"/>
          <w:color w:val="auto"/>
        </w:rPr>
      </w:pPr>
      <w:r>
        <w:rPr>
          <w:rFonts w:ascii="Arial" w:cs="Arial" w:eastAsia="Arial" w:hAnsi="Arial"/>
          <w:sz w:val="16"/>
          <w:szCs w:val="16"/>
          <w:color w:val="auto"/>
        </w:rPr>
        <w:t>As of March 31, 2013, we had a goodwill balance of approximately $2.1 billion, of which approximately $1.1 billion relates to our Automotive segment and approximately $0.9 billion relates to our Energy segment. Goodwill is not amortized, but is tested for impairment annually or more frequently if an event occurs or circumstances change that would more likely than not reduce the fair value of an operating segment's reporting unit below its carrying amount.</w:t>
      </w:r>
    </w:p>
    <w:p>
      <w:pPr>
        <w:ind w:right="140"/>
        <w:spacing w:after="0" w:line="254" w:lineRule="auto"/>
        <w:rPr>
          <w:sz w:val="20"/>
          <w:szCs w:val="20"/>
          <w:color w:val="auto"/>
        </w:rPr>
      </w:pPr>
      <w:r>
        <w:rPr>
          <w:rFonts w:ascii="Arial" w:cs="Arial" w:eastAsia="Arial" w:hAnsi="Arial"/>
          <w:sz w:val="18"/>
          <w:szCs w:val="18"/>
          <w:color w:val="auto"/>
        </w:rPr>
        <w:t>Factors that could indicate that an operating segment's goodwill is impaired include, but are not limited to, whether the operating segment's fair value, as measured by its market capitalization, has remained below its net book value for a significant period of time, lower than projected operating results and cash flows, and significant industry deterioration in key geographic regions. If impairment is determined to exist, it may result in a significant non-cash charge to earnings.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15.1</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Letter of Grant Thornton LLP regarding unaudited interim financial information.</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15.2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Letter of KPMG LLP regarding unaudited interim financial information.</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Exhibit 101</w:t>
            </w:r>
            <w:r>
              <w:rPr>
                <w:rFonts w:ascii="Arial" w:cs="Arial" w:eastAsia="Arial" w:hAnsi="Arial"/>
                <w:sz w:val="18"/>
                <w:szCs w:val="18"/>
                <w:color w:val="auto"/>
                <w:w w:val="92"/>
                <w:vertAlign w:val="superscript"/>
              </w:rPr>
              <w:t>(1)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period ended March 31, 2013, formatted in XBRL (Extensible Business Reporting Language) includes: (i) the Consolidated Balance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Sheets as of March 31, 2013 and December 31, 2012, (ii) the Consolidated Statements of Operations for the three months ended March</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31, 2013 and 2012, (iii) the Consolidated Statements of Comprehensive Income for the three months ended March 31, 2013 and 2012,</w:t>
            </w:r>
          </w:p>
        </w:tc>
      </w:tr>
    </w:tbl>
    <w:p>
      <w:pPr>
        <w:ind w:left="1520" w:right="300" w:firstLine="1"/>
        <w:spacing w:after="0" w:line="323" w:lineRule="auto"/>
        <w:tabs>
          <w:tab w:leader="none" w:pos="1825"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Consolidated Statement of Changes in Equity for the three months ended March 31, 2013, (v) the Consolidated Statements of Cash Flows for the three months ended March 31, 2013 and 2012 and (vi) the Notes to the Consolidated Financial Statements.</w:t>
      </w:r>
    </w:p>
    <w:p>
      <w:pPr>
        <w:spacing w:after="0" w:line="377" w:lineRule="exact"/>
        <w:rPr>
          <w:rFonts w:ascii="Arial" w:cs="Arial" w:eastAsia="Arial" w:hAnsi="Arial"/>
          <w:sz w:val="16"/>
          <w:szCs w:val="16"/>
          <w:color w:val="auto"/>
        </w:rPr>
      </w:pPr>
    </w:p>
    <w:p>
      <w:pPr>
        <w:ind w:left="340" w:hanging="251"/>
        <w:spacing w:after="0" w:line="257" w:lineRule="auto"/>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4" w:right="239" w:bottom="1440" w:gutter="0" w:footer="0" w:header="0"/>
        </w:sectPr>
      </w:pPr>
    </w:p>
    <w:bookmarkStart w:id="78" w:name="page79"/>
    <w:bookmarkEnd w:id="7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121"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Icahn Enterprises L.P.</w:t>
      </w:r>
    </w:p>
    <w:p>
      <w:pPr>
        <w:spacing w:after="0" w:line="3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reviewed, in accordance with the standards of the Public Company Accounting Oversight Board (United States), the unaudited consolidated interim financial statements of Icahn Enterprises L.P. and Subsidiaries as of March 31, 2013, and for the three-month period ended March 31, 2013 and 2012, as indicated in our report dated May 3, 2013; because we did not perform an audit, we expressed no opinion on that information.</w:t>
      </w:r>
    </w:p>
    <w:p>
      <w:pPr>
        <w:spacing w:after="0" w:line="57"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We are aware that our report referred to above, which is included in your Quarterly Report on Form 10-Q for the quarter ended March 31, 2013 is incorporated by reference in Registration Statements on Form S-3 (File No. 333-158705, effective May 17, 2010).</w:t>
      </w:r>
    </w:p>
    <w:p>
      <w:pPr>
        <w:spacing w:after="0" w:line="3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also are aware that the aforementioned report, pursuant to Rule 436(c) under the Securities Act of 1933, is not considered a part of the Registration Statement prepared or certified by an accountant within the meaning of Sections 7 and 11 of that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2013</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respect to the registration statement (Form S-3 No. 333-158705) of Icahn Enterprises L.P., we acknowledge our awareness of the incorporation by reference therein of our report, dated May 2, 2013 related to our review of financial information of CVR Energy, Inc. as of March 31, 2013 and for the three-month period then ended, included in the Icahn Enterprises L.P. and Icahn Enterprises Holdings L.P. joint Quarterly Report on Form 10-Q for the quarter ended March 31, 2013.</w:t>
      </w:r>
    </w:p>
    <w:p>
      <w:pPr>
        <w:spacing w:after="0" w:line="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or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2013</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Ninivaggi,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March 31,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Icahn Enterprises L.P. for the period ended March 31,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Ninivaggi, certify that:</w:t>
      </w:r>
    </w:p>
    <w:p>
      <w:pPr>
        <w:spacing w:after="0" w:line="225" w:lineRule="exact"/>
        <w:rPr>
          <w:sz w:val="20"/>
          <w:szCs w:val="20"/>
          <w:color w:val="auto"/>
        </w:rPr>
      </w:pPr>
    </w:p>
    <w:p>
      <w:pPr>
        <w:ind w:left="520" w:hanging="18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March 31, 2013;</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340"/>
          </w:cols>
          <w:pgMar w:left="240" w:top="580"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March 31,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 Daniel A. Ninivaggi, President and Chief Executive Officer of Icahn Enterprises G.P. Inc., the general partner of Icahn Enterprises L.P., certify that, to the best of my knowledge, based upon a review of the Icahn Enterprises L.P. quarterly report on Form 10-Q for the period ended March 31, 2013:</w:t>
      </w:r>
    </w:p>
    <w:p>
      <w:pPr>
        <w:spacing w:after="0" w:line="124"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quarterly report on Form 10-Q for the period ended March 31, 2013:</w:t>
      </w:r>
    </w:p>
    <w:p>
      <w:pPr>
        <w:spacing w:after="0" w:line="147"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I, Daniel A. Ninivaggi, President and Chief Executive Officer of Icahn Enterprises G.P. Inc., the general partner of Icahn Enterprises Holdings L.P., certify that, to the best of my knowledge, based upon a review of the Icahn Enterprises Holdings L.P. quarterly report on Form 10-Q for the period ended March 31, 2013:</w:t>
      </w:r>
    </w:p>
    <w:p>
      <w:pPr>
        <w:spacing w:after="0" w:line="181"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Holdings L.P., certify that, to the best of my knowledge, based upon a review of the Icahn Enterprises Holdings L.P. quarterly report on Form 10-Q for the period ended March 31, 2013:</w:t>
      </w:r>
    </w:p>
    <w:p>
      <w:pPr>
        <w:spacing w:after="0" w:line="147" w:lineRule="exact"/>
        <w:rPr>
          <w:sz w:val="20"/>
          <w:szCs w:val="20"/>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6"/>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8"/>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lvl w:ilvl="1">
      <w:lvlJc w:val="left"/>
      <w:lvlText w:val="(%2)"/>
      <w:numFmt w:val="lowerRoman"/>
      <w:start w:val="4"/>
    </w:lvl>
  </w:abstractNum>
  <w:abstractNum w:abstractNumId="19">
    <w:nsid w:val="75A2A8D4"/>
    <w:multiLevelType w:val="hybridMultilevel"/>
    <w:lvl w:ilvl="0">
      <w:lvlJc w:val="left"/>
      <w:lvlText w:val="(%1)"/>
      <w:numFmt w:val="decimal"/>
      <w:start w:val="1"/>
    </w:lvl>
    <w:lvl w:ilvl="1">
      <w:lvlJc w:val="left"/>
      <w:lvlText w:val="%2"/>
      <w:numFmt w:val="lowerRoman"/>
      <w:start w:val="1"/>
    </w:lvl>
  </w:abstractNum>
  <w:abstractNum w:abstractNumId="20">
    <w:nsid w:val="8EDBDAB"/>
    <w:multiLevelType w:val="hybridMultilevel"/>
    <w:lvl w:ilvl="0">
      <w:lvlJc w:val="left"/>
      <w:lvlText w:val="%1."/>
      <w:numFmt w:val="decimal"/>
      <w:start w:val="1"/>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2019-12-06T00:46:47Z</dcterms:created>
  <dcterms:modified xsi:type="dcterms:W3CDTF">2019-12-06T00:46:47Z</dcterms:modified>
</cp:coreProperties>
</file>