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 w:lineRule="exact"/>
        <w:rPr>
          <w:sz w:val="24"/>
          <w:szCs w:val="24"/>
          <w:color w:val="auto"/>
        </w:rPr>
      </w:pPr>
    </w:p>
    <w:p>
      <w:pPr>
        <w:ind w:left="3700" w:right="2060" w:hanging="3692"/>
        <w:spacing w:after="0" w:line="368" w:lineRule="auto"/>
        <w:tabs>
          <w:tab w:leader="none" w:pos="2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420" w:right="2040" w:hanging="4412"/>
        <w:spacing w:after="0" w:line="406" w:lineRule="auto"/>
        <w:tabs>
          <w:tab w:leader="none" w:pos="2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150"/>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tcPr>
          <w:p>
            <w:pPr>
              <w:jc w:val="center"/>
              <w:ind w:left="424"/>
              <w:spacing w:after="0" w:line="150" w:lineRule="exact"/>
              <w:rPr>
                <w:sz w:val="20"/>
                <w:szCs w:val="20"/>
                <w:color w:val="auto"/>
              </w:rPr>
            </w:pPr>
            <w:r>
              <w:rPr>
                <w:rFonts w:ascii="Arial" w:cs="Arial" w:eastAsia="Arial" w:hAnsi="Arial"/>
                <w:sz w:val="14"/>
                <w:szCs w:val="14"/>
                <w:color w:val="auto"/>
                <w:w w:val="92"/>
              </w:rPr>
              <w:t>(State or Other</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380" w:type="dxa"/>
            <w:vAlign w:val="bottom"/>
          </w:tcPr>
          <w:p>
            <w:pPr>
              <w:spacing w:after="0"/>
              <w:rPr>
                <w:sz w:val="12"/>
                <w:szCs w:val="12"/>
                <w:color w:val="auto"/>
              </w:rPr>
            </w:pPr>
          </w:p>
        </w:tc>
        <w:tc>
          <w:tcPr>
            <w:tcW w:w="1920" w:type="dxa"/>
            <w:vAlign w:val="bottom"/>
          </w:tcPr>
          <w:p>
            <w:pPr>
              <w:jc w:val="center"/>
              <w:ind w:left="424"/>
              <w:spacing w:after="0" w:line="149" w:lineRule="exact"/>
              <w:rPr>
                <w:sz w:val="20"/>
                <w:szCs w:val="20"/>
                <w:color w:val="auto"/>
              </w:rPr>
            </w:pPr>
            <w:r>
              <w:rPr>
                <w:rFonts w:ascii="Arial" w:cs="Arial" w:eastAsia="Arial" w:hAnsi="Arial"/>
                <w:sz w:val="14"/>
                <w:szCs w:val="14"/>
                <w:color w:val="auto"/>
                <w:w w:val="95"/>
              </w:rPr>
              <w:t>Jurisdiction of</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380" w:type="dxa"/>
            <w:vAlign w:val="bottom"/>
          </w:tcPr>
          <w:p>
            <w:pPr>
              <w:spacing w:after="0"/>
              <w:rPr>
                <w:sz w:val="12"/>
                <w:szCs w:val="12"/>
                <w:color w:val="auto"/>
              </w:rPr>
            </w:pPr>
          </w:p>
        </w:tc>
        <w:tc>
          <w:tcPr>
            <w:tcW w:w="1920" w:type="dxa"/>
            <w:vAlign w:val="bottom"/>
          </w:tcPr>
          <w:p>
            <w:pPr>
              <w:jc w:val="center"/>
              <w:ind w:left="424"/>
              <w:spacing w:after="0" w:line="149" w:lineRule="exact"/>
              <w:rPr>
                <w:sz w:val="20"/>
                <w:szCs w:val="20"/>
                <w:color w:val="auto"/>
              </w:rPr>
            </w:pPr>
            <w:r>
              <w:rPr>
                <w:rFonts w:ascii="Arial" w:cs="Arial" w:eastAsia="Arial" w:hAnsi="Arial"/>
                <w:sz w:val="14"/>
                <w:szCs w:val="14"/>
                <w:color w:val="auto"/>
                <w:w w:val="95"/>
              </w:rPr>
              <w:t>Incorporation or</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3520" w:type="dxa"/>
            <w:vAlign w:val="bottom"/>
          </w:tcPr>
          <w:p>
            <w:pPr>
              <w:ind w:left="640"/>
              <w:spacing w:after="0"/>
              <w:rPr>
                <w:sz w:val="20"/>
                <w:szCs w:val="20"/>
                <w:color w:val="auto"/>
              </w:rPr>
            </w:pPr>
            <w:r>
              <w:rPr>
                <w:rFonts w:ascii="Arial" w:cs="Arial" w:eastAsia="Arial" w:hAnsi="Arial"/>
                <w:sz w:val="14"/>
                <w:szCs w:val="14"/>
                <w:color w:val="auto"/>
              </w:rPr>
              <w:t>(Commission File Number)</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3"/>
          </w:tcPr>
          <w:p>
            <w:pPr>
              <w:jc w:val="center"/>
              <w:ind w:right="840"/>
              <w:spacing w:after="0"/>
              <w:rPr>
                <w:sz w:val="20"/>
                <w:szCs w:val="20"/>
                <w:color w:val="auto"/>
              </w:rPr>
            </w:pPr>
            <w:r>
              <w:rPr>
                <w:rFonts w:ascii="Arial" w:cs="Arial" w:eastAsia="Arial" w:hAnsi="Arial"/>
                <w:sz w:val="14"/>
                <w:szCs w:val="14"/>
                <w:color w:val="auto"/>
                <w:w w:val="92"/>
              </w:rPr>
              <w:t>(Telephone Number)</w:t>
            </w:r>
          </w:p>
        </w:tc>
        <w:tc>
          <w:tcPr>
            <w:tcW w:w="380" w:type="dxa"/>
            <w:vAlign w:val="bottom"/>
          </w:tcPr>
          <w:p>
            <w:pPr>
              <w:spacing w:after="0"/>
              <w:rPr>
                <w:sz w:val="15"/>
                <w:szCs w:val="15"/>
                <w:color w:val="auto"/>
              </w:rPr>
            </w:pPr>
          </w:p>
        </w:tc>
        <w:tc>
          <w:tcPr>
            <w:tcW w:w="1920" w:type="dxa"/>
            <w:vAlign w:val="bottom"/>
          </w:tcPr>
          <w:p>
            <w:pPr>
              <w:jc w:val="center"/>
              <w:ind w:left="444"/>
              <w:spacing w:after="0"/>
              <w:rPr>
                <w:sz w:val="20"/>
                <w:szCs w:val="20"/>
                <w:color w:val="auto"/>
              </w:rPr>
            </w:pPr>
            <w:r>
              <w:rPr>
                <w:rFonts w:ascii="Arial" w:cs="Arial" w:eastAsia="Arial" w:hAnsi="Arial"/>
                <w:sz w:val="14"/>
                <w:szCs w:val="14"/>
                <w:color w:val="auto"/>
                <w:w w:val="95"/>
              </w:rPr>
              <w:t>Organization)</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312"/>
        </w:trPr>
        <w:tc>
          <w:tcPr>
            <w:tcW w:w="3520" w:type="dxa"/>
            <w:vAlign w:val="bottom"/>
          </w:tcPr>
          <w:p>
            <w:pPr>
              <w:jc w:val="right"/>
              <w:ind w:right="1780"/>
              <w:spacing w:after="0"/>
              <w:rPr>
                <w:sz w:val="20"/>
                <w:szCs w:val="20"/>
                <w:color w:val="auto"/>
              </w:rPr>
            </w:pPr>
            <w:r>
              <w:rPr>
                <w:rFonts w:ascii="Arial" w:cs="Arial" w:eastAsia="Arial" w:hAnsi="Arial"/>
                <w:sz w:val="16"/>
                <w:szCs w:val="16"/>
                <w:b w:val="1"/>
                <w:bCs w:val="1"/>
                <w:color w:val="auto"/>
              </w:rPr>
              <w:t>1-9516</w:t>
            </w:r>
          </w:p>
        </w:tc>
        <w:tc>
          <w:tcPr>
            <w:tcW w:w="200" w:type="dxa"/>
            <w:vAlign w:val="bottom"/>
          </w:tcPr>
          <w:p>
            <w:pPr>
              <w:spacing w:after="0"/>
              <w:rPr>
                <w:sz w:val="24"/>
                <w:szCs w:val="24"/>
                <w:color w:val="auto"/>
              </w:rPr>
            </w:pPr>
          </w:p>
        </w:tc>
        <w:tc>
          <w:tcPr>
            <w:tcW w:w="3900" w:type="dxa"/>
            <w:vAlign w:val="bottom"/>
            <w:gridSpan w:val="5"/>
          </w:tcPr>
          <w:p>
            <w:pPr>
              <w:jc w:val="center"/>
              <w:spacing w:after="0"/>
              <w:rPr>
                <w:sz w:val="20"/>
                <w:szCs w:val="20"/>
                <w:color w:val="auto"/>
              </w:rPr>
            </w:pPr>
            <w:r>
              <w:rPr>
                <w:rFonts w:ascii="Arial" w:cs="Arial" w:eastAsia="Arial" w:hAnsi="Arial"/>
                <w:sz w:val="23"/>
                <w:szCs w:val="23"/>
                <w:b w:val="1"/>
                <w:bCs w:val="1"/>
                <w:color w:val="auto"/>
              </w:rPr>
              <w:t>ICAHN ENTERPRISES L.P.</w:t>
            </w:r>
          </w:p>
        </w:tc>
        <w:tc>
          <w:tcPr>
            <w:tcW w:w="380" w:type="dxa"/>
            <w:vAlign w:val="bottom"/>
          </w:tcPr>
          <w:p>
            <w:pPr>
              <w:spacing w:after="0"/>
              <w:rPr>
                <w:sz w:val="24"/>
                <w:szCs w:val="24"/>
                <w:color w:val="auto"/>
              </w:rPr>
            </w:pPr>
          </w:p>
        </w:tc>
        <w:tc>
          <w:tcPr>
            <w:tcW w:w="1920" w:type="dxa"/>
            <w:vAlign w:val="bottom"/>
          </w:tcPr>
          <w:p>
            <w:pPr>
              <w:jc w:val="center"/>
              <w:ind w:left="424"/>
              <w:spacing w:after="0"/>
              <w:rPr>
                <w:sz w:val="20"/>
                <w:szCs w:val="20"/>
                <w:color w:val="auto"/>
              </w:rPr>
            </w:pPr>
            <w:r>
              <w:rPr>
                <w:rFonts w:ascii="Arial" w:cs="Arial" w:eastAsia="Arial" w:hAnsi="Arial"/>
                <w:sz w:val="16"/>
                <w:szCs w:val="16"/>
                <w:b w:val="1"/>
                <w:bCs w:val="1"/>
                <w:color w:val="auto"/>
                <w:w w:val="93"/>
              </w:rPr>
              <w:t>Delaware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13-3398766</w:t>
            </w: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1"/>
              </w:rPr>
              <w:t>767 Fifth Avenue, Suite 4700</w:t>
            </w: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5"/>
              </w:rPr>
              <w:t>New York, NY 10153</w:t>
            </w: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gridSpan w:val="3"/>
          </w:tcPr>
          <w:p>
            <w:pPr>
              <w:jc w:val="center"/>
              <w:ind w:left="616"/>
              <w:spacing w:after="0"/>
              <w:rPr>
                <w:sz w:val="20"/>
                <w:szCs w:val="20"/>
                <w:color w:val="auto"/>
              </w:rPr>
            </w:pPr>
            <w:r>
              <w:rPr>
                <w:rFonts w:ascii="Arial" w:cs="Arial" w:eastAsia="Arial" w:hAnsi="Arial"/>
                <w:sz w:val="16"/>
                <w:szCs w:val="16"/>
                <w:b w:val="1"/>
                <w:bCs w:val="1"/>
                <w:color w:val="auto"/>
                <w:w w:val="93"/>
              </w:rPr>
              <w:t>(212) 702-4300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1"/>
        </w:trPr>
        <w:tc>
          <w:tcPr>
            <w:tcW w:w="3520" w:type="dxa"/>
            <w:vAlign w:val="bottom"/>
          </w:tcPr>
          <w:p>
            <w:pPr>
              <w:jc w:val="right"/>
              <w:ind w:right="1500"/>
              <w:spacing w:after="0"/>
              <w:rPr>
                <w:sz w:val="20"/>
                <w:szCs w:val="20"/>
                <w:color w:val="auto"/>
              </w:rPr>
            </w:pPr>
            <w:r>
              <w:rPr>
                <w:rFonts w:ascii="Arial" w:cs="Arial" w:eastAsia="Arial" w:hAnsi="Arial"/>
                <w:sz w:val="16"/>
                <w:szCs w:val="16"/>
                <w:b w:val="1"/>
                <w:bCs w:val="1"/>
                <w:color w:val="auto"/>
              </w:rPr>
              <w:t>333-118021-01</w:t>
            </w:r>
          </w:p>
        </w:tc>
        <w:tc>
          <w:tcPr>
            <w:tcW w:w="4480" w:type="dxa"/>
            <w:vAlign w:val="bottom"/>
            <w:gridSpan w:val="7"/>
          </w:tcPr>
          <w:p>
            <w:pPr>
              <w:jc w:val="center"/>
              <w:ind w:right="79"/>
              <w:spacing w:after="0"/>
              <w:rPr>
                <w:sz w:val="20"/>
                <w:szCs w:val="20"/>
                <w:color w:val="auto"/>
              </w:rPr>
            </w:pPr>
            <w:r>
              <w:rPr>
                <w:rFonts w:ascii="Arial" w:cs="Arial" w:eastAsia="Arial" w:hAnsi="Arial"/>
                <w:sz w:val="23"/>
                <w:szCs w:val="23"/>
                <w:b w:val="1"/>
                <w:bCs w:val="1"/>
                <w:color w:val="auto"/>
              </w:rPr>
              <w:t>ICAHN ENTERPRISES HOLDINGS L.P.</w:t>
            </w:r>
          </w:p>
        </w:tc>
        <w:tc>
          <w:tcPr>
            <w:tcW w:w="1920" w:type="dxa"/>
            <w:vAlign w:val="bottom"/>
          </w:tcPr>
          <w:p>
            <w:pPr>
              <w:jc w:val="center"/>
              <w:ind w:left="424"/>
              <w:spacing w:after="0"/>
              <w:rPr>
                <w:sz w:val="20"/>
                <w:szCs w:val="20"/>
                <w:color w:val="auto"/>
              </w:rPr>
            </w:pPr>
            <w:r>
              <w:rPr>
                <w:rFonts w:ascii="Arial" w:cs="Arial" w:eastAsia="Arial" w:hAnsi="Arial"/>
                <w:sz w:val="16"/>
                <w:szCs w:val="16"/>
                <w:b w:val="1"/>
                <w:bCs w:val="1"/>
                <w:color w:val="auto"/>
                <w:w w:val="93"/>
              </w:rPr>
              <w:t>Delaware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13-3398767</w:t>
            </w: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1"/>
              </w:rPr>
              <w:t>767 Fifth Avenue, Suite 4700</w:t>
            </w: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5"/>
              </w:rPr>
              <w:t>New York, NY 10153</w:t>
            </w: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gridSpan w:val="3"/>
          </w:tcPr>
          <w:p>
            <w:pPr>
              <w:jc w:val="center"/>
              <w:ind w:left="616"/>
              <w:spacing w:after="0"/>
              <w:rPr>
                <w:sz w:val="20"/>
                <w:szCs w:val="20"/>
                <w:color w:val="auto"/>
              </w:rPr>
            </w:pPr>
            <w:r>
              <w:rPr>
                <w:rFonts w:ascii="Arial" w:cs="Arial" w:eastAsia="Arial" w:hAnsi="Arial"/>
                <w:sz w:val="16"/>
                <w:szCs w:val="16"/>
                <w:b w:val="1"/>
                <w:bCs w:val="1"/>
                <w:color w:val="auto"/>
                <w:w w:val="93"/>
              </w:rPr>
              <w:t>(212) 702-4300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0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520" w:type="dxa"/>
            <w:vAlign w:val="bottom"/>
          </w:tcPr>
          <w:p>
            <w:pPr>
              <w:jc w:val="center"/>
              <w:ind w:left="860"/>
              <w:spacing w:after="0"/>
              <w:rPr>
                <w:sz w:val="20"/>
                <w:szCs w:val="20"/>
                <w:color w:val="auto"/>
              </w:rPr>
            </w:pPr>
            <w:r>
              <w:rPr>
                <w:rFonts w:ascii="Arial" w:cs="Arial" w:eastAsia="Arial" w:hAnsi="Arial"/>
                <w:sz w:val="16"/>
                <w:szCs w:val="16"/>
                <w:b w:val="1"/>
                <w:bCs w:val="1"/>
                <w:color w:val="auto"/>
                <w:w w:val="91"/>
              </w:rPr>
              <w:t>Title of Each Class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2"/>
              </w:rPr>
              <w:t>Trading Symbol(s)</w:t>
            </w:r>
          </w:p>
        </w:tc>
        <w:tc>
          <w:tcPr>
            <w:tcW w:w="3800" w:type="dxa"/>
            <w:vAlign w:val="bottom"/>
            <w:gridSpan w:val="3"/>
          </w:tcPr>
          <w:p>
            <w:pPr>
              <w:jc w:val="center"/>
              <w:ind w:right="443"/>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jc w:val="center"/>
              <w:ind w:left="620"/>
              <w:spacing w:after="0"/>
              <w:rPr>
                <w:sz w:val="20"/>
                <w:szCs w:val="20"/>
                <w:color w:val="auto"/>
              </w:rPr>
            </w:pPr>
            <w:r>
              <w:rPr>
                <w:rFonts w:ascii="Arial" w:cs="Arial" w:eastAsia="Arial" w:hAnsi="Arial"/>
                <w:sz w:val="16"/>
                <w:szCs w:val="16"/>
                <w:color w:val="auto"/>
                <w:w w:val="92"/>
              </w:rPr>
              <w:t>Depositary Units of Icahn Enterprises L.P.</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3"/>
            <w:vMerge w:val="restart"/>
          </w:tcPr>
          <w:p>
            <w:pPr>
              <w:jc w:val="center"/>
              <w:ind w:right="640"/>
              <w:spacing w:after="0"/>
              <w:rPr>
                <w:sz w:val="20"/>
                <w:szCs w:val="20"/>
                <w:color w:val="auto"/>
              </w:rPr>
            </w:pPr>
            <w:r>
              <w:rPr>
                <w:rFonts w:ascii="Arial" w:cs="Arial" w:eastAsia="Arial" w:hAnsi="Arial"/>
                <w:sz w:val="16"/>
                <w:szCs w:val="16"/>
                <w:color w:val="auto"/>
                <w:w w:val="92"/>
              </w:rPr>
              <w:t>IEP</w:t>
            </w:r>
          </w:p>
        </w:tc>
        <w:tc>
          <w:tcPr>
            <w:tcW w:w="380" w:type="dxa"/>
            <w:vAlign w:val="bottom"/>
          </w:tcPr>
          <w:p>
            <w:pPr>
              <w:spacing w:after="0"/>
              <w:rPr>
                <w:sz w:val="18"/>
                <w:szCs w:val="18"/>
                <w:color w:val="auto"/>
              </w:rPr>
            </w:pPr>
          </w:p>
        </w:tc>
        <w:tc>
          <w:tcPr>
            <w:tcW w:w="3420" w:type="dxa"/>
            <w:vAlign w:val="bottom"/>
            <w:gridSpan w:val="2"/>
            <w:vMerge w:val="restart"/>
          </w:tcPr>
          <w:p>
            <w:pPr>
              <w:jc w:val="center"/>
              <w:ind w:right="783"/>
              <w:spacing w:after="0"/>
              <w:rPr>
                <w:sz w:val="20"/>
                <w:szCs w:val="20"/>
                <w:color w:val="auto"/>
              </w:rPr>
            </w:pPr>
            <w:r>
              <w:rPr>
                <w:rFonts w:ascii="Arial" w:cs="Arial" w:eastAsia="Arial" w:hAnsi="Arial"/>
                <w:sz w:val="16"/>
                <w:szCs w:val="16"/>
                <w:color w:val="auto"/>
                <w:w w:val="96"/>
              </w:rPr>
              <w:t>NASDAQ Global Select Market</w:t>
            </w:r>
          </w:p>
        </w:tc>
        <w:tc>
          <w:tcPr>
            <w:tcW w:w="0" w:type="dxa"/>
            <w:vAlign w:val="bottom"/>
          </w:tcPr>
          <w:p>
            <w:pPr>
              <w:spacing w:after="0"/>
              <w:rPr>
                <w:sz w:val="1"/>
                <w:szCs w:val="1"/>
                <w:color w:val="auto"/>
              </w:rPr>
            </w:pPr>
          </w:p>
        </w:tc>
      </w:tr>
      <w:tr>
        <w:trPr>
          <w:trHeight w:val="98"/>
        </w:trPr>
        <w:tc>
          <w:tcPr>
            <w:tcW w:w="3520" w:type="dxa"/>
            <w:vAlign w:val="bottom"/>
            <w:vMerge w:val="restart"/>
          </w:tcPr>
          <w:p>
            <w:pPr>
              <w:jc w:val="center"/>
              <w:ind w:left="880"/>
              <w:spacing w:after="0"/>
              <w:rPr>
                <w:sz w:val="20"/>
                <w:szCs w:val="20"/>
                <w:color w:val="auto"/>
              </w:rPr>
            </w:pPr>
            <w:r>
              <w:rPr>
                <w:rFonts w:ascii="Arial" w:cs="Arial" w:eastAsia="Arial" w:hAnsi="Arial"/>
                <w:sz w:val="16"/>
                <w:szCs w:val="16"/>
                <w:color w:val="auto"/>
                <w:w w:val="91"/>
              </w:rPr>
              <w:t>Representing Limited Partner Interests</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3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right="18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120"/>
        <w:spacing w:after="0" w:line="184" w:lineRule="exact"/>
        <w:tabs>
          <w:tab w:leader="none" w:pos="6000" w:val="left"/>
        </w:tabs>
        <w:rPr>
          <w:sz w:val="20"/>
          <w:szCs w:val="20"/>
          <w:color w:val="auto"/>
        </w:rPr>
      </w:pPr>
      <w:r>
        <w:rPr>
          <w:rFonts w:ascii="Arial" w:cs="Arial" w:eastAsia="Arial" w:hAnsi="Arial"/>
          <w:sz w:val="16"/>
          <w:szCs w:val="16"/>
          <w:color w:val="auto"/>
        </w:rPr>
        <w:t xml:space="preserve">Icahn Enterprises L.P.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Icahn Enterprises Holdings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7" w:lineRule="exact"/>
        <w:rPr>
          <w:sz w:val="24"/>
          <w:szCs w:val="24"/>
          <w:color w:val="auto"/>
        </w:rPr>
      </w:pPr>
    </w:p>
    <w:p>
      <w:pPr>
        <w:ind w:right="58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4" w:lineRule="exact"/>
        <w:rPr>
          <w:sz w:val="24"/>
          <w:szCs w:val="24"/>
          <w:color w:val="auto"/>
        </w:rPr>
      </w:pPr>
    </w:p>
    <w:p>
      <w:pPr>
        <w:ind w:left="3120"/>
        <w:spacing w:after="0" w:line="184" w:lineRule="exact"/>
        <w:tabs>
          <w:tab w:leader="none" w:pos="6000" w:val="left"/>
        </w:tabs>
        <w:rPr>
          <w:sz w:val="20"/>
          <w:szCs w:val="20"/>
          <w:color w:val="auto"/>
        </w:rPr>
      </w:pPr>
      <w:r>
        <w:rPr>
          <w:rFonts w:ascii="Arial" w:cs="Arial" w:eastAsia="Arial" w:hAnsi="Arial"/>
          <w:sz w:val="16"/>
          <w:szCs w:val="16"/>
          <w:color w:val="auto"/>
        </w:rPr>
        <w:t xml:space="preserve">Icahn Enterprises L.P.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Icahn Enterprises Holdings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0" w:lineRule="exact"/>
        <w:rPr>
          <w:sz w:val="24"/>
          <w:szCs w:val="24"/>
          <w:color w:val="auto"/>
        </w:rPr>
      </w:pPr>
    </w:p>
    <w:p>
      <w:pPr>
        <w:ind w:right="6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04" w:lineRule="exact"/>
        <w:rPr>
          <w:sz w:val="24"/>
          <w:szCs w:val="24"/>
          <w:color w:val="auto"/>
        </w:rPr>
      </w:pPr>
    </w:p>
    <w:tbl>
      <w:tblPr>
        <w:tblLayout w:type="fixed"/>
        <w:tblInd w:w="86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8"/>
              </w:rPr>
              <w:t>Icahn Enterprises L.P.</w:t>
            </w: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1"/>
              </w:rPr>
              <w:t>Icahn Enterprises Holdings L.P.</w:t>
            </w:r>
          </w:p>
        </w:tc>
        <w:tc>
          <w:tcPr>
            <w:tcW w:w="1660" w:type="dxa"/>
            <w:vAlign w:val="bottom"/>
          </w:tcPr>
          <w:p>
            <w:pPr>
              <w:spacing w:after="0"/>
              <w:rPr>
                <w:sz w:val="16"/>
                <w:szCs w:val="16"/>
                <w:color w:val="auto"/>
              </w:rPr>
            </w:pPr>
          </w:p>
        </w:tc>
      </w:tr>
      <w:tr>
        <w:trPr>
          <w:trHeight w:val="473"/>
        </w:trPr>
        <w:tc>
          <w:tcPr>
            <w:tcW w:w="2160" w:type="dxa"/>
            <w:vAlign w:val="bottom"/>
            <w:gridSpan w:val="2"/>
          </w:tcPr>
          <w:p>
            <w:pPr>
              <w:jc w:val="right"/>
              <w:ind w:right="319"/>
              <w:spacing w:after="0" w:line="414" w:lineRule="exact"/>
              <w:rPr>
                <w:sz w:val="20"/>
                <w:szCs w:val="20"/>
                <w:color w:val="auto"/>
              </w:rPr>
            </w:pPr>
            <w:r>
              <w:rPr>
                <w:rFonts w:ascii="Arial" w:cs="Arial" w:eastAsia="Arial" w:hAnsi="Arial"/>
                <w:sz w:val="16"/>
                <w:szCs w:val="16"/>
                <w:color w:val="auto"/>
                <w:w w:val="89"/>
              </w:rPr>
              <w:t xml:space="preserve">Large Accelerated Filer </w:t>
            </w:r>
            <w:r>
              <w:rPr>
                <w:rFonts w:ascii="MS PGothic" w:cs="MS PGothic" w:eastAsia="MS PGothic" w:hAnsi="MS PGothic"/>
                <w:sz w:val="36"/>
                <w:szCs w:val="36"/>
                <w:color w:val="auto"/>
                <w:w w:val="89"/>
                <w:vertAlign w:val="subscript"/>
              </w:rPr>
              <w:t>☒</w:t>
            </w:r>
          </w:p>
        </w:tc>
        <w:tc>
          <w:tcPr>
            <w:tcW w:w="520" w:type="dxa"/>
            <w:vAlign w:val="bottom"/>
          </w:tcPr>
          <w:p>
            <w:pPr>
              <w:spacing w:after="0"/>
              <w:rPr>
                <w:sz w:val="24"/>
                <w:szCs w:val="24"/>
                <w:color w:val="auto"/>
              </w:rPr>
            </w:pPr>
          </w:p>
        </w:tc>
        <w:tc>
          <w:tcPr>
            <w:tcW w:w="2540" w:type="dxa"/>
            <w:vAlign w:val="bottom"/>
          </w:tcPr>
          <w:p>
            <w:pPr>
              <w:ind w:left="280"/>
              <w:spacing w:after="0" w:line="41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36"/>
                <w:szCs w:val="36"/>
                <w:color w:val="auto"/>
                <w:vertAlign w:val="subscript"/>
              </w:rPr>
              <w:t>☐</w:t>
            </w:r>
          </w:p>
        </w:tc>
        <w:tc>
          <w:tcPr>
            <w:tcW w:w="2740" w:type="dxa"/>
            <w:vAlign w:val="bottom"/>
            <w:gridSpan w:val="2"/>
          </w:tcPr>
          <w:p>
            <w:pPr>
              <w:jc w:val="right"/>
              <w:ind w:right="299"/>
              <w:spacing w:after="0" w:line="41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6"/>
                <w:szCs w:val="36"/>
                <w:color w:val="auto"/>
                <w:vertAlign w:val="subscript"/>
              </w:rPr>
              <w:t>☐</w:t>
            </w:r>
          </w:p>
        </w:tc>
        <w:tc>
          <w:tcPr>
            <w:tcW w:w="2460" w:type="dxa"/>
            <w:vAlign w:val="bottom"/>
            <w:gridSpan w:val="2"/>
          </w:tcPr>
          <w:p>
            <w:pPr>
              <w:ind w:left="780"/>
              <w:spacing w:after="0" w:line="41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36"/>
                <w:szCs w:val="36"/>
                <w:color w:val="auto"/>
                <w:vertAlign w:val="subscript"/>
              </w:rPr>
              <w:t>☐</w:t>
            </w:r>
          </w:p>
        </w:tc>
      </w:tr>
      <w:tr>
        <w:trPr>
          <w:trHeight w:val="415"/>
        </w:trPr>
        <w:tc>
          <w:tcPr>
            <w:tcW w:w="2160" w:type="dxa"/>
            <w:vAlign w:val="bottom"/>
            <w:gridSpan w:val="2"/>
          </w:tcPr>
          <w:p>
            <w:pPr>
              <w:jc w:val="right"/>
              <w:ind w:right="319"/>
              <w:spacing w:after="0" w:line="414" w:lineRule="exact"/>
              <w:rPr>
                <w:sz w:val="20"/>
                <w:szCs w:val="20"/>
                <w:color w:val="auto"/>
              </w:rPr>
            </w:pPr>
            <w:r>
              <w:rPr>
                <w:rFonts w:ascii="Arial" w:cs="Arial" w:eastAsia="Arial" w:hAnsi="Arial"/>
                <w:sz w:val="16"/>
                <w:szCs w:val="16"/>
                <w:color w:val="auto"/>
                <w:w w:val="95"/>
              </w:rPr>
              <w:t xml:space="preserve">Non-accelerated Filer </w:t>
            </w:r>
            <w:r>
              <w:rPr>
                <w:rFonts w:ascii="MS PGothic" w:cs="MS PGothic" w:eastAsia="MS PGothic" w:hAnsi="MS PGothic"/>
                <w:sz w:val="36"/>
                <w:szCs w:val="36"/>
                <w:color w:val="auto"/>
                <w:w w:val="95"/>
                <w:vertAlign w:val="subscript"/>
              </w:rPr>
              <w:t>☐</w:t>
            </w:r>
          </w:p>
        </w:tc>
        <w:tc>
          <w:tcPr>
            <w:tcW w:w="3060" w:type="dxa"/>
            <w:vAlign w:val="bottom"/>
            <w:gridSpan w:val="2"/>
          </w:tcPr>
          <w:p>
            <w:pPr>
              <w:ind w:left="400"/>
              <w:spacing w:after="0" w:line="41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36"/>
                <w:szCs w:val="36"/>
                <w:color w:val="auto"/>
                <w:vertAlign w:val="subscript"/>
              </w:rPr>
              <w:t>☐</w:t>
            </w:r>
          </w:p>
        </w:tc>
        <w:tc>
          <w:tcPr>
            <w:tcW w:w="2740" w:type="dxa"/>
            <w:vAlign w:val="bottom"/>
            <w:gridSpan w:val="2"/>
          </w:tcPr>
          <w:p>
            <w:pPr>
              <w:jc w:val="right"/>
              <w:ind w:right="299"/>
              <w:spacing w:after="0" w:line="207"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8"/>
                <w:szCs w:val="18"/>
                <w:color w:val="auto"/>
              </w:rPr>
              <w:t>☒</w:t>
            </w:r>
          </w:p>
        </w:tc>
        <w:tc>
          <w:tcPr>
            <w:tcW w:w="2460" w:type="dxa"/>
            <w:vAlign w:val="bottom"/>
            <w:gridSpan w:val="2"/>
          </w:tcPr>
          <w:p>
            <w:pPr>
              <w:ind w:left="380"/>
              <w:spacing w:after="0" w:line="414" w:lineRule="exact"/>
              <w:rPr>
                <w:sz w:val="20"/>
                <w:szCs w:val="20"/>
                <w:color w:val="auto"/>
              </w:rPr>
            </w:pPr>
            <w:r>
              <w:rPr>
                <w:rFonts w:ascii="Arial" w:cs="Arial" w:eastAsia="Arial" w:hAnsi="Arial"/>
                <w:sz w:val="16"/>
                <w:szCs w:val="16"/>
                <w:color w:val="auto"/>
                <w:w w:val="89"/>
              </w:rPr>
              <w:t xml:space="preserve">Smaller Reporting Company </w:t>
            </w:r>
            <w:r>
              <w:rPr>
                <w:rFonts w:ascii="MS PGothic" w:cs="MS PGothic" w:eastAsia="MS PGothic" w:hAnsi="MS PGothic"/>
                <w:sz w:val="36"/>
                <w:szCs w:val="36"/>
                <w:color w:val="auto"/>
                <w:w w:val="89"/>
                <w:vertAlign w:val="subscript"/>
              </w:rPr>
              <w:t>☐</w:t>
            </w:r>
          </w:p>
        </w:tc>
      </w:tr>
      <w:tr>
        <w:trPr>
          <w:trHeight w:val="419"/>
        </w:trPr>
        <w:tc>
          <w:tcPr>
            <w:tcW w:w="5220" w:type="dxa"/>
            <w:vAlign w:val="bottom"/>
            <w:gridSpan w:val="4"/>
          </w:tcPr>
          <w:p>
            <w:pPr>
              <w:ind w:left="1080"/>
              <w:spacing w:after="0" w:line="41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36"/>
                <w:szCs w:val="36"/>
                <w:color w:val="auto"/>
                <w:vertAlign w:val="subscript"/>
              </w:rPr>
              <w:t>☐</w:t>
            </w:r>
          </w:p>
        </w:tc>
        <w:tc>
          <w:tcPr>
            <w:tcW w:w="1480" w:type="dxa"/>
            <w:vAlign w:val="bottom"/>
          </w:tcPr>
          <w:p>
            <w:pPr>
              <w:spacing w:after="0"/>
              <w:rPr>
                <w:sz w:val="24"/>
                <w:szCs w:val="24"/>
                <w:color w:val="auto"/>
              </w:rPr>
            </w:pPr>
          </w:p>
        </w:tc>
        <w:tc>
          <w:tcPr>
            <w:tcW w:w="3720" w:type="dxa"/>
            <w:vAlign w:val="bottom"/>
            <w:gridSpan w:val="3"/>
          </w:tcPr>
          <w:p>
            <w:pPr>
              <w:ind w:left="180"/>
              <w:spacing w:after="0" w:line="41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36"/>
                <w:szCs w:val="36"/>
                <w:color w:val="auto"/>
                <w:vertAlign w:val="subscript"/>
              </w:rPr>
              <w:t>☐</w:t>
            </w:r>
          </w:p>
        </w:tc>
      </w:tr>
    </w:tbl>
    <w:p>
      <w:pPr>
        <w:jc w:val="both"/>
        <w:ind w:right="16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83" w:lineRule="exact"/>
        <w:rPr>
          <w:sz w:val="24"/>
          <w:szCs w:val="24"/>
          <w:color w:val="auto"/>
        </w:rPr>
      </w:pPr>
    </w:p>
    <w:p>
      <w:pPr>
        <w:ind w:left="3080"/>
        <w:spacing w:after="0" w:line="184" w:lineRule="exact"/>
        <w:tabs>
          <w:tab w:leader="none" w:pos="6020" w:val="left"/>
        </w:tabs>
        <w:rPr>
          <w:sz w:val="20"/>
          <w:szCs w:val="20"/>
          <w:color w:val="auto"/>
        </w:rPr>
      </w:pPr>
      <w:r>
        <w:rPr>
          <w:rFonts w:ascii="Arial" w:cs="Arial" w:eastAsia="Arial" w:hAnsi="Arial"/>
          <w:sz w:val="16"/>
          <w:szCs w:val="16"/>
          <w:color w:val="auto"/>
        </w:rPr>
        <w:t xml:space="preserve">Icahn Enterprises L.P.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Icahn Enterprises Holdings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4, 2019, there were 207,489,066 of Icahn Enterprises’ depositary units outstanding.</w:t>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0" w:type="dxa"/>
            <w:vAlign w:val="bottom"/>
            <w:gridSpan w:val="10"/>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 and Forward-Looking Statements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21"/>
                <w:szCs w:val="21"/>
                <w:color w:val="auto"/>
              </w:rPr>
            </w:pPr>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4"/>
            <w:shd w:val="clear" w:color="auto" w:fill="CCEEFF"/>
          </w:tcPr>
          <w:p>
            <w:pPr>
              <w:jc w:val="center"/>
              <w:ind w:right="248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00" w:type="dxa"/>
            <w:vAlign w:val="bottom"/>
            <w:gridSpan w:val="10"/>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2.</w:t>
              </w:r>
            </w:hyperlink>
          </w:p>
        </w:tc>
        <w:tc>
          <w:tcPr>
            <w:tcW w:w="740" w:type="dxa"/>
            <w:vAlign w:val="bottom"/>
            <w:gridSpan w:val="2"/>
            <w:shd w:val="clear" w:color="auto" w:fill="CCEEFF"/>
          </w:tcPr>
          <w:p>
            <w:pPr>
              <w:spacing w:after="0"/>
              <w:rPr>
                <w:sz w:val="17"/>
                <w:szCs w:val="17"/>
                <w:color w:val="auto"/>
              </w:rPr>
            </w:pPr>
          </w:p>
        </w:tc>
        <w:tc>
          <w:tcPr>
            <w:tcW w:w="6500" w:type="dxa"/>
            <w:vAlign w:val="bottom"/>
            <w:gridSpan w:val="9"/>
            <w:shd w:val="clear" w:color="auto" w:fill="CCEEFF"/>
          </w:tcPr>
          <w:p>
            <w:pPr>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center"/>
              <w:ind w:right="36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28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3.</w:t>
              </w:r>
            </w:hyperlink>
          </w:p>
        </w:tc>
        <w:tc>
          <w:tcPr>
            <w:tcW w:w="740" w:type="dxa"/>
            <w:vAlign w:val="bottom"/>
            <w:gridSpan w:val="2"/>
          </w:tcPr>
          <w:p>
            <w:pPr>
              <w:spacing w:after="0"/>
              <w:rPr>
                <w:sz w:val="17"/>
                <w:szCs w:val="17"/>
                <w:color w:val="auto"/>
              </w:rPr>
            </w:pPr>
          </w:p>
        </w:tc>
        <w:tc>
          <w:tcPr>
            <w:tcW w:w="6500" w:type="dxa"/>
            <w:vAlign w:val="bottom"/>
            <w:gridSpan w:val="9"/>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2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gridSpan w:val="4"/>
          </w:tcPr>
          <w:p>
            <w:pPr>
              <w:jc w:val="center"/>
              <w:ind w:right="36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9200" w:type="dxa"/>
            <w:vAlign w:val="bottom"/>
            <w:gridSpan w:val="10"/>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90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4"/>
            <w:shd w:val="clear" w:color="auto" w:fill="CCEEFF"/>
          </w:tcPr>
          <w:p>
            <w:pPr>
              <w:jc w:val="center"/>
              <w:ind w:right="248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w:t>
              </w:r>
            </w:hyperlink>
          </w:p>
        </w:tc>
        <w:tc>
          <w:tcPr>
            <w:tcW w:w="9200" w:type="dxa"/>
            <w:vAlign w:val="bottom"/>
            <w:gridSpan w:val="10"/>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900" w:type="dxa"/>
            <w:vAlign w:val="bottom"/>
            <w:gridSpan w:val="5"/>
          </w:tcPr>
          <w:p>
            <w:pPr>
              <w:jc w:val="center"/>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60</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1A.</w:t>
              </w:r>
            </w:hyperlink>
          </w:p>
        </w:tc>
        <w:tc>
          <w:tcPr>
            <w:tcW w:w="9200" w:type="dxa"/>
            <w:vAlign w:val="bottom"/>
            <w:gridSpan w:val="10"/>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90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2"/>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5.</w:t>
              </w:r>
            </w:hyperlink>
          </w:p>
        </w:tc>
        <w:tc>
          <w:tcPr>
            <w:tcW w:w="620" w:type="dxa"/>
            <w:vAlign w:val="bottom"/>
          </w:tcPr>
          <w:p>
            <w:pPr>
              <w:spacing w:after="0"/>
              <w:rPr>
                <w:sz w:val="17"/>
                <w:szCs w:val="17"/>
                <w:color w:val="auto"/>
              </w:rPr>
            </w:pPr>
          </w:p>
        </w:tc>
        <w:tc>
          <w:tcPr>
            <w:tcW w:w="9200" w:type="dxa"/>
            <w:vAlign w:val="bottom"/>
            <w:gridSpan w:val="10"/>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900" w:type="dxa"/>
            <w:vAlign w:val="bottom"/>
            <w:gridSpan w:val="5"/>
          </w:tcPr>
          <w:p>
            <w:pPr>
              <w:jc w:val="center"/>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60</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Item 6.</w:t>
              </w:r>
            </w:hyperlink>
          </w:p>
        </w:tc>
        <w:tc>
          <w:tcPr>
            <w:tcW w:w="9200" w:type="dxa"/>
            <w:vAlign w:val="bottom"/>
            <w:gridSpan w:val="10"/>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90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6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74" w:lineRule="exact"/>
        <w:rPr>
          <w:sz w:val="20"/>
          <w:szCs w:val="20"/>
          <w:color w:val="auto"/>
        </w:rPr>
      </w:pPr>
    </w:p>
    <w:p>
      <w:pPr>
        <w:ind w:right="40" w:firstLine="378"/>
        <w:spacing w:after="0" w:line="291"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in our Annual Report on Form 10-K for the year ended December 31, 2018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620" w:type="dxa"/>
            <w:vAlign w:val="bottom"/>
            <w:gridSpan w:val="4"/>
          </w:tcPr>
          <w:p>
            <w:pPr>
              <w:jc w:val="right"/>
              <w:ind w:right="790"/>
              <w:spacing w:after="0"/>
              <w:rPr>
                <w:sz w:val="20"/>
                <w:szCs w:val="20"/>
                <w:color w:val="auto"/>
              </w:rPr>
            </w:pPr>
            <w:r>
              <w:rPr>
                <w:rFonts w:ascii="Arial" w:cs="Arial" w:eastAsia="Arial" w:hAnsi="Arial"/>
                <w:sz w:val="14"/>
                <w:szCs w:val="14"/>
                <w:color w:val="auto"/>
              </w:rPr>
              <w:t>(In millions, except unit amounts)</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23,489</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68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Unrealized loss on derivative contracts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Limited partners: Depositary units: 207,489,066 units issued and outstanding at September 30, 2019</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191,366,097 units issued and outstanding at December 31, 2018</w:t>
            </w: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23,257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23,489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Pr>
          <w:p>
            <w:pPr>
              <w:spacing w:after="0"/>
              <w:rPr>
                <w:sz w:val="18"/>
                <w:szCs w:val="18"/>
                <w:color w:val="auto"/>
              </w:rPr>
            </w:pPr>
          </w:p>
        </w:tc>
        <w:tc>
          <w:tcPr>
            <w:tcW w:w="33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40" w:type="dxa"/>
            <w:vAlign w:val="bottom"/>
            <w:gridSpan w:val="5"/>
          </w:tcPr>
          <w:p>
            <w:pPr>
              <w:ind w:left="340"/>
              <w:spacing w:after="0"/>
              <w:rPr>
                <w:sz w:val="20"/>
                <w:szCs w:val="20"/>
                <w:color w:val="auto"/>
              </w:rPr>
            </w:pPr>
            <w:r>
              <w:rPr>
                <w:rFonts w:ascii="Arial" w:cs="Arial" w:eastAsia="Arial" w:hAnsi="Arial"/>
                <w:sz w:val="14"/>
                <w:szCs w:val="14"/>
                <w:color w:val="auto"/>
              </w:rPr>
              <w:t>(In millions, except per unit amounts)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7,998</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3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 gain from investment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Interest and dividend income</w:t>
            </w:r>
          </w:p>
        </w:tc>
        <w:tc>
          <w:tcPr>
            <w:tcW w:w="3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Gain on disposition of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Other income (loss), net</w:t>
            </w:r>
          </w:p>
        </w:tc>
        <w:tc>
          <w:tcPr>
            <w:tcW w:w="3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8,975</w:t>
            </w:r>
          </w:p>
        </w:tc>
        <w:tc>
          <w:tcPr>
            <w:tcW w:w="0" w:type="dxa"/>
            <w:vAlign w:val="bottom"/>
          </w:tcPr>
          <w:p>
            <w:pPr>
              <w:spacing w:after="0"/>
              <w:rPr>
                <w:sz w:val="1"/>
                <w:szCs w:val="1"/>
                <w:color w:val="auto"/>
              </w:rPr>
            </w:pP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color w:val="auto"/>
              </w:rPr>
              <w:t>Expenses:</w:t>
            </w: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6,786</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Other expenses from operations</w:t>
            </w:r>
          </w:p>
        </w:tc>
        <w:tc>
          <w:tcPr>
            <w:tcW w:w="3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Restructuring, net</w:t>
            </w:r>
          </w:p>
        </w:tc>
        <w:tc>
          <w:tcPr>
            <w:tcW w:w="3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8,609</w:t>
            </w:r>
          </w:p>
        </w:tc>
        <w:tc>
          <w:tcPr>
            <w:tcW w:w="0" w:type="dxa"/>
            <w:vAlign w:val="bottom"/>
          </w:tcPr>
          <w:p>
            <w:pPr>
              <w:spacing w:after="0"/>
              <w:rPr>
                <w:sz w:val="1"/>
                <w:szCs w:val="1"/>
                <w:color w:val="auto"/>
              </w:rPr>
            </w:pPr>
          </w:p>
        </w:tc>
      </w:tr>
      <w:tr>
        <w:trPr>
          <w:trHeight w:val="200"/>
        </w:trPr>
        <w:tc>
          <w:tcPr>
            <w:tcW w:w="3780" w:type="dxa"/>
            <w:vAlign w:val="bottom"/>
          </w:tcPr>
          <w:p>
            <w:pPr>
              <w:ind w:left="40"/>
              <w:spacing w:after="0"/>
              <w:rPr>
                <w:sz w:val="20"/>
                <w:szCs w:val="20"/>
                <w:color w:val="auto"/>
              </w:rPr>
            </w:pPr>
            <w:r>
              <w:rPr>
                <w:rFonts w:ascii="Arial" w:cs="Arial" w:eastAsia="Arial" w:hAnsi="Arial"/>
                <w:sz w:val="16"/>
                <w:szCs w:val="16"/>
                <w:color w:val="auto"/>
                <w:w w:val="93"/>
              </w:rPr>
              <w:t>(Loss) income from continuing operations before income</w:t>
            </w:r>
          </w:p>
        </w:tc>
        <w:tc>
          <w:tcPr>
            <w:tcW w:w="3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tax benefit</w:t>
            </w:r>
          </w:p>
        </w:tc>
        <w:tc>
          <w:tcPr>
            <w:tcW w:w="3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(Loss) income from continuing operations</w:t>
            </w:r>
          </w:p>
        </w:tc>
        <w:tc>
          <w:tcPr>
            <w:tcW w:w="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Less: net (loss) income attributable to non-controlling</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Icahn Enterprises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84"/>
        </w:trPr>
        <w:tc>
          <w:tcPr>
            <w:tcW w:w="3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3"/>
              </w:rPr>
              <w:t>Net (loss) income attributable to Icahn Enterprises from:</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3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(loss) income attributable to Icahn Enterprises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allocated to:</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Limited partners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General partner</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and diluted (loss) income per LP unit: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3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w w:val="92"/>
              </w:rPr>
              <w:t>Basic and diluted weighted average LP units outstanding</w:t>
            </w:r>
          </w:p>
        </w:tc>
        <w:tc>
          <w:tcPr>
            <w:tcW w:w="3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distributions declared per LP unit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net of tax:</w:t>
            </w: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Post-retirement benefits and other</w:t>
            </w: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Less: Comprehensive (loss) income attributable to</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Comprehensive (loss) income attributable to Icahn</w:t>
            </w:r>
          </w:p>
        </w:tc>
        <w:tc>
          <w:tcPr>
            <w:tcW w:w="1260" w:type="dxa"/>
            <w:vAlign w:val="bottom"/>
            <w:tcBorders>
              <w:top w:val="single" w:sz="8" w:color="auto"/>
            </w:tcBorders>
            <w:vMerge w:val="restart"/>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360" w:type="dxa"/>
            <w:vAlign w:val="bottom"/>
            <w:tcBorders>
              <w:top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Enterprises</w:t>
            </w:r>
          </w:p>
        </w:tc>
        <w:tc>
          <w:tcPr>
            <w:tcW w:w="1260" w:type="dxa"/>
            <w:vAlign w:val="bottom"/>
            <w:tcBorders>
              <w:bottom w:val="single" w:sz="8" w:color="auto"/>
            </w:tcBorders>
            <w:vMerge w:val="continue"/>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Comprehensive (loss) income attributable to Icahn</w:t>
            </w: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Enterprises allocated to:</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spacing w:after="0" w:line="3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0" w:type="dxa"/>
            <w:vAlign w:val="bottom"/>
            <w:gridSpan w:val="6"/>
          </w:tcPr>
          <w:p>
            <w:pPr>
              <w:jc w:val="center"/>
              <w:ind w:left="246"/>
              <w:spacing w:after="0"/>
              <w:rPr>
                <w:sz w:val="20"/>
                <w:szCs w:val="20"/>
                <w:color w:val="auto"/>
              </w:rPr>
            </w:pPr>
            <w:r>
              <w:rPr>
                <w:rFonts w:ascii="Arial" w:cs="Arial" w:eastAsia="Arial" w:hAnsi="Arial"/>
                <w:sz w:val="11"/>
                <w:szCs w:val="11"/>
                <w:b w:val="1"/>
                <w:bCs w:val="1"/>
                <w:color w:val="auto"/>
                <w:w w:val="91"/>
              </w:rPr>
              <w:t>Equity Attributable to Icahn Enterprises</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412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8"/>
        </w:trPr>
        <w:tc>
          <w:tcPr>
            <w:tcW w:w="4120" w:type="dxa"/>
            <w:vAlign w:val="bottom"/>
          </w:tcPr>
          <w:p>
            <w:pPr>
              <w:spacing w:after="0"/>
              <w:rPr>
                <w:sz w:val="11"/>
                <w:szCs w:val="11"/>
                <w:color w:val="auto"/>
              </w:rPr>
            </w:pP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General Partner’s (Deficit)</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0"/>
        </w:trPr>
        <w:tc>
          <w:tcPr>
            <w:tcW w:w="412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b w:val="1"/>
                <w:bCs w:val="1"/>
                <w:color w:val="auto"/>
              </w:rPr>
              <w:t>Equity</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Limited Partners’ Equity</w:t>
            </w:r>
          </w:p>
        </w:tc>
        <w:tc>
          <w:tcPr>
            <w:tcW w:w="120" w:type="dxa"/>
            <w:vAlign w:val="bottom"/>
          </w:tcPr>
          <w:p>
            <w:pPr>
              <w:spacing w:after="0"/>
              <w:rPr>
                <w:sz w:val="12"/>
                <w:szCs w:val="12"/>
                <w:color w:val="auto"/>
              </w:rPr>
            </w:pPr>
          </w:p>
        </w:tc>
        <w:tc>
          <w:tcPr>
            <w:tcW w:w="13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Partners’ Equity</w:t>
            </w:r>
          </w:p>
        </w:tc>
        <w:tc>
          <w:tcPr>
            <w:tcW w:w="80" w:type="dxa"/>
            <w:vAlign w:val="bottom"/>
          </w:tcPr>
          <w:p>
            <w:pPr>
              <w:spacing w:after="0"/>
              <w:rPr>
                <w:sz w:val="12"/>
                <w:szCs w:val="12"/>
                <w:color w:val="auto"/>
              </w:rPr>
            </w:pP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Non-controlling Interests</w:t>
            </w:r>
          </w:p>
        </w:tc>
        <w:tc>
          <w:tcPr>
            <w:tcW w:w="240" w:type="dxa"/>
            <w:vAlign w:val="bottom"/>
          </w:tcPr>
          <w:p>
            <w:pPr>
              <w:spacing w:after="0"/>
              <w:rPr>
                <w:sz w:val="12"/>
                <w:szCs w:val="12"/>
                <w:color w:val="auto"/>
              </w:rPr>
            </w:pPr>
          </w:p>
        </w:tc>
        <w:tc>
          <w:tcPr>
            <w:tcW w:w="112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 Equity</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December 31, 2018</w:t>
            </w:r>
          </w:p>
        </w:tc>
        <w:tc>
          <w:tcPr>
            <w:tcW w:w="960" w:type="dxa"/>
            <w:vAlign w:val="bottom"/>
            <w:tcBorders>
              <w:bottom w:val="single" w:sz="8" w:color="CCEEFF"/>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7,350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6,560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12,980</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Net loss</w:t>
            </w:r>
          </w:p>
        </w:tc>
        <w:tc>
          <w:tcPr>
            <w:tcW w:w="96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1"/>
                <w:szCs w:val="11"/>
                <w:color w:val="auto"/>
              </w:rPr>
              <w:t>(386)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(394)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(664)</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Distribution payable</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(391)</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(30)</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Changes in subsidiary equity and other</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(243)</w:t>
            </w:r>
          </w:p>
        </w:tc>
      </w:tr>
      <w:tr>
        <w:trPr>
          <w:trHeight w:val="228"/>
        </w:trPr>
        <w:tc>
          <w:tcPr>
            <w:tcW w:w="4120" w:type="dxa"/>
            <w:vAlign w:val="bottom"/>
          </w:tcPr>
          <w:p>
            <w:pPr>
              <w:ind w:left="40"/>
              <w:spacing w:after="0"/>
              <w:rPr>
                <w:sz w:val="20"/>
                <w:szCs w:val="20"/>
                <w:color w:val="auto"/>
              </w:rPr>
            </w:pPr>
            <w:r>
              <w:rPr>
                <w:rFonts w:ascii="Arial" w:cs="Arial" w:eastAsia="Arial" w:hAnsi="Arial"/>
                <w:sz w:val="11"/>
                <w:szCs w:val="11"/>
                <w:b w:val="1"/>
                <w:bCs w:val="1"/>
                <w:color w:val="auto"/>
              </w:rPr>
              <w:t>Balance, March 31, 2019</w:t>
            </w: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(804)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6,643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5,839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5,813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11,652</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w:t>
            </w:r>
          </w:p>
        </w:tc>
        <w:tc>
          <w:tcPr>
            <w:tcW w:w="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(597)</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Other comprehensive loss</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Distribution payable reversal</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391</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Partnership distributions</w:t>
            </w:r>
          </w:p>
        </w:tc>
        <w:tc>
          <w:tcPr>
            <w:tcW w:w="96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(55)</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Partnership contributions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Investment segment contributions</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70</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Changes in subsidiary equity and other</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June 30, 2019</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6,498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5,691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11,446</w:t>
            </w:r>
          </w:p>
        </w:tc>
      </w:tr>
      <w:tr>
        <w:trPr>
          <w:trHeight w:val="228"/>
        </w:trPr>
        <w:tc>
          <w:tcPr>
            <w:tcW w:w="4120" w:type="dxa"/>
            <w:vAlign w:val="bottom"/>
          </w:tcPr>
          <w:p>
            <w:pPr>
              <w:ind w:left="40"/>
              <w:spacing w:after="0"/>
              <w:rPr>
                <w:sz w:val="20"/>
                <w:szCs w:val="20"/>
                <w:color w:val="auto"/>
              </w:rPr>
            </w:pPr>
            <w:r>
              <w:rPr>
                <w:rFonts w:ascii="Arial" w:cs="Arial" w:eastAsia="Arial" w:hAnsi="Arial"/>
                <w:sz w:val="11"/>
                <w:szCs w:val="11"/>
                <w:color w:val="auto"/>
              </w:rPr>
              <w:t>Net loss</w:t>
            </w: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(373)</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comprehensive loss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Partnership distributions</w:t>
            </w:r>
          </w:p>
        </w:tc>
        <w:tc>
          <w:tcPr>
            <w:tcW w:w="96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(28)</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Partnership contributions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Investment segment contributions</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150</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Changes in subsidiary equity and other</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(34)</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September 30, 2019</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(808)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6,441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5,633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5,515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11,148</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0" w:type="dxa"/>
            <w:vAlign w:val="bottom"/>
            <w:gridSpan w:val="6"/>
          </w:tcPr>
          <w:p>
            <w:pPr>
              <w:jc w:val="center"/>
              <w:ind w:left="246"/>
              <w:spacing w:after="0"/>
              <w:rPr>
                <w:sz w:val="20"/>
                <w:szCs w:val="20"/>
                <w:color w:val="auto"/>
              </w:rPr>
            </w:pPr>
            <w:r>
              <w:rPr>
                <w:rFonts w:ascii="Arial" w:cs="Arial" w:eastAsia="Arial" w:hAnsi="Arial"/>
                <w:sz w:val="11"/>
                <w:szCs w:val="11"/>
                <w:b w:val="1"/>
                <w:bCs w:val="1"/>
                <w:color w:val="auto"/>
                <w:w w:val="91"/>
              </w:rPr>
              <w:t>Equity Attributable to Icahn Enterprises</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412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8"/>
        </w:trPr>
        <w:tc>
          <w:tcPr>
            <w:tcW w:w="4120" w:type="dxa"/>
            <w:vAlign w:val="bottom"/>
          </w:tcPr>
          <w:p>
            <w:pPr>
              <w:spacing w:after="0"/>
              <w:rPr>
                <w:sz w:val="11"/>
                <w:szCs w:val="11"/>
                <w:color w:val="auto"/>
              </w:rPr>
            </w:pP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General Partner’s (Deficit)</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0"/>
        </w:trPr>
        <w:tc>
          <w:tcPr>
            <w:tcW w:w="412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b w:val="1"/>
                <w:bCs w:val="1"/>
                <w:color w:val="auto"/>
              </w:rPr>
              <w:t>Equity</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Limited Partners’ Equity</w:t>
            </w:r>
          </w:p>
        </w:tc>
        <w:tc>
          <w:tcPr>
            <w:tcW w:w="120" w:type="dxa"/>
            <w:vAlign w:val="bottom"/>
          </w:tcPr>
          <w:p>
            <w:pPr>
              <w:spacing w:after="0"/>
              <w:rPr>
                <w:sz w:val="12"/>
                <w:szCs w:val="12"/>
                <w:color w:val="auto"/>
              </w:rPr>
            </w:pPr>
          </w:p>
        </w:tc>
        <w:tc>
          <w:tcPr>
            <w:tcW w:w="13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Partners’ Equity</w:t>
            </w:r>
          </w:p>
        </w:tc>
        <w:tc>
          <w:tcPr>
            <w:tcW w:w="80" w:type="dxa"/>
            <w:vAlign w:val="bottom"/>
          </w:tcPr>
          <w:p>
            <w:pPr>
              <w:spacing w:after="0"/>
              <w:rPr>
                <w:sz w:val="12"/>
                <w:szCs w:val="12"/>
                <w:color w:val="auto"/>
              </w:rPr>
            </w:pP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Non-controlling Interests</w:t>
            </w:r>
          </w:p>
        </w:tc>
        <w:tc>
          <w:tcPr>
            <w:tcW w:w="240" w:type="dxa"/>
            <w:vAlign w:val="bottom"/>
          </w:tcPr>
          <w:p>
            <w:pPr>
              <w:spacing w:after="0"/>
              <w:rPr>
                <w:sz w:val="12"/>
                <w:szCs w:val="12"/>
                <w:color w:val="auto"/>
              </w:rPr>
            </w:pPr>
          </w:p>
        </w:tc>
        <w:tc>
          <w:tcPr>
            <w:tcW w:w="112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 Equity</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December 31, 2017</w:t>
            </w:r>
          </w:p>
        </w:tc>
        <w:tc>
          <w:tcPr>
            <w:tcW w:w="960" w:type="dxa"/>
            <w:vAlign w:val="bottom"/>
            <w:tcBorders>
              <w:bottom w:val="single" w:sz="8" w:color="CCEEFF"/>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5,402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5,168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11,486</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Net income</w:t>
            </w:r>
          </w:p>
        </w:tc>
        <w:tc>
          <w:tcPr>
            <w:tcW w:w="960" w:type="dxa"/>
            <w:vAlign w:val="bottom"/>
          </w:tcPr>
          <w:p>
            <w:pPr>
              <w:spacing w:after="0"/>
              <w:rPr>
                <w:sz w:val="21"/>
                <w:szCs w:val="2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11"/>
                <w:szCs w:val="11"/>
                <w:color w:val="auto"/>
              </w:rPr>
              <w:t>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412</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comprehensive income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Distribution payable</w:t>
            </w:r>
          </w:p>
        </w:tc>
        <w:tc>
          <w:tcPr>
            <w:tcW w:w="96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1"/>
                <w:szCs w:val="11"/>
                <w:color w:val="auto"/>
              </w:rPr>
              <w:t>(304)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(310)</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 segment contributions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280</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(31)</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Cumulative effect adjustment from adoption of accounting principle</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Changes in subsidiary equity and other</w:t>
            </w:r>
          </w:p>
        </w:tc>
        <w:tc>
          <w:tcPr>
            <w:tcW w:w="960" w:type="dxa"/>
            <w:vAlign w:val="bottom"/>
          </w:tcPr>
          <w:p>
            <w:pPr>
              <w:spacing w:after="0"/>
              <w:rPr>
                <w:sz w:val="21"/>
                <w:szCs w:val="2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11</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March 31, 2018</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11,862</w:t>
            </w:r>
          </w:p>
        </w:tc>
      </w:tr>
      <w:tr>
        <w:trPr>
          <w:trHeight w:val="228"/>
        </w:trPr>
        <w:tc>
          <w:tcPr>
            <w:tcW w:w="4120" w:type="dxa"/>
            <w:vAlign w:val="bottom"/>
          </w:tcPr>
          <w:p>
            <w:pPr>
              <w:ind w:left="40"/>
              <w:spacing w:after="0"/>
              <w:rPr>
                <w:sz w:val="20"/>
                <w:szCs w:val="20"/>
                <w:color w:val="auto"/>
              </w:rPr>
            </w:pPr>
            <w:r>
              <w:rPr>
                <w:rFonts w:ascii="Arial" w:cs="Arial" w:eastAsia="Arial" w:hAnsi="Arial"/>
                <w:sz w:val="11"/>
                <w:szCs w:val="11"/>
                <w:color w:val="auto"/>
              </w:rPr>
              <w:t>Net income</w:t>
            </w: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296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577</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comprehensive loss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(103)</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Distribution payable reversal</w:t>
            </w:r>
          </w:p>
        </w:tc>
        <w:tc>
          <w:tcPr>
            <w:tcW w:w="960" w:type="dxa"/>
            <w:vAlign w:val="bottom"/>
          </w:tcPr>
          <w:p>
            <w:pPr>
              <w:spacing w:after="0"/>
              <w:rPr>
                <w:sz w:val="21"/>
                <w:szCs w:val="2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304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310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310</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Partnership distributions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(48)</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(47)</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Changes in subsidiary equity and other</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r>
      <w:tr>
        <w:trPr>
          <w:trHeight w:val="228"/>
        </w:trPr>
        <w:tc>
          <w:tcPr>
            <w:tcW w:w="4120" w:type="dxa"/>
            <w:vAlign w:val="bottom"/>
          </w:tcPr>
          <w:p>
            <w:pPr>
              <w:ind w:left="40"/>
              <w:spacing w:after="0"/>
              <w:rPr>
                <w:sz w:val="20"/>
                <w:szCs w:val="20"/>
                <w:color w:val="auto"/>
              </w:rPr>
            </w:pPr>
            <w:r>
              <w:rPr>
                <w:rFonts w:ascii="Arial" w:cs="Arial" w:eastAsia="Arial" w:hAnsi="Arial"/>
                <w:sz w:val="11"/>
                <w:szCs w:val="11"/>
                <w:b w:val="1"/>
                <w:bCs w:val="1"/>
                <w:color w:val="auto"/>
              </w:rPr>
              <w:t>Balance, June 30, 2018</w:t>
            </w: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(228)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5,694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5,466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7,078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12,544</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(158)</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Other comprehensive loss</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(8)</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Partnership distributions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(25)</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9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(31)</w:t>
            </w:r>
          </w:p>
        </w:tc>
      </w:tr>
      <w:tr>
        <w:trPr>
          <w:trHeight w:val="22"/>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Changes in subsidiary equity and other</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w:t>
            </w:r>
          </w:p>
        </w:tc>
      </w:tr>
      <w:tr>
        <w:trPr>
          <w:trHeight w:val="232"/>
        </w:trPr>
        <w:tc>
          <w:tcPr>
            <w:tcW w:w="4120" w:type="dxa"/>
            <w:vAlign w:val="bottom"/>
          </w:tcPr>
          <w:p>
            <w:pPr>
              <w:ind w:left="40"/>
              <w:spacing w:after="0"/>
              <w:rPr>
                <w:sz w:val="20"/>
                <w:szCs w:val="20"/>
                <w:color w:val="auto"/>
              </w:rPr>
            </w:pPr>
            <w:r>
              <w:rPr>
                <w:rFonts w:ascii="Arial" w:cs="Arial" w:eastAsia="Arial" w:hAnsi="Arial"/>
                <w:sz w:val="11"/>
                <w:szCs w:val="11"/>
                <w:b w:val="1"/>
                <w:bCs w:val="1"/>
                <w:color w:val="auto"/>
              </w:rPr>
              <w:t>Balance, September 30, 2018</w:t>
            </w:r>
          </w:p>
        </w:tc>
        <w:tc>
          <w:tcPr>
            <w:tcW w:w="96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(224)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5,870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5,646</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6,775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12,421</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76"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76" w:orient="portrait"/>
          <w:cols w:equalWidth="0" w:num="1">
            <w:col w:w="11420"/>
          </w:cols>
          <w:pgMar w:left="240" w:top="364"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r>
      <w:tr>
        <w:trPr>
          <w:trHeight w:val="264"/>
        </w:trPr>
        <w:tc>
          <w:tcPr>
            <w:tcW w:w="7660" w:type="dxa"/>
            <w:vAlign w:val="bottom"/>
          </w:tcPr>
          <w:p>
            <w:pPr>
              <w:spacing w:after="0"/>
              <w:rPr>
                <w:sz w:val="22"/>
                <w:szCs w:val="22"/>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43"/>
        </w:trPr>
        <w:tc>
          <w:tcPr>
            <w:tcW w:w="7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20" w:type="dxa"/>
            <w:vAlign w:val="bottom"/>
            <w:gridSpan w:val="3"/>
          </w:tcPr>
          <w:p>
            <w:pPr>
              <w:jc w:val="right"/>
              <w:ind w:right="832"/>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1"/>
                <w:szCs w:val="21"/>
                <w:color w:val="auto"/>
              </w:rPr>
            </w:pPr>
          </w:p>
        </w:tc>
      </w:tr>
      <w:tr>
        <w:trPr>
          <w:trHeight w:val="277"/>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220" w:type="dxa"/>
            <w:vAlign w:val="bottom"/>
            <w:shd w:val="clear" w:color="auto" w:fill="CCEEFF"/>
          </w:tcPr>
          <w:p>
            <w:pPr>
              <w:jc w:val="right"/>
              <w:ind w:right="105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831</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(income) from discontinued operations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Net loss (gain) from securities transactions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(858)</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5,538</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to cover securities sold, not yet purchased</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949</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Gain on disposition of assets, net</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383</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Deferred taxes</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w:t>
            </w:r>
          </w:p>
        </w:tc>
      </w:tr>
      <w:tr>
        <w:trPr>
          <w:trHeight w:val="264"/>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832</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2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436</w:t>
            </w:r>
          </w:p>
        </w:tc>
      </w:tr>
      <w:tr>
        <w:trPr>
          <w:trHeight w:val="257"/>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22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331</w:t>
            </w:r>
          </w:p>
        </w:tc>
      </w:tr>
      <w:tr>
        <w:trPr>
          <w:trHeight w:val="257"/>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investments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Proceeds from sale of investments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disposition of businesses and assets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158</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 from continuing operations</w:t>
            </w:r>
          </w:p>
        </w:tc>
        <w:tc>
          <w:tcPr>
            <w:tcW w:w="12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2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(393)</w:t>
            </w:r>
          </w:p>
        </w:tc>
      </w:tr>
      <w:tr>
        <w:trPr>
          <w:trHeight w:val="257"/>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22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631</w:t>
            </w:r>
          </w:p>
        </w:tc>
        <w:tc>
          <w:tcPr>
            <w:tcW w:w="1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r>
      <w:tr>
        <w:trPr>
          <w:trHeight w:val="257"/>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280</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1,757</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Holding Company senior unsecured notes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Proceeds from subsidiary borrowings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1,003</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subsidiary borrowings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 from continuing operations</w:t>
            </w:r>
          </w:p>
        </w:tc>
        <w:tc>
          <w:tcPr>
            <w:tcW w:w="1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81</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2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50"/>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50"/>
        </w:trPr>
        <w:tc>
          <w:tcPr>
            <w:tcW w:w="766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 and restricted cash equivalents</w:t>
            </w:r>
          </w:p>
        </w:tc>
        <w:tc>
          <w:tcPr>
            <w:tcW w:w="1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back change in cash and restricted cash of assets held for sale</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70</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Net decrease in cash and cash equivalents and restricted cash and restricted cash equivalents</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(1,459)</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7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5,338</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1,911</w:t>
            </w:r>
          </w:p>
        </w:tc>
      </w:tr>
      <w:tr>
        <w:trPr>
          <w:trHeight w:val="243"/>
        </w:trPr>
        <w:tc>
          <w:tcPr>
            <w:tcW w:w="7660" w:type="dxa"/>
            <w:vAlign w:val="bottom"/>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220" w:type="dxa"/>
            <w:vAlign w:val="bottom"/>
            <w:tcBorders>
              <w:bottom w:val="single" w:sz="8" w:color="auto"/>
            </w:tcBorders>
          </w:tcPr>
          <w:p>
            <w:pPr>
              <w:jc w:val="right"/>
              <w:ind w:right="105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3,879</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ind w:right="1032"/>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1,761</w:t>
            </w: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287"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287"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620" w:type="dxa"/>
            <w:vAlign w:val="bottom"/>
            <w:gridSpan w:val="4"/>
          </w:tcPr>
          <w:p>
            <w:pPr>
              <w:jc w:val="right"/>
              <w:ind w:right="141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68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Unrealized loss on derivative contracts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23,257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on disposition of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Other income (loss), net</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Other expenses from operations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Restructuring, net</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8,608</w:t>
            </w: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6"/>
              </w:rPr>
              <w:t>(Loss) income from continuing operations before</w:t>
            </w:r>
          </w:p>
        </w:tc>
        <w:tc>
          <w:tcPr>
            <w:tcW w:w="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(loss) income attributable to non-</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3"/>
              </w:rPr>
              <w:t>Net (loss) income attributable to Icahn Enterprises</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Holdings</w:t>
            </w:r>
          </w:p>
        </w:tc>
        <w:tc>
          <w:tcPr>
            <w:tcW w:w="32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3"/>
              </w:rPr>
              <w:t>Net (loss) income attributable to Icahn Enterprises</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from:</w:t>
            </w: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378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3"/>
              </w:rPr>
              <w:t>Net (loss) income attributable to Icahn Enterprises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Holdings allocated to:</w:t>
            </w: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6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net of tax:</w:t>
            </w: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Post-retirement benefits and other</w:t>
            </w: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Less: Comprehensive (loss) income attributable to</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Comprehensive (loss) income attributable to Icahn</w:t>
            </w:r>
          </w:p>
        </w:tc>
        <w:tc>
          <w:tcPr>
            <w:tcW w:w="1260" w:type="dxa"/>
            <w:vAlign w:val="bottom"/>
            <w:tcBorders>
              <w:top w:val="single" w:sz="8" w:color="auto"/>
            </w:tcBorders>
            <w:vMerge w:val="restart"/>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360" w:type="dxa"/>
            <w:vAlign w:val="bottom"/>
            <w:tcBorders>
              <w:top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Enterprises Holdings</w:t>
            </w:r>
          </w:p>
        </w:tc>
        <w:tc>
          <w:tcPr>
            <w:tcW w:w="1260" w:type="dxa"/>
            <w:vAlign w:val="bottom"/>
            <w:tcBorders>
              <w:bottom w:val="single" w:sz="8" w:color="auto"/>
            </w:tcBorders>
            <w:vMerge w:val="continue"/>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Comprehensive (loss) income attributable to Icahn</w:t>
            </w: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Enterprises Holdings allocated to:</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2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1" w:name="page12"/>
    <w:bookmarkEnd w:id="11"/>
    <w:p>
      <w:pPr>
        <w:spacing w:after="0" w:line="2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8"/>
          </w:tcPr>
          <w:p>
            <w:pPr>
              <w:jc w:val="center"/>
              <w:ind w:right="180"/>
              <w:spacing w:after="0"/>
              <w:rPr>
                <w:sz w:val="20"/>
                <w:szCs w:val="20"/>
                <w:color w:val="auto"/>
              </w:rPr>
            </w:pPr>
            <w:r>
              <w:rPr>
                <w:rFonts w:ascii="Arial" w:cs="Arial" w:eastAsia="Arial" w:hAnsi="Arial"/>
                <w:sz w:val="11"/>
                <w:szCs w:val="11"/>
                <w:b w:val="1"/>
                <w:bCs w:val="1"/>
                <w:color w:val="auto"/>
                <w:w w:val="90"/>
              </w:rPr>
              <w:t>Equity Attributable to Icahn Enterprises Holdings</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8"/>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General Partner’s Equity</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Limited</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0"/>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(Deficit)</w:t>
            </w:r>
          </w:p>
        </w:tc>
        <w:tc>
          <w:tcPr>
            <w:tcW w:w="20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Partner’s Equity</w:t>
            </w:r>
          </w:p>
        </w:tc>
        <w:tc>
          <w:tcPr>
            <w:tcW w:w="120" w:type="dxa"/>
            <w:vAlign w:val="bottom"/>
          </w:tcPr>
          <w:p>
            <w:pPr>
              <w:spacing w:after="0"/>
              <w:rPr>
                <w:sz w:val="12"/>
                <w:szCs w:val="12"/>
                <w:color w:val="auto"/>
              </w:rPr>
            </w:pPr>
          </w:p>
        </w:tc>
        <w:tc>
          <w:tcPr>
            <w:tcW w:w="13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Partners’ Equity</w:t>
            </w:r>
          </w:p>
        </w:tc>
        <w:tc>
          <w:tcPr>
            <w:tcW w:w="80" w:type="dxa"/>
            <w:vAlign w:val="bottom"/>
          </w:tcPr>
          <w:p>
            <w:pPr>
              <w:spacing w:after="0"/>
              <w:rPr>
                <w:sz w:val="12"/>
                <w:szCs w:val="12"/>
                <w:color w:val="auto"/>
              </w:rPr>
            </w:pP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Non-controlling Interests</w:t>
            </w:r>
          </w:p>
        </w:tc>
        <w:tc>
          <w:tcPr>
            <w:tcW w:w="240" w:type="dxa"/>
            <w:vAlign w:val="bottom"/>
          </w:tcPr>
          <w:p>
            <w:pPr>
              <w:spacing w:after="0"/>
              <w:rPr>
                <w:sz w:val="12"/>
                <w:szCs w:val="12"/>
                <w:color w:val="auto"/>
              </w:rPr>
            </w:pPr>
          </w:p>
        </w:tc>
        <w:tc>
          <w:tcPr>
            <w:tcW w:w="112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 Equity</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December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7,452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6,588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13,008</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Net loss</w:t>
            </w:r>
          </w:p>
        </w:tc>
        <w:tc>
          <w:tcPr>
            <w:tcW w:w="100" w:type="dxa"/>
            <w:vAlign w:val="bottom"/>
          </w:tcPr>
          <w:p>
            <w:pPr>
              <w:spacing w:after="0"/>
              <w:rPr>
                <w:sz w:val="21"/>
                <w:szCs w:val="2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4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(394)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(664)</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Distribution payable</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(391)</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(30)</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Changes in subsidiary equity and other</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(243)</w:t>
            </w:r>
          </w:p>
        </w:tc>
      </w:tr>
      <w:tr>
        <w:trPr>
          <w:trHeight w:val="228"/>
        </w:trPr>
        <w:tc>
          <w:tcPr>
            <w:tcW w:w="4120" w:type="dxa"/>
            <w:vAlign w:val="bottom"/>
          </w:tcPr>
          <w:p>
            <w:pPr>
              <w:ind w:left="40"/>
              <w:spacing w:after="0"/>
              <w:rPr>
                <w:sz w:val="20"/>
                <w:szCs w:val="20"/>
                <w:color w:val="auto"/>
              </w:rPr>
            </w:pPr>
            <w:r>
              <w:rPr>
                <w:rFonts w:ascii="Arial" w:cs="Arial" w:eastAsia="Arial" w:hAnsi="Arial"/>
                <w:sz w:val="11"/>
                <w:szCs w:val="11"/>
                <w:b w:val="1"/>
                <w:bCs w:val="1"/>
                <w:color w:val="auto"/>
              </w:rPr>
              <w:t>Balance, March 31, 2019</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(871)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6,738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5,867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5,813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11,680</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(596)</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Other comprehensive loss</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12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Distribution payable reversal</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391</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Partnership distributions</w:t>
            </w:r>
          </w:p>
        </w:tc>
        <w:tc>
          <w:tcPr>
            <w:tcW w:w="100" w:type="dxa"/>
            <w:vAlign w:val="bottom"/>
          </w:tcPr>
          <w:p>
            <w:pPr>
              <w:spacing w:after="0"/>
              <w:rPr>
                <w:sz w:val="21"/>
                <w:szCs w:val="2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(55)</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Partnership contribution</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Investment segment contributions</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70</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Changes in subsidiary equity and other</w:t>
            </w:r>
          </w:p>
        </w:tc>
        <w:tc>
          <w:tcPr>
            <w:tcW w:w="100" w:type="dxa"/>
            <w:vAlign w:val="bottom"/>
          </w:tcPr>
          <w:p>
            <w:pPr>
              <w:spacing w:after="0"/>
              <w:rPr>
                <w:sz w:val="21"/>
                <w:szCs w:val="21"/>
                <w:color w:val="auto"/>
              </w:rPr>
            </w:pPr>
          </w:p>
        </w:tc>
        <w:tc>
          <w:tcPr>
            <w:tcW w:w="13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June 30, 2019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6,592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11,475</w:t>
            </w:r>
          </w:p>
        </w:tc>
      </w:tr>
      <w:tr>
        <w:trPr>
          <w:trHeight w:val="228"/>
        </w:trPr>
        <w:tc>
          <w:tcPr>
            <w:tcW w:w="4120" w:type="dxa"/>
            <w:vAlign w:val="bottom"/>
          </w:tcPr>
          <w:p>
            <w:pPr>
              <w:ind w:left="40"/>
              <w:spacing w:after="0"/>
              <w:rPr>
                <w:sz w:val="20"/>
                <w:szCs w:val="20"/>
                <w:color w:val="auto"/>
              </w:rPr>
            </w:pPr>
            <w:r>
              <w:rPr>
                <w:rFonts w:ascii="Arial" w:cs="Arial" w:eastAsia="Arial" w:hAnsi="Arial"/>
                <w:sz w:val="11"/>
                <w:szCs w:val="11"/>
                <w:color w:val="auto"/>
              </w:rPr>
              <w:t>Net loss</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(373)</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Partnership distributions</w:t>
            </w:r>
          </w:p>
        </w:tc>
        <w:tc>
          <w:tcPr>
            <w:tcW w:w="100" w:type="dxa"/>
            <w:vAlign w:val="bottom"/>
          </w:tcPr>
          <w:p>
            <w:pPr>
              <w:spacing w:after="0"/>
              <w:rPr>
                <w:sz w:val="21"/>
                <w:szCs w:val="2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4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(60)</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Partnership contribution</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Investment segment contributions</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150</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Changes in subsidiary equity and other</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120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(34)</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September 30,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(873)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6,503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5,630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5,515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11,145</w:t>
            </w: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8"/>
          </w:tcPr>
          <w:p>
            <w:pPr>
              <w:jc w:val="center"/>
              <w:ind w:right="180"/>
              <w:spacing w:after="0"/>
              <w:rPr>
                <w:sz w:val="20"/>
                <w:szCs w:val="20"/>
                <w:color w:val="auto"/>
              </w:rPr>
            </w:pPr>
            <w:r>
              <w:rPr>
                <w:rFonts w:ascii="Arial" w:cs="Arial" w:eastAsia="Arial" w:hAnsi="Arial"/>
                <w:sz w:val="11"/>
                <w:szCs w:val="11"/>
                <w:b w:val="1"/>
                <w:bCs w:val="1"/>
                <w:color w:val="auto"/>
                <w:w w:val="90"/>
              </w:rPr>
              <w:t>Equity Attributable to Icahn Enterprises Holdings</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8"/>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General Partner’s Equity</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Limited</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0"/>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(Deficit)</w:t>
            </w:r>
          </w:p>
        </w:tc>
        <w:tc>
          <w:tcPr>
            <w:tcW w:w="20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Partner’s Equity</w:t>
            </w:r>
          </w:p>
        </w:tc>
        <w:tc>
          <w:tcPr>
            <w:tcW w:w="120" w:type="dxa"/>
            <w:vAlign w:val="bottom"/>
          </w:tcPr>
          <w:p>
            <w:pPr>
              <w:spacing w:after="0"/>
              <w:rPr>
                <w:sz w:val="12"/>
                <w:szCs w:val="12"/>
                <w:color w:val="auto"/>
              </w:rPr>
            </w:pPr>
          </w:p>
        </w:tc>
        <w:tc>
          <w:tcPr>
            <w:tcW w:w="13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Partners’ Equity</w:t>
            </w:r>
          </w:p>
        </w:tc>
        <w:tc>
          <w:tcPr>
            <w:tcW w:w="80" w:type="dxa"/>
            <w:vAlign w:val="bottom"/>
          </w:tcPr>
          <w:p>
            <w:pPr>
              <w:spacing w:after="0"/>
              <w:rPr>
                <w:sz w:val="12"/>
                <w:szCs w:val="12"/>
                <w:color w:val="auto"/>
              </w:rPr>
            </w:pP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Non-controlling Interests</w:t>
            </w:r>
          </w:p>
        </w:tc>
        <w:tc>
          <w:tcPr>
            <w:tcW w:w="240" w:type="dxa"/>
            <w:vAlign w:val="bottom"/>
          </w:tcPr>
          <w:p>
            <w:pPr>
              <w:spacing w:after="0"/>
              <w:rPr>
                <w:sz w:val="12"/>
                <w:szCs w:val="12"/>
                <w:color w:val="auto"/>
              </w:rPr>
            </w:pPr>
          </w:p>
        </w:tc>
        <w:tc>
          <w:tcPr>
            <w:tcW w:w="112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 Equity</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5,481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5,195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11,513</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Net income</w:t>
            </w:r>
          </w:p>
        </w:tc>
        <w:tc>
          <w:tcPr>
            <w:tcW w:w="100" w:type="dxa"/>
            <w:vAlign w:val="bottom"/>
          </w:tcPr>
          <w:p>
            <w:pPr>
              <w:spacing w:after="0"/>
              <w:rPr>
                <w:sz w:val="21"/>
                <w:szCs w:val="21"/>
                <w:color w:val="auto"/>
              </w:rPr>
            </w:pPr>
          </w:p>
        </w:tc>
        <w:tc>
          <w:tcPr>
            <w:tcW w:w="13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86"/>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11"/>
                <w:szCs w:val="11"/>
                <w:color w:val="auto"/>
              </w:rPr>
              <w:t>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412</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Distribution payable</w:t>
            </w:r>
          </w:p>
        </w:tc>
        <w:tc>
          <w:tcPr>
            <w:tcW w:w="100" w:type="dxa"/>
            <w:vAlign w:val="bottom"/>
          </w:tcPr>
          <w:p>
            <w:pPr>
              <w:spacing w:after="0"/>
              <w:rPr>
                <w:sz w:val="21"/>
                <w:szCs w:val="2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46"/>
              <w:spacing w:after="0"/>
              <w:rPr>
                <w:sz w:val="20"/>
                <w:szCs w:val="20"/>
                <w:color w:val="auto"/>
              </w:rPr>
            </w:pPr>
            <w:r>
              <w:rPr>
                <w:rFonts w:ascii="Arial" w:cs="Arial" w:eastAsia="Arial" w:hAnsi="Arial"/>
                <w:sz w:val="11"/>
                <w:szCs w:val="11"/>
                <w:color w:val="auto"/>
              </w:rPr>
              <w:t>(307)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(310)</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 segment contributions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280</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(31)</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Cumulative effect adjustment from adoption of accounting principle</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Changes in subsidiary equity and other</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12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11</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March 31, 2018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11,889</w:t>
            </w:r>
          </w:p>
        </w:tc>
      </w:tr>
      <w:tr>
        <w:trPr>
          <w:trHeight w:val="228"/>
        </w:trPr>
        <w:tc>
          <w:tcPr>
            <w:tcW w:w="4120" w:type="dxa"/>
            <w:vAlign w:val="bottom"/>
          </w:tcPr>
          <w:p>
            <w:pPr>
              <w:ind w:left="40"/>
              <w:spacing w:after="0"/>
              <w:rPr>
                <w:sz w:val="20"/>
                <w:szCs w:val="20"/>
                <w:color w:val="auto"/>
              </w:rPr>
            </w:pPr>
            <w:r>
              <w:rPr>
                <w:rFonts w:ascii="Arial" w:cs="Arial" w:eastAsia="Arial" w:hAnsi="Arial"/>
                <w:sz w:val="11"/>
                <w:szCs w:val="11"/>
                <w:color w:val="auto"/>
              </w:rPr>
              <w:t>Net loss</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300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578</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(103)</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Distribution payable reversal</w:t>
            </w:r>
          </w:p>
        </w:tc>
        <w:tc>
          <w:tcPr>
            <w:tcW w:w="100" w:type="dxa"/>
            <w:vAlign w:val="bottom"/>
          </w:tcPr>
          <w:p>
            <w:pPr>
              <w:spacing w:after="0"/>
              <w:rPr>
                <w:sz w:val="21"/>
                <w:szCs w:val="21"/>
                <w:color w:val="auto"/>
              </w:rPr>
            </w:pPr>
          </w:p>
        </w:tc>
        <w:tc>
          <w:tcPr>
            <w:tcW w:w="13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86"/>
              <w:spacing w:after="0"/>
              <w:rPr>
                <w:sz w:val="20"/>
                <w:szCs w:val="20"/>
                <w:color w:val="auto"/>
              </w:rPr>
            </w:pPr>
            <w:r>
              <w:rPr>
                <w:rFonts w:ascii="Arial" w:cs="Arial" w:eastAsia="Arial" w:hAnsi="Arial"/>
                <w:sz w:val="11"/>
                <w:szCs w:val="11"/>
                <w:color w:val="auto"/>
              </w:rPr>
              <w:t>307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310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310</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Partnership distributions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(48)</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(47)</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Changes in subsidiary equity and other</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r>
      <w:tr>
        <w:trPr>
          <w:trHeight w:val="228"/>
        </w:trPr>
        <w:tc>
          <w:tcPr>
            <w:tcW w:w="4120" w:type="dxa"/>
            <w:vAlign w:val="bottom"/>
          </w:tcPr>
          <w:p>
            <w:pPr>
              <w:ind w:left="40"/>
              <w:spacing w:after="0"/>
              <w:rPr>
                <w:sz w:val="20"/>
                <w:szCs w:val="20"/>
                <w:color w:val="auto"/>
              </w:rPr>
            </w:pPr>
            <w:r>
              <w:rPr>
                <w:rFonts w:ascii="Arial" w:cs="Arial" w:eastAsia="Arial" w:hAnsi="Arial"/>
                <w:sz w:val="11"/>
                <w:szCs w:val="11"/>
                <w:b w:val="1"/>
                <w:bCs w:val="1"/>
                <w:color w:val="auto"/>
              </w:rPr>
              <w:t>Balance, June 30, 2018</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(283)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5,777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5,494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7,078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12,572</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(loss)</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(158)</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Other comprehensive loss</w:t>
            </w:r>
          </w:p>
        </w:tc>
        <w:tc>
          <w:tcPr>
            <w:tcW w:w="100" w:type="dxa"/>
            <w:vAlign w:val="bottom"/>
          </w:tcPr>
          <w:p>
            <w:pPr>
              <w:spacing w:after="0"/>
              <w:rPr>
                <w:sz w:val="21"/>
                <w:szCs w:val="2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(8)</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Partnership distributions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(25)</w:t>
            </w:r>
          </w:p>
        </w:tc>
      </w:tr>
      <w:tr>
        <w:trPr>
          <w:trHeight w:val="248"/>
        </w:trPr>
        <w:tc>
          <w:tcPr>
            <w:tcW w:w="4120" w:type="dxa"/>
            <w:vAlign w:val="bottom"/>
          </w:tcPr>
          <w:p>
            <w:pPr>
              <w:ind w:left="40"/>
              <w:spacing w:after="0"/>
              <w:rPr>
                <w:sz w:val="20"/>
                <w:szCs w:val="20"/>
                <w:color w:val="auto"/>
              </w:rPr>
            </w:pPr>
            <w:r>
              <w:rPr>
                <w:rFonts w:ascii="Arial" w:cs="Arial" w:eastAsia="Arial" w:hAnsi="Arial"/>
                <w:sz w:val="11"/>
                <w:szCs w:val="11"/>
                <w:color w:val="auto"/>
              </w:rPr>
              <w:t>Dividends and distributions to non-controlling interests in subsidiaries</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(31)</w:t>
            </w:r>
          </w:p>
        </w:tc>
      </w:tr>
      <w:tr>
        <w:trPr>
          <w:trHeight w:val="22"/>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Changes in subsidiary equity and other</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w:t>
            </w:r>
          </w:p>
        </w:tc>
      </w:tr>
      <w:tr>
        <w:trPr>
          <w:trHeight w:val="232"/>
        </w:trPr>
        <w:tc>
          <w:tcPr>
            <w:tcW w:w="4120" w:type="dxa"/>
            <w:vAlign w:val="bottom"/>
          </w:tcPr>
          <w:p>
            <w:pPr>
              <w:ind w:left="40"/>
              <w:spacing w:after="0"/>
              <w:rPr>
                <w:sz w:val="20"/>
                <w:szCs w:val="20"/>
                <w:color w:val="auto"/>
              </w:rPr>
            </w:pPr>
            <w:r>
              <w:rPr>
                <w:rFonts w:ascii="Arial" w:cs="Arial" w:eastAsia="Arial" w:hAnsi="Arial"/>
                <w:sz w:val="11"/>
                <w:szCs w:val="11"/>
                <w:b w:val="1"/>
                <w:bCs w:val="1"/>
                <w:color w:val="auto"/>
              </w:rPr>
              <w:t>Balance, September 30,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(281)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5,955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5,674</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6,775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12,449</w:t>
            </w: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64"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64" w:orient="portrait"/>
          <w:cols w:equalWidth="0" w:num="1">
            <w:col w:w="11420"/>
          </w:cols>
          <w:pgMar w:left="240" w:top="364" w:right="239" w:bottom="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r>
      <w:tr>
        <w:trPr>
          <w:trHeight w:val="264"/>
        </w:trPr>
        <w:tc>
          <w:tcPr>
            <w:tcW w:w="7660" w:type="dxa"/>
            <w:vAlign w:val="bottom"/>
          </w:tcPr>
          <w:p>
            <w:pPr>
              <w:spacing w:after="0"/>
              <w:rPr>
                <w:sz w:val="22"/>
                <w:szCs w:val="22"/>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43"/>
        </w:trPr>
        <w:tc>
          <w:tcPr>
            <w:tcW w:w="7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20" w:type="dxa"/>
            <w:vAlign w:val="bottom"/>
            <w:gridSpan w:val="3"/>
          </w:tcPr>
          <w:p>
            <w:pPr>
              <w:jc w:val="right"/>
              <w:ind w:right="832"/>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1"/>
                <w:szCs w:val="21"/>
                <w:color w:val="auto"/>
              </w:rPr>
            </w:pPr>
          </w:p>
        </w:tc>
      </w:tr>
      <w:tr>
        <w:trPr>
          <w:trHeight w:val="277"/>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220" w:type="dxa"/>
            <w:vAlign w:val="bottom"/>
            <w:shd w:val="clear" w:color="auto" w:fill="CCEEFF"/>
          </w:tcPr>
          <w:p>
            <w:pPr>
              <w:jc w:val="right"/>
              <w:ind w:right="105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832</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(income) from discontinued operations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Net loss (gain) from securities transactions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(858)</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5,538</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to cover securities sold, not yet purchased</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949</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Gain on disposition of assets, net</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383</w:t>
            </w:r>
          </w:p>
        </w:tc>
      </w:tr>
      <w:tr>
        <w:trPr>
          <w:trHeight w:val="263"/>
        </w:trPr>
        <w:tc>
          <w:tcPr>
            <w:tcW w:w="7660" w:type="dxa"/>
            <w:vAlign w:val="bottom"/>
          </w:tcPr>
          <w:p>
            <w:pPr>
              <w:ind w:left="120"/>
              <w:spacing w:after="0"/>
              <w:rPr>
                <w:sz w:val="20"/>
                <w:szCs w:val="20"/>
                <w:color w:val="auto"/>
              </w:rPr>
            </w:pPr>
            <w:r>
              <w:rPr>
                <w:rFonts w:ascii="Arial" w:cs="Arial" w:eastAsia="Arial" w:hAnsi="Arial"/>
                <w:sz w:val="14"/>
                <w:szCs w:val="14"/>
                <w:color w:val="auto"/>
              </w:rPr>
              <w:t>Deferred taxes</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77"/>
        </w:trPr>
        <w:tc>
          <w:tcPr>
            <w:tcW w:w="7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w:t>
            </w:r>
          </w:p>
        </w:tc>
      </w:tr>
      <w:tr>
        <w:trPr>
          <w:trHeight w:val="264"/>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832</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2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436</w:t>
            </w:r>
          </w:p>
        </w:tc>
      </w:tr>
      <w:tr>
        <w:trPr>
          <w:trHeight w:val="257"/>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22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331</w:t>
            </w:r>
          </w:p>
        </w:tc>
      </w:tr>
      <w:tr>
        <w:trPr>
          <w:trHeight w:val="257"/>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investments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Proceeds from sale of investments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disposition of businesses and assets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158</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 from continuing operations</w:t>
            </w:r>
          </w:p>
        </w:tc>
        <w:tc>
          <w:tcPr>
            <w:tcW w:w="12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2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(393)</w:t>
            </w:r>
          </w:p>
        </w:tc>
      </w:tr>
      <w:tr>
        <w:trPr>
          <w:trHeight w:val="257"/>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22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631</w:t>
            </w:r>
          </w:p>
        </w:tc>
        <w:tc>
          <w:tcPr>
            <w:tcW w:w="1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r>
      <w:tr>
        <w:trPr>
          <w:trHeight w:val="257"/>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280</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1,757</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Holding Company senior unsecured notes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color w:val="auto"/>
              </w:rPr>
              <w:t>Proceeds from subsidiary borrowings</w:t>
            </w:r>
          </w:p>
        </w:tc>
        <w:tc>
          <w:tcPr>
            <w:tcW w:w="1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1,003</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subsidiary borrowings</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 from continuing operations</w:t>
            </w:r>
          </w:p>
        </w:tc>
        <w:tc>
          <w:tcPr>
            <w:tcW w:w="1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81</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2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50"/>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50"/>
        </w:trPr>
        <w:tc>
          <w:tcPr>
            <w:tcW w:w="766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 and restricted cash equivalents</w:t>
            </w:r>
          </w:p>
        </w:tc>
        <w:tc>
          <w:tcPr>
            <w:tcW w:w="1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back change in cash and restricted cash of assets held for sale</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70</w:t>
            </w:r>
          </w:p>
        </w:tc>
      </w:tr>
      <w:tr>
        <w:trPr>
          <w:trHeight w:val="263"/>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Net decrease in cash and cash equivalents and restricted cash and restricted cash equivalents</w:t>
            </w:r>
          </w:p>
        </w:tc>
        <w:tc>
          <w:tcPr>
            <w:tcW w:w="1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(1,459)</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7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5,338</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1,911</w:t>
            </w:r>
          </w:p>
        </w:tc>
      </w:tr>
      <w:tr>
        <w:trPr>
          <w:trHeight w:val="243"/>
        </w:trPr>
        <w:tc>
          <w:tcPr>
            <w:tcW w:w="7660" w:type="dxa"/>
            <w:vAlign w:val="bottom"/>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220" w:type="dxa"/>
            <w:vAlign w:val="bottom"/>
            <w:tcBorders>
              <w:bottom w:val="single" w:sz="8" w:color="auto"/>
            </w:tcBorders>
          </w:tcPr>
          <w:p>
            <w:pPr>
              <w:jc w:val="right"/>
              <w:ind w:right="105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3,879</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ind w:right="1032"/>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1,761</w:t>
            </w: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39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393"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2019.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92.0% of Icahn Enterprises’ outstanding depositary units as of September 30,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We are a diversified holding company owning subsidiaries currently engaged in the following continuing operating businesses: </w:t>
      </w:r>
      <w:r>
        <w:rPr>
          <w:rFonts w:ascii="Arial" w:cs="Arial" w:eastAsia="Arial" w:hAnsi="Arial"/>
          <w:sz w:val="16"/>
          <w:szCs w:val="16"/>
          <w:color w:val="231F20"/>
        </w:rPr>
        <w:t>Investment, Energy,</w:t>
      </w:r>
      <w:r>
        <w:rPr>
          <w:rFonts w:ascii="Arial" w:cs="Arial" w:eastAsia="Arial" w:hAnsi="Arial"/>
          <w:sz w:val="16"/>
          <w:szCs w:val="16"/>
          <w:color w:val="auto"/>
        </w:rPr>
        <w:t xml:space="preserve"> </w:t>
      </w:r>
      <w:r>
        <w:rPr>
          <w:rFonts w:ascii="Arial" w:cs="Arial" w:eastAsia="Arial" w:hAnsi="Arial"/>
          <w:sz w:val="16"/>
          <w:szCs w:val="16"/>
          <w:color w:val="231F20"/>
        </w:rPr>
        <w:t xml:space="preserve">Automotive, Food Packaging, Metals, Real Estate and Home Fashion. </w:t>
      </w:r>
      <w:r>
        <w:rPr>
          <w:rFonts w:ascii="Arial" w:cs="Arial" w:eastAsia="Arial" w:hAnsi="Arial"/>
          <w:sz w:val="16"/>
          <w:szCs w:val="16"/>
          <w:color w:val="000000"/>
        </w:rPr>
        <w:t>We also report the results of our Holding Company, which includes the results of</w:t>
      </w:r>
      <w:r>
        <w:rPr>
          <w:rFonts w:ascii="Arial" w:cs="Arial" w:eastAsia="Arial" w:hAnsi="Arial"/>
          <w:sz w:val="16"/>
          <w:szCs w:val="16"/>
          <w:color w:val="231F20"/>
        </w:rPr>
        <w:t xml:space="preserve"> </w:t>
      </w:r>
      <w:r>
        <w:rPr>
          <w:rFonts w:ascii="Arial" w:cs="Arial" w:eastAsia="Arial" w:hAnsi="Arial"/>
          <w:sz w:val="16"/>
          <w:szCs w:val="16"/>
          <w:color w:val="000000"/>
        </w:rPr>
        <w:t>certain subsidiaries of Icahn Enterprises and Icahn Enterprises Holdings (unless otherwise noted), and investment activity and expenses associated with our Holding Company. Our historical results also report the results of our Mining segment, until sold on August 1, 2019, and our Railcar segment through the date we sold our last remaining railcars on lease, which occurred in the third quarter of 2018. See Note 12, “Segment Reporting,” for a reconciliation of each of our reporting segment’s results of operations to our consolidated results. Certain additional information with respect to our segments is discussed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 office services to the Investment Funds but do not provide such services to any other entities, individuals or accounts. We and certain of Mr. Icahn’s wholly owned affiliates are the only investors in the Investment Funds. Interests in the Investment Funds are not offered to outside investors. We had interests in the Investment Funds with a fair value of approximately $4.3 billion and $5.1 billion as of September 30, 2019 and December 31, 2018,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As of September 30, 2019, we owned approximately 70.8% of the total outstanding common stock of CVR Energy.</w:t>
      </w:r>
    </w:p>
    <w:p>
      <w:pPr>
        <w:spacing w:after="0" w:line="8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On August 1, 2018, CVR Energy completed an exchange offer whereby CVR Refining’s public unitholders tendered a total of 21,625,106 common units of CVR Refining in exchange for 13,699,549 shares of CVR Energy common stock. In connection with this transaction, our equity attributable to Icahn Enterprises and Icahn Enterprises Holdings increased by $99 million.</w:t>
      </w:r>
    </w:p>
    <w:p>
      <w:pPr>
        <w:spacing w:after="0" w:line="73"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On January 29, 2019, CVR Energy, pursuant to the exercise of its right to purchase all of the issued and outstanding common units in CVR Refining, purchased the remaining common units of CVR Refining not already owned by CVR Energy, including the purchase of CVR Refining common units owned directly by us. Prior to this, CVR Energy owned approximately 80.6% of the common units of CVR Refining and we directly owned approximately 3.9%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3"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exchange. The remaining common units of CVR Refining acquired in this transaction were purchased for $241 million, excluding the amount paid by CVR Energy to us for the common units of CVR Refining directly owned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We conduct our Automotive segment through our wholly 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As a result, the board of directors of Icahn Automotive has approved the separation of its aftermarket parts and automotive services businesses into two independent operating companies, each with its own Chief Executive Officer and management teams, and both of which are supported by a central shared service group. Our Automotive segment also includes our separate equity method investment in 767 Auto Leasing LLC (“767 Leasing”), a joint venture created by us to purchase vehicles for lease, as described further in Note 3, “Related Party Transactions.” Although 767 Leasing is separate from Icahn Automotive, we include it as a component of our Automotive segment due to the nature of the joint venture activities.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We conduct our Food Packaging segment through our majority owned subsidiary, Viskase Companies, Inc. (“Viskase”). Viskase is a producer of cellulosic, fibrous and plastic casings used to prepare and package processed meat products.</w:t>
      </w:r>
    </w:p>
    <w:p>
      <w:pPr>
        <w:spacing w:after="0" w:line="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January 2018, Viskase received $50 million in connection with its common stock rights offering. In connection with this rights offering, we fully exercised our subscription rights under our basic and over subscription privileges to purchase additional shares of Viskase common stock, thereby increasing our ownership of Viskase from 74.6% to 78.6%, for an aggregate additional investment of $44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conduct our Metals segment through our wholly-owned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7"/>
          <w:szCs w:val="17"/>
          <w:i w:val="1"/>
          <w:i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Real Estate operations consist primarily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In addition, our Real Estate operations also includes a hotel, timeshare and casino resort property in Aruba as well as a casino property in Atlantic City, New Jersey, which ceased operations in 2014 prior to our obtaining control of the property.</w:t>
      </w:r>
    </w:p>
    <w:p>
      <w:pPr>
        <w:spacing w:after="0" w:line="70"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In August 2018, our Real Estate segment sold a commercial rental property for $139 million, resulting in a pretax gain on disposition of assets of $67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We conduct our Home Fashion segment through our wholly owned subsidiary, WestPoint Home LLC (“WPH”). WPH’s business consists of manufacturing, sourcing, marketing, distributing and selling home fashion consumer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We conducted our Mining segment through our majority owned subsidiary, Ferrous Resources Ltd. (“Ferrous Resources”). Ferrous Resources acquired certain rights to iron ore mineral resources in Brazil and develops mining operations and related infrastructure to produce and sell iron ore products to the global steel industry. Prior to the sale of Ferrous Resources, as discussed below, we owned approximately 77.2% of its total outstanding common stock.</w:t>
      </w:r>
    </w:p>
    <w:p>
      <w:pPr>
        <w:spacing w:after="0" w:line="39" w:lineRule="exact"/>
        <w:rPr>
          <w:sz w:val="20"/>
          <w:szCs w:val="20"/>
          <w:color w:val="auto"/>
        </w:rPr>
      </w:pPr>
    </w:p>
    <w:p>
      <w:pPr>
        <w:ind w:right="500" w:firstLine="378"/>
        <w:spacing w:after="0" w:line="264" w:lineRule="auto"/>
        <w:rPr>
          <w:sz w:val="20"/>
          <w:szCs w:val="20"/>
          <w:color w:val="auto"/>
        </w:rPr>
      </w:pPr>
      <w:r>
        <w:rPr>
          <w:rFonts w:ascii="Arial" w:cs="Arial" w:eastAsia="Arial" w:hAnsi="Arial"/>
          <w:sz w:val="18"/>
          <w:szCs w:val="18"/>
          <w:color w:val="auto"/>
        </w:rPr>
        <w:t>On December 5, 2018, we announced a definitive agreement to sell Ferrous Resources for total consideration of $550 million (including repaid indebtedness). This transaction met all the criteria to be classified as held for sale on December 5, 2018 upon execution of the definitive agreement. On August 1, 2019, we closed on the sale of Ferrous Resources. Our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53"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proportionate share of the cash proceeds from the sale, net of adjustments, was $451 million. As a result of the sale of Ferrous Resources, our Mining segment recorded a pretax gain on disposition of assets of $252 million in the third quarter of 2019, subject to additional post-closing adjustments. Subsequent to the sale, we no longer operate an active Mining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We conducted our Railcar segment through our wholly owned subsidiary, American Railcar Leasing, LLC (“ARL”). ARL operated a leasing business consisting of purchased railcars leased to third parties under operating leases. During 2018, we sold all remaining railcars of ARL not previously sold and as a result, we no longer operate an active Railcar segment. For the nine months ended September 30, 2018, we had proceeds of $17 million in connection with the sale of railcars and we recorded a pretax gain on disposition of assets of $5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Discontinued Operating Businesses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report discontinued operations previously reported in our Automotive and Railcar segments and former Gaming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discontinued Automotive operations consists of our previously wholly owned subsidiary, Federal-Mogul LLC (“Federal-Mogul”).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discontinued Gaming operations consists of our previous majority ownership in Tropicana Entertainment Inc. (“Tropicana”).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discontinued Railcar operations consists of our previous majority ownership in American Railcar Industries, Inc. (“ARI”).</w:t>
      </w:r>
    </w:p>
    <w:p>
      <w:pPr>
        <w:spacing w:after="0" w:line="117" w:lineRule="exact"/>
        <w:rPr>
          <w:sz w:val="20"/>
          <w:szCs w:val="20"/>
          <w:color w:val="auto"/>
        </w:rPr>
      </w:pPr>
    </w:p>
    <w:p>
      <w:pPr>
        <w:ind w:right="580" w:firstLine="405"/>
        <w:spacing w:after="0" w:line="342" w:lineRule="auto"/>
        <w:rPr>
          <w:sz w:val="20"/>
          <w:szCs w:val="20"/>
          <w:color w:val="auto"/>
        </w:rPr>
      </w:pPr>
      <w:r>
        <w:rPr>
          <w:rFonts w:ascii="Arial" w:cs="Arial" w:eastAsia="Arial" w:hAnsi="Arial"/>
          <w:sz w:val="16"/>
          <w:szCs w:val="16"/>
          <w:color w:val="auto"/>
        </w:rPr>
        <w:t>Each of these businesses were sold in the fourth quarter of 2018 and are reflected in discontinued operations for the three and nine months ended September 30, 2018. See Note 13, “Discontinued Operations,” for additional information with respect to our discontinued operating businesses.</w:t>
      </w:r>
    </w:p>
    <w:p>
      <w:pPr>
        <w:spacing w:after="0" w:line="22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8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recent sales of Federal-Mogul, Tropicana and ARI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70"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2018.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3"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As of September 30, 2019, 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w:t>
      </w:r>
    </w:p>
    <w:p>
      <w:pPr>
        <w:ind w:right="80" w:firstLine="8"/>
        <w:spacing w:after="0" w:line="253"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83"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Except for our Investment segment, for equity investments in which we own 50% or less but greater than 20%, we generally account for such investments using the equity method. All other equity investments are accounted for at fair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Effective January 1, 2019, CVR Energy revised its accounting policy method for the costs of planned major maintenance activities (“turnarounds”) specific to its petroleum business from being expensed as incurred (the direct expensing method) to the deferral method. Turnarounds are planned shutdowns of refinery processing units for significant overhaul and refurbishment. Under the deferral method, the costs of turnarounds are deferred and amortized on a straight-line basis over a four-year period, which represents the estimated time until the next turnaround occurs. The new method of accounting for turnarounds is considered preferable as it is more consistent with the accounting policy of CVR Energy’s peer companies and better reflects the economic substance of the benefits earned from turnaround expenditures. The comparative condensed consolidated balance sheet as of December 31, 2018, the condensed consolidated statements of operations for the three and nine months ended September 30, 2018 and the condensed consolidated statements of cash flows for the nine months ended September 30, 2018 have been retrospectively adjusted to apply the new accounting method. These turnaround costs, and related accumulated amortization, are included within other assets in the condensed consolidated balance sheets. The amortization expense related to turnaround costs is included in cost of goods sold in the condensed consolidated statement of operations. CVR Partners will continue to follow the direct expensing method, therefore this change had no impact on its current or comparative condensed consolidated financial statements.</w:t>
      </w:r>
    </w:p>
    <w:p>
      <w:pPr>
        <w:spacing w:after="0" w:line="6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As a result of this accounting change, our Energy segment increased other assets by $108 million and decreased property, plant and equipment, net by $15 million as of December 31, 2018. In addition, our Energy segment increased deferred tax liability by $18 million and total equity by $75 million, including $31 million attributable to Icahn Enterprises and Icahn Enterprises Holdings as of December 31, 2018. As of December 31, 2017, our Energy segment increased total equity by $118 million, including $62 million attributable to Icahn Enterprises and Icahn Enterprises Holdings. For the three and nine months ended September 30, 2018, the effect on net income for our Energy segment as a result of this accounting change was a reduction to net income of $11 million and $33 million, respectively, including a reduction of $8 million and $20 million, respectively, attributable to Icahn Enterprises and Icahn Enterprises Holdings. The impact on net income was comprised of a $14 million increase to cost of goods sold and a $3 million decrease to income tax expense for the three months ended September 30, 2018. For the nine months ended September 30, 2018, the impact on net income was comprised of a $41 million increase to cost of goods sold and a $8 million decrease to 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Certain other reclassifications have been made within the condensed consolidated statements of operations to include gains and losses on derivatives within cost of goods sold for our Energy segment. Prior year balances have been reclassified to conform to the current year presentation. The reclassification of gain on derivatives from other income, net to costs of goods sold was $5 million and $75 million for the three and nine months ended September 30, 2018, respectively. These reclassifications did not have an impact on previously reported net income.</w:t>
      </w:r>
    </w:p>
    <w:p>
      <w:pPr>
        <w:spacing w:after="0" w:line="6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have also recast certain historical results for discontinued operations, which we disclose in Note 13, “Discontinued Operations.” In addition, certain other reclassifications from the prior year presentation have been made to conform to the current year presentation, which did not have an impact on previously reported net income and equity and are not deemed material.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53"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described above, we operated businesses classified as discontinued operations, each of which were sold in the fourth quarter of 2018, and which are reported in our condensed consolidated statements of operations for the three and nine months ended September 30, 2018 as discontinued operations. During the second quarter of 2019, certain pending adjustments relating to the sale of Federal-Mogul were finalized, resulting in an adjustment to income tax expense from discontinued operations of $24 million with an offsetting adjustment to deferred liability. In accordance with U.S. GAAP, such adjustment is recorded as discontinued operations in the second quarter of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following is a discussion of variable interest entities in which we are deemed to be the primary beneficiary and in which we therefore consolidate. In addition, as discussed in Note 3, “Related Party Transactions,” we have a variable interest in an entity in which we are not the primary beneficiary and therefore we do not consolidate.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Refining (prior to January 2019), CVR Partners and Viskase’s joint venture.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CVR Refining (prior to January 2019)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(prior to January 2019) and CVR Partners. Beginning in January 2019, CVR Refining is no longer considered a VIE as it is a wholly-owned subsidiary of CVR Energy.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53"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includes balances of assets and liabilities of VIE’s included in Icahn Enterprises Holdings’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b w:val="1"/>
                <w:bCs w:val="1"/>
                <w:color w:val="auto"/>
                <w:w w:val="89"/>
              </w:rPr>
              <w:t>September 30, 2019</w:t>
            </w:r>
          </w:p>
        </w:tc>
        <w:tc>
          <w:tcPr>
            <w:tcW w:w="2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3"/>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20" w:type="dxa"/>
            <w:vAlign w:val="bottom"/>
            <w:gridSpan w:val="3"/>
          </w:tcPr>
          <w:p>
            <w:pPr>
              <w:jc w:val="right"/>
              <w:ind w:right="1410"/>
              <w:spacing w:after="0"/>
              <w:rPr>
                <w:sz w:val="20"/>
                <w:szCs w:val="20"/>
                <w:color w:val="auto"/>
              </w:rPr>
            </w:pPr>
            <w:r>
              <w:rPr>
                <w:rFonts w:ascii="Arial" w:cs="Arial" w:eastAsia="Arial" w:hAnsi="Arial"/>
                <w:sz w:val="14"/>
                <w:szCs w:val="14"/>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4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2,648</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8,718</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14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3,012</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930</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1,481</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4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1,167</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7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2019 was approximately $7.4 billion and $7.7 billion, respectively. The carrying value and estimated fair value of our long-term debt as of December 31, 2018 was approximately $7.3 billion and $7.3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117"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Our cash held at consolidated affiliated partnerships balance was $286 million and $2,648 million as of September 30, 2019 and December 31, 2018,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pacing w:after="0" w:line="3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restricted cash balance was $327 million and $34 million as of September 30, 2019 and December 31, 2018, respectively. Restricted cash primarily relates to our Investment segment’s cash pledged and held for margin requirements on derivative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 xml:space="preserve">As discussed below, on January 1, 2019, we adopted Financial Accounting Standards Board (“FASB”)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 using the modified retrospective approach, which does not require the application of this Topic to periods prior to January 1, 2019. With the exception of the requirement to recognize right-of-use assets on the balance sheet for operating leases in which we are the lessee beginning in 2019, our accounting policy with respect to leases is not significantly different from prior periods and therefore, our prior period accounting policy is not separately disclosed. Financing leases under current U.S. GAAP are classified and accounted for in substantially the same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3"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manner as capital leases under prior U.S. GAAP and therefore, we do not distinguish between financing leases and capital leases unless the context requires.</w:t>
      </w:r>
    </w:p>
    <w:p>
      <w:pPr>
        <w:spacing w:after="0" w:line="140" w:lineRule="exact"/>
        <w:rPr>
          <w:sz w:val="20"/>
          <w:szCs w:val="20"/>
          <w:color w:val="auto"/>
        </w:rPr>
      </w:pPr>
    </w:p>
    <w:p>
      <w:pPr>
        <w:jc w:val="both"/>
        <w:ind w:right="180" w:firstLine="405"/>
        <w:spacing w:after="0" w:line="279" w:lineRule="auto"/>
        <w:rPr>
          <w:sz w:val="20"/>
          <w:szCs w:val="20"/>
          <w:color w:val="auto"/>
        </w:rPr>
      </w:pPr>
      <w:r>
        <w:rPr>
          <w:rFonts w:ascii="Arial" w:cs="Arial" w:eastAsia="Arial" w:hAnsi="Arial"/>
          <w:sz w:val="17"/>
          <w:szCs w:val="17"/>
          <w:color w:val="auto"/>
        </w:rPr>
        <w:t>The determination of whether an arrangement is or contains a lease occurs at inception. We account for arrangements that contain lease and non-lease components as a single lease component for all classes of underlying assets. Leases in which we are the lessor are primarily within our Real Estate segment. Refer to Real Estate below for further discussion. In addition, all of our businesses, including our Real Estate segment, enter into lease arrangements as the lessee. The following is our accounting policy for leases in which we are the lessee.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Segments and Holding Company</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 leases with an initial lease term in excess of twelve months, we record a right-of-use asset with a corresponding liability in the condensed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the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 determination of our right-of-use assets and lease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spacing w:after="0" w:line="61" w:lineRule="exact"/>
        <w:rPr>
          <w:sz w:val="20"/>
          <w:szCs w:val="20"/>
          <w:color w:val="auto"/>
        </w:rPr>
      </w:pPr>
    </w:p>
    <w:p>
      <w:pPr>
        <w:jc w:val="both"/>
        <w:ind w:right="240" w:firstLine="405"/>
        <w:spacing w:after="0" w:line="312" w:lineRule="auto"/>
        <w:rPr>
          <w:sz w:val="20"/>
          <w:szCs w:val="20"/>
          <w:color w:val="auto"/>
        </w:rPr>
      </w:pPr>
      <w:r>
        <w:rPr>
          <w:rFonts w:ascii="Arial" w:cs="Arial" w:eastAsia="Arial" w:hAnsi="Arial"/>
          <w:sz w:val="16"/>
          <w:szCs w:val="16"/>
          <w:color w:val="auto"/>
        </w:rPr>
        <w:t>Operating lease expense is recorded as a single expense recognized on a straight-line basis over the lease term. Operating lease right-of-use assets are amortized for the difference between the straight-line expense less the accretion of interest of the related lease liability. Financing lease expense consists of interest expense on the financing lease liability as well as amortization of the right-of-use financing lease assets on a straight-line basis over the lease term.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240" w:firstLine="405"/>
        <w:spacing w:after="0" w:line="272" w:lineRule="auto"/>
        <w:rPr>
          <w:sz w:val="20"/>
          <w:szCs w:val="20"/>
          <w:color w:val="auto"/>
        </w:rPr>
      </w:pPr>
      <w:r>
        <w:rPr>
          <w:rFonts w:ascii="Arial" w:cs="Arial" w:eastAsia="Arial" w:hAnsi="Arial"/>
          <w:sz w:val="17"/>
          <w:szCs w:val="17"/>
          <w:color w:val="auto"/>
        </w:rPr>
        <w:t>Leases are classified as either operating, sales-type or direct financing by the lessor. Our Real Estate segment’s net lease portfolio consists of commercial real estate leased to others under long-term operating leases and we account for these leases in accordance with FASB ASC Topic 842. These assets leased to others are recorded at cost, net of accumulated depreciation, and are included in property, plant and equipment, net on our condensed consolidated balance sheets. 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condensed consolidated statements of cash flows. Our Real Estate segment’s accounting policy for assets leased to others is not significantly different from prior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in accordance with U.S. GAAP. Such revenue from contracts with customers are included in net sales and other revenues from operations in the condensed consolidated statements of operations, however, our Real Estate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3"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$16 million and $69 million as of September 30, 2019 and December 31, 2018, respectively. For the nine months ended September 30, 2019 and 2018, our Energy segment recorded revenue of $68 million and $34 million, respectively, with respect to deferred revenue outstanding as of the beginning of each respective year.</w:t>
      </w:r>
    </w:p>
    <w:p>
      <w:pPr>
        <w:spacing w:after="0" w:line="59"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As of September 30, 2019, our Energy segment had $7 million of remaining performance obligations for contracts with an original expected duration of more than one year. Our Energy segment expects to recognize approximately $1 million of these performance obligations as revenue by the end of 2019 and the remaining balance thereafter.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Automotive segment has deferred revenue with respect to extended warranty plans of $42 million and $42 million as of September 30, 2019 and December 31, 2018, respectively, which are included in accrued expenses and other liabilities on the condensed consolidated balance sheets. For the nine months ended September 30, 2019 and 2018, our Automotive segment recorded revenue of $17 million and $18 million, respectively, with respect to deferred revenue outstanding as of the beginning of each respective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Standards Updates</w:t>
      </w:r>
    </w:p>
    <w:p>
      <w:pPr>
        <w:spacing w:after="0" w:line="117"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This ASU requires the recognition of right-of-use assets and lease liabilities by lessees for those leases classified as operating leases under previous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addition, among other changes to the accounting for leases, this ASU retains the distinction between finance leases and operating leases. The classification criteria for distinguishing between financing leases and operating leases are substantially similar to the classification criteria for distinguishing between capital leases and operating leases under previous guidance. Furthermore, quantitative and qualitative disclosures, including disclosures regarding significant judgments made by management, will be required. This ASU is effective for fiscal years beginning after December 15, 2018, including interim periods within those fiscal years. The amendments in this ASU should be applied using a modified retrospective approach. In addition, in July 2018, the FASB issued ASU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provides an additional (and optional) transition method to adopt the new leases standard. We adopted the new leases standards using the new transition method option effective January 1, 2019, which required a cumulative-effect adjustment recognized in equity at such date. No adjustment to prior period presentation and disclosure were required. The most significant impact related to the recognition of right-of-use assets and lease liabilities in the condensed consolidated balance sheets for long-term operating leases with the significant majority of the impact within our Automotive segment, and to a lesser extent, our Energy and Food Packaging segments. Our Automotive segment has identified approximately 2,300 leases, primarily for real estate (operating leases) and vehicles (financing leases) and recognized operating lease right-of-use assets of $589 million (which includes the impact of above market leases, net of below market leases) and related liabilities of $621 million as of January 1, 2019 as well as additional financing lease right-of-use assets and obligations of $20 million and $22 million, respectively. Our Energy segment recognized operating lease right-of-use assets and liabilities of $56 million and additional financing lease right-of-use assets and obligations of $26 million and $23 million, respectively, as of January 1, 2019. Our Food Packaging segment recognized operating lease right-of-use assets and liabilities of $35 million and $39 million, respectively, as of January 1, 2019. The aggregate impact for all other segments and our Holding Company was the recognition of operating lease right-of-use assets and liabilities of $28 million as of January 1,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Standards Updates</w:t>
      </w:r>
    </w:p>
    <w:p>
      <w:pPr>
        <w:spacing w:after="0" w:line="117"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 xml:space="preserve">In March 2017, the FASB issued ASU 2017-08, </w:t>
      </w:r>
      <w:r>
        <w:rPr>
          <w:rFonts w:ascii="Arial" w:cs="Arial" w:eastAsia="Arial" w:hAnsi="Arial"/>
          <w:sz w:val="18"/>
          <w:szCs w:val="18"/>
          <w:i w:val="1"/>
          <w:iCs w:val="1"/>
          <w:color w:val="auto"/>
        </w:rPr>
        <w:t>Premium Amortization on Purchased Callable Debt Securities</w:t>
      </w:r>
      <w:r>
        <w:rPr>
          <w:rFonts w:ascii="Arial" w:cs="Arial" w:eastAsia="Arial" w:hAnsi="Arial"/>
          <w:sz w:val="18"/>
          <w:szCs w:val="18"/>
          <w:color w:val="auto"/>
        </w:rPr>
        <w:t xml:space="preserve">, which amends FASB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 This ASU amends the amortization period for certain purchased callable debt securities held at a premium by shortening the amortization period for the premium to the earliest call date. This ASU is effective for fiscal years beginning after December 15, 2018, and interim periods within those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53"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fiscal years. We have adopted this standard on January 1, 2019 using the modified retrospective application method. The adoption of this standard did not have a significant impact on our condensed consolidated financial statements.</w:t>
      </w:r>
    </w:p>
    <w:p>
      <w:pPr>
        <w:spacing w:after="0" w:line="62"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which amends FASB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ASU includes amendments to existing guidance to better align an entity’s risk management activities and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We have adopted this standard on January 1, 2019. The adoption of this standard did not have a significant impact on our condensed consolidated financial statements.</w:t>
      </w:r>
    </w:p>
    <w:p>
      <w:pPr>
        <w:spacing w:after="0" w:line="5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which amends FASB ASC Topic 220,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This ASU allows a reclassification out of accumulated other comprehensive loss within equity for standard tax effects resulting from the Tax Cuts and Jobs Act and consequently, eliminates the stranded tax effects resulting from the Tax Cuts and Jobs Act. This ASU is effective for fiscal years beginning after December 15, 2018, and interim periods within those fiscal years. We have adopted this standard effective on January 1, 2019. See Note 15, “Changes in Accumulated Other Comprehensive Loss,” for the impact on our accumulated other comprehensive loss, which is attributable to our Food Packaging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which amends FASB ASC Topic 326,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w:t>
      </w:r>
      <w:r>
        <w:rPr>
          <w:rFonts w:ascii="Arial" w:cs="Arial" w:eastAsia="Arial" w:hAnsi="Arial"/>
          <w:sz w:val="17"/>
          <w:szCs w:val="17"/>
          <w:color w:val="auto"/>
        </w:rPr>
        <w:t>In addition, in May 2019, the FASB issued ASU 2019-05,</w:t>
      </w:r>
      <w:r>
        <w:rPr>
          <w:rFonts w:ascii="Arial" w:cs="Arial" w:eastAsia="Arial" w:hAnsi="Arial"/>
          <w:sz w:val="17"/>
          <w:szCs w:val="17"/>
          <w:i w:val="1"/>
          <w:iCs w:val="1"/>
          <w:color w:val="auto"/>
        </w:rPr>
        <w:t xml:space="preserve"> Targeted Transition Relief</w:t>
      </w:r>
      <w:r>
        <w:rPr>
          <w:rFonts w:ascii="Arial" w:cs="Arial" w:eastAsia="Arial" w:hAnsi="Arial"/>
          <w:sz w:val="17"/>
          <w:szCs w:val="17"/>
          <w:color w:val="auto"/>
        </w:rPr>
        <w:t>, which updates FASB ASU 2016-13. These</w:t>
      </w:r>
      <w:r>
        <w:rPr>
          <w:rFonts w:ascii="Arial" w:cs="Arial" w:eastAsia="Arial" w:hAnsi="Arial"/>
          <w:sz w:val="17"/>
          <w:szCs w:val="17"/>
          <w:i w:val="1"/>
          <w:iCs w:val="1"/>
          <w:color w:val="auto"/>
        </w:rPr>
        <w:t xml:space="preserve"> </w:t>
      </w:r>
      <w:r>
        <w:rPr>
          <w:rFonts w:ascii="Arial" w:cs="Arial" w:eastAsia="Arial" w:hAnsi="Arial"/>
          <w:sz w:val="17"/>
          <w:szCs w:val="17"/>
          <w:color w:val="auto"/>
        </w:rPr>
        <w:t>ASU’s require financial assets measured at amortized cost to be presented at the net amount to be collected and broadens the information, including forecasted information incorporating more timely information, that an entity must consider in developing its expected credit loss estimate for assets measured. These ASU’s are effective for fiscal years beginning after December 15, 2019, including interim periods within those fiscal years. Early application is permitted for fiscal years beginning after December 15, 2018. Most of our financial assets are excluded from the requirements of this standard as they are measured at fair value or are subject to other accounting standards. In addition, certain of our other financial assets are short-term in nature and therefore are not likely to be subject to significant credit losses beyond what is already recorded under current accounting standards. As a result, we currently do not anticipate this standard to have a significant impact on our consolidated financial statements.</w:t>
      </w:r>
    </w:p>
    <w:p>
      <w:pPr>
        <w:spacing w:after="0" w:line="7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 Measurements</w:t>
      </w:r>
      <w:r>
        <w:rPr>
          <w:rFonts w:ascii="Arial" w:cs="Arial" w:eastAsia="Arial" w:hAnsi="Arial"/>
          <w:sz w:val="18"/>
          <w:szCs w:val="18"/>
          <w:color w:val="auto"/>
        </w:rPr>
        <w:t xml:space="preserve">, which amends FASB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ASU eliminates, modifies and adds various disclosure requirements for fair value measurements. This ASU is effective for fiscal years beginning after December 15, 2019, and interim periods within those fiscal years. Certain disclosures are required to be applied using a retrospective approach and others using a prospective approach. Early adoption is permitted. The various disclosure requirements being eliminated, modified or added are not significant to us. As a result, we currently do not anticipate this standard to have a significant impact on our consolidated financial statements.</w:t>
      </w:r>
    </w:p>
    <w:p>
      <w:pPr>
        <w:spacing w:after="0" w:line="8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 is</w:t>
      </w:r>
      <w:r>
        <w:rPr>
          <w:rFonts w:ascii="Arial" w:cs="Arial" w:eastAsia="Arial" w:hAnsi="Arial"/>
          <w:sz w:val="18"/>
          <w:szCs w:val="18"/>
          <w:color w:val="auto"/>
        </w:rPr>
        <w:t xml:space="preserve"> </w:t>
      </w:r>
      <w:r>
        <w:rPr>
          <w:rFonts w:ascii="Arial" w:cs="Arial" w:eastAsia="Arial" w:hAnsi="Arial"/>
          <w:sz w:val="18"/>
          <w:szCs w:val="18"/>
          <w:i w:val="1"/>
          <w:iCs w:val="1"/>
          <w:color w:val="auto"/>
        </w:rPr>
        <w:t>a Service Contract</w:t>
      </w:r>
      <w:r>
        <w:rPr>
          <w:rFonts w:ascii="Arial" w:cs="Arial" w:eastAsia="Arial" w:hAnsi="Arial"/>
          <w:sz w:val="18"/>
          <w:szCs w:val="18"/>
          <w:color w:val="auto"/>
        </w:rPr>
        <w:t>, which amends FASB ASC Subtopic 350-40,</w:t>
      </w:r>
      <w:r>
        <w:rPr>
          <w:rFonts w:ascii="Arial" w:cs="Arial" w:eastAsia="Arial" w:hAnsi="Arial"/>
          <w:sz w:val="18"/>
          <w:szCs w:val="18"/>
          <w:i w:val="1"/>
          <w:iCs w:val="1"/>
          <w:color w:val="auto"/>
        </w:rPr>
        <w:t xml:space="preserve"> Intangibles-Goodwill and Other-Internal-Use Software</w:t>
      </w:r>
      <w:r>
        <w:rPr>
          <w:rFonts w:ascii="Arial" w:cs="Arial" w:eastAsia="Arial" w:hAnsi="Arial"/>
          <w:sz w:val="18"/>
          <w:szCs w:val="18"/>
          <w:color w:val="auto"/>
        </w:rPr>
        <w:t>. This ASU adds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related to implementation costs incurred 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Early adoption is permitted. We currently do not anticipate this standard to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3"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Funds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the three months ended September 30, 2019, Mr. Icahn and his affiliates (excluding us) invested $150 million in the Investment Funds. During the nine months ended September 30, 2019 and 2018, Mr. Icahn and his affiliates (excluding us) invested $220 million and $280 million, respectively, in the Investment Funds, net of redemptions. As of September 30, 2019 and December 31, 2018, the total fair market value of investments in the Investment Funds made by Mr. Icahn and his affiliates (excluding us) was approximately $4.5 billion and $5.0 billion, respectively, representing approximately 51% and 50% of the Investment Funds’ assets under management as of each respective date.</w:t>
      </w:r>
    </w:p>
    <w:p>
      <w:pPr>
        <w:spacing w:after="0" w:line="8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September 30, 2019 and 2018, $4 million and $4 million, respectively, was allocated to the Investment Funds based on this expense-sharing arrangement and for the nine months ended September 30, 2019 and 2018, such allocation was $9 million and $6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As discussed in Note 4, “Investments,” the Investment Funds have an investment in the common stock of Hertz Global Holdings, Inc. (“Hertz”) measured at fair value that would have otherwise been subject to the equity method of accounting. Icahn Automotive provides services to Hertz in the ordinary course of business. For the three months ended September 30, 2019 and 2018, revenue from Hertz was $15 million and $11 million, respectively, and $40 million and $29 million for the nine months ended September 30, 2019 and 2018, respectively. Additionally, Federal-Mogul had payments to Hertz in the ordinary course of business of zero and $1 million for the three and nine months ended September 30, 2018, respectively.</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nine months ended September 30, 2018, the Investment Funds purchased shares of a certain investment from Hertz in the amount of $36 million.</w:t>
      </w:r>
    </w:p>
    <w:p>
      <w:pPr>
        <w:spacing w:after="0" w:line="140"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 767 Leasing is primarily limited to our direct investment in 767 Leasing as well as any payment obligations of 767 Leasing that we guarantee, which are not material as of September 30, 2019 and December 31, 2018. As of September 30, 2019 and December 31, 2018, 767 Leasing had total assets of $116 million and $59 million, respectively (primarily vehicles for lease) and total liabilities of $0 million and $1 million, respectively. For the three months ended September 30, 2019 and 2018, we invested $5 million and $15 million, respectively, in 767 Leasing and for the nine months ended September 30, 2019 and 2018, we invested $50 million and $25 million, respectively, in 767 Leasing. As of September 30, 2019 and December 31, 2018, we had an equity method investment in 767 Leasing of $117 million and $59 million, respectively, which we report in our Automotive segment.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3" w:right="23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ACF Industries LLC</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Railcar operations, prior to December 5, 2018 (the date we closed on the sale of ARI), had certain transactions with ACF Industries LLC (“ACF”), an affiliate of Mr. Icahn, under various agreements, as well as on a purchase order basis. ACF is a manufacturer and fabricator of specialty railcar parts and miscellaneous steel products. Agreements and transactions with ACF include (i) railcar component purchases from ACF, (ii) railcar parts purchases from and sales to ACF, (iii) railcar purchasing and engineering services agreements with ACF, (iv) lease of certain intellectual property to ACF and (v) railcar repair services and support for ACF</w:t>
      </w:r>
    </w:p>
    <w:p>
      <w:pPr>
        <w:spacing w:after="0" w:line="8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Purchases from ACF were $1 million and $2 million for the three and nine months ended September 30, 2018, respectively. For the three and nine months ended September 30, 2018, revenues from ACF were $3 million and $3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CVR Energy, Viskase, PSC Metals, WPH, Federal-Mogul (prior to October 1, 2018), ARI (prior to December 5, 2018) and Tropicana (prior to October 1, 2018)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the nine months ended September 30, 2019 and 2018, we and certain of our subsidiaries paid certain of Insight Portfolio Group’s operating expenses of $2 million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553" w:right="2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346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c>
          <w:tcPr>
            <w:tcW w:w="3620" w:type="dxa"/>
            <w:vAlign w:val="bottom"/>
            <w:gridSpan w:val="4"/>
          </w:tcPr>
          <w:p>
            <w:pPr>
              <w:spacing w:after="0"/>
              <w:rPr>
                <w:sz w:val="2"/>
                <w:szCs w:val="2"/>
                <w:color w:val="auto"/>
              </w:rPr>
            </w:pPr>
          </w:p>
        </w:tc>
      </w:tr>
      <w:tr>
        <w:trPr>
          <w:trHeight w:val="238"/>
        </w:trPr>
        <w:tc>
          <w:tcPr>
            <w:tcW w:w="3460" w:type="dxa"/>
            <w:vAlign w:val="bottom"/>
          </w:tcPr>
          <w:p>
            <w:pPr>
              <w:spacing w:after="0"/>
              <w:rPr>
                <w:sz w:val="20"/>
                <w:szCs w:val="20"/>
                <w:color w:val="auto"/>
              </w:rPr>
            </w:pPr>
          </w:p>
        </w:tc>
        <w:tc>
          <w:tcPr>
            <w:tcW w:w="4200" w:type="dxa"/>
            <w:vAlign w:val="bottom"/>
          </w:tcPr>
          <w:p>
            <w:pPr>
              <w:jc w:val="right"/>
              <w:ind w:right="349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20"/>
                <w:szCs w:val="20"/>
                <w:color w:val="auto"/>
              </w:rPr>
            </w:pPr>
          </w:p>
        </w:tc>
        <w:tc>
          <w:tcPr>
            <w:tcW w:w="3620" w:type="dxa"/>
            <w:vAlign w:val="bottom"/>
            <w:tcBorders>
              <w:top w:val="single" w:sz="8" w:color="auto"/>
            </w:tcBorders>
            <w:gridSpan w:val="4"/>
          </w:tcPr>
          <w:p>
            <w:pPr>
              <w:jc w:val="right"/>
              <w:ind w:right="1410"/>
              <w:spacing w:after="0"/>
              <w:rPr>
                <w:sz w:val="20"/>
                <w:szCs w:val="20"/>
                <w:color w:val="auto"/>
              </w:rPr>
            </w:pPr>
            <w:r>
              <w:rPr>
                <w:rFonts w:ascii="Arial" w:cs="Arial" w:eastAsia="Arial" w:hAnsi="Arial"/>
                <w:sz w:val="14"/>
                <w:szCs w:val="14"/>
                <w:color w:val="auto"/>
              </w:rPr>
              <w:t>(in millions)</w:t>
            </w:r>
          </w:p>
        </w:tc>
      </w:tr>
      <w:tr>
        <w:trPr>
          <w:trHeight w:val="255"/>
        </w:trPr>
        <w:tc>
          <w:tcPr>
            <w:tcW w:w="34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4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
        </w:trPr>
        <w:tc>
          <w:tcPr>
            <w:tcW w:w="3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 materials</w:t>
            </w:r>
          </w:p>
        </w:tc>
        <w:tc>
          <w:tcPr>
            <w:tcW w:w="4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43"/>
        </w:trPr>
        <w:tc>
          <w:tcPr>
            <w:tcW w:w="34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2,161</w:t>
            </w:r>
          </w:p>
        </w:tc>
      </w:tr>
      <w:tr>
        <w:trPr>
          <w:trHeight w:val="27"/>
        </w:trPr>
        <w:tc>
          <w:tcPr>
            <w:tcW w:w="3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r>
      <w:tr>
        <w:trPr>
          <w:trHeight w:val="243"/>
        </w:trPr>
        <w:tc>
          <w:tcPr>
            <w:tcW w:w="3460" w:type="dxa"/>
            <w:vAlign w:val="bottom"/>
          </w:tcPr>
          <w:p>
            <w:pPr>
              <w:ind w:left="300"/>
              <w:spacing w:after="0"/>
              <w:rPr>
                <w:sz w:val="20"/>
                <w:szCs w:val="20"/>
                <w:color w:val="auto"/>
              </w:rPr>
            </w:pPr>
            <w:r>
              <w:rPr>
                <w:rFonts w:ascii="Arial" w:cs="Arial" w:eastAsia="Arial" w:hAnsi="Arial"/>
                <w:sz w:val="18"/>
                <w:szCs w:val="18"/>
                <w:color w:val="auto"/>
              </w:rPr>
              <w:t>Energy</w:t>
            </w:r>
          </w:p>
        </w:tc>
        <w:tc>
          <w:tcPr>
            <w:tcW w:w="4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1,598</w:t>
            </w:r>
          </w:p>
        </w:tc>
      </w:tr>
      <w:tr>
        <w:trPr>
          <w:trHeight w:val="27"/>
        </w:trPr>
        <w:tc>
          <w:tcPr>
            <w:tcW w:w="3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Financial</w:t>
            </w:r>
          </w:p>
        </w:tc>
        <w:tc>
          <w:tcPr>
            <w:tcW w:w="4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3460" w:type="dxa"/>
            <w:vAlign w:val="bottom"/>
          </w:tcPr>
          <w:p>
            <w:pPr>
              <w:ind w:left="300"/>
              <w:spacing w:after="0"/>
              <w:rPr>
                <w:sz w:val="20"/>
                <w:szCs w:val="20"/>
                <w:color w:val="auto"/>
              </w:rPr>
            </w:pPr>
            <w:r>
              <w:rPr>
                <w:rFonts w:ascii="Arial" w:cs="Arial" w:eastAsia="Arial" w:hAnsi="Arial"/>
                <w:sz w:val="18"/>
                <w:szCs w:val="18"/>
                <w:color w:val="auto"/>
              </w:rPr>
              <w:t>Technology</w:t>
            </w:r>
          </w:p>
        </w:tc>
        <w:tc>
          <w:tcPr>
            <w:tcW w:w="4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1,040</w:t>
            </w:r>
          </w:p>
        </w:tc>
      </w:tr>
      <w:tr>
        <w:trPr>
          <w:trHeight w:val="27"/>
        </w:trPr>
        <w:tc>
          <w:tcPr>
            <w:tcW w:w="3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37"/>
        </w:trPr>
        <w:tc>
          <w:tcPr>
            <w:tcW w:w="34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6,686</w:t>
            </w:r>
          </w:p>
        </w:tc>
      </w:tr>
      <w:tr>
        <w:trPr>
          <w:trHeight w:val="27"/>
        </w:trPr>
        <w:tc>
          <w:tcPr>
            <w:tcW w:w="34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4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37"/>
        </w:trPr>
        <w:tc>
          <w:tcPr>
            <w:tcW w:w="34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6,867</w:t>
            </w:r>
          </w:p>
        </w:tc>
      </w:tr>
      <w:tr>
        <w:trPr>
          <w:trHeight w:val="67"/>
        </w:trPr>
        <w:tc>
          <w:tcPr>
            <w:tcW w:w="3460" w:type="dxa"/>
            <w:vAlign w:val="bottom"/>
            <w:tcBorders>
              <w:bottom w:val="single" w:sz="8" w:color="CCEEFF"/>
            </w:tcBorders>
          </w:tcPr>
          <w:p>
            <w:pPr>
              <w:spacing w:after="0"/>
              <w:rPr>
                <w:sz w:val="5"/>
                <w:szCs w:val="5"/>
                <w:color w:val="auto"/>
              </w:rPr>
            </w:pPr>
          </w:p>
        </w:tc>
        <w:tc>
          <w:tcPr>
            <w:tcW w:w="42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r>
        <w:trPr>
          <w:trHeight w:val="231"/>
        </w:trPr>
        <w:tc>
          <w:tcPr>
            <w:tcW w:w="346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gridSpan w:val="2"/>
            <w:shd w:val="clear" w:color="auto" w:fill="CCEEFF"/>
          </w:tcPr>
          <w:p>
            <w:pPr>
              <w:jc w:val="right"/>
              <w:ind w:right="3490"/>
              <w:spacing w:after="0"/>
              <w:rPr>
                <w:sz w:val="20"/>
                <w:szCs w:val="20"/>
                <w:color w:val="auto"/>
              </w:rPr>
            </w:pPr>
            <w:r>
              <w:rPr>
                <w:rFonts w:ascii="Arial" w:cs="Arial" w:eastAsia="Arial" w:hAnsi="Arial"/>
                <w:sz w:val="18"/>
                <w:szCs w:val="18"/>
                <w:b w:val="1"/>
                <w:bCs w:val="1"/>
                <w:color w:val="auto"/>
                <w:w w:val="89"/>
              </w:rPr>
              <w:t>Liabilities</w:t>
            </w: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w w:val="89"/>
              </w:rPr>
              <w:t>Securities sold, not yet purchased, at fair value:</w:t>
            </w:r>
          </w:p>
        </w:tc>
        <w:tc>
          <w:tcPr>
            <w:tcW w:w="4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4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3460" w:type="dxa"/>
            <w:vAlign w:val="bottom"/>
          </w:tcPr>
          <w:p>
            <w:pPr>
              <w:ind w:left="300"/>
              <w:spacing w:after="0"/>
              <w:rPr>
                <w:sz w:val="20"/>
                <w:szCs w:val="20"/>
                <w:color w:val="auto"/>
              </w:rPr>
            </w:pPr>
            <w:r>
              <w:rPr>
                <w:rFonts w:ascii="Arial" w:cs="Arial" w:eastAsia="Arial" w:hAnsi="Arial"/>
                <w:sz w:val="18"/>
                <w:szCs w:val="18"/>
                <w:color w:val="auto"/>
              </w:rPr>
              <w:t>Energy</w:t>
            </w:r>
          </w:p>
        </w:tc>
        <w:tc>
          <w:tcPr>
            <w:tcW w:w="4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34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portion of unrealized (losses) gains that relates to securities still held by our Investment segment, primarily equity securities, was $(513) million and $(4) million for the three months ended September 30, 2019 and 2018, respectively, and $(99) million and $356 million for nine months ended September 30, 2019 and 2018, respectively.</w:t>
      </w:r>
    </w:p>
    <w:p>
      <w:pPr>
        <w:spacing w:after="0" w:line="73"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Our Investment segment is deemed to have significant influence with respect to its investments in Hertz, Herbalife Ltd. (“Herbalife”) and Caesars Entertainment Corporation (“Caesars”) after considering the collective ownership in such entities by the Investment Funds and affiliates of Mr. Icahn, as well as their collective representation on each of the boards of directors. Our Investment segment has elected the fair value option with respect to each of these investments as such investments would have otherwise been subject to the equity method of accounting. Hertz, Herbalife and Caesars each file annual, quarterly and current reports, and proxy and information statements with the SEC, which are publicly available.</w:t>
      </w:r>
    </w:p>
    <w:p>
      <w:pPr>
        <w:spacing w:after="0" w:line="64" w:lineRule="exact"/>
        <w:rPr>
          <w:sz w:val="20"/>
          <w:szCs w:val="20"/>
          <w:color w:val="auto"/>
        </w:rPr>
      </w:pPr>
    </w:p>
    <w:p>
      <w:pPr>
        <w:ind w:right="160" w:firstLine="378"/>
        <w:spacing w:after="0" w:line="257" w:lineRule="auto"/>
        <w:rPr>
          <w:sz w:val="20"/>
          <w:szCs w:val="20"/>
          <w:color w:val="auto"/>
        </w:rPr>
      </w:pPr>
      <w:r>
        <w:rPr>
          <w:rFonts w:ascii="Arial" w:cs="Arial" w:eastAsia="Arial" w:hAnsi="Arial"/>
          <w:sz w:val="18"/>
          <w:szCs w:val="18"/>
          <w:color w:val="auto"/>
        </w:rPr>
        <w:t>As of September 30, 2019, the Investment Funds owned approximately 23.5% of the outstanding common stock of Hertz. Our Investment segment recorded net (losses) gains of $(29) million and $23 million for the three months ended September 30, 2019 and 2018, respectively, and net gains (losses) of $39 million and $(135) million for the nine months ended September 30, 2019 and 2018, respectively, with respect to its investment in Hertz. As of September 30, 2019 and December 31, 2018, the aggregate fair value of our Investment segment’s investment in Hertz was $462 million and $320 million, respectively.</w:t>
      </w:r>
    </w:p>
    <w:p>
      <w:pPr>
        <w:spacing w:after="0" w:line="80" w:lineRule="exact"/>
        <w:rPr>
          <w:sz w:val="20"/>
          <w:szCs w:val="20"/>
          <w:color w:val="auto"/>
        </w:rPr>
      </w:pPr>
    </w:p>
    <w:p>
      <w:pPr>
        <w:jc w:val="both"/>
        <w:ind w:right="80" w:firstLine="378"/>
        <w:spacing w:after="0" w:line="264" w:lineRule="auto"/>
        <w:rPr>
          <w:sz w:val="20"/>
          <w:szCs w:val="20"/>
          <w:color w:val="auto"/>
        </w:rPr>
      </w:pPr>
      <w:r>
        <w:rPr>
          <w:rFonts w:ascii="Arial" w:cs="Arial" w:eastAsia="Arial" w:hAnsi="Arial"/>
          <w:sz w:val="18"/>
          <w:szCs w:val="18"/>
          <w:color w:val="auto"/>
        </w:rPr>
        <w:t>As of September 30, 2019, the Investment Funds owned approximately 18.6% of the outstanding common stock of Herbalife. Our Investment segment recorded net (losses) gains of $(138) million and $23 million for the three months ended September 30, 2019 and 2018, respectively, and net (losses) gains of $(594) million and $740 million for the nine months ended</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53"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September 30, 2019 and 2018, respectively, with respect to its investment in Herbalife. As of September 30, 2019 and December 31, 2018, the aggregate fair value of our Investment segment’s investment in Herbalife was approximately $1.1 billion and $1.7 billion, respectively.</w:t>
      </w:r>
    </w:p>
    <w:p>
      <w:pPr>
        <w:spacing w:after="0" w:line="62" w:lineRule="exact"/>
        <w:rPr>
          <w:sz w:val="20"/>
          <w:szCs w:val="20"/>
          <w:color w:val="auto"/>
        </w:rPr>
      </w:pPr>
    </w:p>
    <w:p>
      <w:pPr>
        <w:ind w:right="240" w:firstLine="378"/>
        <w:spacing w:after="0" w:line="285" w:lineRule="auto"/>
        <w:rPr>
          <w:sz w:val="20"/>
          <w:szCs w:val="20"/>
          <w:color w:val="auto"/>
        </w:rPr>
      </w:pPr>
      <w:r>
        <w:rPr>
          <w:rFonts w:ascii="Arial" w:cs="Arial" w:eastAsia="Arial" w:hAnsi="Arial"/>
          <w:sz w:val="16"/>
          <w:szCs w:val="16"/>
          <w:color w:val="auto"/>
        </w:rPr>
        <w:t>As of September 30, 2019, the Investment Funds owned approximately 13.5% of the outstanding common stock of Caesars. We obtained significant influence over Caesars, and elected the fair value option with respect to our investment in Caesars, beginning in the first quarter of 2019. Our Investment segment recorded net gains of $26 million and $301 million for the three and nine months ended September 30, 2019 with respect to its investment in Caesars. As of September 30, 2019, the aggregate fair value of our Investment segment’s investment in Caesars was approximately $1.1 billion. During the second quarter of 2019, we agreed to vote our Caesars’ shares in favor of the proposed merger between Caesars and Eldorado Resorts, Inc.</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(“Eldorado”). Pursuant to the merger, Caesars will merge into a subsidiary of Eldorado and Caesars stockholders will have the right, subject to certain allocation limitations, to elect to receive cash, stock in Eldorado, or a combination of cash and stock. Upon consummation of the merger, depending on what consideration we and other stockholders elect, we expect to receive a combination of cash and Eldorado shares. The transaction has not yet been consummated as of September 30,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20" w:type="dxa"/>
            <w:vAlign w:val="bottom"/>
            <w:gridSpan w:val="4"/>
          </w:tcPr>
          <w:p>
            <w:pPr>
              <w:jc w:val="right"/>
              <w:ind w:right="1410"/>
              <w:spacing w:after="0"/>
              <w:rPr>
                <w:sz w:val="20"/>
                <w:szCs w:val="20"/>
                <w:color w:val="auto"/>
              </w:rPr>
            </w:pPr>
            <w:r>
              <w:rPr>
                <w:rFonts w:ascii="Arial" w:cs="Arial" w:eastAsia="Arial" w:hAnsi="Arial"/>
                <w:sz w:val="14"/>
                <w:szCs w:val="14"/>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investments (measured at fair value)</w:t>
            </w:r>
          </w:p>
        </w:tc>
        <w:tc>
          <w:tcPr>
            <w:tcW w:w="14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1,327</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portion of unrealized gains (losses) that relates to equity securities still held by our other segments and our Holding Company was $42 million and $36 million for the three months ended September 30, 2019 and 2018, respectively, and $(438) million and $91 million for the nine months ended September 30, 2019 and 2018, respectively.</w:t>
      </w:r>
    </w:p>
    <w:p>
      <w:pPr>
        <w:spacing w:after="0" w:line="28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jc w:val="both"/>
        <w:ind w:left="420" w:right="40"/>
        <w:spacing w:after="0" w:line="31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our assets and liabilities by the above fair value hierarchy levels measured on a recurring basis: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b w:val="1"/>
                <w:bCs w:val="1"/>
                <w:color w:val="auto"/>
              </w:rPr>
              <w:t>September 30, 2019</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70"/>
        </w:trPr>
        <w:tc>
          <w:tcPr>
            <w:tcW w:w="3320" w:type="dxa"/>
            <w:vAlign w:val="bottom"/>
          </w:tcPr>
          <w:p>
            <w:pPr>
              <w:ind w:left="2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(1)</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69"/>
        </w:trPr>
        <w:tc>
          <w:tcPr>
            <w:tcW w:w="3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w w:val="99"/>
              </w:rPr>
              <w:t>Derivative contracts, at fair value (Note 6)</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282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28260" cy="26035"/>
                    </a:xfrm>
                    <a:prstGeom prst="rect">
                      <a:avLst/>
                    </a:prstGeom>
                    <a:noFill/>
                  </pic:spPr>
                </pic:pic>
              </a:graphicData>
            </a:graphic>
          </wp:anchor>
        </w:drawing>
      </w: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80" w:type="dxa"/>
            <w:vAlign w:val="bottom"/>
            <w:gridSpan w:val="3"/>
          </w:tcPr>
          <w:p>
            <w:pPr>
              <w:jc w:val="right"/>
              <w:ind w:right="97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gains recognized in income</w:t>
            </w:r>
          </w:p>
        </w:tc>
        <w:tc>
          <w:tcPr>
            <w:tcW w:w="124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0"/>
        </w:trPr>
        <w:tc>
          <w:tcPr>
            <w:tcW w:w="7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As of December 31, 2018, we had a certain equity investment which was considered a Level 3 investment due to unobservable market data and was measured at fair value on a recurring basis. We determined the fair value of this investment based on recent market transactions. During the first quarter of 2019, we sold this investment in its entirety.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 for Which We Use Level 3 Inputs to Determine Fair Value</w:t>
      </w:r>
    </w:p>
    <w:p>
      <w:pPr>
        <w:spacing w:after="0" w:line="117"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Certain assets measured at fair value using Level 3 inputs on a non-recurring basis have been impaired. During the nine months ended September 30, 2019 and 2018, we recorded impairment charges of $1 million and $3 million, respectively, relating to property, plant and equipment. We determined the fair value of property, plant and equipment by applying probability weighted, expected present value techniques to the estimated future cash flows using assumptions a market participant would utilize. Refer to Note 12, “Segment Reporting,” for total impairment recorded by each of our segments.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4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46"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contingent features that are in a liability position as of September 30, 2019 and December 31, 2018 was $108 million and zero, respectively.</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4"/>
          </w:tcPr>
          <w:p>
            <w:pPr>
              <w:ind w:left="900"/>
              <w:spacing w:after="0"/>
              <w:rPr>
                <w:sz w:val="20"/>
                <w:szCs w:val="20"/>
                <w:color w:val="auto"/>
              </w:rPr>
            </w:pPr>
            <w:r>
              <w:rPr>
                <w:rFonts w:ascii="Arial" w:cs="Arial" w:eastAsia="Arial" w:hAnsi="Arial"/>
                <w:sz w:val="18"/>
                <w:szCs w:val="18"/>
                <w:b w:val="1"/>
                <w:bCs w:val="1"/>
                <w:color w:val="auto"/>
              </w:rPr>
              <w:t>September 30, 2019</w:t>
            </w:r>
          </w:p>
        </w:tc>
        <w:tc>
          <w:tcPr>
            <w:tcW w:w="340" w:type="dxa"/>
            <w:vAlign w:val="bottom"/>
          </w:tcPr>
          <w:p>
            <w:pPr>
              <w:spacing w:after="0"/>
              <w:rPr>
                <w:sz w:val="20"/>
                <w:szCs w:val="20"/>
                <w:color w:val="auto"/>
              </w:rPr>
            </w:pPr>
          </w:p>
        </w:tc>
        <w:tc>
          <w:tcPr>
            <w:tcW w:w="342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290"/>
              <w:spacing w:after="0"/>
              <w:rPr>
                <w:sz w:val="20"/>
                <w:szCs w:val="20"/>
                <w:color w:val="auto"/>
              </w:rPr>
            </w:pPr>
            <w:r>
              <w:rPr>
                <w:rFonts w:ascii="Arial" w:cs="Arial" w:eastAsia="Arial" w:hAnsi="Arial"/>
                <w:sz w:val="18"/>
                <w:szCs w:val="18"/>
                <w:b w:val="1"/>
                <w:bCs w:val="1"/>
                <w:color w:val="auto"/>
              </w:rPr>
              <w:t>Long Notional</w:t>
            </w:r>
          </w:p>
        </w:tc>
        <w:tc>
          <w:tcPr>
            <w:tcW w:w="3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Short Notional</w:t>
            </w:r>
          </w:p>
        </w:tc>
        <w:tc>
          <w:tcPr>
            <w:tcW w:w="34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0"/>
              </w:rPr>
              <w:t>Long Notional</w:t>
            </w:r>
          </w:p>
        </w:tc>
        <w:tc>
          <w:tcPr>
            <w:tcW w:w="3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Short Notional</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ind w:right="490"/>
              <w:spacing w:after="0"/>
              <w:rPr>
                <w:sz w:val="20"/>
                <w:szCs w:val="20"/>
                <w:color w:val="auto"/>
              </w:rPr>
            </w:pPr>
            <w:r>
              <w:rPr>
                <w:rFonts w:ascii="Arial" w:cs="Arial" w:eastAsia="Arial" w:hAnsi="Arial"/>
                <w:sz w:val="18"/>
                <w:szCs w:val="18"/>
                <w:b w:val="1"/>
                <w:bCs w:val="1"/>
                <w:color w:val="auto"/>
              </w:rPr>
              <w:t>Exposure</w:t>
            </w:r>
          </w:p>
        </w:tc>
        <w:tc>
          <w:tcPr>
            <w:tcW w:w="32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Exposure</w:t>
            </w:r>
          </w:p>
        </w:tc>
        <w:tc>
          <w:tcPr>
            <w:tcW w:w="34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Exposure</w:t>
            </w:r>
          </w:p>
        </w:tc>
        <w:tc>
          <w:tcPr>
            <w:tcW w:w="32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Exposure</w:t>
            </w: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83"/>
        </w:trPr>
        <w:tc>
          <w:tcPr>
            <w:tcW w:w="3780" w:type="dxa"/>
            <w:vAlign w:val="bottom"/>
          </w:tcPr>
          <w:p>
            <w:pPr>
              <w:ind w:left="280"/>
              <w:spacing w:after="0" w:line="283" w:lineRule="exact"/>
              <w:rPr>
                <w:sz w:val="20"/>
                <w:szCs w:val="20"/>
                <w:color w:val="auto"/>
              </w:rPr>
            </w:pPr>
            <w:r>
              <w:rPr>
                <w:rFonts w:ascii="Arial" w:cs="Arial" w:eastAsia="Arial" w:hAnsi="Arial"/>
                <w:sz w:val="18"/>
                <w:szCs w:val="18"/>
                <w:color w:val="auto"/>
              </w:rPr>
              <w:t>Credit contracts</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378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72"/>
        <w:spacing w:after="0" w:line="286" w:lineRule="auto"/>
        <w:tabs>
          <w:tab w:leader="none" w:pos="180" w:val="left"/>
        </w:tabs>
        <w:numPr>
          <w:ilvl w:val="0"/>
          <w:numId w:val="11"/>
        </w:numPr>
        <w:rPr>
          <w:rFonts w:ascii="Arial" w:cs="Arial" w:eastAsia="Arial" w:hAnsi="Arial"/>
          <w:sz w:val="8"/>
          <w:szCs w:val="8"/>
          <w:color w:val="auto"/>
        </w:rPr>
      </w:pPr>
      <w:r>
        <w:rPr>
          <w:rFonts w:ascii="Arial" w:cs="Arial" w:eastAsia="Arial" w:hAnsi="Arial"/>
          <w:sz w:val="13"/>
          <w:szCs w:val="13"/>
          <w:color w:val="auto"/>
        </w:rPr>
        <w:t>The short notional amount on our credit default swap positions was approximately $3.5 billion at September 30, 2019. However, because credit spreads cannot compress below zero, our downside short notional exposure to loss is $593 million as of September 30, 2019. The short notional amount on our credit default swap positions was approximately $1.8 billion as of December 31, 2018. However, because credit spreads cannot compress below zero, our downside short notional exposure to loss is $479 million as of December 31, 2018.</w:t>
      </w:r>
    </w:p>
    <w:p>
      <w:pPr>
        <w:spacing w:after="0" w:line="64" w:lineRule="exact"/>
        <w:rPr>
          <w:sz w:val="20"/>
          <w:szCs w:val="20"/>
          <w:color w:val="auto"/>
        </w:rPr>
      </w:pPr>
    </w:p>
    <w:p>
      <w:pPr>
        <w:ind w:right="300" w:firstLine="378"/>
        <w:spacing w:after="0" w:line="286" w:lineRule="auto"/>
        <w:rPr>
          <w:sz w:val="20"/>
          <w:szCs w:val="20"/>
          <w:color w:val="auto"/>
        </w:rPr>
      </w:pPr>
      <w:r>
        <w:rPr>
          <w:rFonts w:ascii="Arial" w:cs="Arial" w:eastAsia="Arial" w:hAnsi="Arial"/>
          <w:sz w:val="17"/>
          <w:szCs w:val="17"/>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fair values of our Investment segment’s derivatives that are not designated as hedging instruments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GAAP:</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Liability Derivatives</w:t>
            </w: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gridSpan w:val="5"/>
          </w:tcPr>
          <w:p>
            <w:pPr>
              <w:ind w:left="13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Credit contracts</w:t>
            </w:r>
          </w:p>
        </w:tc>
        <w:tc>
          <w:tcPr>
            <w:tcW w:w="14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9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-20955</wp:posOffset>
            </wp:positionV>
            <wp:extent cx="48539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3940" cy="26035"/>
                    </a:xfrm>
                    <a:prstGeom prst="rect">
                      <a:avLst/>
                    </a:prstGeom>
                    <a:noFill/>
                  </pic:spPr>
                </pic:pic>
              </a:graphicData>
            </a:graphic>
          </wp:anchor>
        </w:drawing>
      </w: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Net asset derivatives are classified within other assets in our condensed consolidated balance sheets.</w:t>
      </w:r>
    </w:p>
    <w:p>
      <w:pPr>
        <w:spacing w:after="0" w:line="1" w:lineRule="exact"/>
        <w:rPr>
          <w:rFonts w:ascii="Arial" w:cs="Arial" w:eastAsia="Arial" w:hAnsi="Arial"/>
          <w:sz w:val="9"/>
          <w:szCs w:val="9"/>
          <w:color w:val="auto"/>
        </w:rPr>
      </w:pPr>
    </w:p>
    <w:p>
      <w:pPr>
        <w:ind w:left="180" w:right="500" w:hanging="172"/>
        <w:spacing w:after="0" w:line="293" w:lineRule="auto"/>
        <w:tabs>
          <w:tab w:leader="none" w:pos="180" w:val="left"/>
        </w:tabs>
        <w:numPr>
          <w:ilvl w:val="0"/>
          <w:numId w:val="12"/>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September 30, 2019 and December 31, 2018 was $314 million and $0 million, respectively, across all counterparties, which are included in cash held at consolidated affiliated partnerships and restricted cash in the condensed consolidated balance sheets.</w:t>
      </w:r>
    </w:p>
    <w:p>
      <w:pPr>
        <w:spacing w:after="0" w:line="6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condensed consolidated statements of operations for our Investment segment’s derivatives not designated as hedging instruments: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5"/>
                <w:szCs w:val="25"/>
                <w:b w:val="1"/>
                <w:bCs w:val="1"/>
                <w:color w:val="auto"/>
                <w:vertAlign w:val="superscript"/>
              </w:rPr>
              <w:t>(1)</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Credit contracts</w:t>
            </w: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37"/>
        </w:trPr>
        <w:tc>
          <w:tcPr>
            <w:tcW w:w="3780" w:type="dxa"/>
            <w:vAlign w:val="bottom"/>
          </w:tcPr>
          <w:p>
            <w:pPr>
              <w:spacing w:after="0"/>
              <w:rPr>
                <w:sz w:val="20"/>
                <w:szCs w:val="20"/>
                <w:color w:val="auto"/>
              </w:rPr>
            </w:pPr>
          </w:p>
        </w:tc>
        <w:tc>
          <w:tcPr>
            <w:tcW w:w="1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(539)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8"/>
          <w:szCs w:val="8"/>
          <w:color w:val="auto"/>
        </w:rPr>
      </w:pPr>
      <w:r>
        <w:rPr>
          <w:rFonts w:ascii="Arial" w:cs="Arial" w:eastAsia="Arial" w:hAnsi="Arial"/>
          <w:sz w:val="13"/>
          <w:szCs w:val="13"/>
          <w:color w:val="auto"/>
        </w:rPr>
        <w:t>Gains (losses) recognized on derivatives are classified in net gain (loss) from investment activities in our condensed consolidated statements of operations for our Investment segment.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certain over-the-counter forward swap agreements, which it believes provide an economic hedge on future transactions, but such instruments are not designated as hedges under U.S. GAAP. There are no premiums paid or received at inception of the derivative contracts and upon settlement.</w:t>
      </w:r>
    </w:p>
    <w:p>
      <w:pPr>
        <w:spacing w:after="0" w:line="6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of September 30, 2019 and December 31, 2018, CVR Refining had open forward purchase and sale commitments for 6 million barrels and 2 million barrels, respectively, of Canadian crude oil priced at fixed differentials that are not considered probable of physical settlement and are accounted for as derivatives. CVR Refining may enter into forward purchase or sale contracts associated with renewable identification numbers (“RINs”). As of September 30, 2019, CVR Refining had open fixed-price commitments to purchase 38 million RINs.</w:t>
      </w:r>
    </w:p>
    <w:p>
      <w:pPr>
        <w:spacing w:after="0" w:line="79"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Certain derivative contracts executed by our Energy segment with a single counterparty are reported on a net-by-counterparty basis where a legal right of offset exists under an enforceable netting agreement. As of September 30, 2019 and December 31, 2018, our Energy segment had gross asset derivatives of $17 million and $8 million, respectively, however, when netted with gross liability derivatives, such net asset derivatives were $16 million and $7 million, respectively. Net asset derivatives are included in other assets on the condensed consolidated balance sheets. Gains recognized on derivatives for our Energy segment were $18 million and $5 million for the three months ended September 30, 2019 and 2018, respectively, and $38 million and $75 million for the nine months ended September 30, 2019 and 2018, respectively. Gains recognized on derivatives for our Energy segment are included in cost of goods sold on the condensed consolidated statements of operations.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24"/>
        </w:trPr>
        <w:tc>
          <w:tcPr>
            <w:tcW w:w="7660" w:type="dxa"/>
            <w:vAlign w:val="bottom"/>
          </w:tcPr>
          <w:p>
            <w:pPr>
              <w:ind w:left="420"/>
              <w:spacing w:after="0"/>
              <w:rPr>
                <w:sz w:val="20"/>
                <w:szCs w:val="20"/>
                <w:color w:val="auto"/>
              </w:rPr>
            </w:pPr>
            <w:r>
              <w:rPr>
                <w:rFonts w:ascii="Arial" w:cs="Arial" w:eastAsia="Arial" w:hAnsi="Arial"/>
                <w:sz w:val="18"/>
                <w:szCs w:val="18"/>
                <w:color w:val="auto"/>
              </w:rPr>
              <w:t>Inventories, net consists of the following:</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20" w:type="dxa"/>
            <w:vAlign w:val="bottom"/>
            <w:gridSpan w:val="4"/>
          </w:tcPr>
          <w:p>
            <w:pPr>
              <w:jc w:val="right"/>
              <w:ind w:right="1410"/>
              <w:spacing w:after="0"/>
              <w:rPr>
                <w:sz w:val="20"/>
                <w:szCs w:val="20"/>
                <w:color w:val="auto"/>
              </w:rPr>
            </w:pPr>
            <w:r>
              <w:rPr>
                <w:rFonts w:ascii="Arial" w:cs="Arial" w:eastAsia="Arial" w:hAnsi="Arial"/>
                <w:sz w:val="14"/>
                <w:szCs w:val="14"/>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r>
      <w:tr>
        <w:trPr>
          <w:trHeight w:val="237"/>
        </w:trPr>
        <w:tc>
          <w:tcPr>
            <w:tcW w:w="76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1,779</w:t>
            </w: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20" w:right="8280" w:hanging="412"/>
        <w:spacing w:after="0" w:line="469" w:lineRule="auto"/>
        <w:tabs>
          <w:tab w:leader="none" w:pos="339"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September 30, 2019</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2018</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259"/>
              <w:spacing w:after="0"/>
              <w:rPr>
                <w:sz w:val="20"/>
                <w:szCs w:val="20"/>
                <w:color w:val="auto"/>
              </w:rPr>
            </w:pPr>
            <w:r>
              <w:rPr>
                <w:rFonts w:ascii="Arial" w:cs="Arial" w:eastAsia="Arial" w:hAnsi="Arial"/>
                <w:sz w:val="16"/>
                <w:szCs w:val="16"/>
                <w:b w:val="1"/>
                <w:bCs w:val="1"/>
                <w:color w:val="auto"/>
                <w:w w:val="86"/>
              </w:rPr>
              <w:t>Gross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020" w:type="dxa"/>
            <w:vAlign w:val="bottom"/>
          </w:tcPr>
          <w:p>
            <w:pPr>
              <w:jc w:val="center"/>
              <w:ind w:left="29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Impairment</w:t>
            </w:r>
          </w:p>
        </w:tc>
        <w:tc>
          <w:tcPr>
            <w:tcW w:w="1020" w:type="dxa"/>
            <w:vAlign w:val="bottom"/>
          </w:tcPr>
          <w:p>
            <w:pPr>
              <w:jc w:val="center"/>
              <w:ind w:left="299"/>
              <w:spacing w:after="0"/>
              <w:rPr>
                <w:sz w:val="20"/>
                <w:szCs w:val="20"/>
                <w:color w:val="auto"/>
              </w:rPr>
            </w:pPr>
            <w:r>
              <w:rPr>
                <w:rFonts w:ascii="Arial" w:cs="Arial" w:eastAsia="Arial" w:hAnsi="Arial"/>
                <w:sz w:val="16"/>
                <w:szCs w:val="16"/>
                <w:b w:val="1"/>
                <w:bCs w:val="1"/>
                <w:color w:val="auto"/>
                <w:w w:val="93"/>
              </w:rPr>
              <w:t>Value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279"/>
              <w:spacing w:after="0"/>
              <w:rPr>
                <w:sz w:val="20"/>
                <w:szCs w:val="20"/>
                <w:color w:val="auto"/>
              </w:rPr>
            </w:pPr>
            <w:r>
              <w:rPr>
                <w:rFonts w:ascii="Arial" w:cs="Arial" w:eastAsia="Arial" w:hAnsi="Arial"/>
                <w:sz w:val="16"/>
                <w:szCs w:val="16"/>
                <w:b w:val="1"/>
                <w:bCs w:val="1"/>
                <w:color w:val="auto"/>
                <w:w w:val="95"/>
              </w:rPr>
              <w:t>Amount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Metals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Home Fashion</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September 30, 2019</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262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246</w:t>
            </w:r>
          </w:p>
        </w:tc>
        <w:tc>
          <w:tcPr>
            <w:tcW w:w="110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w w:val="82"/>
              </w:rPr>
              <w:t>141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w w:val="82"/>
              </w:rPr>
              <w:t>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2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387</w:t>
            </w:r>
          </w:p>
        </w:tc>
        <w:tc>
          <w:tcPr>
            <w:tcW w:w="110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44"/>
        </w:trPr>
        <w:tc>
          <w:tcPr>
            <w:tcW w:w="26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2"/>
              </w:rPr>
              <w:t>449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501</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was $10 million and $12 million for the three months ended September 30, 2019 and 2018, respectively, and $31 million and $36 million for the nine months ended September 30, 2019 and 2018, respectively. We utilize the straight-line method of amortization, recognized over the estimated useful lives of the assets.</w:t>
      </w:r>
    </w:p>
    <w:p>
      <w:pPr>
        <w:spacing w:after="0" w:line="73" w:lineRule="exact"/>
        <w:rPr>
          <w:sz w:val="20"/>
          <w:szCs w:val="20"/>
          <w:color w:val="auto"/>
        </w:rPr>
      </w:pPr>
    </w:p>
    <w:p>
      <w:pPr>
        <w:ind w:right="520" w:firstLine="405"/>
        <w:spacing w:after="0" w:line="302" w:lineRule="auto"/>
        <w:rPr>
          <w:sz w:val="20"/>
          <w:szCs w:val="20"/>
          <w:color w:val="auto"/>
        </w:rPr>
      </w:pPr>
      <w:r>
        <w:rPr>
          <w:rFonts w:ascii="Arial" w:cs="Arial" w:eastAsia="Arial" w:hAnsi="Arial"/>
          <w:sz w:val="16"/>
          <w:szCs w:val="16"/>
          <w:color w:val="auto"/>
        </w:rPr>
        <w:t>Acquisitions during the three and nine months ended September 30, 2019 were not material individually or in the aggregate. As a result of certain acquisitions, our Automotive segment allocated $8 million to goodwill and $1 million to definite-lived intangible assets in the first quarter of 2019. In addition, as a result of certain acquisitions, our Home Fashion segment allocated $22 million to goodwill in the second quarter of 2019 and our Metals segment allocated $5 million and $6 million to goodwill and definite-lived intangible assets, respectively, also in the second quarter of 2019.</w:t>
      </w:r>
    </w:p>
    <w:p>
      <w:pPr>
        <w:spacing w:after="0" w:line="25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Segments and Holding Company</w:t>
      </w:r>
    </w:p>
    <w:p>
      <w:pPr>
        <w:spacing w:after="0" w:line="117"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and which primarily consist of leases that expire within 14 years.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20"/>
              <w:spacing w:after="0"/>
              <w:rPr>
                <w:sz w:val="20"/>
                <w:szCs w:val="20"/>
                <w:color w:val="auto"/>
              </w:rPr>
            </w:pPr>
            <w:r>
              <w:rPr>
                <w:rFonts w:ascii="Arial" w:cs="Arial" w:eastAsia="Arial" w:hAnsi="Arial"/>
                <w:sz w:val="18"/>
                <w:szCs w:val="18"/>
                <w:color w:val="auto"/>
              </w:rPr>
              <w:t>Right-of-use assets and lease liabilities are as follows:</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8"/>
        </w:trPr>
        <w:tc>
          <w:tcPr>
            <w:tcW w:w="49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jc w:val="right"/>
              <w:ind w:right="93"/>
              <w:spacing w:after="0"/>
              <w:rPr>
                <w:sz w:val="20"/>
                <w:szCs w:val="20"/>
                <w:color w:val="auto"/>
              </w:rPr>
            </w:pPr>
            <w:r>
              <w:rPr>
                <w:rFonts w:ascii="Arial" w:cs="Arial" w:eastAsia="Arial" w:hAnsi="Arial"/>
                <w:sz w:val="18"/>
                <w:szCs w:val="18"/>
                <w:b w:val="1"/>
                <w:bCs w:val="1"/>
                <w:color w:val="auto"/>
                <w:w w:val="89"/>
              </w:rPr>
              <w:t>September 30, 2019</w:t>
            </w:r>
          </w:p>
        </w:tc>
        <w:tc>
          <w:tcPr>
            <w:tcW w:w="24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Arial" w:cs="Arial" w:eastAsia="Arial" w:hAnsi="Arial"/>
                <w:sz w:val="18"/>
                <w:szCs w:val="18"/>
                <w:b w:val="1"/>
                <w:bCs w:val="1"/>
                <w:color w:val="auto"/>
                <w:w w:val="99"/>
              </w:rPr>
              <w:t>December 31, 2018</w:t>
            </w:r>
          </w:p>
        </w:tc>
      </w:tr>
      <w:tr>
        <w:trPr>
          <w:trHeight w:val="27"/>
        </w:trPr>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3"/>
          </w:tcPr>
          <w:p>
            <w:pPr>
              <w:spacing w:after="0"/>
              <w:rPr>
                <w:sz w:val="2"/>
                <w:szCs w:val="2"/>
                <w:color w:val="auto"/>
              </w:rPr>
            </w:pPr>
          </w:p>
        </w:tc>
      </w:tr>
      <w:tr>
        <w:trPr>
          <w:trHeight w:val="238"/>
        </w:trPr>
        <w:tc>
          <w:tcPr>
            <w:tcW w:w="49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20" w:type="dxa"/>
            <w:vAlign w:val="bottom"/>
            <w:gridSpan w:val="3"/>
          </w:tcPr>
          <w:p>
            <w:pPr>
              <w:ind w:left="1400"/>
              <w:spacing w:after="0"/>
              <w:rPr>
                <w:sz w:val="20"/>
                <w:szCs w:val="20"/>
                <w:color w:val="auto"/>
              </w:rPr>
            </w:pPr>
            <w:r>
              <w:rPr>
                <w:rFonts w:ascii="Arial" w:cs="Arial" w:eastAsia="Arial" w:hAnsi="Arial"/>
                <w:sz w:val="14"/>
                <w:szCs w:val="14"/>
                <w:color w:val="auto"/>
              </w:rPr>
              <w:t>(in millions)</w:t>
            </w:r>
          </w:p>
        </w:tc>
      </w:tr>
      <w:tr>
        <w:trPr>
          <w:trHeight w:val="255"/>
        </w:trPr>
        <w:tc>
          <w:tcPr>
            <w:tcW w:w="49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
        </w:trPr>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(other assets)</w:t>
            </w:r>
          </w:p>
        </w:tc>
        <w:tc>
          <w:tcPr>
            <w:tcW w:w="2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Lease liabilities (accrued expenses and other liabilities)</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1"/>
                <w:szCs w:val="21"/>
                <w:color w:val="auto"/>
              </w:rPr>
            </w:pP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324"/>
        </w:trPr>
        <w:tc>
          <w:tcPr>
            <w:tcW w:w="496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Financing Leases:</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(property, plant and equipment, net)</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41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Lease liabilities (debt)</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1"/>
                <w:szCs w:val="21"/>
                <w:color w:val="auto"/>
              </w:rPr>
            </w:pPr>
          </w:p>
        </w:tc>
        <w:tc>
          <w:tcPr>
            <w:tcW w:w="1680" w:type="dxa"/>
            <w:vAlign w:val="bottom"/>
          </w:tcPr>
          <w:p>
            <w:pPr>
              <w:ind w:left="1400"/>
              <w:spacing w:after="0"/>
              <w:rPr>
                <w:sz w:val="20"/>
                <w:szCs w:val="20"/>
                <w:color w:val="auto"/>
              </w:rPr>
            </w:pPr>
            <w:r>
              <w:rPr>
                <w:rFonts w:ascii="Arial" w:cs="Arial" w:eastAsia="Arial" w:hAnsi="Arial"/>
                <w:sz w:val="18"/>
                <w:szCs w:val="18"/>
                <w:color w:val="auto"/>
              </w:rPr>
              <w:t>52</w:t>
            </w:r>
          </w:p>
        </w:tc>
      </w:tr>
      <w:tr>
        <w:trPr>
          <w:trHeight w:val="918"/>
        </w:trPr>
        <w:tc>
          <w:tcPr>
            <w:tcW w:w="4960" w:type="dxa"/>
            <w:vAlign w:val="bottom"/>
          </w:tcPr>
          <w:p>
            <w:pPr>
              <w:spacing w:after="0"/>
              <w:rPr>
                <w:sz w:val="24"/>
                <w:szCs w:val="24"/>
                <w:color w:val="auto"/>
              </w:rPr>
            </w:pPr>
          </w:p>
        </w:tc>
        <w:tc>
          <w:tcPr>
            <w:tcW w:w="2700" w:type="dxa"/>
            <w:vAlign w:val="bottom"/>
          </w:tcPr>
          <w:p>
            <w:pPr>
              <w:jc w:val="right"/>
              <w:ind w:right="177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Additional information with respect to our operating leases as of September 30, 2019 is presented below. The lease terms and discount rates for our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gridSpan w:val="12"/>
          </w:tcPr>
          <w:p>
            <w:pPr>
              <w:spacing w:after="0"/>
              <w:rPr>
                <w:sz w:val="20"/>
                <w:szCs w:val="20"/>
                <w:color w:val="auto"/>
              </w:rPr>
            </w:pPr>
            <w:r>
              <w:rPr>
                <w:rFonts w:ascii="Arial" w:cs="Arial" w:eastAsia="Arial" w:hAnsi="Arial"/>
                <w:sz w:val="18"/>
                <w:szCs w:val="18"/>
                <w:color w:val="auto"/>
                <w:w w:val="91"/>
              </w:rPr>
              <w:t>Energy, Automotive and Food Packaging segments represent weighted averages based on their respective lease liability balances.</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Pr>
          <w:p>
            <w:pPr>
              <w:spacing w:after="0"/>
              <w:rPr>
                <w:sz w:val="24"/>
                <w:szCs w:val="24"/>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Right-Of-Use Assets</w:t>
            </w:r>
          </w:p>
        </w:tc>
        <w:tc>
          <w:tcPr>
            <w:tcW w:w="200" w:type="dxa"/>
            <w:vAlign w:val="bottom"/>
          </w:tcPr>
          <w:p>
            <w:pPr>
              <w:spacing w:after="0"/>
              <w:rPr>
                <w:sz w:val="24"/>
                <w:szCs w:val="24"/>
                <w:color w:val="auto"/>
              </w:rPr>
            </w:pPr>
          </w:p>
        </w:tc>
        <w:tc>
          <w:tcPr>
            <w:tcW w:w="19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4"/>
              </w:rPr>
              <w:t>Lease Liabilities</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Lease Term</w:t>
            </w:r>
          </w:p>
        </w:tc>
        <w:tc>
          <w:tcPr>
            <w:tcW w:w="340" w:type="dxa"/>
            <w:vAlign w:val="bottom"/>
          </w:tcPr>
          <w:p>
            <w:pPr>
              <w:spacing w:after="0"/>
              <w:rPr>
                <w:sz w:val="24"/>
                <w:szCs w:val="24"/>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Discount Rate</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20" w:type="dxa"/>
            <w:vAlign w:val="bottom"/>
            <w:gridSpan w:val="7"/>
          </w:tcPr>
          <w:p>
            <w:pPr>
              <w:jc w:val="right"/>
              <w:ind w:right="1800"/>
              <w:spacing w:after="0"/>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3.9 years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92"/>
              </w:rPr>
              <w:t>5.7%</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Automotive</w:t>
            </w:r>
          </w:p>
        </w:tc>
        <w:tc>
          <w:tcPr>
            <w:tcW w:w="1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5.3 years</w:t>
            </w:r>
          </w:p>
        </w:tc>
        <w:tc>
          <w:tcPr>
            <w:tcW w:w="340" w:type="dxa"/>
            <w:vAlign w:val="bottom"/>
          </w:tcPr>
          <w:p>
            <w:pPr>
              <w:spacing w:after="0"/>
              <w:rPr>
                <w:sz w:val="21"/>
                <w:szCs w:val="21"/>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92"/>
              </w:rPr>
              <w:t>5.7%</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12.7 years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92"/>
              </w:rPr>
              <w:t>7.5%</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Other segments and Holding Company</w:t>
            </w:r>
          </w:p>
        </w:tc>
        <w:tc>
          <w:tcPr>
            <w:tcW w:w="1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521"/>
        </w:trPr>
        <w:tc>
          <w:tcPr>
            <w:tcW w:w="5740" w:type="dxa"/>
            <w:vAlign w:val="bottom"/>
            <w:gridSpan w:val="5"/>
          </w:tcPr>
          <w:p>
            <w:pPr>
              <w:ind w:left="420"/>
              <w:spacing w:after="0"/>
              <w:rPr>
                <w:sz w:val="20"/>
                <w:szCs w:val="20"/>
                <w:color w:val="auto"/>
              </w:rPr>
            </w:pPr>
            <w:r>
              <w:rPr>
                <w:rFonts w:ascii="Arial" w:cs="Arial" w:eastAsia="Arial" w:hAnsi="Arial"/>
                <w:sz w:val="18"/>
                <w:szCs w:val="18"/>
                <w:color w:val="auto"/>
                <w:w w:val="96"/>
              </w:rPr>
              <w:t>Maturities of lease liabilities as of September 30, 2019 are as follows: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0"/>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Financing</w:t>
            </w:r>
          </w:p>
        </w:tc>
      </w:tr>
      <w:tr>
        <w:trPr>
          <w:trHeight w:val="234"/>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Operating Leases</w:t>
            </w:r>
          </w:p>
        </w:tc>
        <w:tc>
          <w:tcPr>
            <w:tcW w:w="340" w:type="dxa"/>
            <w:vAlign w:val="bottom"/>
          </w:tcPr>
          <w:p>
            <w:pPr>
              <w:spacing w:after="0"/>
              <w:rPr>
                <w:sz w:val="20"/>
                <w:szCs w:val="20"/>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b w:val="1"/>
                <w:bCs w:val="1"/>
                <w:color w:val="auto"/>
                <w:w w:val="81"/>
              </w:rPr>
              <w:t>Leases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480" w:type="dxa"/>
            <w:vAlign w:val="bottom"/>
          </w:tcPr>
          <w:p>
            <w:pPr>
              <w:spacing w:after="0"/>
              <w:rPr>
                <w:sz w:val="22"/>
                <w:szCs w:val="22"/>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37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lease expense are presented in the following table. Operating lease expense is net of immaterial amounts for sublease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7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5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324"/>
        </w:trPr>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Amortization of financing lease right-of-use assets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5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on financing lease liabilities</w:t>
            </w:r>
          </w:p>
        </w:tc>
        <w:tc>
          <w:tcPr>
            <w:tcW w:w="13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Our Real Estate segment leases real estate, primarily commercial properties under long-term operating leases. As of September 30, 2019 and December 31, 2018, our Real Estate segment has assets leased to others included in property, plant and equipment of $220 million and $217 million, respectively, net of accumulated depreciation. Our Real Estate segment’s revenue from operating leases were $9 million and $9 million for the three months ended September 30, 2019 and 2018, respectively, and $25 million and $30 million for the nine months ended September 30, 2019 and 2018, respectively, and are included in other revenue from operations in the condensed consolidated statements of operations. Our Real Estate segment’s anticipated future receipts of minimum operating lease payments receivable are $9 million for the remainder of 2019, $33 million in 2020 and $10 million in 2021 and thereafter.</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53"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24"/>
        </w:trPr>
        <w:tc>
          <w:tcPr>
            <w:tcW w:w="766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4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r>
      <w:tr>
        <w:trPr>
          <w:trHeight w:val="238"/>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20" w:type="dxa"/>
            <w:vAlign w:val="bottom"/>
            <w:gridSpan w:val="4"/>
          </w:tcPr>
          <w:p>
            <w:pPr>
              <w:jc w:val="right"/>
              <w:ind w:right="1390"/>
              <w:spacing w:after="0"/>
              <w:rPr>
                <w:sz w:val="20"/>
                <w:szCs w:val="20"/>
                <w:color w:val="auto"/>
              </w:rPr>
            </w:pPr>
            <w:r>
              <w:rPr>
                <w:rFonts w:ascii="Arial" w:cs="Arial" w:eastAsia="Arial" w:hAnsi="Arial"/>
                <w:sz w:val="14"/>
                <w:szCs w:val="14"/>
                <w:color w:val="auto"/>
              </w:rPr>
              <w:t>(in millions)</w:t>
            </w: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Holding Company:</w:t>
            </w: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unsecured notes due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5.875% senior unsecured notes due 2022</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1,344</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2022</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6.750% senior unsecured notes due 2024</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4.750% senior unsecured notes due 2024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6.375% senior unsecured notes due 2025</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748</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2026</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5,505</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Reporting Segments: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Energy</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1,170</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7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1,821</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During the second quarter of 2019, Icahn Enterprises and Icahn Enterprises Finance Corp. (together the “Issuers”) issued $1.250 billion in aggregate principal amount of 6.250% senior unsecured notes due 2026 (the “New 2026 Notes”). Proceeds from the New 2026 Notes, plus cash on hand, were used to repay in full our 6.000% senior unsecured notes due 2020, and to pay accrued interest and related fees and expenses, during the third quarter of 2019. During the third quarter of 2019, the Issuers issued $500 million in aggregate principal amount of 4.750% senior unsecured notes due 2024 (the “New 2024 Notes” and together with the New 2026 Notes, the “New Notes”). The New Notes are guaranteed by Icahn Enterprises Holdings (the “Guarantor”). Interest on the New Notes is payable semi-annually. In connection with these transactions, our Holding Company recorded a gain on extinguishment of debt of $2 million.</w:t>
      </w:r>
    </w:p>
    <w:p>
      <w:pPr>
        <w:spacing w:after="0" w:line="5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New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New Notes and the related guarantee are effectively subordinated to the Issuers’ and the Guarantor’s existing and future secured indebtedness to the extent of the collateral securing such indebtedness. The New Notes and the related guarantee are also effectively subordinated to all indebtedness and other liabilities of the Issuers’ subsidiaries other than the Guarantor.</w:t>
      </w:r>
    </w:p>
    <w:p>
      <w:pPr>
        <w:spacing w:after="0" w:line="8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indenture governing the New Notes restricts the payment of cash distributions, the purchase of equity interests or the purchase, redemption, defeasance or acquisition of debt subordinated to the senior unsecured notes. The indenture also restricts the incurrence of debt or the issuance of disqualified stock, as defined in the indentures, with certain exceptions. In addition, the indenture requires that on each quarterly determination date, Icahn Enterprises and the guarantor of the New Notes (currently only Icahn Enterprises Holdings) maintain certain minimum financial ratios, as defined therein. The indenture also restricts the creation of liens, mergers, consolidations and sales of substantially all of our assets, and transactions with affiliates.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 to Interest Expense</w:t>
      </w:r>
    </w:p>
    <w:p>
      <w:pPr>
        <w:spacing w:after="0" w:line="121"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condensed consolidated statements of operations were $1 million and $2 million for the three months ended September 30, 2019 and 2018, respectively, and $5 million and $4 million for the nine months ended September 30, 2019 and 2018,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LP Unit.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the computation of basic and diluted income (loss) per LP unit from continuing and discontinued operations of Icahn Enterprises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as follows:</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780" w:type="dxa"/>
            <w:vAlign w:val="bottom"/>
          </w:tcPr>
          <w:p>
            <w:pPr>
              <w:spacing w:after="0"/>
              <w:rPr>
                <w:sz w:val="24"/>
                <w:szCs w:val="24"/>
                <w:color w:val="auto"/>
              </w:rPr>
            </w:pPr>
          </w:p>
        </w:tc>
        <w:tc>
          <w:tcPr>
            <w:tcW w:w="388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September 30,</w:t>
            </w:r>
          </w:p>
        </w:tc>
        <w:tc>
          <w:tcPr>
            <w:tcW w:w="340" w:type="dxa"/>
            <w:vAlign w:val="bottom"/>
          </w:tcPr>
          <w:p>
            <w:pPr>
              <w:spacing w:after="0"/>
              <w:rPr>
                <w:sz w:val="24"/>
                <w:szCs w:val="24"/>
                <w:color w:val="auto"/>
              </w:rPr>
            </w:pPr>
          </w:p>
        </w:tc>
        <w:tc>
          <w:tcPr>
            <w:tcW w:w="34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2"/>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5"/>
          </w:tcPr>
          <w:p>
            <w:pPr>
              <w:ind w:left="360"/>
              <w:spacing w:after="0"/>
              <w:rPr>
                <w:sz w:val="20"/>
                <w:szCs w:val="20"/>
                <w:color w:val="auto"/>
              </w:rPr>
            </w:pPr>
            <w:r>
              <w:rPr>
                <w:rFonts w:ascii="Arial" w:cs="Arial" w:eastAsia="Arial" w:hAnsi="Arial"/>
                <w:sz w:val="14"/>
                <w:szCs w:val="14"/>
                <w:color w:val="auto"/>
              </w:rPr>
              <w:t>(in millions, except per unit amounts)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(loss) income attributable to Icahn Enterprises</w:t>
            </w:r>
          </w:p>
        </w:tc>
        <w:tc>
          <w:tcPr>
            <w:tcW w:w="1240" w:type="dxa"/>
            <w:vAlign w:val="bottom"/>
            <w:vMerge w:val="restart"/>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20"/>
                <w:szCs w:val="20"/>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from continuing operations</w:t>
            </w: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w w:val="93"/>
              </w:rPr>
              <w:t>Net (loss) income attributable to Icahn Enterprises</w:t>
            </w: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w w:val="97"/>
              </w:rPr>
              <w:t>from continuing operations allocated to limited</w:t>
            </w:r>
          </w:p>
        </w:tc>
        <w:tc>
          <w:tcPr>
            <w:tcW w:w="1240" w:type="dxa"/>
            <w:vAlign w:val="bottom"/>
            <w:vMerge w:val="restart"/>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partners (98.01% allocation)</w:t>
            </w:r>
          </w:p>
        </w:tc>
        <w:tc>
          <w:tcPr>
            <w:tcW w:w="124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Net income (loss) attributable to Icahn Enterprises</w:t>
            </w:r>
          </w:p>
        </w:tc>
        <w:tc>
          <w:tcPr>
            <w:tcW w:w="1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from discontinued operations allocated to limited</w:t>
            </w:r>
          </w:p>
        </w:tc>
        <w:tc>
          <w:tcPr>
            <w:tcW w:w="1240" w:type="dxa"/>
            <w:vAlign w:val="bottom"/>
            <w:vMerge w:val="restart"/>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partners (98.01% allocation)</w:t>
            </w:r>
          </w:p>
        </w:tc>
        <w:tc>
          <w:tcPr>
            <w:tcW w:w="1240" w:type="dxa"/>
            <w:vAlign w:val="bottom"/>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income per LP unit:</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4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7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Basic and diluted weighted average LP units</w:t>
            </w:r>
          </w:p>
        </w:tc>
        <w:tc>
          <w:tcPr>
            <w:tcW w:w="1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Distributions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During 2019, Icahn Enterprises declared three quarterly distributions in which each depositary unitholder had the option to make an election to receive either cash or additional depositary units. As a result of these distributions declared, during the three and nine months ended September 30, 2019, Icahn Enterprises distributed an aggregate 5,583,252 and 15,617,442, respectively, depositary units to unitholders electing to receive depositary units. In connection with these distributions, aggregate cash distributions to all depositary unitholders was $27 million and $81 million during the three and nine months ended September 30, 2019, respectively.</w:t>
      </w:r>
    </w:p>
    <w:p>
      <w:pPr>
        <w:spacing w:after="0" w:line="8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Mr. Icahn and his affiliates received an aggregate 15,406,011 depositary units during the nine months ended September 30, 2019 with respect to these three quarterly distributions.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At-The-Market Offering</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May 2, 2019, Icahn Enterprises announced the commencement of its “at-the-market” offering pursuant to its Open Market Sale Agreement, pursuant to which Icahn Enterprises may sell its depositary units, from time to time, for up to $400 million in aggregate sale proceeds. During the three and nine months ended September 30, 2019, Icahn Enterprises sold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3"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349,699 and 487,223, respectively, depositary units pursuant to the Open Market Sale Agreement, resulting in gross proceeds of $24 million and $34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Incentive Plan</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During the three months ended September 30, 2019 and 2018, Icahn Enterprises distributed 4,817 and 1,329 depositary units, respectively, and 18,304 and 19,487 depositary units during the nine months ended September 30, 2019 and 2018, respectively, net of payroll withholdings, with respect to certain restricted depositary units and deferred unit awards that vested during the period in connection with the Icahn Enterprises L.P. 2017 Long Term Incentive Plan (the “2017 Incentive Plan”). The aggregate impact of the 2017 Incentive Plan is not material with respect to our condensed consolidated financial statements, including the calculation of potentially dilutive units and diluted income per LP unit.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5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121"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9"/>
          </w:tcPr>
          <w:p>
            <w:pPr>
              <w:jc w:val="right"/>
              <w:spacing w:after="0"/>
              <w:rPr>
                <w:sz w:val="20"/>
                <w:szCs w:val="20"/>
                <w:color w:val="auto"/>
              </w:rPr>
            </w:pPr>
            <w:r>
              <w:rPr>
                <w:rFonts w:ascii="Arial" w:cs="Arial" w:eastAsia="Arial" w:hAnsi="Arial"/>
                <w:sz w:val="11"/>
                <w:szCs w:val="11"/>
                <w:b w:val="1"/>
                <w:bCs w:val="1"/>
                <w:color w:val="auto"/>
                <w:w w:val="98"/>
              </w:rPr>
              <w:t>Three Months Ended September 30, 2019</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
              <w:spacing w:after="0"/>
              <w:rPr>
                <w:sz w:val="20"/>
                <w:szCs w:val="20"/>
                <w:color w:val="auto"/>
              </w:rPr>
            </w:pPr>
            <w:r>
              <w:rPr>
                <w:rFonts w:ascii="Arial" w:cs="Arial" w:eastAsia="Arial" w:hAnsi="Arial"/>
                <w:sz w:val="11"/>
                <w:szCs w:val="1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2,484</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170</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(657)</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69</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(Loss) 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249</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income (loss),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2,320</w:t>
            </w:r>
          </w:p>
        </w:tc>
      </w:tr>
      <w:tr>
        <w:trPr>
          <w:trHeight w:val="242"/>
        </w:trPr>
        <w:tc>
          <w:tcPr>
            <w:tcW w:w="366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2,069</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141</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352</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153</w:t>
            </w:r>
          </w:p>
        </w:tc>
      </w:tr>
      <w:tr>
        <w:trPr>
          <w:trHeight w:val="228"/>
        </w:trPr>
        <w:tc>
          <w:tcPr>
            <w:tcW w:w="3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1,503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811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2,719</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4"/>
              </w:rPr>
              <w:t>(Loss) income from continuing operations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(399)</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 from continuing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(373)</w:t>
            </w:r>
          </w:p>
        </w:tc>
      </w:tr>
      <w:tr>
        <w:trPr>
          <w:trHeight w:val="139"/>
        </w:trPr>
        <w:tc>
          <w:tcPr>
            <w:tcW w:w="3660" w:type="dxa"/>
            <w:vAlign w:val="bottom"/>
          </w:tcPr>
          <w:p>
            <w:pPr>
              <w:ind w:left="40"/>
              <w:spacing w:after="0"/>
              <w:rPr>
                <w:sz w:val="20"/>
                <w:szCs w:val="20"/>
                <w:color w:val="auto"/>
              </w:rPr>
            </w:pPr>
            <w:r>
              <w:rPr>
                <w:rFonts w:ascii="Arial" w:cs="Arial" w:eastAsia="Arial" w:hAnsi="Arial"/>
                <w:sz w:val="11"/>
                <w:szCs w:val="11"/>
                <w:color w:val="auto"/>
                <w:w w:val="92"/>
              </w:rPr>
              <w:t>Less: net (loss) income from continuing operations attributable to non-controlling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366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(324)</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5"/>
              </w:rPr>
              <w:t>Net (loss) income from continuing operations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36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129</w:t>
            </w:r>
          </w:p>
        </w:tc>
      </w:tr>
      <w:tr>
        <w:trPr>
          <w:trHeight w:val="22"/>
        </w:trPr>
        <w:tc>
          <w:tcPr>
            <w:tcW w:w="3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2324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-779780</wp:posOffset>
            </wp:positionV>
            <wp:extent cx="232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2324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-1482725</wp:posOffset>
            </wp:positionV>
            <wp:extent cx="2324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9"/>
          </w:tcPr>
          <w:p>
            <w:pPr>
              <w:jc w:val="right"/>
              <w:spacing w:after="0"/>
              <w:rPr>
                <w:sz w:val="20"/>
                <w:szCs w:val="20"/>
                <w:color w:val="auto"/>
              </w:rPr>
            </w:pPr>
            <w:r>
              <w:rPr>
                <w:rFonts w:ascii="Arial" w:cs="Arial" w:eastAsia="Arial" w:hAnsi="Arial"/>
                <w:sz w:val="11"/>
                <w:szCs w:val="11"/>
                <w:b w:val="1"/>
                <w:bCs w:val="1"/>
                <w:color w:val="auto"/>
                <w:w w:val="98"/>
              </w:rPr>
              <w:t>Three Months Ended September 30, 2018</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
              <w:spacing w:after="0"/>
              <w:rPr>
                <w:sz w:val="20"/>
                <w:szCs w:val="20"/>
                <w:color w:val="auto"/>
              </w:rPr>
            </w:pPr>
            <w:r>
              <w:rPr>
                <w:rFonts w:ascii="Arial" w:cs="Arial" w:eastAsia="Arial" w:hAnsi="Arial"/>
                <w:sz w:val="11"/>
                <w:szCs w:val="1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2,815</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166</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(514)</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income (loss),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2,569</w:t>
            </w:r>
          </w:p>
        </w:tc>
      </w:tr>
      <w:tr>
        <w:trPr>
          <w:trHeight w:val="242"/>
        </w:trPr>
        <w:tc>
          <w:tcPr>
            <w:tcW w:w="366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2,372</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138</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329</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w:t>
            </w:r>
          </w:p>
        </w:tc>
      </w:tr>
      <w:tr>
        <w:trPr>
          <w:trHeight w:val="228"/>
        </w:trPr>
        <w:tc>
          <w:tcPr>
            <w:tcW w:w="3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1,812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757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2,981</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4"/>
              </w:rPr>
              <w:t>(Loss) income from continuing operations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(412)</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78</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 from continuing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(334)</w:t>
            </w:r>
          </w:p>
        </w:tc>
      </w:tr>
      <w:tr>
        <w:trPr>
          <w:trHeight w:val="139"/>
        </w:trPr>
        <w:tc>
          <w:tcPr>
            <w:tcW w:w="3660" w:type="dxa"/>
            <w:vAlign w:val="bottom"/>
          </w:tcPr>
          <w:p>
            <w:pPr>
              <w:ind w:left="40"/>
              <w:spacing w:after="0"/>
              <w:rPr>
                <w:sz w:val="20"/>
                <w:szCs w:val="20"/>
                <w:color w:val="auto"/>
              </w:rPr>
            </w:pPr>
            <w:r>
              <w:rPr>
                <w:rFonts w:ascii="Arial" w:cs="Arial" w:eastAsia="Arial" w:hAnsi="Arial"/>
                <w:sz w:val="11"/>
                <w:szCs w:val="11"/>
                <w:color w:val="auto"/>
                <w:w w:val="92"/>
              </w:rPr>
              <w:t>Less: net (loss) income from continuing operations attributable to non-controlling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366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(289)</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5"/>
              </w:rPr>
              <w:t>Net (loss) income from continuing operations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67</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w:t>
            </w:r>
          </w:p>
        </w:tc>
      </w:tr>
      <w:tr>
        <w:trPr>
          <w:trHeight w:val="383"/>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9"/>
          </w:tcPr>
          <w:p>
            <w:pPr>
              <w:jc w:val="right"/>
              <w:spacing w:after="0"/>
              <w:rPr>
                <w:sz w:val="20"/>
                <w:szCs w:val="20"/>
                <w:color w:val="auto"/>
              </w:rPr>
            </w:pPr>
            <w:r>
              <w:rPr>
                <w:rFonts w:ascii="Arial" w:cs="Arial" w:eastAsia="Arial" w:hAnsi="Arial"/>
                <w:sz w:val="11"/>
                <w:szCs w:val="11"/>
                <w:b w:val="1"/>
                <w:bCs w:val="1"/>
                <w:color w:val="auto"/>
                <w:w w:val="99"/>
              </w:rPr>
              <w:t>Nine Months Ended September 30, 2019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
              <w:spacing w:after="0"/>
              <w:rPr>
                <w:sz w:val="20"/>
                <w:szCs w:val="20"/>
                <w:color w:val="auto"/>
              </w:rPr>
            </w:pPr>
            <w:r>
              <w:rPr>
                <w:rFonts w:ascii="Arial" w:cs="Arial" w:eastAsia="Arial" w:hAnsi="Arial"/>
                <w:sz w:val="11"/>
                <w:szCs w:val="1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7,371</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504</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(1,968)</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192</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256</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6,371</w:t>
            </w:r>
          </w:p>
        </w:tc>
      </w:tr>
      <w:tr>
        <w:trPr>
          <w:trHeight w:val="242"/>
        </w:trPr>
        <w:tc>
          <w:tcPr>
            <w:tcW w:w="366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6,098</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409</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1,027</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443</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7,993</w:t>
            </w:r>
          </w:p>
        </w:tc>
      </w:tr>
      <w:tr>
        <w:trPr>
          <w:trHeight w:val="228"/>
        </w:trPr>
        <w:tc>
          <w:tcPr>
            <w:tcW w:w="3660" w:type="dxa"/>
            <w:vAlign w:val="bottom"/>
          </w:tcPr>
          <w:p>
            <w:pPr>
              <w:ind w:left="40"/>
              <w:spacing w:after="0"/>
              <w:rPr>
                <w:sz w:val="20"/>
                <w:szCs w:val="20"/>
                <w:color w:val="auto"/>
              </w:rPr>
            </w:pPr>
            <w:r>
              <w:rPr>
                <w:rFonts w:ascii="Arial" w:cs="Arial" w:eastAsia="Arial" w:hAnsi="Arial"/>
                <w:sz w:val="11"/>
                <w:szCs w:val="11"/>
                <w:color w:val="auto"/>
                <w:w w:val="94"/>
              </w:rPr>
              <w:t>(Loss) income from continuing operations before income tax (expense) benefit</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(1,564)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(570)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(1,622)</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r>
      <w:tr>
        <w:trPr>
          <w:trHeight w:val="228"/>
        </w:trPr>
        <w:tc>
          <w:tcPr>
            <w:tcW w:w="3660" w:type="dxa"/>
            <w:vAlign w:val="bottom"/>
          </w:tcPr>
          <w:p>
            <w:pPr>
              <w:ind w:left="40"/>
              <w:spacing w:after="0"/>
              <w:rPr>
                <w:sz w:val="20"/>
                <w:szCs w:val="20"/>
                <w:color w:val="auto"/>
              </w:rPr>
            </w:pPr>
            <w:r>
              <w:rPr>
                <w:rFonts w:ascii="Arial" w:cs="Arial" w:eastAsia="Arial" w:hAnsi="Arial"/>
                <w:sz w:val="11"/>
                <w:szCs w:val="11"/>
                <w:color w:val="auto"/>
              </w:rPr>
              <w:t>Net (loss) income from continuing operations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(1,564)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(494)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(1,610)</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660" w:type="dxa"/>
            <w:vAlign w:val="bottom"/>
            <w:shd w:val="clear" w:color="auto" w:fill="CCEEFF"/>
          </w:tcPr>
          <w:p>
            <w:pPr>
              <w:ind w:left="40"/>
              <w:spacing w:after="0"/>
              <w:rPr>
                <w:sz w:val="20"/>
                <w:szCs w:val="20"/>
                <w:color w:val="auto"/>
              </w:rPr>
            </w:pPr>
            <w:r>
              <w:rPr>
                <w:rFonts w:ascii="Arial" w:cs="Arial" w:eastAsia="Arial" w:hAnsi="Arial"/>
                <w:sz w:val="11"/>
                <w:szCs w:val="11"/>
                <w:color w:val="auto"/>
                <w:w w:val="92"/>
              </w:rPr>
              <w:t>Less: net (loss) income from continuing operations attributable to non-controlling</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(779)</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(693)</w:t>
            </w:r>
          </w:p>
        </w:tc>
      </w:tr>
      <w:tr>
        <w:trPr>
          <w:trHeight w:val="215"/>
        </w:trPr>
        <w:tc>
          <w:tcPr>
            <w:tcW w:w="3660" w:type="dxa"/>
            <w:vAlign w:val="bottom"/>
          </w:tcPr>
          <w:p>
            <w:pPr>
              <w:ind w:left="40"/>
              <w:spacing w:after="0"/>
              <w:rPr>
                <w:sz w:val="20"/>
                <w:szCs w:val="20"/>
                <w:color w:val="auto"/>
              </w:rPr>
            </w:pPr>
            <w:r>
              <w:rPr>
                <w:rFonts w:ascii="Arial" w:cs="Arial" w:eastAsia="Arial" w:hAnsi="Arial"/>
                <w:sz w:val="11"/>
                <w:szCs w:val="11"/>
                <w:color w:val="auto"/>
                <w:w w:val="95"/>
              </w:rPr>
              <w:t>Net (loss) income from continuing operations attributable to Icahn Enterprises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(494)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(917)</w:t>
            </w:r>
          </w:p>
        </w:tc>
      </w:tr>
      <w:tr>
        <w:trPr>
          <w:trHeight w:val="62"/>
        </w:trPr>
        <w:tc>
          <w:tcPr>
            <w:tcW w:w="36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3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-5473700</wp:posOffset>
            </wp:positionV>
            <wp:extent cx="2324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-5628005</wp:posOffset>
            </wp:positionV>
            <wp:extent cx="23241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-5988685</wp:posOffset>
            </wp:positionV>
            <wp:extent cx="2324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-6331585</wp:posOffset>
            </wp:positionV>
            <wp:extent cx="23241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2324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553" w:right="239" w:bottom="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019"/>
          </w:cols>
          <w:pgMar w:left="1440" w:top="584"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0" w:type="dxa"/>
            <w:vAlign w:val="bottom"/>
            <w:gridSpan w:val="12"/>
          </w:tcPr>
          <w:p>
            <w:pPr>
              <w:jc w:val="center"/>
              <w:ind w:right="260"/>
              <w:spacing w:after="0"/>
              <w:rPr>
                <w:sz w:val="20"/>
                <w:szCs w:val="20"/>
                <w:color w:val="auto"/>
              </w:rPr>
            </w:pPr>
            <w:r>
              <w:rPr>
                <w:rFonts w:ascii="Arial" w:cs="Arial" w:eastAsia="Arial" w:hAnsi="Arial"/>
                <w:sz w:val="11"/>
                <w:szCs w:val="11"/>
                <w:b w:val="1"/>
                <w:bCs w:val="1"/>
                <w:color w:val="auto"/>
                <w:w w:val="89"/>
              </w:rPr>
              <w:t>Nine Months Ended September 30, 2018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rPr>
              <w:t>Food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Home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w w:val="87"/>
              </w:rPr>
              <w:t>Packaging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Metals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5"/>
          </w:tcPr>
          <w:p>
            <w:pPr>
              <w:jc w:val="center"/>
              <w:ind w:right="28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299</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370</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7,998</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491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(Loss) 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8,975</w:t>
            </w:r>
          </w:p>
        </w:tc>
      </w:tr>
      <w:tr>
        <w:trPr>
          <w:trHeight w:val="242"/>
        </w:trPr>
        <w:tc>
          <w:tcPr>
            <w:tcW w:w="298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6,786</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1,012</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8,609</w:t>
            </w:r>
          </w:p>
        </w:tc>
      </w:tr>
      <w:tr>
        <w:trPr>
          <w:trHeight w:val="132"/>
        </w:trPr>
        <w:tc>
          <w:tcPr>
            <w:tcW w:w="2980" w:type="dxa"/>
            <w:vAlign w:val="bottom"/>
          </w:tcPr>
          <w:p>
            <w:pPr>
              <w:ind w:left="40"/>
              <w:spacing w:after="0"/>
              <w:rPr>
                <w:sz w:val="20"/>
                <w:szCs w:val="20"/>
                <w:color w:val="auto"/>
              </w:rPr>
            </w:pPr>
            <w:r>
              <w:rPr>
                <w:rFonts w:ascii="Arial" w:cs="Arial" w:eastAsia="Arial" w:hAnsi="Arial"/>
                <w:sz w:val="11"/>
                <w:szCs w:val="11"/>
                <w:color w:val="auto"/>
              </w:rPr>
              <w:t>Income (loss) from continuing operations before income tax</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2980" w:type="dxa"/>
            <w:vAlign w:val="bottom"/>
          </w:tcPr>
          <w:p>
            <w:pPr>
              <w:ind w:left="200"/>
              <w:spacing w:after="0"/>
              <w:rPr>
                <w:sz w:val="20"/>
                <w:szCs w:val="20"/>
                <w:color w:val="auto"/>
              </w:rPr>
            </w:pPr>
            <w:r>
              <w:rPr>
                <w:rFonts w:ascii="Arial" w:cs="Arial" w:eastAsia="Arial" w:hAnsi="Arial"/>
                <w:sz w:val="11"/>
                <w:szCs w:val="11"/>
                <w:color w:val="auto"/>
              </w:rPr>
              <w:t>(expense) benefit</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r>
      <w:tr>
        <w:trPr>
          <w:trHeight w:val="228"/>
        </w:trPr>
        <w:tc>
          <w:tcPr>
            <w:tcW w:w="2980" w:type="dxa"/>
            <w:vAlign w:val="bottom"/>
          </w:tcPr>
          <w:p>
            <w:pPr>
              <w:ind w:left="4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9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2"/>
              </w:rPr>
              <w:t>Less: net income (loss)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242</w:t>
            </w:r>
          </w:p>
        </w:tc>
      </w:tr>
      <w:tr>
        <w:trPr>
          <w:trHeight w:val="132"/>
        </w:trPr>
        <w:tc>
          <w:tcPr>
            <w:tcW w:w="2980" w:type="dxa"/>
            <w:vAlign w:val="bottom"/>
          </w:tcPr>
          <w:p>
            <w:pPr>
              <w:ind w:left="40"/>
              <w:spacing w:after="0"/>
              <w:rPr>
                <w:sz w:val="20"/>
                <w:szCs w:val="20"/>
                <w:color w:val="auto"/>
              </w:rPr>
            </w:pPr>
            <w:r>
              <w:rPr>
                <w:rFonts w:ascii="Arial" w:cs="Arial" w:eastAsia="Arial" w:hAnsi="Arial"/>
                <w:sz w:val="11"/>
                <w:szCs w:val="11"/>
                <w:color w:val="auto"/>
                <w:w w:val="91"/>
              </w:rPr>
              <w:t>Net income (loss)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29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(12)</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201</w:t>
            </w:r>
          </w:p>
        </w:tc>
      </w:tr>
      <w:tr>
        <w:trPr>
          <w:trHeight w:val="62"/>
        </w:trPr>
        <w:tc>
          <w:tcPr>
            <w:tcW w:w="29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193</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19</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13</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886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and Energy and Automotive segments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88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 products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Nitrogen fertilizer products</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Automotive segment net sales and other revenues from operations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services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Aftermarket parts sales</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394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1,166</w:t>
            </w:r>
          </w:p>
        </w:tc>
      </w:tr>
      <w:tr>
        <w:trPr>
          <w:trHeight w:val="27"/>
        </w:trPr>
        <w:tc>
          <w:tcPr>
            <w:tcW w:w="37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53" w:right="239" w:bottom="427"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019"/>
          </w:cols>
          <w:pgMar w:left="1440" w:top="125"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Icahn Enterprises’ condensed balance sheets by reporting segment are presented below. Icahn Enterprises Holdings’ condensed balance sheets are substantially the same, with immaterial differences relating to our Holding Company’s other assets, debt and equity attributable to Icahn Enterprises Holdings.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6"/>
          </w:tcPr>
          <w:p>
            <w:pPr>
              <w:jc w:val="center"/>
              <w:ind w:left="266"/>
              <w:spacing w:after="0"/>
              <w:rPr>
                <w:sz w:val="20"/>
                <w:szCs w:val="20"/>
                <w:color w:val="auto"/>
              </w:rPr>
            </w:pPr>
            <w:r>
              <w:rPr>
                <w:rFonts w:ascii="Arial" w:cs="Arial" w:eastAsia="Arial" w:hAnsi="Arial"/>
                <w:sz w:val="11"/>
                <w:szCs w:val="11"/>
                <w:b w:val="1"/>
                <w:bCs w:val="1"/>
                <w:color w:val="auto"/>
                <w:w w:val="87"/>
              </w:rPr>
              <w:t>September 30, 2019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Food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87"/>
              </w:rPr>
              <w:t>Packaging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gridSpan w:val="5"/>
          </w:tcPr>
          <w:p>
            <w:pPr>
              <w:jc w:val="center"/>
              <w:ind w:right="22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98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3,266</w:t>
            </w:r>
          </w:p>
        </w:tc>
        <w:tc>
          <w:tcPr>
            <w:tcW w:w="0" w:type="dxa"/>
            <w:vAlign w:val="bottom"/>
          </w:tcPr>
          <w:p>
            <w:pPr>
              <w:spacing w:after="0"/>
              <w:rPr>
                <w:sz w:val="1"/>
                <w:szCs w:val="1"/>
                <w:color w:val="auto"/>
              </w:rPr>
            </w:pPr>
          </w:p>
        </w:tc>
      </w:tr>
      <w:tr>
        <w:trPr>
          <w:trHeight w:val="248"/>
        </w:trPr>
        <w:tc>
          <w:tcPr>
            <w:tcW w:w="4360" w:type="dxa"/>
            <w:vAlign w:val="bottom"/>
          </w:tcPr>
          <w:p>
            <w:pPr>
              <w:ind w:left="40"/>
              <w:spacing w:after="0"/>
              <w:rPr>
                <w:sz w:val="20"/>
                <w:szCs w:val="20"/>
                <w:color w:val="auto"/>
              </w:rPr>
            </w:pPr>
            <w:r>
              <w:rPr>
                <w:rFonts w:ascii="Arial" w:cs="Arial" w:eastAsia="Arial" w:hAnsi="Arial"/>
                <w:sz w:val="11"/>
                <w:szCs w:val="11"/>
                <w:color w:val="auto"/>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613</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9,437</w:t>
            </w:r>
          </w:p>
        </w:tc>
        <w:tc>
          <w:tcPr>
            <w:tcW w:w="0" w:type="dxa"/>
            <w:vAlign w:val="bottom"/>
          </w:tcPr>
          <w:p>
            <w:pPr>
              <w:spacing w:after="0"/>
              <w:rPr>
                <w:sz w:val="1"/>
                <w:szCs w:val="1"/>
                <w:color w:val="auto"/>
              </w:rPr>
            </w:pPr>
          </w:p>
        </w:tc>
      </w:tr>
      <w:tr>
        <w:trPr>
          <w:trHeight w:val="248"/>
        </w:trPr>
        <w:tc>
          <w:tcPr>
            <w:tcW w:w="436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1,817</w:t>
            </w:r>
          </w:p>
        </w:tc>
        <w:tc>
          <w:tcPr>
            <w:tcW w:w="0" w:type="dxa"/>
            <w:vAlign w:val="bottom"/>
          </w:tcPr>
          <w:p>
            <w:pPr>
              <w:spacing w:after="0"/>
              <w:rPr>
                <w:sz w:val="1"/>
                <w:szCs w:val="1"/>
                <w:color w:val="auto"/>
              </w:rPr>
            </w:pPr>
          </w:p>
        </w:tc>
      </w:tr>
      <w:tr>
        <w:trPr>
          <w:trHeight w:val="248"/>
        </w:trPr>
        <w:tc>
          <w:tcPr>
            <w:tcW w:w="436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2,919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387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4,592</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730</w:t>
            </w:r>
          </w:p>
        </w:tc>
        <w:tc>
          <w:tcPr>
            <w:tcW w:w="0" w:type="dxa"/>
            <w:vAlign w:val="bottom"/>
          </w:tcPr>
          <w:p>
            <w:pPr>
              <w:spacing w:after="0"/>
              <w:rPr>
                <w:sz w:val="1"/>
                <w:szCs w:val="1"/>
                <w:color w:val="auto"/>
              </w:rPr>
            </w:pPr>
          </w:p>
        </w:tc>
      </w:tr>
      <w:tr>
        <w:trPr>
          <w:trHeight w:val="248"/>
        </w:trPr>
        <w:tc>
          <w:tcPr>
            <w:tcW w:w="436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2,302</w:t>
            </w:r>
          </w:p>
        </w:tc>
        <w:tc>
          <w:tcPr>
            <w:tcW w:w="0" w:type="dxa"/>
            <w:vAlign w:val="bottom"/>
          </w:tcPr>
          <w:p>
            <w:pPr>
              <w:spacing w:after="0"/>
              <w:rPr>
                <w:sz w:val="1"/>
                <w:szCs w:val="1"/>
                <w:color w:val="auto"/>
              </w:rPr>
            </w:pP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10,482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4,747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3,550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520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499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2,997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23,257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50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3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4,437</w:t>
            </w:r>
          </w:p>
        </w:tc>
        <w:tc>
          <w:tcPr>
            <w:tcW w:w="0" w:type="dxa"/>
            <w:vAlign w:val="bottom"/>
          </w:tcPr>
          <w:p>
            <w:pPr>
              <w:spacing w:after="0"/>
              <w:rPr>
                <w:sz w:val="1"/>
                <w:szCs w:val="1"/>
                <w:color w:val="auto"/>
              </w:rPr>
            </w:pPr>
          </w:p>
        </w:tc>
      </w:tr>
      <w:tr>
        <w:trPr>
          <w:trHeight w:val="248"/>
        </w:trPr>
        <w:tc>
          <w:tcPr>
            <w:tcW w:w="436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223</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7,449</w:t>
            </w:r>
          </w:p>
        </w:tc>
        <w:tc>
          <w:tcPr>
            <w:tcW w:w="0" w:type="dxa"/>
            <w:vAlign w:val="bottom"/>
          </w:tcPr>
          <w:p>
            <w:pPr>
              <w:spacing w:after="0"/>
              <w:rPr>
                <w:sz w:val="1"/>
                <w:szCs w:val="1"/>
                <w:color w:val="auto"/>
              </w:rPr>
            </w:pPr>
          </w:p>
        </w:tc>
      </w:tr>
      <w:tr>
        <w:trPr>
          <w:trHeight w:val="228"/>
        </w:trPr>
        <w:tc>
          <w:tcPr>
            <w:tcW w:w="436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1,723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1,708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464</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5,643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12,109</w:t>
            </w:r>
          </w:p>
        </w:tc>
        <w:tc>
          <w:tcPr>
            <w:tcW w:w="0" w:type="dxa"/>
            <w:vAlign w:val="bottom"/>
          </w:tcPr>
          <w:p>
            <w:pPr>
              <w:spacing w:after="0"/>
              <w:rPr>
                <w:sz w:val="1"/>
                <w:szCs w:val="1"/>
                <w:color w:val="auto"/>
              </w:rPr>
            </w:pP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36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(2,646)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5,633</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5,515</w:t>
            </w:r>
          </w:p>
        </w:tc>
        <w:tc>
          <w:tcPr>
            <w:tcW w:w="0" w:type="dxa"/>
            <w:vAlign w:val="bottom"/>
          </w:tcPr>
          <w:p>
            <w:pPr>
              <w:spacing w:after="0"/>
              <w:rPr>
                <w:sz w:val="1"/>
                <w:szCs w:val="1"/>
                <w:color w:val="auto"/>
              </w:rPr>
            </w:pPr>
          </w:p>
        </w:tc>
      </w:tr>
      <w:tr>
        <w:trPr>
          <w:trHeight w:val="228"/>
        </w:trPr>
        <w:tc>
          <w:tcPr>
            <w:tcW w:w="436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8,759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2,367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1,842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56</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(2,646)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11,148</w:t>
            </w:r>
          </w:p>
        </w:tc>
        <w:tc>
          <w:tcPr>
            <w:tcW w:w="0" w:type="dxa"/>
            <w:vAlign w:val="bottom"/>
          </w:tcPr>
          <w:p>
            <w:pPr>
              <w:spacing w:after="0"/>
              <w:rPr>
                <w:sz w:val="1"/>
                <w:szCs w:val="1"/>
                <w:color w:val="auto"/>
              </w:rPr>
            </w:pP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10,482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4,747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3,550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520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499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2,997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23,257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ind w:left="20"/>
              <w:spacing w:after="0"/>
              <w:rPr>
                <w:sz w:val="20"/>
                <w:szCs w:val="20"/>
                <w:color w:val="auto"/>
              </w:rPr>
            </w:pPr>
            <w:r>
              <w:rPr>
                <w:rFonts w:ascii="Arial" w:cs="Arial" w:eastAsia="Arial" w:hAnsi="Arial"/>
                <w:sz w:val="11"/>
                <w:szCs w:val="11"/>
                <w:b w:val="1"/>
                <w:bCs w:val="1"/>
                <w:color w:val="auto"/>
              </w:rPr>
              <w:t>December 31, 2018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
              <w:spacing w:after="0"/>
              <w:rPr>
                <w:sz w:val="20"/>
                <w:szCs w:val="20"/>
                <w:color w:val="auto"/>
              </w:rPr>
            </w:pPr>
            <w:r>
              <w:rPr>
                <w:rFonts w:ascii="Arial" w:cs="Arial" w:eastAsia="Arial" w:hAnsi="Arial"/>
                <w:sz w:val="11"/>
                <w:szCs w:val="1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64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2,656</w:t>
            </w:r>
          </w:p>
        </w:tc>
        <w:tc>
          <w:tcPr>
            <w:tcW w:w="0" w:type="dxa"/>
            <w:vAlign w:val="bottom"/>
          </w:tcPr>
          <w:p>
            <w:pPr>
              <w:spacing w:after="0"/>
              <w:rPr>
                <w:sz w:val="1"/>
                <w:szCs w:val="1"/>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Cash held at consolidated affiliated partnerships and restricted cash</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2,682</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8,337</w:t>
            </w:r>
          </w:p>
        </w:tc>
        <w:tc>
          <w:tcPr>
            <w:tcW w:w="0" w:type="dxa"/>
            <w:vAlign w:val="bottom"/>
          </w:tcPr>
          <w:p>
            <w:pPr>
              <w:spacing w:after="0"/>
              <w:rPr>
                <w:sz w:val="1"/>
                <w:szCs w:val="1"/>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1,779</w:t>
            </w:r>
          </w:p>
        </w:tc>
        <w:tc>
          <w:tcPr>
            <w:tcW w:w="0" w:type="dxa"/>
            <w:vAlign w:val="bottom"/>
          </w:tcPr>
          <w:p>
            <w:pPr>
              <w:spacing w:after="0"/>
              <w:rPr>
                <w:sz w:val="1"/>
                <w:szCs w:val="1"/>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4,688</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748</w:t>
            </w:r>
          </w:p>
        </w:tc>
        <w:tc>
          <w:tcPr>
            <w:tcW w:w="0" w:type="dxa"/>
            <w:vAlign w:val="bottom"/>
          </w:tcPr>
          <w:p>
            <w:pPr>
              <w:spacing w:after="0"/>
              <w:rPr>
                <w:sz w:val="1"/>
                <w:szCs w:val="1"/>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2,125</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508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3,161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23,489</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114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2,715</w:t>
            </w:r>
          </w:p>
        </w:tc>
        <w:tc>
          <w:tcPr>
            <w:tcW w:w="0" w:type="dxa"/>
            <w:vAlign w:val="bottom"/>
          </w:tcPr>
          <w:p>
            <w:pPr>
              <w:spacing w:after="0"/>
              <w:rPr>
                <w:sz w:val="1"/>
                <w:szCs w:val="1"/>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468</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7,326</w:t>
            </w:r>
          </w:p>
        </w:tc>
        <w:tc>
          <w:tcPr>
            <w:tcW w:w="0" w:type="dxa"/>
            <w:vAlign w:val="bottom"/>
          </w:tcPr>
          <w:p>
            <w:pPr>
              <w:spacing w:after="0"/>
              <w:rPr>
                <w:sz w:val="1"/>
                <w:szCs w:val="1"/>
                <w:color w:val="auto"/>
              </w:rPr>
            </w:pP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2,213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1,277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5,683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10,509</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(2,522)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6,560</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6,420</w:t>
            </w:r>
          </w:p>
        </w:tc>
        <w:tc>
          <w:tcPr>
            <w:tcW w:w="0" w:type="dxa"/>
            <w:vAlign w:val="bottom"/>
          </w:tcPr>
          <w:p>
            <w:pPr>
              <w:spacing w:after="0"/>
              <w:rPr>
                <w:sz w:val="1"/>
                <w:szCs w:val="1"/>
                <w:color w:val="auto"/>
              </w:rPr>
            </w:pP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10,101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2,618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1,747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(2,522)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12,980</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508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3,161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23,489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53" w:right="239" w:bottom="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Discontinued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from discontinued operations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w w:val="94"/>
              </w:rPr>
              <w:t>Three Months Ended September 30, 2018</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Federal-Mogul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Tropicana</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6"/>
                <w:szCs w:val="16"/>
                <w:b w:val="1"/>
                <w:bCs w:val="1"/>
                <w:color w:val="auto"/>
              </w:rPr>
              <w:t>ARI</w:t>
            </w: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1,890</w:t>
            </w:r>
          </w:p>
        </w:tc>
        <w:tc>
          <w:tcPr>
            <w:tcW w:w="3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and dividend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Gain on disposition of assets,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(loss)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before income tax expense</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5"/>
              </w:rPr>
              <w:t>Less: income from discontinued operations attributable to non-controlling interests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attributable to Icahn Enterprises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ind w:left="20"/>
              <w:spacing w:after="0"/>
              <w:rPr>
                <w:sz w:val="20"/>
                <w:szCs w:val="20"/>
                <w:color w:val="auto"/>
              </w:rPr>
            </w:pPr>
            <w:r>
              <w:rPr>
                <w:rFonts w:ascii="Arial" w:cs="Arial" w:eastAsia="Arial" w:hAnsi="Arial"/>
                <w:sz w:val="16"/>
                <w:szCs w:val="16"/>
                <w:b w:val="1"/>
                <w:bCs w:val="1"/>
                <w:color w:val="auto"/>
                <w:w w:val="92"/>
              </w:rPr>
              <w:t>Nine Months Ended September 30,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Federal-Mogul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Tropicana</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ARI</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5,993</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and dividend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Gain on disposition of assets,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4,999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5,183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before income tax expense</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5"/>
              </w:rPr>
              <w:t>Less: income from discontinued operations attributable to non-controlling interests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attributable to Icahn Enterprises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5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For the three months ended September 30, 2019, we recorded an income tax benefit of $26 million on pre-tax loss from continuing operations of $399 million compared to an income tax benefit of $78 million on pre-tax loss from continuing operations of $412 million for the three months ended September 30, 2018. Our effective income tax rate was 6.5% and 18.9% for the three months ended September 30, 2019 and 2018, respectively.</w:t>
      </w:r>
    </w:p>
    <w:p>
      <w:pPr>
        <w:spacing w:after="0" w:line="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For the three months ended September 30, 2019, the effective tax rate was lower than the statutory federal rate of 21%, primarily due to partnership loss for which there was no tax benefit, as such loss is allocated to the partners.</w:t>
      </w:r>
    </w:p>
    <w:p>
      <w:pPr>
        <w:spacing w:after="0" w:line="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For the three months ended September 30, 2018, the effective tax rate was lower than the statutory federal rate of 21%, primarily due to partnership loss for which there was no tax benefit, as such loss is allocated to the partners.</w:t>
      </w:r>
    </w:p>
    <w:p>
      <w:pPr>
        <w:spacing w:after="0" w:line="62"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For the nine months ended September 30, 2019, we recorded an income tax benefit of $12 million on pre-tax loss from continuing operations of $1,622 million compared to an income tax benefit of $77 million on pre-tax income from continuing operations of $366 million for the nine months ended September 30, 2018. Our effective income tax rate was 0.7% and (21.0)% for the nine months ended September 30, 2019 and 2018, respectively.</w:t>
      </w:r>
    </w:p>
    <w:p>
      <w:pPr>
        <w:spacing w:after="0" w:line="3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the nine months ended September 30, 2019, the effective tax rate was lower than the statutory federal rate of 21%, primarily due to partnership loss for which there was no tax benefit, as such loss is allocated to the partners.</w:t>
      </w:r>
    </w:p>
    <w:p>
      <w:pPr>
        <w:spacing w:after="0" w:line="6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For the nine months ended September 30, 2018, the effective tax rate was lower than the statutory federal rate of 21%, primarily due to partnership income for which there was no tax expense, as such income is allocated to the partners, and</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53"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favorable permanent tax adjustments, including estimated deductions related to internal reorganization of certain corporate entities within the American Entertainment Properties Corp. consolidated group.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Post-Retirement</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Adjustments, Net of</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Benefits and Other,</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Net of Tax</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3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before reclassifications, net of tax</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1"/>
              </w:rPr>
              <w:t>Reclassifications from accumulated other comprehensive loss to earnings,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13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 of stranded tax effects resulting from tax legislation</w:t>
            </w: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Balance, September 30, 2019</w:t>
            </w:r>
          </w:p>
        </w:tc>
        <w:tc>
          <w:tcPr>
            <w:tcW w:w="1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16. Other Income, Net.</w:t>
            </w: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7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420"/>
              <w:spacing w:after="0"/>
              <w:rPr>
                <w:sz w:val="20"/>
                <w:szCs w:val="20"/>
                <w:color w:val="auto"/>
              </w:rPr>
            </w:pPr>
            <w:r>
              <w:rPr>
                <w:rFonts w:ascii="Arial" w:cs="Arial" w:eastAsia="Arial" w:hAnsi="Arial"/>
                <w:sz w:val="18"/>
                <w:szCs w:val="18"/>
                <w:color w:val="auto"/>
                <w:w w:val="97"/>
              </w:rPr>
              <w:t>Other income, net consists of the following:</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3880" w:type="dxa"/>
            <w:vAlign w:val="bottom"/>
            <w:gridSpan w:val="7"/>
          </w:tcPr>
          <w:p>
            <w:pPr>
              <w:ind w:left="50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4"/>
                <w:szCs w:val="24"/>
                <w:color w:val="auto"/>
              </w:rPr>
            </w:pPr>
          </w:p>
        </w:tc>
        <w:tc>
          <w:tcPr>
            <w:tcW w:w="36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40" w:type="dxa"/>
            <w:vAlign w:val="bottom"/>
            <w:gridSpan w:val="5"/>
          </w:tcPr>
          <w:p>
            <w:pPr>
              <w:ind w:left="1400"/>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Equity earnings from non-consolidated affiliates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transaction loss</w:t>
            </w:r>
          </w:p>
        </w:tc>
        <w:tc>
          <w:tcPr>
            <w:tcW w:w="1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Non-service pension and other post-retirement</w:t>
            </w: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benefits expense</w:t>
            </w:r>
          </w:p>
        </w:tc>
        <w:tc>
          <w:tcPr>
            <w:tcW w:w="1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Gain on extinguishment of debt</w:t>
            </w:r>
          </w:p>
        </w:tc>
        <w:tc>
          <w:tcPr>
            <w:tcW w:w="13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$34 million and $37 million as of September 30, 2019 and December 31, 2018, respectively, primarily within our Metals and Energy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6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On August 21, 2018, CVR Refining received a letter from the United States Department of Justice (the “DOJ”) on behalf of the Environmental Protection Agency (the “EPA”) and Kansas Department of Health and Environment (“KDHE”) alleging violations of the Clean Air Act and a 2012 Consent Decree between CVR Refining, the United States (on behalf of the EPA) and KDHE at CVR Energy’s Coffeyville refinery. In September 2018, CVR Refining executed a tolling agreement with the DOJ and KDHE extending time for negotiation regarding the agencies’ allegations through March 2019, which was extended in March 2019 through November 30, 2019. At this time CVR Energy cannot reasonably estimate the potential penalties, costs, fines or other expenditures that may result from this matter or any subsequent enforcement or litigation relating thereto and,</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53" w:right="239"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therefore, CVR Energy cannot determine if the ultimate outcome of this matter will have a material impact on its financial position,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CVR Refining is subject to the Renewable Fuel Standard (“RFS”) of the EPA which requires refiners to either blend renewable fuels in with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from the EPA, in order to comply with the RFS.</w:t>
      </w:r>
    </w:p>
    <w:p>
      <w:pPr>
        <w:spacing w:after="0" w:line="7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net cost of RINs for the three months ended September 30, 2019 and 2018 was a benefit of $2 million and expense of $20 million, respectively, and expense of $31 million and $47 million for the nine months ended September 30, 2019 and 2018, respectively, which is included in cost of goods sold in the condensed consolidated statements of operations. Our Energy segment’s cost to comply with the RFS includes the purchased cost of RINs acquired, the impact of recognizing CVR Refining’s uncommitted biofuel blending obligation at fair value based on market prices at each reporting date and the valuation change of RINs acquired in excess of CVR Refining’s RFS obligation as of the reporting date.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CVR Energy, CVR Refining and its general partner, Icahn Enterprises and certain other affiliates and individuals have each been named in nine lawsuits filed in the Court of Chancery of the State of Delaware by purported former unitholders of CVR Refining, on behalf of themselves and an alleged class of similarly situated unitholders (the “Call Option Lawsuits”). The Call Option Lawsuits primarily allege breach of contract, tortious interference and breach of the implied covenant of good faith and fair dealing and seek monetary damages and attorneys’ fees, among other remedies, relating to CVR Energy’s exercise of the call option under the CVR Refining Amended and Restated Agreement of Limited Partnership assigned to it by CVR Refining’s general partner. The Call Option Lawsuits have been consolidated in the Chancery Court and are in the earliest stages of litigation. CVR Energy believes the Call Option Lawsuits are without merit and intends to vigorously defend against them.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92.0% of Icahn Enterprises’ outstanding depositary units as of September 30, 2019.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7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All the minimum funding requirements of the Internal Revenue Code, as amended, and the Employee Retirement Income Security Act of 1974, as amended, for the ACF plans have been met as of September 30, 2019. If the plans were voluntarily terminated, they would be underfunded by approximately $64 million as of September 30, 2019.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President.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maintain a strong compliance program and, while no assurances can be made, we do not believe these inquiries will have a material impact on our business, financial condition, results of operations or cash flows.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18. Supplemental Cash Flow Information.</w:t>
            </w: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24"/>
        </w:trPr>
        <w:tc>
          <w:tcPr>
            <w:tcW w:w="7660" w:type="dxa"/>
            <w:vAlign w:val="bottom"/>
          </w:tcPr>
          <w:p>
            <w:pPr>
              <w:ind w:left="420"/>
              <w:spacing w:after="0"/>
              <w:rPr>
                <w:sz w:val="20"/>
                <w:szCs w:val="20"/>
                <w:color w:val="auto"/>
              </w:rPr>
            </w:pPr>
            <w:r>
              <w:rPr>
                <w:rFonts w:ascii="Arial" w:cs="Arial" w:eastAsia="Arial" w:hAnsi="Arial"/>
                <w:sz w:val="18"/>
                <w:szCs w:val="18"/>
                <w:color w:val="auto"/>
              </w:rPr>
              <w:t>Supplemental cash flow information from continuing operations consists of the following:</w:t>
            </w: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7660" w:type="dxa"/>
            <w:vAlign w:val="bottom"/>
          </w:tcPr>
          <w:p>
            <w:pPr>
              <w:spacing w:after="0"/>
              <w:rPr>
                <w:sz w:val="24"/>
                <w:szCs w:val="24"/>
                <w:color w:val="auto"/>
              </w:rPr>
            </w:pPr>
          </w:p>
        </w:tc>
        <w:tc>
          <w:tcPr>
            <w:tcW w:w="332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Nine Months Ended September 30,</w:t>
            </w:r>
          </w:p>
        </w:tc>
        <w:tc>
          <w:tcPr>
            <w:tcW w:w="440" w:type="dxa"/>
            <w:vAlign w:val="bottom"/>
          </w:tcPr>
          <w:p>
            <w:pPr>
              <w:spacing w:after="0"/>
              <w:rPr>
                <w:sz w:val="24"/>
                <w:szCs w:val="24"/>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40" w:type="dxa"/>
            <w:vAlign w:val="bottom"/>
            <w:gridSpan w:val="2"/>
          </w:tcPr>
          <w:p>
            <w:pPr>
              <w:jc w:val="center"/>
              <w:ind w:right="71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400</w:t>
            </w:r>
          </w:p>
        </w:tc>
        <w:tc>
          <w:tcPr>
            <w:tcW w:w="14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payments (receipts) for income taxes, net of refunds</w:t>
            </w:r>
          </w:p>
        </w:tc>
        <w:tc>
          <w:tcPr>
            <w:tcW w:w="1280" w:type="dxa"/>
            <w:vAlign w:val="bottom"/>
          </w:tcPr>
          <w:p>
            <w:pPr>
              <w:spacing w:after="0"/>
              <w:rPr>
                <w:sz w:val="21"/>
                <w:szCs w:val="21"/>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58</w:t>
            </w:r>
          </w:p>
        </w:tc>
        <w:tc>
          <w:tcPr>
            <w:tcW w:w="1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33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 addition to the above, Icahn Enterprises Holdings reduced its receivable from Icahn Enterprises in a non-cash distribution to limited partner in the amount of $32 million in the third quarter of 2019. This transaction is reported as a non-cash related party transaction with respect to Icahn Enterprises Holdings and is eliminated in consolidation with respect to Icahn Enterprises.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LP Unit Distribution</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October 31, 2019, the Board of Directors of the general partner of Icahn Enterprises declared a quarterly distribution in the amount of $2.00 per depositary unit, which will be paid on or about December 20, 2019 to depositary unitholders of record at the close of business on November 15, 2019. Depositary unitholders will have until December 11, 2019 to make an election to receive either cash or additional depositary units; if a unitholder does not make an election, it will automatically be deemed to have elected to receive the distribution in cash. Depositary unitholders who elect to receive additional depositary units will receive units valued at the volume weighted average trading price of the units on NASDAQ during the 5 consecutive trading days ending December 18, 2019. No fractional depositary units will be issued pursuant to the distribution payment. Icahn Enterprises will make a cash payment in lieu of issuing fractional depositary units to any unitholders electing to receive depositary units. Any unitholders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September 30, 2019 (this “Report”), as well as our Annual Report on Form 10-K for the year ended December 31, 2018 filed with the Securities and Exchange Commission on March 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46"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 xml:space="preserve">We are a diversified holding company owning subsidiaries currently engaged in the following continuing operating businesses: </w:t>
      </w:r>
      <w:r>
        <w:rPr>
          <w:rFonts w:ascii="Arial" w:cs="Arial" w:eastAsia="Arial" w:hAnsi="Arial"/>
          <w:sz w:val="17"/>
          <w:szCs w:val="17"/>
          <w:color w:val="231F20"/>
        </w:rPr>
        <w:t>Investment, Energy,</w:t>
      </w:r>
      <w:r>
        <w:rPr>
          <w:rFonts w:ascii="Arial" w:cs="Arial" w:eastAsia="Arial" w:hAnsi="Arial"/>
          <w:sz w:val="17"/>
          <w:szCs w:val="17"/>
          <w:color w:val="auto"/>
        </w:rPr>
        <w:t xml:space="preserve"> </w:t>
      </w:r>
      <w:r>
        <w:rPr>
          <w:rFonts w:ascii="Arial" w:cs="Arial" w:eastAsia="Arial" w:hAnsi="Arial"/>
          <w:sz w:val="17"/>
          <w:szCs w:val="17"/>
          <w:color w:val="231F20"/>
        </w:rPr>
        <w:t>Automotive, Food Packaging, Metals, Real Estate and Home Fashion</w:t>
      </w:r>
      <w:r>
        <w:rPr>
          <w:rFonts w:ascii="Arial" w:cs="Arial" w:eastAsia="Arial" w:hAnsi="Arial"/>
          <w:sz w:val="17"/>
          <w:szCs w:val="17"/>
          <w:color w:val="000000"/>
        </w:rPr>
        <w:t>. We also report the results of our Holding Company, which includes the results of</w:t>
      </w:r>
      <w:r>
        <w:rPr>
          <w:rFonts w:ascii="Arial" w:cs="Arial" w:eastAsia="Arial" w:hAnsi="Arial"/>
          <w:sz w:val="17"/>
          <w:szCs w:val="17"/>
          <w:color w:val="231F20"/>
        </w:rPr>
        <w:t xml:space="preserve"> </w:t>
      </w:r>
      <w:r>
        <w:rPr>
          <w:rFonts w:ascii="Arial" w:cs="Arial" w:eastAsia="Arial" w:hAnsi="Arial"/>
          <w:sz w:val="17"/>
          <w:szCs w:val="17"/>
          <w:color w:val="000000"/>
        </w:rPr>
        <w:t>certain subsidiaries of Icahn Enterprises and Icahn Enterprises Holdings (unless otherwise noted), and investment activity and expenses associated with our Holding Company. Our historical results also report the results of our Mining segment, until sold on August 1, 2019, and our Railcar segment through the date we sold our last remaining railcars on lease, which occurred in the third quarter of 2018.</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117"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On August 1, 2019, we closed on the previously announced sale of Ferrous Resources Ltd. (“Ferrous Resources”). Our proportionate share of the cash proceeds from the sale, net of adjustments, was $451 million. As a result of the sale of Ferrous Resources, our Mining segment recorded a pretax gain on disposition of assets of $252 million in the third quarter of 2019, subject to additional post-closing adjustments.</w:t>
      </w:r>
    </w:p>
    <w:p>
      <w:pPr>
        <w:spacing w:after="0" w:line="5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the second quarter of 2019, Icahn Enterprises and Icahn Enterprises Finance Corp. (together the “Issuers”) issued $1.250 billion in aggregate principal amount of 6.250% senior unsecured notes due 2026 (the “New 2026 Notes”). The proceeds from the New 2026 Notes, plus cash on hand, were used to repay in full our 6.000% senior unsecured notes due 2020, and to pay accrued interest, related fees and expenses, during the third quarter of 2019. During the third quarter of 2019, the Issuers issued $500 million in aggregate principal amount of 4.750% senior unsecured notes due 2024 (the “New 2024 Notes” and together with the New 2026 Notes, the “New Notes”).</w:t>
      </w:r>
    </w:p>
    <w:p>
      <w:pPr>
        <w:spacing w:after="0" w:line="8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May 2, 2019, Icahn Enterprises announced the commencement of its “at-the-market” offering pursuant to its Open Market Sale Agreement, pursuant to which Icahn Enterprises may sell its depositary units, from time to time, for up to $400 million in aggregate sale proceeds. Refer to “Liquidity and Capital Resources,”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continuing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59"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The comparability of our summarized consolidated financial results presented below is affected primarily by the performance of the Investment Funds (as defined below), our Holding Company’s realized and unrealized equity investment gains and losses and our gain on the sale of Ferrous Resources in the third quarter of 2019. Refer to our respective segment discussions and “Other Consolidated Results of Operations,” below for further discussion.</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Net Income (Loss) From Continuing</w:t>
            </w:r>
          </w:p>
        </w:tc>
        <w:tc>
          <w:tcPr>
            <w:tcW w:w="120" w:type="dxa"/>
            <w:vAlign w:val="bottom"/>
          </w:tcPr>
          <w:p>
            <w:pPr>
              <w:spacing w:after="0"/>
              <w:rPr>
                <w:sz w:val="18"/>
                <w:szCs w:val="18"/>
                <w:color w:val="auto"/>
              </w:rPr>
            </w:pPr>
          </w:p>
        </w:tc>
        <w:tc>
          <w:tcPr>
            <w:tcW w:w="27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3"/>
              </w:rPr>
              <w:t>Operations Attributable to Icahn</w:t>
            </w:r>
          </w:p>
        </w:tc>
      </w:tr>
      <w:tr>
        <w:trPr>
          <w:trHeight w:val="234"/>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Operations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Enterprises</w:t>
            </w:r>
          </w:p>
        </w:tc>
        <w:tc>
          <w:tcPr>
            <w:tcW w:w="9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8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Three Months Ended September 30,</w:t>
            </w:r>
          </w:p>
        </w:tc>
        <w:tc>
          <w:tcPr>
            <w:tcW w:w="100" w:type="dxa"/>
            <w:vAlign w:val="bottom"/>
          </w:tcPr>
          <w:p>
            <w:pPr>
              <w:spacing w:after="0"/>
              <w:rPr>
                <w:sz w:val="20"/>
                <w:szCs w:val="20"/>
                <w:color w:val="auto"/>
              </w:rPr>
            </w:pPr>
          </w:p>
        </w:tc>
        <w:tc>
          <w:tcPr>
            <w:tcW w:w="296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w:t>
            </w:r>
          </w:p>
        </w:tc>
        <w:tc>
          <w:tcPr>
            <w:tcW w:w="2820" w:type="dxa"/>
            <w:vAlign w:val="bottom"/>
            <w:gridSpan w:val="5"/>
          </w:tcPr>
          <w:p>
            <w:pPr>
              <w:ind w:left="4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Segments: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Metals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Home Fashion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2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Other operating segments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2,569</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44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48" w:name="page49"/>
    <w:bookmarkEnd w:id="4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Net Income (Loss) From Continuing</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Net Income (Loss) From Continuing</w:t>
            </w:r>
          </w:p>
        </w:tc>
        <w:tc>
          <w:tcPr>
            <w:tcW w:w="120" w:type="dxa"/>
            <w:vAlign w:val="bottom"/>
          </w:tcPr>
          <w:p>
            <w:pPr>
              <w:spacing w:after="0"/>
              <w:rPr>
                <w:sz w:val="18"/>
                <w:szCs w:val="18"/>
                <w:color w:val="auto"/>
              </w:rPr>
            </w:pPr>
          </w:p>
        </w:tc>
        <w:tc>
          <w:tcPr>
            <w:tcW w:w="27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Operations Attributable to Icahn</w:t>
            </w:r>
          </w:p>
        </w:tc>
      </w:tr>
      <w:tr>
        <w:trPr>
          <w:trHeight w:val="234"/>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531"/>
              <w:spacing w:after="0"/>
              <w:rPr>
                <w:sz w:val="20"/>
                <w:szCs w:val="20"/>
                <w:color w:val="auto"/>
              </w:rPr>
            </w:pPr>
            <w:r>
              <w:rPr>
                <w:rFonts w:ascii="Arial" w:cs="Arial" w:eastAsia="Arial" w:hAnsi="Arial"/>
                <w:sz w:val="18"/>
                <w:szCs w:val="18"/>
                <w:b w:val="1"/>
                <w:bCs w:val="1"/>
                <w:color w:val="auto"/>
                <w:w w:val="90"/>
              </w:rPr>
              <w:t>Operations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8"/>
              </w:rPr>
              <w:t>Enterprises</w:t>
            </w:r>
          </w:p>
        </w:tc>
        <w:tc>
          <w:tcPr>
            <w:tcW w:w="9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80" w:type="dxa"/>
            <w:vAlign w:val="bottom"/>
            <w:gridSpan w:val="6"/>
          </w:tcPr>
          <w:p>
            <w:pPr>
              <w:ind w:left="120"/>
              <w:spacing w:after="0"/>
              <w:rPr>
                <w:sz w:val="20"/>
                <w:szCs w:val="20"/>
                <w:color w:val="auto"/>
              </w:rPr>
            </w:pPr>
            <w:r>
              <w:rPr>
                <w:rFonts w:ascii="Arial" w:cs="Arial" w:eastAsia="Arial" w:hAnsi="Arial"/>
                <w:sz w:val="18"/>
                <w:szCs w:val="18"/>
                <w:b w:val="1"/>
                <w:bCs w:val="1"/>
                <w:color w:val="auto"/>
                <w:w w:val="95"/>
              </w:rPr>
              <w:t>Nine Months Ended September 30,</w:t>
            </w:r>
          </w:p>
        </w:tc>
        <w:tc>
          <w:tcPr>
            <w:tcW w:w="29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Nine Months Ended September 30,</w:t>
            </w:r>
          </w:p>
        </w:tc>
        <w:tc>
          <w:tcPr>
            <w:tcW w:w="28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3"/>
          </w:tcPr>
          <w:p>
            <w:pPr>
              <w:jc w:val="center"/>
              <w:ind w:left="511"/>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Segments: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Metals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Home Fashion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Railcar</w:t>
            </w:r>
          </w:p>
        </w:tc>
        <w:tc>
          <w:tcPr>
            <w:tcW w:w="32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operating segments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57"/>
        </w:trPr>
        <w:tc>
          <w:tcPr>
            <w:tcW w:w="20" w:type="dxa"/>
            <w:vAlign w:val="bottom"/>
          </w:tcPr>
          <w:p>
            <w:pPr>
              <w:spacing w:after="0"/>
              <w:rPr>
                <w:sz w:val="22"/>
                <w:szCs w:val="22"/>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8,975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(“Investment Funds”). As of September 30, 2019 and December 31, 2018, we had investments with a fair market value of approximately $4.3 billion and $5.1 billion, respectively, in the Investment Funds. As of September 30, 2019 and December 31, 2018, the total fair market value of investments in the Investment Funds made by Mr. Icahn and his affiliates (excluding us) was approximately $4.5 billion and $5.0 billion, respectively.</w:t>
      </w:r>
    </w:p>
    <w:p>
      <w:pPr>
        <w:spacing w:after="0" w:line="7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Investment segment’s results of operations are reflected in net income (loss)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September 30, 2019.</w:t>
      </w:r>
    </w:p>
    <w:p>
      <w:pPr>
        <w:spacing w:after="0" w:line="74"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For the three months ended September 30, 2019 and 2018, our Investment Funds’ returns were (7.4)% and (6.3)%, respectively, and for the nine months ended September 30, 2019 and 2018, our Investment Funds’ returns were (15.6)% and 3.5%, respectively. Our Investment Funds’ returns represent a weighted-average composite of the average returns, net of expenses.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26"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7560" w:type="dxa"/>
            <w:vAlign w:val="bottom"/>
            <w:gridSpan w:val="5"/>
          </w:tcPr>
          <w:p>
            <w:pPr>
              <w:ind w:left="380"/>
              <w:spacing w:after="0"/>
              <w:rPr>
                <w:sz w:val="20"/>
                <w:szCs w:val="20"/>
                <w:color w:val="auto"/>
              </w:rPr>
            </w:pPr>
            <w:r>
              <w:rPr>
                <w:rFonts w:ascii="Arial" w:cs="Arial" w:eastAsia="Arial" w:hAnsi="Arial"/>
                <w:sz w:val="18"/>
                <w:szCs w:val="18"/>
                <w:color w:val="auto"/>
                <w:w w:val="98"/>
              </w:rPr>
              <w:t>The following table sets forth the performance attribution for the Investment Funds’ returns.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86"/>
        </w:trPr>
        <w:tc>
          <w:tcPr>
            <w:tcW w:w="3580" w:type="dxa"/>
            <w:vAlign w:val="bottom"/>
          </w:tcPr>
          <w:p>
            <w:pPr>
              <w:spacing w:after="0"/>
              <w:rPr>
                <w:sz w:val="24"/>
                <w:szCs w:val="24"/>
                <w:color w:val="auto"/>
              </w:rPr>
            </w:pPr>
          </w:p>
        </w:tc>
        <w:tc>
          <w:tcPr>
            <w:tcW w:w="398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 September 30,</w:t>
            </w:r>
          </w:p>
        </w:tc>
        <w:tc>
          <w:tcPr>
            <w:tcW w:w="38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35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7"/>
        </w:trPr>
        <w:tc>
          <w:tcPr>
            <w:tcW w:w="35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37"/>
        </w:trPr>
        <w:tc>
          <w:tcPr>
            <w:tcW w:w="358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35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35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net (loss) income for our Investment segment for the three and nine months ended September 30, 2019 and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(645)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37"/>
        </w:trPr>
        <w:tc>
          <w:tcPr>
            <w:tcW w:w="3780" w:type="dxa"/>
            <w:vAlign w:val="bottom"/>
          </w:tcPr>
          <w:p>
            <w:pPr>
              <w:spacing w:after="0"/>
              <w:rPr>
                <w:sz w:val="20"/>
                <w:szCs w:val="20"/>
                <w:color w:val="auto"/>
              </w:rPr>
            </w:pPr>
          </w:p>
        </w:tc>
        <w:tc>
          <w:tcPr>
            <w:tcW w:w="1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(532)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3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2019 and 2018</w:t>
      </w:r>
    </w:p>
    <w:p>
      <w:pPr>
        <w:spacing w:after="0" w:line="117"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For the three months ended September 30, 2019, the Investment Funds’ negative performance was driven by net losses in their long positions and, to a lesser extent, losses in their short positions. The negative performance of our Investment segment’s long positions was driven by losses from a consumer, cyclical sector investment, an Energy sector investment and a technology sector investment aggregating $441 million. The aggregate performance of investments with net losses across various other sectors accounted for an additional negative performance of our Investment segment’s long positions. Losses in long positions were offset in part by gains from a financial sector investment, a consumer, cyclical sector investment and a technology sector investment aggregating $377 million. The negative performance of our Investment segment’s short positions was driven by the negative performance of broad market hedges of $209 million offset in part by the aggregate performance of short positions with net gains across various sectors.</w:t>
      </w:r>
    </w:p>
    <w:p>
      <w:pPr>
        <w:spacing w:after="0" w:line="59"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For the three months ended September 30, 2018, the Investment Funds’ negative performance was driven by net losses in their short positions, offset in part by net gains in their long positions. The negative performance of our Investment segment’s short positions was driven by the negative performance of broad market hedges of $588 million. The aggregate performance of investments with net losses across various other sectors accounted for the additional negative performance of our Investment segment’s short positions. The positive performance of our Investment segment’s long positions was driven by a technology sector investment and two energy sector investments with net gains aggregating $306 million. The aggregate performance of investments with net gains across various other sectors accounted for an additional positive performance of our Investment segment’s long positions. Gains in long positions were offset in part by losses from a consumer, cyclical sector investment and a basic material sector investment aggregating $278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2019 and 2018</w:t>
      </w:r>
    </w:p>
    <w:p>
      <w:pPr>
        <w:spacing w:after="0" w:line="117"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For the nine months ended September 30, 2019, the Investment Funds’ negative performance was driven by net losses in their short positions offset in part by net gains in their long positions. The negative performance of our Investment segment’s short positions was driven by the negative performance of broad market hedges of approximately $1.9 billion and the aggregate performance of short positions with net losses across various sectors. The positive performance of our Investment segment’s long positions was driven by gains from a consumer, cyclical sector investment, a financial sector investment and two technology sector investments with gains aggregating $945 million. The aggregate performance of investments with net gains across various other sectors accounted for an additional positive performance of our Investment segment’s long positions. The positive performance of long positions was offset in part by losses from a consumer, non-cyclical sector investment and an energy sector investment with losses aggregating $851 million.</w:t>
      </w:r>
    </w:p>
    <w:p>
      <w:pPr>
        <w:spacing w:after="0" w:line="59"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For the nine months ended September 30, 2018, the Investment Funds’ positive performance was driven by net gains in their long positions offset in part by net losses in their short positions. The positive performance of our Investment segment’s long positions was driven by gains from a consumer, non-cyclical sector investment and two energy sector investments with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50" w:name="page51"/>
    <w:bookmarkEnd w:id="50"/>
    <w:p>
      <w:pPr>
        <w:ind w:right="40"/>
        <w:spacing w:after="0" w:line="276" w:lineRule="auto"/>
        <w:rPr>
          <w:sz w:val="20"/>
          <w:szCs w:val="20"/>
          <w:color w:val="auto"/>
        </w:rPr>
      </w:pPr>
      <w:r>
        <w:rPr>
          <w:rFonts w:ascii="Arial" w:cs="Arial" w:eastAsia="Arial" w:hAnsi="Arial"/>
          <w:sz w:val="17"/>
          <w:szCs w:val="17"/>
          <w:color w:val="auto"/>
        </w:rPr>
        <w:t>gains aggregating approximately $1.3 billion. The aggregate performance of investments with net gains across various other sectors accounted for an additional positive performance of our Investment segment’s long positions. Gains in long positions were offset in part by losses from a basic materials sector investment, a consumer, cyclical sector investment and a consumer, non-cyclical sector investment with losses aggregating $537 million. The negative performance of our Investment segment’s short positions was driven by the negative performance of broad market hedges of $650 million, offset in part by the aggregate performance of multiple short positions with net gains across various sectors.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71"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Our Energy segment is primarily engaged in the petroleum refining and nitrogen fertilizer manufacturing businesses. The petroleum business accounted for approximately 93% and 95% of our Energy segment’s net sales for the nine months ended September 30, 2019 and 2018, respectively.</w:t>
      </w:r>
    </w:p>
    <w:p>
      <w:pPr>
        <w:spacing w:after="0" w:line="38" w:lineRule="exact"/>
        <w:rPr>
          <w:sz w:val="20"/>
          <w:szCs w:val="20"/>
          <w:color w:val="auto"/>
        </w:rPr>
      </w:pPr>
    </w:p>
    <w:p>
      <w:pPr>
        <w:ind w:right="60" w:firstLine="378"/>
        <w:spacing w:after="0" w:line="253" w:lineRule="auto"/>
        <w:rPr>
          <w:sz w:val="20"/>
          <w:szCs w:val="20"/>
          <w:color w:val="auto"/>
        </w:rPr>
      </w:pPr>
      <w:r>
        <w:rPr>
          <w:rFonts w:ascii="Arial" w:cs="Arial" w:eastAsia="Arial" w:hAnsi="Arial"/>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89" w:lineRule="exact"/>
        <w:rPr>
          <w:sz w:val="20"/>
          <w:szCs w:val="20"/>
          <w:color w:val="auto"/>
        </w:rPr>
      </w:pPr>
    </w:p>
    <w:p>
      <w:pPr>
        <w:ind w:right="100" w:firstLine="378"/>
        <w:spacing w:after="0" w:line="290" w:lineRule="auto"/>
        <w:rPr>
          <w:sz w:val="20"/>
          <w:szCs w:val="20"/>
          <w:color w:val="auto"/>
        </w:rPr>
      </w:pPr>
      <w:r>
        <w:rPr>
          <w:rFonts w:ascii="Arial" w:cs="Arial" w:eastAsia="Arial" w:hAnsi="Arial"/>
          <w:sz w:val="16"/>
          <w:szCs w:val="16"/>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with its transportation fuels or purchase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17, “Commitments and Contingencies,” to the condensed consolidated financial statements for further discussion of RINs.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88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4,914</w:t>
            </w: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0"/>
        </w:trPr>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2019 and 2018</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Net sales for our Energy segment decreased by $313 million (16%) for the three months ended September 30, 2019 as compared to the comparable prior year period, primarily due to a decrease in our petroleum business’ net sales offset in part by an increase in our nitrogen fertilizer business’ net sales. Our petroleum business’ net sales decreased $322 million due to a decrease in sales of distillates as well as a decrease in gasoline sales, with higher volumes more than offset by unfavorable pricing conditions. Our nitrogen fertilizer business’ net sales increased $9 million primarily due to an increase in urea ammonium nitrate (“UAN”) sales due to favorable pricing and higher volumes.</w:t>
      </w:r>
    </w:p>
    <w:p>
      <w:pPr>
        <w:spacing w:after="0" w:line="80"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Cost of goods sold for our Energy segment decreased by $311 million (18%) for the three months ended September 30, 2019 as compared to the comparable prior year period. The decrease was primarily due to our petroleum business as a result of lower cost of consumed crude oil due to a decrease in crude oil prices, a decrease in the net cost of RINs and higher derivative gains. Gross margin for our Energy segment decreased by $2 million for the three months ended September 30, 2019 as compared to the comparable prior year period. Gross margin as a percentage of net sales was 11% and 10% for the three months ended September 30, 2019 and 2018, respectively. The increase in the gross margin as a percentage of net sales for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76" w:right="239" w:bottom="1440" w:gutter="0" w:footer="0" w:header="0"/>
        </w:sectPr>
      </w:pPr>
    </w:p>
    <w:bookmarkStart w:id="51" w:name="page52"/>
    <w:bookmarkEnd w:id="51"/>
    <w:p>
      <w:pPr>
        <w:ind w:right="60"/>
        <w:spacing w:after="0" w:line="308" w:lineRule="auto"/>
        <w:rPr>
          <w:sz w:val="20"/>
          <w:szCs w:val="20"/>
          <w:color w:val="auto"/>
        </w:rPr>
      </w:pPr>
      <w:r>
        <w:rPr>
          <w:rFonts w:ascii="Arial" w:cs="Arial" w:eastAsia="Arial" w:hAnsi="Arial"/>
          <w:sz w:val="17"/>
          <w:szCs w:val="17"/>
          <w:color w:val="auto"/>
        </w:rPr>
        <w:t>petroleum business was primarily due to a decrease in the net cost of RINs and higher derivative gains over the comparable periods. The increase in the gross margin as a percentage of net sales for our nitrogen fertilizer business was due to improved pricing for UAN and ammonia.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2019 and 2018</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Net sales for our Energy segment decreased by $592 million (11%) for the nine months ended September 30, 2019 as compared to the comparable prior year period, primarily due to a decrease in our petroleum business’ net sales offset in part by an increase in our nitrogen fertilizer business’ net sales. Our petroleum business’ net sales decreased $657 million due to a decrease in sales of gasoline as well as a decrease in distillates sales, with higher volumes more than offset by unfavorable pricing conditions. Our nitrogen fertilizer business’ net sales increased $65 million primarily due to an increase in UAN and ammonia sales due to favorable pricing and higher volumes.</w:t>
      </w:r>
    </w:p>
    <w:p>
      <w:pPr>
        <w:spacing w:after="0" w:line="80"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Cost of goods sold for our Energy segment decreased by $685 million (14%) for the nine months ended September 30, 2019 as compared to the comparable prior year period. The decrease was primarily due to our petroleum business as a result of lower cost of consumed crude oil due to a decrease in crude oil prices and a decrease in the net cost of RINs, offset in part by lower derivative gains. Gross margin for our Energy segment increased by $93 million for the nine months ended September 30, 2019 as compared to the comparable prior year period. Gross margin as a percentage of net sales was 12% and 9% for the nine months ended September 30, 2019 and 2018, respectively. The increase in the gross margin as a percentage of net sales for our petroleum business was primarily due to due to an increase in volumes with higher crack spreads and a decrease in the net cost of RINs, offset in part by lower derivative gains over the comparable periods. The increase in the gross margin as a percentage of net sales for our nitrogen fertilizer business was due to improved pricing for UAN and ammonia.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Our Automotive segment’s results of operations are generally driven by the distribution and installation of automotive aftermarket parts and are affected by the relative strength of automotive part replacement trends, among other factors. Acquisitions in recent years within our Automotive segment provided operating synergies, expanded our market presence, strengthened our parts distribution channel and enhanced our Automotive segment’s ability to better service its customers. However, our automotive aftermarket parts business is in a highly competitive industry and is smaller than several of its competitors, who have greater financial resources and operational capabilities.</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Automotive segment is in the process of implementing a multi-year transformation plan, which includes the integration and restructuring of the operations of its businesses. The transformation plan includes streamlining Icahn Automotive’s corporate and field support teams; facility closures, consolidations and conversions; inventory optimization actions; and the re-focusing of its automotive parts business on certain core markets. Costs to implement the transformation plan will include restructuring charges, which will be recorded when specific plans are approved and which may be significant. Our Automotive segment’s priorities include:</w:t>
      </w:r>
    </w:p>
    <w:p>
      <w:pPr>
        <w:spacing w:after="0" w:line="26" w:lineRule="exact"/>
        <w:rPr>
          <w:sz w:val="20"/>
          <w:szCs w:val="20"/>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Positioning the service business to take advantage of opportunities in the do-it-for-me market and vehicle fleets;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digital initiatives that support revenue growth;</w:t>
      </w:r>
    </w:p>
    <w:p>
      <w:pPr>
        <w:spacing w:after="0" w:line="15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76" w:right="259" w:bottom="1440" w:gutter="0" w:footer="0" w:header="0"/>
        </w:sectPr>
      </w:pPr>
    </w:p>
    <w:bookmarkStart w:id="52" w:name="page53"/>
    <w:bookmarkEnd w:id="52"/>
    <w:p>
      <w:pPr>
        <w:ind w:right="100" w:firstLine="378"/>
        <w:spacing w:after="0" w:line="279" w:lineRule="auto"/>
        <w:rPr>
          <w:sz w:val="20"/>
          <w:szCs w:val="20"/>
          <w:color w:val="auto"/>
        </w:rPr>
      </w:pPr>
      <w:r>
        <w:rPr>
          <w:rFonts w:ascii="Arial" w:cs="Arial" w:eastAsia="Arial" w:hAnsi="Arial"/>
          <w:sz w:val="17"/>
          <w:szCs w:val="17"/>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other revenue from operations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w:t>
            </w: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Cost of goods sold and other expenses from</w:t>
            </w: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2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496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1,471</w:t>
            </w:r>
          </w:p>
        </w:tc>
      </w:tr>
      <w:tr>
        <w:trPr>
          <w:trHeight w:val="27"/>
        </w:trPr>
        <w:tc>
          <w:tcPr>
            <w:tcW w:w="37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0"/>
        </w:trPr>
        <w:tc>
          <w:tcPr>
            <w:tcW w:w="3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2019 and 2018</w:t>
      </w:r>
    </w:p>
    <w:p>
      <w:pPr>
        <w:spacing w:after="0" w:line="117"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Net sales and other revenue from operations for our Automotive segment for the three months ended September 30, 2019 increased by $9 million (1%) as compared to the comparable prior year period. The increase was attributable to an increase in automotive services revenues of $15 million (4%), including $13 million (4%) on an organic basis, due to growing do-it-for-me and fleet businesses, offset in part by a decrease in aftermarket parts sales of $6 million (2%), primarily from store closures. On an organic basis, aftermarket parts sales decreased $4 million over the comparable period due to a decrease in retail sales of $13 million offset in part by an increase in commercial sales of $9 million, driven by increases in Pep Boys commercial programs.</w:t>
      </w:r>
    </w:p>
    <w:p>
      <w:pPr>
        <w:spacing w:after="0" w:line="5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Cost of goods sold and other expenses from operations for the three months ended September 30, 2019 increased by $38 million (8%) as compared to the comparable prior year period. The increase was due to higher sales volumes as well as a reduction in vendor support funds. Gross margin on net sales and other revenue from operations for the three months ended September 30, 2019 decreased by $29 million (12%) as compared to the comparable prior year period. Gross margin as a percentage of net sales and other revenue from operations was 28% and 33% for the three months ended September 30, 2019 and 2018, respectively. Our Automotive segment has experienced some margin rate contraction for its services and parts businesses due to the reduction in vendor support funds and other unfavorable margin adjustments, including from a shift in aftermarket parts sales from retail to commercial, as described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2019 and 2018</w:t>
      </w:r>
    </w:p>
    <w:p>
      <w:pPr>
        <w:spacing w:after="0" w:line="117" w:lineRule="exact"/>
        <w:rPr>
          <w:sz w:val="20"/>
          <w:szCs w:val="20"/>
          <w:color w:val="auto"/>
        </w:rPr>
      </w:pPr>
    </w:p>
    <w:p>
      <w:pPr>
        <w:jc w:val="both"/>
        <w:ind w:right="100" w:firstLine="405"/>
        <w:spacing w:after="0" w:line="288" w:lineRule="auto"/>
        <w:rPr>
          <w:sz w:val="20"/>
          <w:szCs w:val="20"/>
          <w:color w:val="auto"/>
        </w:rPr>
      </w:pPr>
      <w:r>
        <w:rPr>
          <w:rFonts w:ascii="Arial" w:cs="Arial" w:eastAsia="Arial" w:hAnsi="Arial"/>
          <w:sz w:val="16"/>
          <w:szCs w:val="16"/>
          <w:color w:val="auto"/>
        </w:rPr>
        <w:t>Net sales and other revenue from operations for our Automotive segment for the nine months ended September 30, 2019 increased by $23 million (1%) as compared to the comparable prior year period. The increase was attributable to an increase in automotive services revenues of $36 million (4%), including $27 million (3%) on an organic basis, due to growing do-it-for-me and fleet businesses, offset in part by a decrease in aftermarket parts sales of $13 million</w:t>
      </w:r>
    </w:p>
    <w:p>
      <w:pPr>
        <w:ind w:right="200"/>
        <w:spacing w:after="0" w:line="290" w:lineRule="auto"/>
        <w:rPr>
          <w:sz w:val="20"/>
          <w:szCs w:val="20"/>
          <w:color w:val="auto"/>
        </w:rPr>
      </w:pPr>
      <w:r>
        <w:rPr>
          <w:rFonts w:ascii="Arial" w:cs="Arial" w:eastAsia="Arial" w:hAnsi="Arial"/>
          <w:sz w:val="17"/>
          <w:szCs w:val="17"/>
          <w:color w:val="auto"/>
        </w:rPr>
        <w:t>(1)%, primarily from store closures. On an organic basis, aftermarket parts sales decreased $2 million over the comparable period due to a decrease in retail sales of $38 million offset in part by an increase in commercial sales of $36 million, driven by increases in Pep Boys commercial programs.</w:t>
      </w:r>
    </w:p>
    <w:p>
      <w:pPr>
        <w:spacing w:after="0" w:line="5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Cost of goods sold and other expenses from operations for the nine months ended September 30, 2019 increased by $87 million (6%) as compared to the comparable prior year period. The increase was due to higher sales volumes as well as a reduction in vendor support funds. Gross margin on net sales and other revenue from operations for the nine months ended September 30, 2019 decreased by $64 million (9%) as compared to the comparable prior year period. Gross margin as a percentage of net sales and automotive services labor revenues was 29% and 32% for the nine months ended September 30, 2019 and 2018, respectively. Our Automotive segment has experienced some margin rate contraction for its services and parts businesses due to the reduction in vendor support funds and other unfavorable margin adjustments, including from a shift in aftermarket parts sales from retail to commercial, as described above.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2019 and 2018</w:t>
      </w:r>
    </w:p>
    <w:p>
      <w:pPr>
        <w:spacing w:after="0" w:line="11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Net sales for the three months ended September 30, 2019 remained flat as compared to the comparable prior year period. Net sales increased $5 million due to price and product mix which was offset by the unfavorable effects of foreign exchange and lower sales volumes. Cost of goods sold for the three months ended September 30, 2019 increased by $3 million (4%) as compared to the comparable prior year period due to manufacturing results due to a business interruption and higher raw material costs. Gross margin as a percentage of net sales was 18% and 21% for the three months ended September 30, 2019 and 2018,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2019 and 2018</w:t>
      </w:r>
    </w:p>
    <w:p>
      <w:pPr>
        <w:spacing w:after="0" w:line="11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Net sales for the nine months ended September 30, 2019 decreased by $9 million (3%) as compared to the comparable prior year period. The decrease was primarily due to the unfavorable effects of foreign exchange and price and product mix. Cost of goods sold for the nine months ended September 30, 2019 decreased by $4 million (2%) as compared to the comparable prior year period due to the favorable effects of foreign exchange offset in part by manufacturing results due to a business interruption. Gross margin as a percentage of net sales was 21% and 22% for the nine months ended September 30, 2019 and 2018,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2019 and 2018</w:t>
      </w:r>
    </w:p>
    <w:p>
      <w:pPr>
        <w:spacing w:after="0" w:line="117"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Net sales for the three months ended September 30, 2019 decreased by $38 million (32%) compared to the comparable prior year period due to lower shipment volumes of ferrous and non-ferrous material and lower market selling prices for most grades of metal due to unfavorable market conditions and lower prices on non-ferrous residue resulting from uncertainty with the trade dispute with China.</w:t>
      </w:r>
    </w:p>
    <w:p>
      <w:pPr>
        <w:spacing w:after="0" w:line="73" w:lineRule="exact"/>
        <w:rPr>
          <w:sz w:val="20"/>
          <w:szCs w:val="20"/>
          <w:color w:val="auto"/>
        </w:rPr>
      </w:pPr>
    </w:p>
    <w:p>
      <w:pPr>
        <w:jc w:val="both"/>
        <w:ind w:right="160" w:firstLine="378"/>
        <w:spacing w:after="0" w:line="312" w:lineRule="auto"/>
        <w:rPr>
          <w:sz w:val="20"/>
          <w:szCs w:val="20"/>
          <w:color w:val="auto"/>
        </w:rPr>
      </w:pPr>
      <w:r>
        <w:rPr>
          <w:rFonts w:ascii="Arial" w:cs="Arial" w:eastAsia="Arial" w:hAnsi="Arial"/>
          <w:sz w:val="16"/>
          <w:szCs w:val="16"/>
          <w:color w:val="auto"/>
        </w:rPr>
        <w:t>Cost of goods sold for the three months ended September 30, 2019 decreased by $31 million (27%) compared to the comparable prior year period. The decrease was due to lower shipment volumes, as discussed above, and lower material costs due to lower market prices. Gross margin as a percentage of net sales was (2)% and 4% for the three months ended September 30, 2019 and 2018, respectively. The decrease was primarily due to lower selling prices.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2019 and 2018</w:t>
      </w:r>
    </w:p>
    <w:p>
      <w:pPr>
        <w:spacing w:after="0" w:line="117"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Net sales for the nine months ended September 30, 2019 decreased by $100 million (27%) compared to the comparable prior year period due to lower shipment volumes of ferrous and non-ferrous material and lower market selling prices for most grades of metal due to unfavorable market conditions and lower prices on non-ferrous residue resulting from uncertainty with the trade dispute with China.</w:t>
      </w:r>
    </w:p>
    <w:p>
      <w:pPr>
        <w:spacing w:after="0" w:line="73"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Cost of goods sold for the nine months ended September 30, 2019 decreased by $80 million (23%) compared to the comparable prior year period. The decrease was primarily due to lower shipment volumes, as discussed above, and lower material costs due to lower market prices. Gross margin as a percentage of net sales was 0% and 6% for the nine months ended September 30, 2019 and 2018, respectively. The decrease was primarily due to lower selling prices.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Real Estate revenues and expenses primarily include sales of residential units, results from club operations, rental income and expenses, including income from financing leases, and hotel, timeshare and casino operations. Sales of residential units are included in net sales in our condensed consolidated statements of operations. Results from club and rental operations, including financing lease income, and hotel, timeshare and casino operations are included in other revenues from operations in our condensed consolidated statements of operations. Revenue from our real estate operations for each of the three and nine months ended September 30, 2019 and 2018 were substantially derived from income from club and rental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2019 and 2018</w:t>
      </w:r>
    </w:p>
    <w:p>
      <w:pPr>
        <w:spacing w:after="0" w:line="117" w:lineRule="exact"/>
        <w:rPr>
          <w:sz w:val="20"/>
          <w:szCs w:val="20"/>
          <w:color w:val="auto"/>
        </w:rPr>
      </w:pPr>
    </w:p>
    <w:p>
      <w:pPr>
        <w:jc w:val="both"/>
        <w:ind w:right="200" w:firstLine="405"/>
        <w:spacing w:after="0" w:line="257" w:lineRule="auto"/>
        <w:rPr>
          <w:sz w:val="20"/>
          <w:szCs w:val="20"/>
          <w:color w:val="auto"/>
        </w:rPr>
      </w:pPr>
      <w:r>
        <w:rPr>
          <w:rFonts w:ascii="Arial" w:cs="Arial" w:eastAsia="Arial" w:hAnsi="Arial"/>
          <w:sz w:val="18"/>
          <w:szCs w:val="18"/>
          <w:color w:val="auto"/>
        </w:rPr>
        <w:t>Net sales for the three months ended September 30, 2019 increased by $13 million (34%) compared to the comparable prior year period due to higher sales volume attributable to a business acquired in the second quarter of 2019. Cost of goods sold for the three months ended September 30, 2019 increased $10 million (30%) compared to the comparable prior year period which was also attributable to the acquired business. Gross margin as a percentage of net sales was 16% and 13% for the three months ended September 30, 2019 and 2018, respectively. The increase is due to the business acquired having higher margins than the existing businesses.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2019 and 2018</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Net sales for the nine months ended September 30, 2019 increased by $9 million (7%) compared to the comparable prior year period due to higher sales volume attributable to a business acquired in the second quarter of 2019, offset in part by lower organic net sales of $5 million. Cost of goods sold for the nine months ended September 30, 2019 increased by $7 million (6%) compared to the comparable prior year period which was also attributable to the acquired business. Gross margin as a percentage of net sales was 14% and 14% for the nine months ended September 30, 2019 and 2018, respectively. Gross margin as a percentage of net sales increased due to better margins from the acquire business being offset by lower margins as a result of sales mix.</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Mining segment’s performance was driven by global iron ore prices and demand for raw materials from Chinese steelmakers. Since acquiring Ferrous Resources Ltd. in 2015, our Mining segment has been concentrating on sales in its domestic market, Brazil. As disclosed above, we sold Ferrous Resources on August 1, 2019. Our Mining segment’s results of operations during 2019 are for the one-month and seven-month periods ended August 1, 2019 and therefore, is not comparative to the prior year periods. Iron ore price increases as well as volume increases have contributed to significant increases in net sales during 2019 compared to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Our Holding Company’s results of operations primarily reflect the interest expense on its senior unsecured notes for each of the three and nine months ended September 30, 2019 and 2018. In addition, our Holding Company has investment gains and losses from debt and equity investments. During the three and nine months ended September 30, 2019, net gains and losses from investment activities were primarily attributable to unrealized gains and losses from an equity investment offset in part by realized gains from an equity investment. During the three and nine months ended September 30, 2018, net gains from investment activities were primarily attributable to unrealized gains from an equity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 Net</w:t>
      </w:r>
    </w:p>
    <w:p>
      <w:pPr>
        <w:spacing w:after="0" w:line="22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In August 2019, we sold Ferrous Resources, resulting in a pretax gain on disposition of assets of $252 million for the three and nine months ended September 30, 2019, subject to additional post-closing adjustments.</w:t>
      </w:r>
    </w:p>
    <w:p>
      <w:pPr>
        <w:spacing w:after="0" w:line="6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In August 2018, our Real Estate segment sold a commercial rental property, resulting in a pretax gain on disposition of assets of $67 million for the three and nine months ended September 30,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2019 and 2018</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consolidated selling, general and administrative during the three months ended September 30, 2019 increased by $23 million (7%) as compared the comparable prior year period primarily due to our Automotive segment which increased by $18 million due to higher occupancy costs for various locations and other general and administrative costs, offset in part by shared service center cost reductions. In addition, selling, general and administrative for our Energy segment increased by $5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2019 and 2018</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consolidated selling, general and administrative during the nine months ended September 30, 2019 increased by $15 million (1%) as compared the comparable prior year period primarily due to our Automotive segment which increased by $10</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6" w:right="239" w:bottom="1440" w:gutter="0" w:footer="0" w:header="0"/>
        </w:sectPr>
      </w:pPr>
    </w:p>
    <w:bookmarkStart w:id="55" w:name="page56"/>
    <w:bookmarkEnd w:id="55"/>
    <w:p>
      <w:pPr>
        <w:ind w:right="60"/>
        <w:spacing w:after="0" w:line="277" w:lineRule="auto"/>
        <w:rPr>
          <w:sz w:val="20"/>
          <w:szCs w:val="20"/>
          <w:color w:val="auto"/>
        </w:rPr>
      </w:pPr>
      <w:r>
        <w:rPr>
          <w:rFonts w:ascii="Arial" w:cs="Arial" w:eastAsia="Arial" w:hAnsi="Arial"/>
          <w:sz w:val="18"/>
          <w:szCs w:val="18"/>
          <w:color w:val="auto"/>
        </w:rPr>
        <w:t>million due to higher occupancy costs for various locations, offset in part by shared service center cost reductions. In addition, our Energy segment increased by $5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2019 and 2018</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consolidated interest expense during the three months ended September 30, 2019 increased by $28 million (22%) as compared the comparable prior year period. The increase was primarily due to higher interest expense from our Investment segment attributable to an increase in average due to broker balances over the respective periods as well as higher interest expense at our Holding Company as a result of certain debt offerings in the second quarter of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2019 and 2018</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consolidated interest expense during the nine months ended September 30, 2019 increased by $52 million (13%) as compared the comparable prior year period. The increase was primarily due to higher interest expense from our Investment segment attributable to an increase in average due to broker balances over the respective periods as well as higher interest expense at our Holding Company as a result of certain debt offerings in the second quarter of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14, “Income Taxes,” to the condensed consolidated financial statements for a discussion of income taxes.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As discussed in Note 1, “Description of Business,” we operated discontinued operations previously included in our Automotive and Railcar segments and our former Gaming segment effective in 2018. The sales of each of these businesses closed in the fourth quarter of 2018. See Note 13, “Discontinued Operations,” for financial information with respect to each of our discontinued operating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As of September 30, 2019, our Holding Company had cash and cash equivalents of approximately $2.5 billion and total debt of approximately $5.6 billion. As of September 30, 2019, our Holding Company had investments in the Investment Funds with a total fair market value of approximately $4.3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76" w:right="2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60" w:type="dxa"/>
            <w:vAlign w:val="bottom"/>
          </w:tcPr>
          <w:p>
            <w:pPr>
              <w:spacing w:after="0"/>
              <w:rPr>
                <w:sz w:val="24"/>
                <w:szCs w:val="24"/>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2018</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0" w:type="dxa"/>
            <w:vAlign w:val="bottom"/>
            <w:gridSpan w:val="4"/>
          </w:tcPr>
          <w:p>
            <w:pPr>
              <w:jc w:val="right"/>
              <w:ind w:right="1410"/>
              <w:spacing w:after="0"/>
              <w:rPr>
                <w:sz w:val="20"/>
                <w:szCs w:val="20"/>
                <w:color w:val="auto"/>
              </w:rPr>
            </w:pPr>
            <w:r>
              <w:rPr>
                <w:rFonts w:ascii="Arial" w:cs="Arial" w:eastAsia="Arial" w:hAnsi="Arial"/>
                <w:sz w:val="14"/>
                <w:szCs w:val="14"/>
                <w:color w:val="auto"/>
              </w:rPr>
              <w:t>(in millions)</w:t>
            </w:r>
          </w:p>
        </w:tc>
      </w:tr>
      <w:tr>
        <w:trPr>
          <w:trHeight w:val="256"/>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1,344</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748</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5,505</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Holding Company debt consists of various issues of fixed-rate senior unsecured notes issued by the Issuers and guaranteed by Icahn Enterprises Holdings (the “Guarantor”). Interest on each tranche of senior unsecured notes are payable semi-annually.</w:t>
      </w:r>
    </w:p>
    <w:p>
      <w:pPr>
        <w:spacing w:after="0" w:line="6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the second quarter of 2019, the Issuers issued $1.250 billion in aggregate principal amount of the New 2026 Notes. The proceeds from the New 2026 Notes, plus cash on hand, were used to repay in full our 6.000% senior unsecured notes due 2020, and to pay accrued interest and related fees and expenses, during the third quarter of 2019. During the third quarter of 2019, the Issuers issued $500 million in aggregate principal amount of the New 2024 Notes.</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New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New Notes and the related guarantee are effectively subordinated to the Issuers’ and the Guarantor’s existing and future secured indebtedness to the extent of the collateral securing such indebtedness. The New Notes and the related guarantee are also effectively subordinated to all indebtedness and other liabilities of the Issuers’ subsidiaries other than the Guarantor.</w:t>
      </w:r>
    </w:p>
    <w:p>
      <w:pPr>
        <w:spacing w:after="0" w:line="80"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September 30, 2019, except for the New 2024 Notes, are subject to optional redemption premiums in the event we redeem any of the notes prior to certain dates as described in the indentures.</w:t>
      </w:r>
    </w:p>
    <w:p>
      <w:pPr>
        <w:spacing w:after="0" w:line="59"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As of September 30, 2019 and December 31, 2018, we were in compliance with all covenants, including maintaining certain minimum financial ratios, as defined in the indentures. Additionally, as of September 30, 2019, based on covenants in the indentures governing our senior unsecured notes, we are permitted to incur approximately $923 million of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At-The-Market Offering</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2019, Icahn Enterprises sold 487,223 depositary units pursuant to this agreement, resulting in gross proceeds of $34 million. No assurance can be made that any or all amounts will be sold during the term of the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LP Unit Distributions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October 31, 2019,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December 20, 2019 to depositary unitholders of record at the close of business on November 15, 2019.</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7" w:name="page58"/>
    <w:bookmarkEnd w:id="57"/>
    <w:p>
      <w:pPr>
        <w:ind w:right="40" w:firstLine="378"/>
        <w:spacing w:after="0" w:line="259" w:lineRule="auto"/>
        <w:rPr>
          <w:sz w:val="20"/>
          <w:szCs w:val="20"/>
          <w:color w:val="auto"/>
        </w:rPr>
      </w:pPr>
      <w:r>
        <w:rPr>
          <w:rFonts w:ascii="Arial" w:cs="Arial" w:eastAsia="Arial" w:hAnsi="Arial"/>
          <w:sz w:val="18"/>
          <w:szCs w:val="18"/>
          <w:color w:val="auto"/>
        </w:rPr>
        <w:t>During the nine months ended September 30, 2019, we declared three quarterly distributions aggregating $6.00 per depositary unit. Mr. Icahn and his affiliates elected to receive their proportionate share of these distributions in depositary units. Mr. Icahn and his affiliates owned approximately 92.0% of Icahn Enterprises’ outstanding depositary units as of September 30, 2019. In connection with these distributions, aggregate cash distributions to all depositary unitholders was $81 million.</w:t>
      </w:r>
    </w:p>
    <w:p>
      <w:pPr>
        <w:spacing w:after="0" w:line="79" w:lineRule="exact"/>
        <w:rPr>
          <w:sz w:val="20"/>
          <w:szCs w:val="20"/>
          <w:color w:val="auto"/>
        </w:rPr>
      </w:pPr>
    </w:p>
    <w:p>
      <w:pPr>
        <w:ind w:right="100" w:firstLine="378"/>
        <w:spacing w:after="0" w:line="291"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Subsequent to September 30, 2019, CVR Energy declared a quarterly dividend which we expect to result in an additional $57 million in dividends payable to us in the fourth quarter of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During the nine months ended September 30, 2019, affiliates of Mr. Icahn (excluding us and our subsidiaries) invested $220 million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7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September 30, 2019, the Investment Funds’ had a net short notional exposure of 16%. The Investment Funds’ long exposure was 108% (106% long equity and 2% long credit) and its short exposure was 124% (117% short equity, 7% short credit and other). The notional exposure represents the ratio of the notional exposure of the Investment Funds’ invested capital to the net asset value of the Investment Funds at September 30, 2019.</w:t>
      </w:r>
    </w:p>
    <w:p>
      <w:pPr>
        <w:spacing w:after="0" w:line="63" w:lineRule="exact"/>
        <w:rPr>
          <w:sz w:val="20"/>
          <w:szCs w:val="20"/>
          <w:color w:val="auto"/>
        </w:rPr>
      </w:pPr>
    </w:p>
    <w:p>
      <w:pPr>
        <w:ind w:right="160" w:firstLine="378"/>
        <w:spacing w:after="0" w:line="286" w:lineRule="auto"/>
        <w:rPr>
          <w:sz w:val="20"/>
          <w:szCs w:val="20"/>
          <w:color w:val="auto"/>
        </w:rPr>
      </w:pPr>
      <w:r>
        <w:rPr>
          <w:rFonts w:ascii="Arial" w:cs="Arial" w:eastAsia="Arial" w:hAnsi="Arial"/>
          <w:sz w:val="17"/>
          <w:szCs w:val="17"/>
          <w:color w:val="auto"/>
        </w:rPr>
        <w:t>Of the Investment Funds’ 108% long exposure, 100% was comprised of the fair value of its long positions (with certain adjustments) and 8% was comprised of single name equity forward contracts and credit contracts. Of the Investment Funds’ 124% short exposure, 2% was comprised of the fair value of our short positions and 122% was comprised of short broad market index swap derivative contracts and short credit default swap contracts.</w:t>
      </w:r>
    </w:p>
    <w:p>
      <w:pPr>
        <w:spacing w:after="0" w:line="5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(100% long exposure) and our short positions that are not notionalized (2%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(122%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Segment Liquidity</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60" w:type="dxa"/>
            <w:vAlign w:val="bottom"/>
            <w:gridSpan w:val="2"/>
          </w:tcPr>
          <w:p>
            <w:pPr>
              <w:spacing w:after="0"/>
              <w:rPr>
                <w:sz w:val="20"/>
                <w:szCs w:val="20"/>
                <w:color w:val="auto"/>
              </w:rPr>
            </w:pPr>
            <w:r>
              <w:rPr>
                <w:rFonts w:ascii="Arial" w:cs="Arial" w:eastAsia="Arial" w:hAnsi="Arial"/>
                <w:sz w:val="18"/>
                <w:szCs w:val="18"/>
                <w:i w:val="1"/>
                <w:iCs w:val="1"/>
                <w:color w:val="auto"/>
              </w:rPr>
              <w:t>Segment Cash and Cash Equivalents</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w w:val="92"/>
              </w:rPr>
              <w:t>Segment cash and cash equivalents (excluding our Investment segment) consists of the following:</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60" w:type="dxa"/>
            <w:vAlign w:val="bottom"/>
          </w:tcPr>
          <w:p>
            <w:pPr>
              <w:spacing w:after="0"/>
              <w:rPr>
                <w:sz w:val="24"/>
                <w:szCs w:val="24"/>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0" w:type="dxa"/>
            <w:vAlign w:val="bottom"/>
            <w:gridSpan w:val="4"/>
          </w:tcPr>
          <w:p>
            <w:pPr>
              <w:jc w:val="right"/>
              <w:ind w:right="141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Metals</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Home Fashion</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6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Segment debt consists of the following:</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2019</w:t>
            </w:r>
          </w:p>
        </w:tc>
        <w:tc>
          <w:tcPr>
            <w:tcW w:w="160" w:type="dxa"/>
            <w:vAlign w:val="bottom"/>
          </w:tcPr>
          <w:p>
            <w:pPr>
              <w:spacing w:after="0"/>
              <w:rPr>
                <w:sz w:val="24"/>
                <w:szCs w:val="24"/>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0" w:type="dxa"/>
            <w:vAlign w:val="bottom"/>
            <w:gridSpan w:val="4"/>
          </w:tcPr>
          <w:p>
            <w:pPr>
              <w:jc w:val="right"/>
              <w:ind w:right="141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Metals</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Home Fashion</w:t>
            </w: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color w:val="auto"/>
        </w:rPr>
        <w:t>Refer to our Annual Report on Form 10-K for the year ended December 31, 2018 for information concerning terms, restrictions and covenants pertaining to our subsidiaries’ debt. As of September 30, 2019, all of our subsidiaries were in compliance with all debt covenants.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segments have additional borrowing availability under certain revolving credit facilities as summarized below:</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September 30, 2019</w:t>
            </w:r>
          </w:p>
        </w:tc>
      </w:tr>
      <w:tr>
        <w:trPr>
          <w:trHeight w:val="27"/>
        </w:trPr>
        <w:tc>
          <w:tcPr>
            <w:tcW w:w="9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452"/>
              <w:spacing w:after="0"/>
              <w:rPr>
                <w:sz w:val="20"/>
                <w:szCs w:val="20"/>
                <w:color w:val="auto"/>
              </w:rPr>
            </w:pPr>
            <w:r>
              <w:rPr>
                <w:rFonts w:ascii="Arial" w:cs="Arial" w:eastAsia="Arial" w:hAnsi="Arial"/>
                <w:sz w:val="14"/>
                <w:szCs w:val="14"/>
                <w:color w:val="auto"/>
              </w:rPr>
              <w:t>(in millions)</w:t>
            </w:r>
          </w:p>
        </w:tc>
      </w:tr>
      <w:tr>
        <w:trPr>
          <w:trHeight w:val="256"/>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9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Metals</w:t>
            </w: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9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37"/>
        </w:trPr>
        <w:tc>
          <w:tcPr>
            <w:tcW w:w="95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611</w:t>
            </w:r>
          </w:p>
        </w:tc>
      </w:tr>
      <w:tr>
        <w:trPr>
          <w:trHeight w:val="27"/>
        </w:trPr>
        <w:tc>
          <w:tcPr>
            <w:tcW w:w="9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9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40" w:firstLine="405"/>
        <w:spacing w:after="0" w:line="375" w:lineRule="auto"/>
        <w:rPr>
          <w:sz w:val="20"/>
          <w:szCs w:val="20"/>
          <w:color w:val="auto"/>
        </w:rPr>
      </w:pPr>
      <w:r>
        <w:rPr>
          <w:rFonts w:ascii="Arial" w:cs="Arial" w:eastAsia="Arial" w:hAnsi="Arial"/>
          <w:sz w:val="18"/>
          <w:szCs w:val="18"/>
          <w:color w:val="auto"/>
        </w:rPr>
        <w:t xml:space="preserve">The above outstanding debt and borrowing availability with respect to each of our continuing operating segments reflects third-party obligations. </w:t>
      </w:r>
      <w:r>
        <w:rPr>
          <w:rFonts w:ascii="Arial" w:cs="Arial" w:eastAsia="Arial" w:hAnsi="Arial"/>
          <w:sz w:val="18"/>
          <w:szCs w:val="18"/>
          <w:i w:val="1"/>
          <w:iCs w:val="1"/>
          <w:color w:val="auto"/>
        </w:rPr>
        <w:t>Subsidiary Stock Repurchase Program</w:t>
      </w:r>
    </w:p>
    <w:p>
      <w:pPr>
        <w:spacing w:after="0" w:line="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 Repurchases, if any,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76" w:right="259" w:bottom="1440" w:gutter="0" w:footer="0" w:header="0"/>
        </w:sectPr>
      </w:pPr>
    </w:p>
    <w:bookmarkStart w:id="59" w:name="page60"/>
    <w:bookmarkEnd w:id="59"/>
    <w:p>
      <w:pPr>
        <w:ind w:right="860"/>
        <w:spacing w:after="0" w:line="277" w:lineRule="auto"/>
        <w:rPr>
          <w:sz w:val="20"/>
          <w:szCs w:val="20"/>
          <w:color w:val="auto"/>
        </w:rPr>
      </w:pPr>
      <w:r>
        <w:rPr>
          <w:rFonts w:ascii="Arial" w:cs="Arial" w:eastAsia="Arial" w:hAnsi="Arial"/>
          <w:sz w:val="18"/>
          <w:szCs w:val="18"/>
          <w:color w:val="auto"/>
        </w:rPr>
        <w:t>including the timing, price and amount, may be made at the discretion of CVR Energy management and CVR Energy is not obligated to make any repurchases.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ectPr>
          <w:pgSz w:w="11900" w:h="16838" w:orient="portrait"/>
          <w:cols w:equalWidth="0" w:num="1">
            <w:col w:w="11400"/>
          </w:cols>
          <w:pgMar w:left="240" w:top="476" w:right="259" w:bottom="1440" w:gutter="0" w:footer="0" w:header="0"/>
        </w:sectPr>
      </w:pPr>
    </w:p>
    <w:p>
      <w:pPr>
        <w:spacing w:after="0" w:line="185"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2349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66"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2349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66" w:lineRule="exact"/>
        <w:rPr>
          <w:sz w:val="20"/>
          <w:szCs w:val="20"/>
          <w:color w:val="auto"/>
        </w:rPr>
      </w:pPr>
    </w:p>
    <w:p>
      <w:pPr>
        <w:ind w:left="4240"/>
        <w:spacing w:after="0"/>
        <w:tabs>
          <w:tab w:leader="none" w:pos="5540" w:val="left"/>
          <w:tab w:leader="none" w:pos="678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4280"/>
        <w:spacing w:after="0"/>
        <w:tabs>
          <w:tab w:leader="none" w:pos="5540" w:val="left"/>
          <w:tab w:leader="none" w:pos="680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33020</wp:posOffset>
            </wp:positionV>
            <wp:extent cx="4690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2726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272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spacing w:after="0"/>
        <w:tabs>
          <w:tab w:leader="none" w:pos="1240" w:val="left"/>
          <w:tab w:leader="none" w:pos="244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20"/>
        <w:spacing w:after="0"/>
        <w:tabs>
          <w:tab w:leader="none" w:pos="1240" w:val="left"/>
          <w:tab w:leader="none" w:pos="246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127" w:lineRule="exact"/>
        <w:rPr>
          <w:sz w:val="20"/>
          <w:szCs w:val="20"/>
          <w:color w:val="auto"/>
        </w:rPr>
      </w:pPr>
    </w:p>
    <w:p>
      <w:pPr>
        <w:sectPr>
          <w:pgSz w:w="11900" w:h="16838" w:orient="portrait"/>
          <w:cols w:equalWidth="0" w:num="2">
            <w:col w:w="7500" w:space="540"/>
            <w:col w:w="3360"/>
          </w:cols>
          <w:pgMar w:left="240" w:top="476" w:right="259" w:bottom="1440" w:gutter="0" w:footer="0" w:header="0"/>
          <w:type w:val="continuous"/>
        </w:sectPr>
      </w:pPr>
    </w:p>
    <w:tbl>
      <w:tblPr>
        <w:tblLayout w:type="fixed"/>
        <w:tblInd w:w="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3"/>
          </w:tcPr>
          <w:p>
            <w:pPr>
              <w:jc w:val="right"/>
              <w:ind w:right="159"/>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Holding Company</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37"/>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Investment</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135</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Other Operating Segments: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6"/>
                <w:szCs w:val="16"/>
                <w:color w:val="auto"/>
              </w:rPr>
              <w:t>Automotive</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Food Packaging</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Metals</w:t>
            </w:r>
          </w:p>
        </w:tc>
        <w:tc>
          <w:tcPr>
            <w:tcW w:w="3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Home Fashion</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Mining</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17"/>
        </w:trPr>
        <w:tc>
          <w:tcPr>
            <w:tcW w:w="20" w:type="dxa"/>
            <w:vAlign w:val="bottom"/>
          </w:tcPr>
          <w:p>
            <w:pPr>
              <w:spacing w:after="0"/>
              <w:rPr>
                <w:sz w:val="18"/>
                <w:szCs w:val="18"/>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Other operating segments</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7"/>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Total before eliminations</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Eliminations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44"/>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Consolidated</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In addition, during January 2019, our Holding Company sold its direct investment in CVR Refining to CVR Energy, which is included in cash flows from investing activities for our Holding Company and cash flows from financing activities for our Energy segment.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Holding Company’s cash flows from operating activities for each of the nine months ended September 30, 2019 and 2018 were primarily attributable to our semi-annual interest payments on our senior unsecured notes. In addition, our Holding Company received interest income of $46 million and $6 million for the nine months ended September 30, 2019 and 2018, respectively. The increase in interest income is due to the increase in our cash and cash equivalents over the respective periods as a result of the sale of businesses and investments as well as proceeds from issuances of senior unsecured notes.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76" w:right="259" w:bottom="1440" w:gutter="0" w:footer="0" w:header="0"/>
          <w:type w:val="continuous"/>
        </w:sectPr>
      </w:pPr>
    </w:p>
    <w:bookmarkStart w:id="60" w:name="page61"/>
    <w:bookmarkEnd w:id="60"/>
    <w:p>
      <w:pPr>
        <w:ind w:right="80" w:firstLine="405"/>
        <w:spacing w:after="0" w:line="289" w:lineRule="auto"/>
        <w:rPr>
          <w:sz w:val="20"/>
          <w:szCs w:val="20"/>
          <w:color w:val="auto"/>
        </w:rPr>
      </w:pPr>
      <w:r>
        <w:rPr>
          <w:rFonts w:ascii="Arial" w:cs="Arial" w:eastAsia="Arial" w:hAnsi="Arial"/>
          <w:sz w:val="16"/>
          <w:szCs w:val="16"/>
          <w:color w:val="auto"/>
        </w:rPr>
        <w:t>Our Holding Company’s cash flows from investing activities for the nine months ended September 30, 2019 were primarily due to our sale of a certain equity investment for which we received cash of $458 million, the sale of Ferrous Resources for which we received $451 million, and the sale of our direct investment in CVR Refining to CVR Energy for $60 million. During the nine months ended September 30, 2019, we also received net dividends and distributions from our Energy and Real Estate segments aggregating $176 million and we had aggregate investments in our Automotive segment of $221 million and an investment in our Home Fashion segment of $31 million. Our Holding Company’s cash flows from investing activities for the nine months ended September 30, 2018 were due to an aggregate investment in our Automotive segment of $270 million, contributions to our Food Packaging segment in connection with Viskase’s rights offering of $44 million and other net contributions to our subsidiaries of $86 million, offset in part by redemptions from the Investment Funds of $145 million, dividends and distributions received from our Energy and Real Estate segments aggregating $166 million, dividends received from ARI of $14 million and $17 million received from the sale of additional railcars previously owned by ARL.</w:t>
      </w:r>
    </w:p>
    <w:p>
      <w:pPr>
        <w:spacing w:after="0" w:line="5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Holding Company’s cash flows from financing activities for the nine months ended September 30, 2019 included the issuances of additional senior unsecured notes and proceeds from our “at-the-market” offering, offset in part by the repayment of senior unsecured notes and related fees and expenses, as described above. In addition, for each of the nine months ended September 30, 2019 and 2018, our Holding Company made payments on our aggregate quarterly distributions of $83 million and $73 million, respectively (including $2 million for each period to our general partner in order maintain its ownership percentage in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Investment segment’s cash flows from operating activities for the comparable periods were attributable to its net investment transactions.</w:t>
      </w:r>
    </w:p>
    <w:p>
      <w:pPr>
        <w:spacing w:after="0" w:line="129"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Our Investment segment’s cash flows from financing activities for the nine months ended September 30, 2019 and 2018 were attributable to Mr. Icahn and his affiliates’ (excluding us) investments in the Investment Funds of $220 million and $280 million, respectively. Our Investment segment’s cash flows from financing activities for the nine months ended September 30, 2018 were offset in part by redemptions paid to us of $145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Segments</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Our other operating segments’ cash flows from continuing operating activities included net cash flows from operating activities before changes in operating assets and liabilities of $559 million and $575 million for the nine months ended September 30, 2019 and 2018, respectively, primarily attributable to our Energy segment. The change in cash flows from continuing operating activities for the nine months ended September 30, 2019 as compared to the comparable prior year period was primarily due to favorable changes in working capital attributable to our Energy and Automotive segments. For our Energy segment, working capital in 2018 was impacted by the reduction of our petroleum business’ renewable volume obligation. For our Automotive segment, working capital was impacted by inventory purchases and timing of other operating payments and receipts.</w:t>
      </w:r>
    </w:p>
    <w:p>
      <w:pPr>
        <w:spacing w:after="0" w:line="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other operating segments’ cash flows from continuing investing activities were primarily due to capital expenditures, primarily within our Energy and Automotive segments. In addition, our other operating segments had net payments for the acquisitions of businesses of $52 million and $13 million, net of cash acquired, during the nine months ended September 30, 2019 and 2018, respectively, and we invested an additional $50 million in 767 Leasing LLC in 2019 compared to $25 million in 2018, which we account for in our Automotive segment.</w:t>
      </w:r>
    </w:p>
    <w:p>
      <w:pPr>
        <w:spacing w:after="0" w:line="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other operating segments’ cash flows from continuing financing activities were primarily due to our Energy segment’s payments to acquire the remaining common units of CVR Refining not already owned by CVR Energy in 2019 for $301 million, including $60 million paid to our Holding Company for our direct ownership in CVR Refining. In addition, our other operating segments also had net contributions from our Holding Company of $76 million and $178 million for the nine months ended September 30, 2019 and 2018, respectively, as described above. For the nine months ended September 30, 2019 and 2018, our Energy segment had distributions to non-controlling interests of $90 million and $95 million, respectively, and in 2018, our Food Packaging segment received $50 million in connection with a rights offering, of which $44 million represented a contribution from our Holding Company and $6 million was from non-controlling interests.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cash flows from operating activities from discontinued operations for the nine months ended September 30, 2018 was comprised of $225 million provided by Federal-Mogul, $91 million provided by ARI and $127 million provided by our former Gaming segment, primarily due to net cash flows from operating activities before changes in operating assets and liabilities. Cash flows provided by operating activities from discontinued operations was net of cash payments for interest of $126 million for Federal-Mogul, $16 million for ARI and $4 million for our former Gaming segment for the nine months ended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76" w:right="239" w:bottom="1440" w:gutter="0" w:footer="0" w:header="0"/>
        </w:sectPr>
      </w:pPr>
    </w:p>
    <w:bookmarkStart w:id="61" w:name="page62"/>
    <w:bookmarkEnd w:id="61"/>
    <w:p>
      <w:pPr>
        <w:ind w:right="260"/>
        <w:spacing w:after="0" w:line="277" w:lineRule="auto"/>
        <w:rPr>
          <w:sz w:val="20"/>
          <w:szCs w:val="20"/>
          <w:color w:val="auto"/>
        </w:rPr>
      </w:pPr>
      <w:r>
        <w:rPr>
          <w:rFonts w:ascii="Arial" w:cs="Arial" w:eastAsia="Arial" w:hAnsi="Arial"/>
          <w:sz w:val="18"/>
          <w:szCs w:val="18"/>
          <w:color w:val="auto"/>
        </w:rPr>
        <w:t>September 30, 2018. In addition, our former Gaming segment had net cash flows provided by operating activities of $7 million from transactions with our Holding Company.</w:t>
      </w:r>
    </w:p>
    <w:p>
      <w:pPr>
        <w:spacing w:after="0" w:line="62"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Our cash flows from investing activities from discontinued operations for the nine months ended September 30, 2018 was comprised of $263 million used by Federal-Mogul, $75 million used by ARI and $55 million used by our former Gaming segment, primarily due to capital expenditures.</w:t>
      </w:r>
    </w:p>
    <w:p>
      <w:pPr>
        <w:spacing w:after="0" w:line="3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cash flows from financing activities from discontinued operations for the nine months ended September 30, 2018 was primarily due to net debt transactions. In addition, Federal-Mogul had $5 million in distributions to non-controlling interests, ARI had $9 million in dividends to non-controlling interests and ARI also had $14 million in dividends paid to us. During the nine months ended September 30, 2018, Federal-Mogul also received $56 million from us in connection with a certain litigation reserve.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There have been no significant changes to our capital expenditures during the nine months ended September 30, 2019 as compared to the estimated capital expenditures for 2019 as reported in our Annual Report on Form 10-K for the year ended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There have been no material changes to our contractual commitments and contingencies as compared to those reported in our Annual Report on Form 10-K for the year ended December 31, 2018</w:t>
      </w:r>
      <w:r>
        <w:rPr>
          <w:rFonts w:ascii="Arial" w:cs="Arial" w:eastAsia="Arial" w:hAnsi="Arial"/>
          <w:sz w:val="18"/>
          <w:szCs w:val="18"/>
          <w:b w:val="1"/>
          <w:b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critical accounting policies and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2018.</w:t>
      </w:r>
    </w:p>
    <w:p>
      <w:pPr>
        <w:spacing w:after="0" w:line="79" w:lineRule="exact"/>
        <w:rPr>
          <w:sz w:val="20"/>
          <w:szCs w:val="20"/>
          <w:color w:val="auto"/>
        </w:rPr>
      </w:pPr>
    </w:p>
    <w:p>
      <w:pPr>
        <w:ind w:right="420" w:firstLine="378"/>
        <w:spacing w:after="0" w:line="342" w:lineRule="auto"/>
        <w:rPr>
          <w:sz w:val="20"/>
          <w:szCs w:val="20"/>
          <w:color w:val="auto"/>
        </w:rPr>
      </w:pPr>
      <w:r>
        <w:rPr>
          <w:rFonts w:ascii="Arial" w:cs="Arial" w:eastAsia="Arial" w:hAnsi="Arial"/>
          <w:sz w:val="16"/>
          <w:szCs w:val="16"/>
          <w:color w:val="auto"/>
        </w:rPr>
        <w:t xml:space="preserve">Effective January 1, 2019, we adopted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Although this new standard is not expected to have a material impact on our ongoing results of operations, we determined that it was appropriate to identify our updated accounting policy as a critical accounting policy.</w:t>
      </w:r>
    </w:p>
    <w:p>
      <w:pPr>
        <w:spacing w:after="0" w:line="16"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Except for the adoption of FASB ASC Topic 842, discussed above, there have been no material changes to our critical accounting policies and estimates during the nine months ended September 30, 2019 as compared to those reported in our Annual Report on Form 10-K for the year ended December 31, 2018.</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Refer to Note 2, “Basis of Presentation and Summary of Significant Accounting Policies,” to the condensed consolidated financial statements for a discussion of recent accounting pronouncements applicable to 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76" w:right="2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Except as discussed below, information about our quantitative and qualitative disclosures about market risk did not differ materially from those disclosed in our Annual Report on Form 10-K for the year ended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6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2019, we estimate that in the event of a 10% adverse change in the fair value of these investments, the fair values of securities owned, securities sold, not yet purchased and derivatives would be negatively impacted by approximately $872 million, $22 million and $1.4 billion, respectively. However, as of September 30, 2019, we estimate that the impact to our share of the net gain (loss) from investment activities reported in our condensed consolidated statement of operations would be less than the change in fair value since we have an investment of approximately 49% in the Investment Funds, and the non-controlling interests in income would correspondingly offset approximately 51% of the change in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As of September 30, 2019,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63" w:name="page64"/>
    <w:bookmarkEnd w:id="63"/>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business. Refer to Note 17, “Commitments and Contingencies” to the condensed consolidated financial statements, which is incorporated by reference into this Part II, Item 1 of this Report, for information regarding our lawsuits and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There were no material changes to our risk factors during the nine months ended September 30, 2019 as compared to those reported in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780" w:firstLine="405"/>
        <w:spacing w:after="0" w:line="308" w:lineRule="auto"/>
        <w:rPr>
          <w:sz w:val="20"/>
          <w:szCs w:val="20"/>
          <w:color w:val="auto"/>
        </w:rPr>
      </w:pPr>
      <w:r>
        <w:rPr>
          <w:rFonts w:ascii="Arial" w:cs="Arial" w:eastAsia="Arial" w:hAnsi="Arial"/>
          <w:sz w:val="17"/>
          <w:szCs w:val="17"/>
          <w:color w:val="auto"/>
        </w:rPr>
        <w:t>Our chief accounting officer, Peter Reck, has informed us that his employment with the company will end on or before March 31, 2020. Ted Papapostolou, our director of accounting, will replace Peter Reck as our chief accounting officer upon his departure from the company.</w:t>
      </w:r>
    </w:p>
    <w:p>
      <w:pPr>
        <w:spacing w:after="0" w:line="3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Ted Papapostolou has served as the Director of Accounting of Icahn Enterprises since January 2013. Mr. Papapostolou served in various progressive accounting positions at Icahn Enterprises from March 2007 to January 2013. Previously, Mr. Papapostolou worked at Grant Thornton LLP in their audit practice. Mr. Papapostolou received his M.B.A from The Peter J. Tobin College of Business at Saint John’s University and his B.B.A from Frank G. Zarb School of Business at Hofstra University.</w:t>
      </w:r>
    </w:p>
    <w:p>
      <w:pPr>
        <w:spacing w:after="0" w:line="79"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There are no arrangements or understandings between Mr. Papapostolou and any other persons pursuant to which he was selected as chief accounting officer and he has no direct or indirect material interest in any transaction required to be disclosed pursuant to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364"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Item 6. Exhibits.</w:t>
            </w: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600" w:type="dxa"/>
            <w:vAlign w:val="bottom"/>
            <w:gridSpan w:val="5"/>
          </w:tcPr>
          <w:p>
            <w:pPr>
              <w:ind w:left="21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1260" w:type="dxa"/>
            <w:vAlign w:val="bottom"/>
            <w:gridSpan w:val="3"/>
          </w:tcPr>
          <w:p>
            <w:pPr>
              <w:jc w:val="center"/>
              <w:spacing w:after="0" w:line="196" w:lineRule="exact"/>
              <w:rPr>
                <w:rFonts w:ascii="Arial" w:cs="Arial" w:eastAsia="Arial" w:hAnsi="Arial"/>
                <w:sz w:val="18"/>
                <w:szCs w:val="18"/>
                <w:color w:val="0000FF"/>
                <w:w w:val="91"/>
              </w:rPr>
            </w:pPr>
            <w:hyperlink w:anchor="page6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6"/>
          </w:tcPr>
          <w:p>
            <w:pPr>
              <w:spacing w:after="0" w:line="196" w:lineRule="exact"/>
              <w:rPr>
                <w:rFonts w:ascii="Arial" w:cs="Arial" w:eastAsia="Arial" w:hAnsi="Arial"/>
                <w:sz w:val="18"/>
                <w:szCs w:val="18"/>
                <w:color w:val="0000FF"/>
                <w:w w:val="98"/>
              </w:rPr>
            </w:pPr>
            <w:hyperlink w:anchor="page67">
              <w:r>
                <w:rPr>
                  <w:rFonts w:ascii="Arial" w:cs="Arial" w:eastAsia="Arial" w:hAnsi="Arial"/>
                  <w:sz w:val="18"/>
                  <w:szCs w:val="18"/>
                  <w:color w:val="0000FF"/>
                  <w:w w:val="98"/>
                </w:rPr>
                <w:t>Certification of Chief Executive Officer pursuant to Section 302(a) of the Sarbanes-Oxley Act of 2002 and Rule 13a-14(a) of the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Securities Exchange Act of 1934.</w:t>
              </w:r>
            </w:hyperlink>
          </w:p>
        </w:tc>
        <w:tc>
          <w:tcPr>
            <w:tcW w:w="720" w:type="dxa"/>
            <w:vAlign w:val="bottom"/>
            <w:gridSpan w:val="2"/>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60" w:type="dxa"/>
            <w:vAlign w:val="bottom"/>
            <w:gridSpan w:val="3"/>
          </w:tcPr>
          <w:p>
            <w:pPr>
              <w:jc w:val="cente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6"/>
          </w:tcPr>
          <w:p>
            <w:pPr>
              <w:spacing w:after="0"/>
              <w:rPr>
                <w:rFonts w:ascii="Arial" w:cs="Arial" w:eastAsia="Arial" w:hAnsi="Arial"/>
                <w:sz w:val="18"/>
                <w:szCs w:val="18"/>
                <w:color w:val="0000FF"/>
                <w:w w:val="99"/>
              </w:rPr>
            </w:pPr>
            <w:hyperlink w:anchor="page68">
              <w:r>
                <w:rPr>
                  <w:rFonts w:ascii="Arial" w:cs="Arial" w:eastAsia="Arial" w:hAnsi="Arial"/>
                  <w:sz w:val="18"/>
                  <w:szCs w:val="18"/>
                  <w:color w:val="0000FF"/>
                  <w:w w:val="99"/>
                </w:rPr>
                <w:t>Certification of Chief Financial Officer pursuant to Section 302(a) of the Sarbanes-Oxley Act of 2002 and Rule 13a-14(a) of the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68">
              <w:r>
                <w:rPr>
                  <w:rFonts w:ascii="Arial" w:cs="Arial" w:eastAsia="Arial" w:hAnsi="Arial"/>
                  <w:sz w:val="18"/>
                  <w:szCs w:val="18"/>
                  <w:color w:val="0000FF"/>
                </w:rPr>
                <w:t>Securities Exchange Act of 1934.</w:t>
              </w:r>
            </w:hyperlink>
          </w:p>
        </w:tc>
        <w:tc>
          <w:tcPr>
            <w:tcW w:w="780" w:type="dxa"/>
            <w:vAlign w:val="bottom"/>
            <w:gridSpan w:val="3"/>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60" w:type="dxa"/>
            <w:vAlign w:val="bottom"/>
            <w:gridSpan w:val="3"/>
          </w:tcPr>
          <w:p>
            <w:pPr>
              <w:jc w:val="cente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6"/>
          </w:tcPr>
          <w:p>
            <w:pPr>
              <w:spacing w:after="0"/>
              <w:rPr>
                <w:rFonts w:ascii="Arial" w:cs="Arial" w:eastAsia="Arial" w:hAnsi="Arial"/>
                <w:sz w:val="18"/>
                <w:szCs w:val="18"/>
                <w:color w:val="0000FF"/>
                <w:w w:val="97"/>
              </w:rPr>
            </w:pPr>
            <w:hyperlink w:anchor="page69">
              <w:r>
                <w:rPr>
                  <w:rFonts w:ascii="Arial" w:cs="Arial" w:eastAsia="Arial" w:hAnsi="Arial"/>
                  <w:sz w:val="18"/>
                  <w:szCs w:val="18"/>
                  <w:color w:val="0000FF"/>
                  <w:w w:val="97"/>
                </w:rPr>
                <w:t>Certification of Chief Executive Officer and Chief Financial Officer pursuant to Section 906 of the Sarbanes-Oxley Act of 2002 (18</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U.S.C. 1350) and Rule 13a-14(b) of the Securities Exchange Act of 1934.</w:t>
              </w:r>
            </w:hyperlink>
          </w:p>
        </w:tc>
        <w:tc>
          <w:tcPr>
            <w:tcW w:w="520" w:type="dxa"/>
            <w:vAlign w:val="bottom"/>
          </w:tcPr>
          <w:p>
            <w:pPr>
              <w:spacing w:after="0"/>
              <w:rPr>
                <w:sz w:val="17"/>
                <w:szCs w:val="17"/>
                <w:color w:val="auto"/>
              </w:rPr>
            </w:pPr>
          </w:p>
        </w:tc>
      </w:tr>
      <w:tr>
        <w:trPr>
          <w:trHeight w:val="291"/>
        </w:trPr>
        <w:tc>
          <w:tcPr>
            <w:tcW w:w="138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4"/>
                <w:szCs w:val="24"/>
                <w:color w:val="auto"/>
              </w:rPr>
            </w:pPr>
          </w:p>
        </w:tc>
        <w:tc>
          <w:tcPr>
            <w:tcW w:w="53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Inline XBRL Taxonomy Extension Schema Document.</w:t>
            </w:r>
          </w:p>
        </w:tc>
        <w:tc>
          <w:tcPr>
            <w:tcW w:w="4700" w:type="dxa"/>
            <w:vAlign w:val="bottom"/>
            <w:gridSpan w:val="4"/>
          </w:tcPr>
          <w:p>
            <w:pPr>
              <w:spacing w:after="0"/>
              <w:rPr>
                <w:sz w:val="24"/>
                <w:szCs w:val="24"/>
                <w:color w:val="auto"/>
              </w:rPr>
            </w:pP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38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0" w:lineRule="exact"/>
        <w:rPr>
          <w:sz w:val="20"/>
          <w:szCs w:val="20"/>
          <w:color w:val="auto"/>
        </w:rPr>
      </w:pPr>
    </w:p>
    <w:p>
      <w:pPr>
        <w:ind w:left="1420" w:hanging="9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61</w:t>
      </w:r>
    </w:p>
    <w:p>
      <w:pPr>
        <w:sectPr>
          <w:pgSz w:w="11900" w:h="16838" w:orient="portrait"/>
          <w:cols w:equalWidth="0" w:num="1">
            <w:col w:w="11420"/>
          </w:cols>
          <w:pgMar w:left="240" w:top="364"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64" w:right="2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right="880" w:firstLine="332"/>
        <w:spacing w:after="0" w:line="277"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2019;</w:t>
      </w:r>
    </w:p>
    <w:p>
      <w:pPr>
        <w:spacing w:after="0" w:line="17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right="880" w:firstLine="332"/>
        <w:spacing w:after="0" w:line="277"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2019;</w:t>
      </w:r>
    </w:p>
    <w:p>
      <w:pPr>
        <w:spacing w:after="0" w:line="17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September 30, 2019, the undersigned certify that, to the best of his knowledge, based upon a review of the Icahn Enterprises L.P. and Icahn Enterprises Holdings L.P. joint quarterly report on Form 10-Q for the period ended September 30, 2019:</w:t>
      </w:r>
    </w:p>
    <w:p>
      <w:pPr>
        <w:spacing w:after="0" w:line="181"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8"/>
    </w:lvl>
  </w:abstractNum>
  <w:abstractNum w:abstractNumId="14">
    <w:nsid w:val="519B500D"/>
    <w:multiLevelType w:val="hybridMultilevel"/>
    <w:lvl w:ilvl="0">
      <w:lvlJc w:val="left"/>
      <w:lvlText w:val="%1."/>
      <w:numFmt w:val="decimal"/>
      <w:start w:val="9"/>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2019-12-28T03:10:09Z</dcterms:created>
  <dcterms:modified xsi:type="dcterms:W3CDTF">2019-12-28T03:10:09Z</dcterms:modified>
</cp:coreProperties>
</file>