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374"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0"/>
              </w:rPr>
              <w:t>(State or Other</w:t>
            </w:r>
          </w:p>
        </w:tc>
        <w:tc>
          <w:tcPr>
            <w:tcW w:w="130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580" w:type="dxa"/>
            <w:vAlign w:val="bottom"/>
          </w:tcPr>
          <w:p>
            <w:pPr>
              <w:jc w:val="center"/>
              <w:ind w:left="145"/>
              <w:spacing w:after="0" w:line="149" w:lineRule="exact"/>
              <w:rPr>
                <w:sz w:val="20"/>
                <w:szCs w:val="20"/>
                <w:color w:val="auto"/>
              </w:rPr>
            </w:pPr>
            <w:r>
              <w:rPr>
                <w:rFonts w:ascii="Arial" w:cs="Arial" w:eastAsia="Arial" w:hAnsi="Arial"/>
                <w:sz w:val="14"/>
                <w:szCs w:val="14"/>
                <w:color w:val="auto"/>
                <w:w w:val="98"/>
              </w:rPr>
              <w:t>Jurisdiction of</w:t>
            </w:r>
          </w:p>
        </w:tc>
        <w:tc>
          <w:tcPr>
            <w:tcW w:w="13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7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580" w:type="dxa"/>
            <w:vAlign w:val="bottom"/>
          </w:tcPr>
          <w:p>
            <w:pPr>
              <w:jc w:val="center"/>
              <w:ind w:left="12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00" w:type="dxa"/>
            <w:vAlign w:val="bottom"/>
          </w:tcPr>
          <w:p>
            <w:pPr>
              <w:jc w:val="center"/>
              <w:ind w:left="95"/>
              <w:spacing w:after="0"/>
              <w:rPr>
                <w:sz w:val="20"/>
                <w:szCs w:val="20"/>
                <w:color w:val="auto"/>
              </w:rPr>
            </w:pPr>
            <w:r>
              <w:rPr>
                <w:rFonts w:ascii="Arial" w:cs="Arial" w:eastAsia="Arial" w:hAnsi="Arial"/>
                <w:sz w:val="14"/>
                <w:szCs w:val="14"/>
                <w:color w:val="auto"/>
                <w:w w:val="92"/>
              </w:rPr>
              <w:t>(Telephone Number)</w:t>
            </w: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00" w:type="dxa"/>
            <w:vAlign w:val="bottom"/>
          </w:tcPr>
          <w:p>
            <w:pPr>
              <w:jc w:val="right"/>
              <w:ind w:right="1102"/>
              <w:spacing w:after="0"/>
              <w:rPr>
                <w:sz w:val="20"/>
                <w:szCs w:val="20"/>
                <w:color w:val="auto"/>
              </w:rPr>
            </w:pPr>
            <w:r>
              <w:rPr>
                <w:rFonts w:ascii="Arial" w:cs="Arial" w:eastAsia="Arial" w:hAnsi="Arial"/>
                <w:sz w:val="16"/>
                <w:szCs w:val="16"/>
                <w:b w:val="1"/>
                <w:bCs w:val="1"/>
                <w:color w:val="auto"/>
              </w:rPr>
              <w:t>1-9516</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00" w:type="dxa"/>
            <w:vAlign w:val="bottom"/>
          </w:tcPr>
          <w:p>
            <w:pPr>
              <w:jc w:val="right"/>
              <w:ind w:right="842"/>
              <w:spacing w:after="0"/>
              <w:rPr>
                <w:sz w:val="20"/>
                <w:szCs w:val="20"/>
                <w:color w:val="auto"/>
              </w:rPr>
            </w:pPr>
            <w:r>
              <w:rPr>
                <w:rFonts w:ascii="Arial" w:cs="Arial" w:eastAsia="Arial" w:hAnsi="Arial"/>
                <w:sz w:val="16"/>
                <w:szCs w:val="16"/>
                <w:b w:val="1"/>
                <w:bCs w:val="1"/>
                <w:color w:val="auto"/>
              </w:rPr>
              <w:t>333-118021-01</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HOLDINGS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10"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Icahn Enterprises L.P.</w:t>
            </w:r>
          </w:p>
        </w:tc>
        <w:tc>
          <w:tcPr>
            <w:tcW w:w="2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Icahn Enterprises Holdings L.P.</w:t>
            </w:r>
          </w:p>
        </w:tc>
        <w:tc>
          <w:tcPr>
            <w:tcW w:w="1240" w:type="dxa"/>
            <w:vAlign w:val="bottom"/>
          </w:tcPr>
          <w:p>
            <w:pPr>
              <w:spacing w:after="0"/>
              <w:rPr>
                <w:sz w:val="18"/>
                <w:szCs w:val="18"/>
                <w:color w:val="auto"/>
              </w:rPr>
            </w:pPr>
          </w:p>
        </w:tc>
      </w:tr>
      <w:tr>
        <w:trPr>
          <w:trHeight w:val="291"/>
        </w:trPr>
        <w:tc>
          <w:tcPr>
            <w:tcW w:w="2240" w:type="dxa"/>
            <w:vAlign w:val="bottom"/>
            <w:gridSpan w:val="2"/>
          </w:tcPr>
          <w:p>
            <w:pPr>
              <w:jc w:val="center"/>
              <w:ind w:right="310"/>
              <w:spacing w:after="0"/>
              <w:rPr>
                <w:sz w:val="20"/>
                <w:szCs w:val="20"/>
                <w:color w:val="auto"/>
              </w:rPr>
            </w:pPr>
            <w:r>
              <w:rPr>
                <w:rFonts w:ascii="Arial" w:cs="Arial" w:eastAsia="Arial" w:hAnsi="Arial"/>
                <w:sz w:val="18"/>
                <w:szCs w:val="18"/>
                <w:color w:val="auto"/>
                <w:w w:val="91"/>
              </w:rPr>
              <w:t>Large Accelerated Filer x</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Accelerated Filer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6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40" w:type="dxa"/>
            <w:vAlign w:val="bottom"/>
            <w:gridSpan w:val="2"/>
          </w:tcPr>
          <w:p>
            <w:pPr>
              <w:jc w:val="center"/>
              <w:ind w:right="290"/>
              <w:spacing w:after="0"/>
              <w:rPr>
                <w:sz w:val="20"/>
                <w:szCs w:val="20"/>
                <w:color w:val="auto"/>
              </w:rPr>
            </w:pPr>
            <w:r>
              <w:rPr>
                <w:rFonts w:ascii="Arial" w:cs="Arial" w:eastAsia="Arial" w:hAnsi="Arial"/>
                <w:sz w:val="18"/>
                <w:szCs w:val="18"/>
                <w:color w:val="auto"/>
                <w:w w:val="90"/>
              </w:rPr>
              <w:t>Non-accelerated Filer o</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Smaller Reporting Company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6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524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Emerging Growth Company o</w:t>
            </w:r>
          </w:p>
        </w:tc>
        <w:tc>
          <w:tcPr>
            <w:tcW w:w="1640" w:type="dxa"/>
            <w:vAlign w:val="bottom"/>
          </w:tcPr>
          <w:p>
            <w:pPr>
              <w:spacing w:after="0"/>
              <w:rPr>
                <w:sz w:val="23"/>
                <w:szCs w:val="23"/>
                <w:color w:val="auto"/>
              </w:rPr>
            </w:pPr>
          </w:p>
        </w:tc>
        <w:tc>
          <w:tcPr>
            <w:tcW w:w="354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Emerging Growth Company o</w:t>
            </w:r>
          </w:p>
        </w:tc>
      </w:tr>
    </w:tbl>
    <w:p>
      <w:pPr>
        <w:spacing w:after="0" w:line="12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August 8, 2017, there were 164,807,945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8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740" w:type="dxa"/>
            <w:vAlign w:val="bottom"/>
            <w:tcBorders>
              <w:bottom w:val="single" w:sz="8" w:color="CCEEFF"/>
            </w:tcBorders>
            <w:gridSpan w:val="2"/>
            <w:shd w:val="clear" w:color="auto" w:fill="CCEEFF"/>
          </w:tcPr>
          <w:p>
            <w:pPr>
              <w:spacing w:after="0"/>
              <w:rPr>
                <w:sz w:val="21"/>
                <w:szCs w:val="21"/>
                <w:color w:val="auto"/>
              </w:rPr>
            </w:pPr>
          </w:p>
        </w:tc>
        <w:tc>
          <w:tcPr>
            <w:tcW w:w="156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7640" w:type="dxa"/>
            <w:vAlign w:val="bottom"/>
            <w:tcBorders>
              <w:bottom w:val="single" w:sz="8" w:color="CCEEFF"/>
            </w:tcBorders>
            <w:gridSpan w:val="4"/>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9200" w:type="dxa"/>
            <w:vAlign w:val="bottom"/>
            <w:gridSpan w:val="8"/>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5"/>
          </w:tcPr>
          <w:p>
            <w:pPr>
              <w:jc w:val="center"/>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580" w:type="dxa"/>
            <w:vAlign w:val="bottom"/>
            <w:tcBorders>
              <w:top w:val="single" w:sz="8" w:color="0000EE"/>
            </w:tcBorders>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3.</w:t>
              </w:r>
            </w:hyperlink>
          </w:p>
        </w:tc>
        <w:tc>
          <w:tcPr>
            <w:tcW w:w="740" w:type="dxa"/>
            <w:vAlign w:val="bottom"/>
            <w:gridSpan w:val="2"/>
            <w:shd w:val="clear" w:color="auto" w:fill="CCEEFF"/>
          </w:tcPr>
          <w:p>
            <w:pPr>
              <w:spacing w:after="0"/>
              <w:rPr>
                <w:sz w:val="17"/>
                <w:szCs w:val="17"/>
                <w:color w:val="auto"/>
              </w:rPr>
            </w:pPr>
          </w:p>
        </w:tc>
        <w:tc>
          <w:tcPr>
            <w:tcW w:w="9200" w:type="dxa"/>
            <w:vAlign w:val="bottom"/>
            <w:gridSpan w:val="8"/>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90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58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4.</w:t>
              </w:r>
            </w:hyperlink>
          </w:p>
        </w:tc>
        <w:tc>
          <w:tcPr>
            <w:tcW w:w="740" w:type="dxa"/>
            <w:vAlign w:val="bottom"/>
            <w:gridSpan w:val="2"/>
          </w:tcPr>
          <w:p>
            <w:pPr>
              <w:spacing w:after="0"/>
              <w:rPr>
                <w:sz w:val="17"/>
                <w:szCs w:val="17"/>
                <w:color w:val="auto"/>
              </w:rPr>
            </w:pPr>
          </w:p>
        </w:tc>
        <w:tc>
          <w:tcPr>
            <w:tcW w:w="4400" w:type="dxa"/>
            <w:vAlign w:val="bottom"/>
            <w:gridSpan w:val="6"/>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48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gridSpan w:val="4"/>
          </w:tcPr>
          <w:p>
            <w:pPr>
              <w:jc w:val="center"/>
              <w:ind w:right="360"/>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58</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38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1.</w:t>
              </w:r>
            </w:hyperlink>
          </w:p>
        </w:tc>
        <w:tc>
          <w:tcPr>
            <w:tcW w:w="740" w:type="dxa"/>
            <w:vAlign w:val="bottom"/>
            <w:gridSpan w:val="2"/>
            <w:shd w:val="clear" w:color="auto" w:fill="CCEEFF"/>
          </w:tcPr>
          <w:p>
            <w:pPr>
              <w:spacing w:after="0"/>
              <w:rPr>
                <w:sz w:val="17"/>
                <w:szCs w:val="17"/>
                <w:color w:val="auto"/>
              </w:rPr>
            </w:pPr>
          </w:p>
        </w:tc>
        <w:tc>
          <w:tcPr>
            <w:tcW w:w="9200" w:type="dxa"/>
            <w:vAlign w:val="bottom"/>
            <w:gridSpan w:val="8"/>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90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1A.</w:t>
              </w:r>
            </w:hyperlink>
          </w:p>
        </w:tc>
        <w:tc>
          <w:tcPr>
            <w:tcW w:w="9200" w:type="dxa"/>
            <w:vAlign w:val="bottom"/>
            <w:gridSpan w:val="8"/>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900" w:type="dxa"/>
            <w:vAlign w:val="bottom"/>
            <w:gridSpan w:val="5"/>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6.</w:t>
              </w:r>
            </w:hyperlink>
          </w:p>
        </w:tc>
        <w:tc>
          <w:tcPr>
            <w:tcW w:w="9200" w:type="dxa"/>
            <w:vAlign w:val="bottom"/>
            <w:gridSpan w:val="8"/>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90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9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30, 2017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1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32,557</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22,027</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 Depositary units: 164,807,945 units issued and outstanding at June 30, 2017 and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144,741,149 units issued and outstanding at December 31, 2016</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32,557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364"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60" w:type="dxa"/>
            <w:vAlign w:val="bottom"/>
            <w:gridSpan w:val="5"/>
          </w:tcPr>
          <w:p>
            <w:pPr>
              <w:jc w:val="center"/>
              <w:ind w:left="387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4,282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4,094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on disposition of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6,654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4,350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3,448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expenses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4,913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4,585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1,741</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1,725</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Less: net income (loss)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Icahn Enterprises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1,553</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Icahn Enterprises allocable to:</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1,553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income (loss) per LP unit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982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(In millions)</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0"/>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Comprehensive income (loss) attributable to Icahn Enterprises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Comprehensive income (loss) attributable to Icahn Enterprises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47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$1,463 million and $1,584 million at June 30,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1,565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10,530</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LP Unit issuance</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8,598</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33020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0"/>
                <w:szCs w:val="20"/>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(gain) loss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(1,211)</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5,880</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(2,904)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(5,046)</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disposition of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Impairment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Equity earnings from non-consolidated affiliates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517</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Acquisition of businesses, net of cash acquired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disposition of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 from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Partnership contributions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Holding Company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Repayments of Holding Company senior unsecured notes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(1,175)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subsidiary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Repayments of subsidiary borrowings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(2,037)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Add back decrease in cash of assets held for sale</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2,078</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1,920</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(In millions)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30, 2017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(Unaudited)</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32,587</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33,363</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22,031</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25,321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32,587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33,363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380"/>
          </w:cols>
          <w:pgMar w:left="260" w:top="58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580"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3"/>
              </w:rPr>
              <w:t>(In millions)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4,282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4,094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on disposition of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6,654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4,350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3,448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expenses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4,912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4,584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1,742</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1,726</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Less: net income (loss)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7"/>
              </w:rPr>
              <w:t>Net income (loss) attributable to Icahn Enterprises Holdings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1,554</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Net income (loss) attributable to Icahn Enterprises Holdings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allocable to:</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1,554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34"/>
        </w:trPr>
        <w:tc>
          <w:tcPr>
            <w:tcW w:w="854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00" w:type="dxa"/>
            <w:vAlign w:val="bottom"/>
            <w:gridSpan w:val="10"/>
          </w:tcPr>
          <w:p>
            <w:pPr>
              <w:jc w:val="center"/>
              <w:ind w:left="14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Less: Comprehensive income (loss) attributable to non-</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Comprehensive income (loss) attributable to Icahn Enterprises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Comprehensive income (loss) attributable to Icahn Enterprises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 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$1,463 million and $1,584 million at June 30,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364" w:right="259" w:bottom="1440" w:gutter="0" w:footer="0" w:header="0"/>
          <w:type w:val="continuous"/>
        </w:sectPr>
      </w:pPr>
    </w:p>
    <w:bookmarkStart w:id="11" w:name="page12"/>
    <w:bookmarkEnd w:id="11"/>
    <w:p>
      <w:pPr>
        <w:ind w:left="318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1,566</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10,556</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77"/>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LP Unit issuance</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8,623</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36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33020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0"/>
                <w:szCs w:val="20"/>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(gain) loss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(1,211)</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5,880</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(2,904)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(5,046)</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disposition of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488</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Impairment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Equity earnings from non-consolidated affiliates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taxes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517</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Acquisition of businesses, net of cash acquired</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disposition of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 from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Partnership contributions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Holding Company senior unsecured notes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Repayments of Holding Company senior unsecured notes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(1,175)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subsidiary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Repayments of subsidiary borrowings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(2,037)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(1,399)</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Add back decrease in cash of assets held for sale</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2,078</w:t>
            </w:r>
          </w:p>
        </w:tc>
      </w:tr>
      <w:tr>
        <w:trPr>
          <w:trHeight w:val="33"/>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1,920</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64"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Icahn Enterprises L.P. ("Icahn Enterprises") owns a 99% limited partner interest in Icahn Enterprises Holdings L.P. ("Icahn Enterprises Holdings"). Icahn Enterprises G.P. Inc. ("Icahn Enterprises GP"), which is owned and controlled by Mr. Carl C. Icahn, owns a 1% general partner interest in each of Icahn Enterprises and Icahn Enterprises Holdings as of June 30, 2017.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of the general partner interest, which is reflected as an aggregate 1.99% general partner interest in the financial statements of Icahn Enterprises, as well as due to the carrying amount of deferred financing costs related to our senior unsecured notes. In addition to the above, Mr. Icahn and his affiliates owned approximately 90.6% of Icahn Enterprises' outstanding depositary units as of June 30, 2017.</w:t>
      </w:r>
    </w:p>
    <w:p>
      <w:pPr>
        <w:spacing w:after="0" w:line="8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References to "we," "our" or "us" herein include both Icahn Enterprises and Icahn Enterprises Holdings and their subsidiaries, unless the context otherwise requires.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Operating Businesses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are a diversified holding company owning subsidiaries currently engaged in the following continuing operating businesses: Investment, Automotive, Energy, Railcar, Gaming,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are discussed below.</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 owned affiliates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value of approximately $2.7 billion and $1.7 billion as of June 30, 2017 and December 31, 2016,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conduct our Automotive segment through our wholly owned subsidiaries Federal-Mogul LLC ("Federal-Mogul") and Icahn Automotive Group LLC ("Icahn Automotive"), which is the parent company of IEH Auto Parts Holding LLC and The Pep Boys - Manny, Moe &amp; Jack ("Pep Boys"). During January 2017, we increased our ownership in Federal-Mogul from 82.0% to 100% through a tender offer for the remaining shares of Federal-Mogul common stock not already owned by us and a subsequent short form merger for an aggregate purchase price of $305 million.</w:t>
      </w:r>
    </w:p>
    <w:p>
      <w:pPr>
        <w:spacing w:after="0" w:line="6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Federal-Mogul is engaged in the manufacture and distribution of automotive parts. Icahn Automotive is engaged in the distribution of automotive parts in the aftermarket as well as providing automotive services to its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conduct our Energy segment through our majority ownership in CVR Energy, Inc. ("CVR Energy"). CVR Energy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As of June 30, 2017, CVR Energy owned 100% of each of the general partners of CVR Refining and CVR Partners and approximately 66% and 34% of the common units of CVR Refining and CVR Partners, respectively.</w:t>
      </w:r>
    </w:p>
    <w:p>
      <w:pPr>
        <w:spacing w:after="0" w:line="8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As of June 30, 2017, we owned approximately 82.0% of the total outstanding common stock of CVR Energy. In addition, as of June 30, 2017, we directly owned approximately 3.9% of the total outstanding common units of CVR Refining.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3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Railcar segment through our majority ownership interest in American Railcar Industries, Inc. ("ARI") and, prior to June 1, 2017, our wholly owned subsidiary American Railcar Leasing, LLC ("ARL"). As of June 30, 2017, we owned approximately 62.2% of the total outstanding common stock of ARI. As discussed below, we sold ARL, along with a majority of its railcar lease fleet, on June 1, 2017. As of June 30, 2017, through a wholly owned subsidiary of ours, we continue to own approximately 4,600 remaining railcars previously owned by ARL.</w:t>
      </w:r>
    </w:p>
    <w:p>
      <w:pPr>
        <w:spacing w:after="0" w:line="7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ARI is a North American designer and manufacturer of hopper and tank railcars. ARI provides its railcar customers with integrated solutions through a comprehensive set of high-quality products and related services through its manufacturing, leasing and railcar services operations. ARI's manufacturing consists of railcar manufacturing and railcar and industrial component manufacturing. ARI's railcar leasing business consists of railcars built by ARI leased to third parties under operating leases. ARI's railcar services consist of railcar repair, engineering and field services.</w:t>
      </w:r>
    </w:p>
    <w:p>
      <w:pPr>
        <w:spacing w:after="0" w:line="63"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On December 19, 2016, Icahn Enterprises entered into a definitive agreement to sell ARL to SMBC Rail Services, LLC ("SMBC Rail"), a wholly owned subsidiary of Sumitomo Mitsui Banking Corporation, for cash based on (i) a value of approximately $2.8 billion (subject to certain adjustments) and</w:t>
      </w:r>
    </w:p>
    <w:p>
      <w:pPr>
        <w:ind w:right="40" w:firstLine="8"/>
        <w:spacing w:after="0" w:line="271" w:lineRule="auto"/>
        <w:tabs>
          <w:tab w:leader="none" w:pos="26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fleet of approximately 29,000 railcars (the "ARL Initial Sale"). The ARL Initial sale closed on June 1, 2017. After repaying, or assigning to SMBC Rail, applicable indebtedness of ARL, we received cash consideration of approximately $1.3 billion in connection with the ARL Initial Sale, resulting in a pretax gain on disposition of assets for our Railcar segment of approximately $1.5 billion. For a period of three years after the closing of the ARL Initial Sale, and upon satisfaction of certain conditions, we have an option to sell, and SMBC Rail has an option to buy, approximately 4,600 remaining railcars currently owned by a wholly owned subsidiary of ours for an additional purchase price estimated to be approximately $559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conduct our Gaming segment through our majority ownership in Tropicana Entertainment Inc. ("Tropicana") and our wholly owned subsidiary Trump Entertainment Resorts Inc. ("TER"), which we acquired out of bankruptcy in 2016. As of June 30, 2017, we owned approximately 72.5% of the total outstanding common stock of Tropicana. Tropicana is an owner and operator of regional casino and entertainment properties located in the United States and one hotel, timeshare and casino resort located on the island of Aruba. TER owned the Trump Taj Mahal Casino Resort, which closed and ceased its casino and hotel operations in October 2016, and was subsequently sold on March 31, 2017. TER also owns Trump Plaza Hotel and Casino, which ceased operations in September 2014, prior to our obtaining a controlling interest in TER.</w:t>
      </w:r>
    </w:p>
    <w:p>
      <w:pPr>
        <w:spacing w:after="0" w:line="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June 23, 2017, Icahn Enterprises Holdings and Tropicana commenced a tender offer to purchase severally, and not jointly, up to 5,580,000 shares of Tropicana common stock in the aggregate, at a price of not greater than $45.00 nor less than $38.00 per share, by means of a "modified" Dutch auction, on the terms and subject to the conditions set forth in the Offer to Purchase dated June 23, 2017 and the related Letter of Transmittal (which, together with any amendments or supplements thereto, collectively constitute the "Tender Offer"). The Tender Offer is being made severally, and not jointly, by Icahn Enterprises Holdings and Tropicana and upon the terms and subject to the conditions of the Tender Offer, first, Tropicana will severally, and not jointly, purchase 800,000 of the shares properly tendered, and second, Icahn Enterprises will severally, and not jointly, purchase any remaining shares properly tendered, up to a maximum of 4,780,000 shares. The Tender Offer was extended on August 3, 2017 and expires on August 9, 2017, unless the Tender Offer is further extended.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We conduct our Mining segment through our majority ownership in Ferrous Resources Ltd. ("Ferrous Resources"). As of June 30, 2017,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As of June 30, 2017, we owned approximately 74.6% of the total outstanding common stock of Viskase. Viskase is a producer of cellulosic, fibrous and plastic casings used to prepare and package processed meat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Real Estate operations consist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as well.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conduct our Home Fashion segment through our indirect wholly owned subsidiary, WestPoint Home LLC (“WPH”). WPH's business consists of manufacturing, sourcing, marketing, distributing and selling home fashion consumer products.</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46"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2016.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2017, our condensed consolidated financial statements include the accounts of (i) Icahn Enterprises and Icahn Enterprises Holdings and</w:t>
      </w:r>
    </w:p>
    <w:p>
      <w:pPr>
        <w:spacing w:after="0" w:line="46" w:lineRule="exact"/>
        <w:rPr>
          <w:sz w:val="20"/>
          <w:szCs w:val="20"/>
          <w:color w:val="auto"/>
        </w:rPr>
      </w:pPr>
    </w:p>
    <w:p>
      <w:pPr>
        <w:ind w:right="20" w:firstLine="8"/>
        <w:spacing w:after="0" w:line="290"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56" w:lineRule="exact"/>
        <w:rPr>
          <w:sz w:val="20"/>
          <w:szCs w:val="20"/>
          <w:color w:val="auto"/>
        </w:rPr>
      </w:pPr>
    </w:p>
    <w:p>
      <w:pPr>
        <w:ind w:right="860" w:firstLine="405"/>
        <w:spacing w:after="0" w:line="308" w:lineRule="auto"/>
        <w:rPr>
          <w:sz w:val="20"/>
          <w:szCs w:val="20"/>
          <w:color w:val="auto"/>
        </w:rPr>
      </w:pPr>
      <w:r>
        <w:rPr>
          <w:rFonts w:ascii="Arial" w:cs="Arial" w:eastAsia="Arial" w:hAnsi="Arial"/>
          <w:sz w:val="17"/>
          <w:szCs w:val="17"/>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Refining and CVR Partners.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jc w:val="both"/>
        <w:ind w:right="40" w:firstLine="405"/>
        <w:spacing w:after="0" w:line="297" w:lineRule="auto"/>
        <w:rPr>
          <w:sz w:val="20"/>
          <w:szCs w:val="20"/>
          <w:color w:val="auto"/>
        </w:rPr>
      </w:pPr>
      <w:r>
        <w:rPr>
          <w:rFonts w:ascii="Arial" w:cs="Arial" w:eastAsia="Arial" w:hAnsi="Arial"/>
          <w:sz w:val="16"/>
          <w:szCs w:val="16"/>
          <w:color w:val="auto"/>
        </w:rPr>
        <w:t>CVR Refining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CVR Energy determined that it is the primary beneficiary of both CVR Refining and CVR Partners. Based upon this evaluation, CVR Energy continues to consolidate both CVR Refining and CVR Partners.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includes balances of assets and liabilities of VIE's included in Icahn Enterprises Holdings'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June 30, 2017</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2016</w:t>
            </w:r>
          </w:p>
        </w:tc>
      </w:tr>
      <w:tr>
        <w:trPr>
          <w:trHeight w:val="27"/>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752</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8,627</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1,391</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1,482</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3,259</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349</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2,124</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1,730</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1,139</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1,166</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7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2017 was approximately $11.3 billion and $11.5 billion, respectively. The carrying value and estimated fair value of our long-term debt as of December 31, 2016 was approximately $11.1 billion and $11.2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$961 million and $686 million as of June 30, 2017 and December 31, 2016,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Transfers of receivables relate primarily to our Automotive segment. Federal-Mogul's subsidiaries in Brazil, France, Germany, Italy, Canada and the United States are party to accounts receivable factoring and securitization facilities. Gross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37"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accounts receivable transferred under these facilities were $601 million and $487 million as of June 30, 2017 and December 31, 2016, respectively. Of those gross amounts, $595 million and $485 million, respectively, qualify as sales in accordance with U.S. GAAP. The remaining transferred receivables were pledged as collateral and accounted for as secured borrowings and recorded in the condensed consolidated balance sheets within accounts receivable, net and debt. Under the terms of these facilities, Federal-Mogul is not obligated to draw cash immediately upon the transfer of accounts receivable. As of June 30, 2017 and December 31, 2016, Federal-Mogul did not have any undrawn cash related to such transferred receivables.</w:t>
      </w:r>
    </w:p>
    <w:p>
      <w:pPr>
        <w:spacing w:after="0" w:line="5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Proceeds from the transfers of accounts receivable qualifying as sales were $442 million and $429 million for the three months ended June 30, 2017 and 2016, respectively, and $916 million and $842 million for the six months ended June 30, 2017 and 2016, respectively. Expenses associated with transfers of receivables were $4 million and $4 million for the three months ended June 30, 2017 and 2016, respectively, and $8 million and $7 million for the six months ended June 30, 2017 and 2016, respectively. Such expenses were recorded in the condensed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w:t>
      </w:r>
    </w:p>
    <w:p>
      <w:pPr>
        <w:spacing w:after="0" w:line="11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As of December 31, 2016, assets and liabilities held for sale primarily consisted of property plant and equipment and debt, respectively, and related primarily to our pending ARL Initial Sale as of December 31, 2016. On June 1, 2017, we closed on the ARL Initial Sale and disposed of such assets and liabilities previously classified as held for sale.</w:t>
      </w:r>
    </w:p>
    <w:p>
      <w:pPr>
        <w:spacing w:after="0" w:line="7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During 2017, we identified additional assets and liabilities that meet the criteria to be classified as held for sale. As of June 30, 2017, assets held for sale primarily consisted of property plant and equipment within our Railcar and Real Estate segments, including the remaining railcars previously owned by ARL that we continued to own subsequent to the ARL Initial Sale.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("ASU") No. 2015-11, </w:t>
      </w:r>
      <w:r>
        <w:rPr>
          <w:rFonts w:ascii="Arial" w:cs="Arial" w:eastAsia="Arial" w:hAnsi="Arial"/>
          <w:sz w:val="18"/>
          <w:szCs w:val="18"/>
          <w:i w:val="1"/>
          <w:iCs w:val="1"/>
          <w:color w:val="auto"/>
        </w:rPr>
        <w:t>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Inventory</w:t>
      </w:r>
      <w:r>
        <w:rPr>
          <w:rFonts w:ascii="Arial" w:cs="Arial" w:eastAsia="Arial" w:hAnsi="Arial"/>
          <w:sz w:val="18"/>
          <w:szCs w:val="18"/>
          <w:color w:val="auto"/>
        </w:rPr>
        <w:t>, which amends FASB Accounting Standards Codification ("ASC") Topic 330,</w:t>
      </w:r>
      <w:r>
        <w:rPr>
          <w:rFonts w:ascii="Arial" w:cs="Arial" w:eastAsia="Arial" w:hAnsi="Arial"/>
          <w:sz w:val="18"/>
          <w:szCs w:val="18"/>
          <w:i w:val="1"/>
          <w:iCs w:val="1"/>
          <w:color w:val="auto"/>
        </w:rPr>
        <w:t xml:space="preserve"> Inventory</w:t>
      </w:r>
      <w:r>
        <w:rPr>
          <w:rFonts w:ascii="Arial" w:cs="Arial" w:eastAsia="Arial" w:hAnsi="Arial"/>
          <w:sz w:val="18"/>
          <w:szCs w:val="18"/>
          <w:color w:val="auto"/>
        </w:rPr>
        <w:t>. This ASU requires entities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beginning with our interim period beginning January 1, 2017. The adoption of this guidance was applied prospectively and had minimal impact on our consolidated financial statements.</w:t>
      </w:r>
    </w:p>
    <w:p>
      <w:pPr>
        <w:spacing w:after="0" w:line="8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In March 2016, the FASB issued ASU No. 2016-07, </w:t>
      </w:r>
      <w:r>
        <w:rPr>
          <w:rFonts w:ascii="Arial" w:cs="Arial" w:eastAsia="Arial" w:hAnsi="Arial"/>
          <w:sz w:val="18"/>
          <w:szCs w:val="18"/>
          <w:i w:val="1"/>
          <w:iCs w:val="1"/>
          <w:color w:val="auto"/>
        </w:rPr>
        <w:t>Simplifying the Transition to the Equity Method of Accounting</w:t>
      </w:r>
      <w:r>
        <w:rPr>
          <w:rFonts w:ascii="Arial" w:cs="Arial" w:eastAsia="Arial" w:hAnsi="Arial"/>
          <w:sz w:val="18"/>
          <w:szCs w:val="18"/>
          <w:color w:val="auto"/>
        </w:rPr>
        <w:t xml:space="preserve">, which amends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This ASU eliminates the retroactive adjustment of an investment that qualifies for the equity method as a result of an increase in the level of ownership or degree of influence as if the equity method had been in effect during all previous periods that the investment had been held. This ASU is effective beginning with our interim period beginning January 1, 2017. The adoption of this guidance had minimal impact on our consolidated financial statements.</w:t>
      </w:r>
    </w:p>
    <w:p>
      <w:pPr>
        <w:spacing w:after="0" w:line="8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which amends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This ASU simplifies several aspects of the accounting for share-based payment transactions, including income the income tax consequences, classification of awards as either equity or liabilities, and classification on the statement of cash flows. This ASU is effective beginning with our interim period beginning January 1, 2017. During the first quarter of 2017, the board of directors of the general partner of Icahn Enterprises unanimously approved and adopted the Icahn Enterprises L.P. 2017 Long Term Incentive Plan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are initially available under the 2017 Incentive Plan. Prior to the adoption of the 2017 Incentive Plan, accounting for unit-based payments did not apply to us. Therefore, the adoption of this guidance in 2017 was the result of the adoption of the 2017 Incentive Plan and which had a minimal impact on our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xml:space="preserve">, which amends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This ASU requires the recognition of income tax consequences of an intra-entity transfer of an asset other than inventory when the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Current U.S. GAAP prohibits the recognition of current and deferred incomes taxes for an intra-entity asset transfer until the asset has been sold to an outside party. This ASU is effective for fiscal years beginning after December 15, 2017, and interim periods within those fiscal years. Early adoption is permitted. We have elected to early adopt this guidance in the first quarter of 2017. The impact of early adopting this guidance on our consolidated financial statements is a cumulative effect adjustment to decrease our equity attributable to Icahn Enterprises and Icahn Enterprises Holdings as of January 1, 2017 by $47 million to reverse previously deferred charges and recognize them in equity.</w:t>
      </w:r>
    </w:p>
    <w:p>
      <w:pPr>
        <w:spacing w:after="0" w:line="70"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which amends FASB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This ASU provides guidance on what constitutes a business for purposes of applying FASB ASC Topic 805. This ASU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beginning after December 15, 2017, and interim periods within those fiscal years. We have elected to early adopt this guidance in the first quarter of 2017. We did not have any material transactions affected by this guidance and therefore, the adoption of this guidance did not have a material impact on our consolidated financial statements.</w:t>
      </w:r>
    </w:p>
    <w:p>
      <w:pPr>
        <w:spacing w:after="0" w:line="8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which amends FASB ASC Topic 350, </w:t>
      </w:r>
      <w:r>
        <w:rPr>
          <w:rFonts w:ascii="Arial" w:cs="Arial" w:eastAsia="Arial" w:hAnsi="Arial"/>
          <w:sz w:val="16"/>
          <w:szCs w:val="16"/>
          <w:i w:val="1"/>
          <w:iCs w:val="1"/>
          <w:color w:val="auto"/>
        </w:rPr>
        <w:t>Intangibles -</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w:t>
      </w:r>
      <w:r>
        <w:rPr>
          <w:rFonts w:ascii="Arial" w:cs="Arial" w:eastAsia="Arial" w:hAnsi="Arial"/>
          <w:sz w:val="16"/>
          <w:szCs w:val="16"/>
          <w:color w:val="auto"/>
        </w:rPr>
        <w:t>. This ASU simplifies the subsequent measurement of goodwill by eliminating "Step 2" from the goodwill impairment test which,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this ASU, requires comparing the implied fair value of goodwill with its carrying value. By eliminating "Step 2" from the goodwill impairment test, the quantitative analysis of goodwill will result in an impairment loss for the amount that the carrying value of a reporting unit, including goodwill, exceeds its fair value, limited to the total amount of goodwill allocated to the tested reporting unit. While this ASU reduces the complexity and cost of our goodwill impairment tests, it may result in significant differences in the recognition of goodwill impairment. For example, should our reporting units fail "Step 1" of the impairment tests but pass the current "Step 2" impairment tests, we may have more impairments of goodwill under the new guidance. This ASU is effective for fiscal years beginning after December 15, 2019, and interim periods within those fiscal years. Early adoption is permitted beginning for interim and annual goodwill impairment tests performed on testing dates after January 1, 2017. We have elected to early adopt this guidance for our interim and annual goodwill impairment tests to be performed on testing dates beginning in 2017. This ASU principally affects our Automotive segment as substantially all of our goodwill balance pertains to our Automotive segment as of June 30, 2017. We did not perform any interim goodwill impairment analysis in 2017 and therefore, the adoption of this guidance had no impact on our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In addition, the FASB issued other amendments during 2016 to FASB ASC Topic 606 that include implementation guidance to principal versus agent considerations, guidance to identifying performance obligations and licensing guidance and other narrow scope improvements. We have developed an implementation plan to adopt this new ASU. As part of this plan, we are continuing to assess the impact of this new standard on our business processes, business and accounting systems, and consolidated financial statements and related disclosures. We expect to complete our assessment within the next several months after which we will initiate the design and implementation phases of the plan, including implementing any changes to existing business processes and systems to accommodate these new standards, during 2017. We will adopt these new standards on January 1, 2018 using the modified retrospective application method. To date, we have not identified any material differences in our existing revenue recognition methods that would require modification under the new standards.</w:t>
      </w:r>
    </w:p>
    <w:p>
      <w:pPr>
        <w:spacing w:after="0" w:line="6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xml:space="preserve">, which amends FASB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 cost minus impairment. In addition, there were other amendments to certain disclosure and presentation matters pertaining to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The amendments in this ASU should be applied by means of a cumulative-effect adjustment to the balance sheet as of the beginning of the fiscal year of adoption. The amendments related to equity securities without readily determinable fair values should be applied prospectively to equity investments that exist as of the date of adoption. Early application is permitted for certain matters only. We are currently evaluating the impact of this guidance on our consolidated financial statements.</w:t>
      </w:r>
    </w:p>
    <w:p>
      <w:pPr>
        <w:spacing w:after="0" w:line="8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ASC Topic 840, </w:t>
      </w:r>
      <w:r>
        <w:rPr>
          <w:rFonts w:ascii="Arial" w:cs="Arial" w:eastAsia="Arial" w:hAnsi="Arial"/>
          <w:sz w:val="17"/>
          <w:szCs w:val="17"/>
          <w:i w:val="1"/>
          <w:iCs w:val="1"/>
          <w:color w:val="auto"/>
        </w:rPr>
        <w:t>Leases</w:t>
      </w:r>
      <w:r>
        <w:rPr>
          <w:rFonts w:ascii="Arial" w:cs="Arial" w:eastAsia="Arial" w:hAnsi="Arial"/>
          <w:sz w:val="17"/>
          <w:szCs w:val="17"/>
          <w:color w:val="auto"/>
        </w:rPr>
        <w:t>. This ASU requires the recognition of lease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This ASU is effective for fiscal years beginning after December 15, 2018, including interim periods within those fiscal years. The amendments in this ASU should be applied using a modified retrospective approach. Early application is permitted. We anticipate our assessment and implementation plan to be ongoing during the remainder of 2017 and into 2018 and are currently unable to reasonably estimate the impact of this guidance on our consolidated financial statements.</w:t>
      </w:r>
    </w:p>
    <w:p>
      <w:pPr>
        <w:spacing w:after="0" w:line="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amends FASB ASC Topic 326, </w:t>
      </w: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This ASU requires financial assets measured at amortized cost to be presented at the net amount to be collected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broadens the information, including forecasted information incorporating more timely information, that an entity must consider in developing its expected credit loss estimate for assets measured. This ASU is effective for fiscal years beginning after December 15, 2019, including interim periods within those fiscal years. Early application is permitted for fiscal years beginning after December 15, 2018. We are currently evaluating the impact of this guidance on our consolidated financial statements.</w:t>
      </w:r>
    </w:p>
    <w:p>
      <w:pPr>
        <w:spacing w:after="0" w:line="8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w:t>
      </w:r>
      <w:r>
        <w:rPr>
          <w:rFonts w:ascii="Arial" w:cs="Arial" w:eastAsia="Arial" w:hAnsi="Arial"/>
          <w:sz w:val="17"/>
          <w:szCs w:val="17"/>
          <w:color w:val="auto"/>
        </w:rPr>
        <w:t xml:space="preserve">s, which amends FASB ASC Topic 230, </w:t>
      </w:r>
      <w:r>
        <w:rPr>
          <w:rFonts w:ascii="Arial" w:cs="Arial" w:eastAsia="Arial" w:hAnsi="Arial"/>
          <w:sz w:val="17"/>
          <w:szCs w:val="17"/>
          <w:i w:val="1"/>
          <w:iCs w:val="1"/>
          <w:color w:val="auto"/>
        </w:rPr>
        <w:t xml:space="preserve">Statement of Cash Flows. </w:t>
      </w:r>
      <w:r>
        <w:rPr>
          <w:rFonts w:ascii="Arial" w:cs="Arial" w:eastAsia="Arial" w:hAnsi="Arial"/>
          <w:sz w:val="17"/>
          <w:szCs w:val="17"/>
          <w:color w:val="auto"/>
        </w:rPr>
        <w:t>This ASU seeks to reduce the diversity currently in practice by providing guidance on the presentation of eight specific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issues in the statement of cash flows. This ASU is effective for fiscal years beginning after December 15, 2017, and interim periods within those fiscal years. We are currently evaluating the impact of this guidance on our consolidated statements of cash flows.</w:t>
      </w:r>
    </w:p>
    <w:p>
      <w:pPr>
        <w:spacing w:after="0" w:line="6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which amends FASB ASC Topic 230,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This ASU requires that the statement of cash flows explain the change during the period total cash, cash equivalents, and amounts generally described as restricted cash or restricted cash equivalents.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63"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Cost</w:t>
      </w:r>
      <w:r>
        <w:rPr>
          <w:rFonts w:ascii="Arial" w:cs="Arial" w:eastAsia="Arial" w:hAnsi="Arial"/>
          <w:sz w:val="16"/>
          <w:szCs w:val="16"/>
          <w:color w:val="auto"/>
        </w:rPr>
        <w:t>, which amends FASB ASC Topic 715,</w:t>
      </w:r>
      <w:r>
        <w:rPr>
          <w:rFonts w:ascii="Arial" w:cs="Arial" w:eastAsia="Arial" w:hAnsi="Arial"/>
          <w:sz w:val="16"/>
          <w:szCs w:val="16"/>
          <w:i w:val="1"/>
          <w:iCs w:val="1"/>
          <w:color w:val="auto"/>
        </w:rPr>
        <w:t xml:space="preserve"> Compensation - Retirement Benefits</w:t>
      </w:r>
      <w:r>
        <w:rPr>
          <w:rFonts w:ascii="Arial" w:cs="Arial" w:eastAsia="Arial" w:hAnsi="Arial"/>
          <w:sz w:val="16"/>
          <w:szCs w:val="16"/>
          <w:color w:val="auto"/>
        </w:rPr>
        <w:t>. This ASU requires entities to present the service cost component of net</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 benefit cost in the same line item or items in the financial statements as other compensation costs arising from services rendered by the pertinent employees during the period.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5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Scope of Modification Accounting</w:t>
      </w:r>
      <w:r>
        <w:rPr>
          <w:rFonts w:ascii="Arial" w:cs="Arial" w:eastAsia="Arial" w:hAnsi="Arial"/>
          <w:sz w:val="17"/>
          <w:szCs w:val="17"/>
          <w:color w:val="auto"/>
        </w:rPr>
        <w:t xml:space="preserve">, which amends FASB ASC Topic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This ASU provides updated guidance about which changes to the terms and conditions of a share-based payment award require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apply modification accounting in Topic 718. This ASU is effective for fiscal years beginning after December 15, 2017, and interim periods within those fiscal years. Early adoption is permitted. We are currently evaluating the impact of this guidance on our consolidated financial statements.</w:t>
      </w:r>
    </w:p>
    <w:p>
      <w:pPr>
        <w:spacing w:after="0" w:line="16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7"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the six months ended June 30, 2017 and 2016, affiliates of Mr. Icahn invested $600 million and $490 million, respectively, in the Investment Funds. As of June 30, 2017 and December 31, 2016, the total fair market value of investments in the Investment Funds made by Mr. Icahn and his affiliates (excluding Icahn Enterprises and Icahn Enterprises Holdings) was approximately $4.3 billion and $3.7 billion, respectively, representing approximately 61% and 69% of the Investment Funds' assets under management as of each respective date.</w:t>
      </w:r>
    </w:p>
    <w:p>
      <w:pPr>
        <w:spacing w:after="0" w:line="7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June 30, 2017 and 2016, $3 million and $19 million, respectively, was allocated to the Investment Funds based on this expense-sharing arrangement and for the six months ended June 30, 2017 and 2016, such allocation was $5 million and $7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As discussed in Note 4, "Investments and Related Matters," the Investment Funds have an investment in the common stock of Hertz Global Holdings, Inc. ("Hertz") measured at fair value that would have otherwise been subject to the equity method of accounting beginning in the fourth quarter of 2016. Pep Boys provides services to Hertz in the ordinary course of business. For the three and six months ended June 30, 2017, revenue from Hertz was $3 million and $5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ARL</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February 29, 2016, Icahn Enterprises entered into a contribution agreement with an affiliate of Mr. Icahn to acquire the remaining 25% economic interest in ARL not already owned by us. Pursuant to this contribution agreement, we contributed 685,367 newly issued depositary units of Icahn Enterprises to the affiliate in exchange for the remaining 25% economic interest in ARL. As a result of the transaction, we owned a 100% economic interest in ARL. This transaction was authorized by the independent committee of the board of directors of the general partner of Icahn Enterprises. The independent committee was advised by independent counsel and retained an independent financial advisor which rendered a fairness opinion.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ACF</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Railcar segment has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100" w:lineRule="exact"/>
        <w:rPr>
          <w:sz w:val="20"/>
          <w:szCs w:val="20"/>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Railcar parts purchases from and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of certain intellectual property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Railcar repair services and support for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Railcar purchases from ACF (prior to June 1, 2017)</w:t>
      </w:r>
    </w:p>
    <w:p>
      <w:pPr>
        <w:spacing w:after="0" w:line="131" w:lineRule="exact"/>
        <w:rPr>
          <w:sz w:val="20"/>
          <w:szCs w:val="20"/>
          <w:color w:val="auto"/>
        </w:rPr>
      </w:pPr>
    </w:p>
    <w:p>
      <w:pPr>
        <w:ind w:right="2220" w:firstLine="405"/>
        <w:spacing w:after="0" w:line="360" w:lineRule="auto"/>
        <w:rPr>
          <w:sz w:val="20"/>
          <w:szCs w:val="20"/>
          <w:color w:val="auto"/>
        </w:rPr>
      </w:pPr>
      <w:r>
        <w:rPr>
          <w:rFonts w:ascii="Arial" w:cs="Arial" w:eastAsia="Arial" w:hAnsi="Arial"/>
          <w:sz w:val="18"/>
          <w:szCs w:val="18"/>
          <w:color w:val="auto"/>
        </w:rPr>
        <w:t xml:space="preserve">For each of the three and six months ended June 30, 2017 and 2016, revenues and purchases from ACF were not material. </w:t>
      </w:r>
      <w:r>
        <w:rPr>
          <w:rFonts w:ascii="Arial" w:cs="Arial" w:eastAsia="Arial" w:hAnsi="Arial"/>
          <w:sz w:val="18"/>
          <w:szCs w:val="18"/>
          <w:b w:val="1"/>
          <w:bCs w:val="1"/>
          <w:i w:val="1"/>
          <w:iCs w:val="1"/>
          <w:color w:val="auto"/>
        </w:rPr>
        <w:t>Insight Portfolio Group LLC</w:t>
      </w:r>
    </w:p>
    <w:p>
      <w:pPr>
        <w:ind w:right="80" w:firstLine="405"/>
        <w:spacing w:after="0" w:line="254" w:lineRule="auto"/>
        <w:rPr>
          <w:sz w:val="20"/>
          <w:szCs w:val="20"/>
          <w:color w:val="auto"/>
        </w:rPr>
      </w:pPr>
      <w:r>
        <w:rPr>
          <w:rFonts w:ascii="Arial" w:cs="Arial" w:eastAsia="Arial" w:hAnsi="Arial"/>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Federal-Mogul, CVR Energy, PSC Metals, ARI, ARL (prior to June 1, 2017), Tropicana, Viskase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the three and six months ended June 30,</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2017 and 2016, we and certain of our subsidiaries paid certain of the Insight Portfolio Group's operating expenses of $1 million.</w:t>
      </w:r>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356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c>
          <w:tcPr>
            <w:tcW w:w="2200" w:type="dxa"/>
            <w:vAlign w:val="bottom"/>
            <w:gridSpan w:val="3"/>
          </w:tcPr>
          <w:p>
            <w:pPr>
              <w:spacing w:after="0"/>
              <w:rPr>
                <w:sz w:val="2"/>
                <w:szCs w:val="2"/>
                <w:color w:val="auto"/>
              </w:rPr>
            </w:pPr>
          </w:p>
        </w:tc>
        <w:tc>
          <w:tcPr>
            <w:tcW w:w="900" w:type="dxa"/>
            <w:vAlign w:val="bottom"/>
          </w:tcPr>
          <w:p>
            <w:pPr>
              <w:spacing w:after="0"/>
              <w:rPr>
                <w:sz w:val="2"/>
                <w:szCs w:val="2"/>
                <w:color w:val="auto"/>
              </w:rPr>
            </w:pPr>
          </w:p>
        </w:tc>
      </w:tr>
      <w:tr>
        <w:trPr>
          <w:trHeight w:val="238"/>
        </w:trPr>
        <w:tc>
          <w:tcPr>
            <w:tcW w:w="3560" w:type="dxa"/>
            <w:vAlign w:val="bottom"/>
          </w:tcPr>
          <w:p>
            <w:pPr>
              <w:spacing w:after="0"/>
              <w:rPr>
                <w:sz w:val="20"/>
                <w:szCs w:val="20"/>
                <w:color w:val="auto"/>
              </w:rPr>
            </w:pPr>
          </w:p>
        </w:tc>
        <w:tc>
          <w:tcPr>
            <w:tcW w:w="4560" w:type="dxa"/>
            <w:vAlign w:val="bottom"/>
          </w:tcPr>
          <w:p>
            <w:pPr>
              <w:jc w:val="right"/>
              <w:ind w:right="373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Borders>
              <w:top w:val="single" w:sz="8" w:color="auto"/>
            </w:tcBorders>
          </w:tcPr>
          <w:p>
            <w:pPr>
              <w:spacing w:after="0"/>
              <w:rPr>
                <w:sz w:val="20"/>
                <w:szCs w:val="20"/>
                <w:color w:val="auto"/>
              </w:rPr>
            </w:pPr>
          </w:p>
        </w:tc>
      </w:tr>
      <w:tr>
        <w:trPr>
          <w:trHeight w:val="255"/>
        </w:trPr>
        <w:tc>
          <w:tcPr>
            <w:tcW w:w="35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4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356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4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materials</w:t>
            </w:r>
          </w:p>
        </w:tc>
        <w:tc>
          <w:tcPr>
            <w:tcW w:w="4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2,677</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Energy</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Financial</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2,385</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Technology</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Other</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809</w:t>
            </w: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9,023</w:t>
            </w:r>
          </w:p>
        </w:tc>
      </w:tr>
      <w:tr>
        <w:trPr>
          <w:trHeight w:val="291"/>
        </w:trPr>
        <w:tc>
          <w:tcPr>
            <w:tcW w:w="3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4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8,620</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9,213</w:t>
            </w:r>
          </w:p>
        </w:tc>
      </w:tr>
      <w:tr>
        <w:trPr>
          <w:trHeight w:val="67"/>
        </w:trPr>
        <w:tc>
          <w:tcPr>
            <w:tcW w:w="3560" w:type="dxa"/>
            <w:vAlign w:val="bottom"/>
            <w:tcBorders>
              <w:bottom w:val="single" w:sz="8" w:color="CCEEFF"/>
            </w:tcBorders>
          </w:tcPr>
          <w:p>
            <w:pPr>
              <w:spacing w:after="0"/>
              <w:rPr>
                <w:sz w:val="5"/>
                <w:szCs w:val="5"/>
                <w:color w:val="auto"/>
              </w:rPr>
            </w:pPr>
          </w:p>
        </w:tc>
        <w:tc>
          <w:tcPr>
            <w:tcW w:w="45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2"/>
            <w:shd w:val="clear" w:color="auto" w:fill="CCEEFF"/>
          </w:tcPr>
          <w:p>
            <w:pPr>
              <w:jc w:val="right"/>
              <w:ind w:right="379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w w:val="92"/>
              </w:rPr>
              <w:t>Securities sold, not yet purchased, at fair value:</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Industrial</w:t>
            </w:r>
          </w:p>
        </w:tc>
        <w:tc>
          <w:tcPr>
            <w:tcW w:w="4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w:t>
            </w: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356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portion of trading gains (losses) that relates to trading securities still held by our Investment segment was $388 million and $(74) million for the three months ended June 30, 2017 and 2016, respectively, and $622 million and $(189) million for the six months ended June 30, 2017 and 2016, respectively.</w:t>
      </w:r>
    </w:p>
    <w:p>
      <w:pPr>
        <w:spacing w:after="0" w:line="16" w:lineRule="exact"/>
        <w:rPr>
          <w:sz w:val="20"/>
          <w:szCs w:val="20"/>
          <w:color w:val="auto"/>
        </w:rPr>
      </w:pPr>
    </w:p>
    <w:p>
      <w:pPr>
        <w:ind w:right="120" w:firstLine="378"/>
        <w:spacing w:after="0" w:line="276" w:lineRule="auto"/>
        <w:rPr>
          <w:sz w:val="20"/>
          <w:szCs w:val="20"/>
          <w:color w:val="auto"/>
        </w:rPr>
      </w:pPr>
      <w:r>
        <w:rPr>
          <w:rFonts w:ascii="Arial" w:cs="Arial" w:eastAsia="Arial" w:hAnsi="Arial"/>
          <w:sz w:val="17"/>
          <w:szCs w:val="17"/>
          <w:color w:val="auto"/>
        </w:rPr>
        <w:t>As of June 30, 2017, the Investment Funds owned approximately 28.0% of the outstanding common stock of Hertz. Beginning in the fourth quarter of 2016, this investment would have become subject to the equity method of accounting however, our Investment segment elected to continue to apply the fair value option to this investment. Our Investment segment recorded net losses of $142 million and $236 million for the three and six months ended June 30, 2017, respectively, with respect to its investment in Hertz. As of June 30, 2017 and December 31, 2016, the aggregate fair value of our Investment segment's investment in Hertz was $269 million and $505 million,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Investment Funds also owned approximately 19.6% of the outstanding common stock of Herbalife Ltd. ("Herbalife") as of June 30, 2017. Beginning in the third quarter of 2016, this investment would have become subject to the equity method of accounting, after considering additional ownership in Herbalife by an affiliate of Mr. Icahn as well as the collective representation on the board of directors of Herbalife, however, our Investment segment elected to continue to apply the fair value option to this investment. Our Investment segment recorded net gains of $241 million and $423 million for the three and six months ended June 30, 2017, respectively, with respect to its investment in Herbalife. As of June 30, 2017 and December 31, 2016, the aggregate fair value of our Investment segment's investment in Herbalife was approximately $1.3 billion and $867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With the exception of certain equity method investments at our operating subsidiaries disclosed in the table below, our investments are measured at fair value in our condensed consolidated balance sheets. The carrying value of investments held by our other segments and our Holding Company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investments (measured at fair value)</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w:t>
      </w:r>
    </w:p>
    <w:p>
      <w:pPr>
        <w:spacing w:after="0" w:line="62"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valuation of our assets and liabilities by the above fair value hierarchy levels measured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December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80"/>
              <w:spacing w:after="0"/>
              <w:rPr>
                <w:sz w:val="20"/>
                <w:szCs w:val="20"/>
                <w:color w:val="auto"/>
              </w:rPr>
            </w:pPr>
            <w:r>
              <w:rPr>
                <w:rFonts w:ascii="Arial" w:cs="Arial" w:eastAsia="Arial" w:hAnsi="Arial"/>
                <w:sz w:val="18"/>
                <w:szCs w:val="18"/>
                <w:b w:val="1"/>
                <w:bCs w:val="1"/>
                <w:color w:val="auto"/>
              </w:rPr>
              <w:t>June 30,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9"/>
        </w:trPr>
        <w:tc>
          <w:tcPr>
            <w:tcW w:w="3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371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37150" cy="26035"/>
                    </a:xfrm>
                    <a:prstGeom prst="rect">
                      <a:avLst/>
                    </a:prstGeom>
                    <a:noFill/>
                  </pic:spPr>
                </pic:pic>
              </a:graphicData>
            </a:graphic>
          </wp:anchor>
        </w:drawing>
      </w: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condensed consolidated balance sheets.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Net realized and unrealized gains</w:t>
            </w:r>
            <w:r>
              <w:rPr>
                <w:rFonts w:ascii="Arial" w:cs="Arial" w:eastAsia="Arial" w:hAnsi="Arial"/>
                <w:sz w:val="25"/>
                <w:szCs w:val="25"/>
                <w:color w:val="auto"/>
                <w:vertAlign w:val="superscript"/>
              </w:rPr>
              <w:t>(1)</w:t>
            </w:r>
          </w:p>
        </w:tc>
        <w:tc>
          <w:tcPr>
            <w:tcW w:w="1100" w:type="dxa"/>
            <w:vAlign w:val="bottom"/>
          </w:tcPr>
          <w:p>
            <w:pPr>
              <w:spacing w:after="0"/>
              <w:rPr>
                <w:sz w:val="23"/>
                <w:szCs w:val="23"/>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Transfers out</w:t>
            </w:r>
          </w:p>
        </w:tc>
        <w:tc>
          <w:tcPr>
            <w:tcW w:w="1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40" w:firstLine="8"/>
        <w:spacing w:after="0" w:line="305" w:lineRule="auto"/>
        <w:tabs>
          <w:tab w:leader="none" w:pos="148" w:val="left"/>
        </w:tabs>
        <w:numPr>
          <w:ilvl w:val="0"/>
          <w:numId w:val="10"/>
        </w:numPr>
        <w:rPr>
          <w:rFonts w:ascii="Arial" w:cs="Arial" w:eastAsia="Arial" w:hAnsi="Arial"/>
          <w:sz w:val="17"/>
          <w:szCs w:val="17"/>
          <w:color w:val="auto"/>
          <w:vertAlign w:val="superscript"/>
        </w:rPr>
      </w:pPr>
      <w:r>
        <w:rPr>
          <w:rFonts w:ascii="Arial" w:cs="Arial" w:eastAsia="Arial" w:hAnsi="Arial"/>
          <w:sz w:val="12"/>
          <w:szCs w:val="12"/>
          <w:color w:val="auto"/>
        </w:rPr>
        <w:t>Includes net unrealized gains (losses) of $17 million and $(6) million for the six months ended June 30, 2017 and 2016, respectively, relating to investments still held at June 30 of each respective period and which are included in net gain (loss) from investment activities in the condensed consolidated statements of operations.</w:t>
      </w:r>
    </w:p>
    <w:p>
      <w:pPr>
        <w:spacing w:after="0" w:line="53"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Transfers out of Level 3 during the six months ended June 30, 2016 primarily relates to our previously held corporate debt investment in TER of $126 million. The investment was transferred out of Level 3 following TER's emergence from bankruptcy on February 26, 2016 and subsequently becoming a wholly owned consolidated subsidiary of ours upon the extinguishment of their debt and its conversion to equity in TER. Purchases during the six months ended June 30, 2016 relates to an increase in a certain investment classified as trading securities which is considered a Level 3 investment due to unobservable market data and is measured at fair value on a recurring basis. We determined the fair value of this investment using the Black-Scholes option pricing model and other valuation techniques. As of June 30, 2017 and December 31, 2016, the fair value of this investment was $224 million and $207 million,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Certain assets measured at fair value using level 3 inputs on a nonrecurring basis have been impaired. During the six months ended June 30, 2017 and 2016, we recorded impairment charges of $3 million and $3 million, respectively, relating to property, plant and equipment. We determined the fair value of property, plant and equipment by applying probability weighted, expected present value techniques to the estimated future cash flows using assumptions a market participant would utilize. In addition, during the three and six months ended June 30, 2017, we recorded a loss of $2 million and $7 million, respectively, from marking inventory down to net realizable value at our Automotive segment. Additionally, in connection with our reclassification of certain railcars leased to others from held and used to assets held for sale, we recorded an impairment charge at our Railcar segment of $67 million for each of the three and six months ended June 30, 2017, which represents the difference between the carrying value and fair value less cost to sell of such assets.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8, "Goodwill and Intangible Assets, Net," for discussion of our goodwill and intangible asset impairments.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12, "Segment Reporting," for total impairment recorded by each of our segments.</w:t>
      </w:r>
    </w:p>
    <w:p>
      <w:pPr>
        <w:spacing w:after="0" w:line="2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this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4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46"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June 30, 2017 and December 31, 2016 was $9 million and $39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Federal-Mogul is exposed to market risk, such as fluctuations in foreign currency exchange rates, commodity prices, and changes in interest rates, which may result in cash flow risks. To manage the volatility relating to these exposures, Federal-Mogul aggregates the exposures on a consolidated basis to take advantage of natural offsets. For exposures not offset within its operations, Federal-Mogul enters into various derivative transactions pursuant to its risk management policies, which prohibit holding or issuing derivative financial instruments for speculative purposes, and designation of derivative instruments is performed on a transaction basis to support hedge accounting. The changes in fair value of these hedging instruments are offset in part or in whole by corresponding changes in the fair value or cash flows of the underlying exposures being hedged. Federal-Mogul assesses the initial and ongoing effectiveness of its hedging relationships in accordance with its documented policy.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condensed consolidated balance sheets with changes in fair value currently recognized in the condensed consolidated statements of operations. Quoted prices for similar assets or liabilities in active markets (Level 2) are considered to determine the fair values for the purpose of marking to market the hedging instruments at each period end. As of June 30, 2017, CVR Refining did not have any open commodity swap contracts.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Certain derivative contracts executed by the Investment Funds with a single counterparty, by our Automotive segment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 in accordance with U.S GAAP: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c>
          <w:tcPr>
            <w:tcW w:w="640" w:type="dxa"/>
            <w:vAlign w:val="bottom"/>
            <w:tcBorders>
              <w:bottom w:val="single" w:sz="8" w:color="auto"/>
            </w:tcBorders>
          </w:tcPr>
          <w:p>
            <w:pPr>
              <w:spacing w:after="0"/>
              <w:rPr>
                <w:sz w:val="24"/>
                <w:szCs w:val="24"/>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2016</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20" w:type="dxa"/>
            <w:vAlign w:val="bottom"/>
            <w:gridSpan w:val="5"/>
          </w:tcPr>
          <w:p>
            <w:pPr>
              <w:ind w:left="32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470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condensed consolidated balance sheets.</w:t>
      </w:r>
    </w:p>
    <w:p>
      <w:pPr>
        <w:spacing w:after="0" w:line="1" w:lineRule="exact"/>
        <w:rPr>
          <w:rFonts w:ascii="Arial" w:cs="Arial" w:eastAsia="Arial" w:hAnsi="Arial"/>
          <w:sz w:val="9"/>
          <w:szCs w:val="9"/>
          <w:color w:val="auto"/>
        </w:rPr>
      </w:pPr>
    </w:p>
    <w:p>
      <w:pPr>
        <w:ind w:left="180" w:right="700" w:hanging="172"/>
        <w:spacing w:after="0" w:line="293" w:lineRule="auto"/>
        <w:tabs>
          <w:tab w:leader="none" w:pos="180" w:val="left"/>
        </w:tabs>
        <w:numPr>
          <w:ilvl w:val="0"/>
          <w:numId w:val="12"/>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June 30, 2017 and December 31, 2016 was $910 million and $634 million, respectively, across all counterparties, which are included in cash held at consolidated affiliated partnerships and restricted cash on the condensed consolidated balance sheets.</w:t>
      </w:r>
    </w:p>
    <w:p>
      <w:pPr>
        <w:spacing w:after="0" w:line="60"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condensed consolidated statements of operations for our derivatives not designated as hedging instruments: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w w:val="99"/>
              </w:rPr>
              <w:t>Gain (Loss) Recognized in Income</w:t>
            </w:r>
            <w:r>
              <w:rPr>
                <w:rFonts w:ascii="Arial" w:cs="Arial" w:eastAsia="Arial" w:hAnsi="Arial"/>
                <w:sz w:val="25"/>
                <w:szCs w:val="25"/>
                <w:b w:val="1"/>
                <w:bCs w:val="1"/>
                <w:color w:val="auto"/>
                <w:w w:val="99"/>
                <w:vertAlign w:val="superscript"/>
              </w:rPr>
              <w:t>(1)</w:t>
            </w: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8"/>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300" w:hanging="172"/>
        <w:spacing w:after="0" w:line="273" w:lineRule="auto"/>
        <w:tabs>
          <w:tab w:leader="none" w:pos="180" w:val="left"/>
        </w:tabs>
        <w:numPr>
          <w:ilvl w:val="0"/>
          <w:numId w:val="13"/>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 and are included in other income (loss), net for all other segments.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volume of our derivative activities based on their notional exposure, categorized by primary underlying risk,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2017</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3"/>
          </w:tcPr>
          <w:p>
            <w:pPr>
              <w:jc w:val="right"/>
              <w:ind w:right="894"/>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6"/>
                <w:szCs w:val="16"/>
                <w:b w:val="1"/>
                <w:bCs w:val="1"/>
                <w:color w:val="auto"/>
              </w:rPr>
              <w:t>Long Notional</w:t>
            </w:r>
          </w:p>
        </w:tc>
        <w:tc>
          <w:tcPr>
            <w:tcW w:w="1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Short Notional</w:t>
            </w:r>
          </w:p>
        </w:tc>
        <w:tc>
          <w:tcPr>
            <w:tcW w:w="22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Long Notional</w:t>
            </w:r>
          </w:p>
        </w:tc>
        <w:tc>
          <w:tcPr>
            <w:tcW w:w="280" w:type="dxa"/>
            <w:vAlign w:val="bottom"/>
          </w:tcPr>
          <w:p>
            <w:pPr>
              <w:spacing w:after="0"/>
              <w:rPr>
                <w:sz w:val="18"/>
                <w:szCs w:val="18"/>
                <w:color w:val="auto"/>
              </w:rPr>
            </w:pPr>
          </w:p>
        </w:tc>
        <w:tc>
          <w:tcPr>
            <w:tcW w:w="1400" w:type="dxa"/>
            <w:vAlign w:val="bottom"/>
          </w:tcPr>
          <w:p>
            <w:pPr>
              <w:jc w:val="right"/>
              <w:ind w:right="194"/>
              <w:spacing w:after="0"/>
              <w:rPr>
                <w:sz w:val="20"/>
                <w:szCs w:val="20"/>
                <w:color w:val="auto"/>
              </w:rPr>
            </w:pPr>
            <w:r>
              <w:rPr>
                <w:rFonts w:ascii="Arial" w:cs="Arial" w:eastAsia="Arial" w:hAnsi="Arial"/>
                <w:sz w:val="16"/>
                <w:szCs w:val="16"/>
                <w:b w:val="1"/>
                <w:bCs w:val="1"/>
                <w:color w:val="auto"/>
                <w:w w:val="99"/>
              </w:rPr>
              <w:t>Short Notional</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4"/>
              <w:spacing w:after="0"/>
              <w:rPr>
                <w:sz w:val="20"/>
                <w:szCs w:val="20"/>
                <w:color w:val="auto"/>
              </w:rPr>
            </w:pPr>
            <w:r>
              <w:rPr>
                <w:rFonts w:ascii="Arial" w:cs="Arial" w:eastAsia="Arial" w:hAnsi="Arial"/>
                <w:sz w:val="16"/>
                <w:szCs w:val="16"/>
                <w:b w:val="1"/>
                <w:bCs w:val="1"/>
                <w:color w:val="auto"/>
              </w:rPr>
              <w:t>Exposure</w:t>
            </w:r>
          </w:p>
        </w:tc>
        <w:tc>
          <w:tcPr>
            <w:tcW w:w="540" w:type="dxa"/>
            <w:vAlign w:val="bottom"/>
          </w:tcPr>
          <w:p>
            <w:pPr>
              <w:spacing w:after="0"/>
              <w:rPr>
                <w:sz w:val="18"/>
                <w:szCs w:val="18"/>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7"/>
              </w:rPr>
              <w:t>Exposure</w:t>
            </w:r>
          </w:p>
        </w:tc>
        <w:tc>
          <w:tcPr>
            <w:tcW w:w="220" w:type="dxa"/>
            <w:vAlign w:val="bottom"/>
          </w:tcPr>
          <w:p>
            <w:pPr>
              <w:spacing w:after="0"/>
              <w:rPr>
                <w:sz w:val="18"/>
                <w:szCs w:val="18"/>
                <w:color w:val="auto"/>
              </w:rPr>
            </w:pPr>
          </w:p>
        </w:tc>
        <w:tc>
          <w:tcPr>
            <w:tcW w:w="1400" w:type="dxa"/>
            <w:vAlign w:val="bottom"/>
          </w:tcPr>
          <w:p>
            <w:pPr>
              <w:jc w:val="right"/>
              <w:ind w:right="414"/>
              <w:spacing w:after="0"/>
              <w:rPr>
                <w:sz w:val="20"/>
                <w:szCs w:val="20"/>
                <w:color w:val="auto"/>
              </w:rPr>
            </w:pPr>
            <w:r>
              <w:rPr>
                <w:rFonts w:ascii="Arial" w:cs="Arial" w:eastAsia="Arial" w:hAnsi="Arial"/>
                <w:sz w:val="16"/>
                <w:szCs w:val="16"/>
                <w:b w:val="1"/>
                <w:bCs w:val="1"/>
                <w:color w:val="auto"/>
              </w:rPr>
              <w:t>Exposure</w:t>
            </w:r>
          </w:p>
        </w:tc>
        <w:tc>
          <w:tcPr>
            <w:tcW w:w="28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80" w:type="dxa"/>
            <w:vAlign w:val="bottom"/>
            <w:gridSpan w:val="4"/>
          </w:tcPr>
          <w:p>
            <w:pPr>
              <w:jc w:val="right"/>
              <w:ind w:right="1234"/>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w:t>
            </w:r>
          </w:p>
        </w:tc>
        <w:tc>
          <w:tcPr>
            <w:tcW w:w="5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14,094</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line="283"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24"/>
                <w:szCs w:val="24"/>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484</w:t>
            </w:r>
          </w:p>
        </w:tc>
        <w:tc>
          <w:tcPr>
            <w:tcW w:w="54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right="60" w:hanging="172"/>
        <w:spacing w:after="0" w:line="312" w:lineRule="auto"/>
        <w:tabs>
          <w:tab w:leader="none" w:pos="180" w:val="left"/>
        </w:tabs>
        <w:numPr>
          <w:ilvl w:val="0"/>
          <w:numId w:val="14"/>
        </w:numPr>
        <w:rPr>
          <w:rFonts w:ascii="Arial" w:cs="Arial" w:eastAsia="Arial" w:hAnsi="Arial"/>
          <w:sz w:val="8"/>
          <w:szCs w:val="8"/>
          <w:color w:val="auto"/>
        </w:rPr>
      </w:pPr>
      <w:r>
        <w:rPr>
          <w:rFonts w:ascii="Arial" w:cs="Arial" w:eastAsia="Arial" w:hAnsi="Arial"/>
          <w:sz w:val="13"/>
          <w:szCs w:val="13"/>
          <w:color w:val="auto"/>
        </w:rPr>
        <w:t>The short notional amount on our credit default swap positions was approximately $2.7 billion and $2.6 billion as of June 30, 2017 and December 31, 2016, respectively. However, because credit spreads cannot compress below zero, our downside short notional exposure to loss is $460 million and $472 million as of June 30, 2017 and December 31, 2016,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Non-Derivative Instruments Designated as Hedging Instruments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Federal-Mogul has foreign currency denominated debt, of which $860 million was designated as a net investment hedge in certain foreign subsidiaries and affiliates of Federal-Mogul. Changes to its carrying value are included in other comprehensive loss as translation adjustments and other. These debt instruments are discussed further in Note 9, “Debt.” The amount recognized in accumulated other comprehensive loss for the three and six months ended June 30, 2017 was a loss of $60 million and $46 million,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Inventories, net consists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2,201</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2,983</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right="8280" w:hanging="412"/>
        <w:spacing w:after="0" w:line="469" w:lineRule="auto"/>
        <w:tabs>
          <w:tab w:leader="none" w:pos="339"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Impairment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Railcar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7"/>
        </w:trPr>
        <w:tc>
          <w:tcPr>
            <w:tcW w:w="26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1,136</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40"/>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1140" w:type="dxa"/>
            <w:vAlign w:val="bottom"/>
          </w:tcPr>
          <w:p>
            <w:pPr>
              <w:jc w:val="center"/>
              <w:ind w:right="14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140" w:type="dxa"/>
            <w:vAlign w:val="bottom"/>
          </w:tcPr>
          <w:p>
            <w:pPr>
              <w:jc w:val="center"/>
              <w:ind w:right="1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4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17"/>
        </w:trPr>
        <w:tc>
          <w:tcPr>
            <w:tcW w:w="26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738</w:t>
            </w:r>
          </w:p>
        </w:tc>
      </w:tr>
      <w:tr>
        <w:trPr>
          <w:trHeight w:val="73"/>
        </w:trPr>
        <w:tc>
          <w:tcPr>
            <w:tcW w:w="26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305</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was $24 million and $24 million for the three months ended June 30, 2017 and 2016, respectively, and $47 million and $47 million for the six months ended June 30, 2017 and 2016, respectively. We utilize the straight-line method of amortization, recognized over the estimated useful lives of the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Acquisitions during the three and six months ended June 30, 2017 were not material individually or in the aggregate. As a result of certain acquisitions, our Automotive and Food Packaging segments allocated $22 million and $3 million, respectively, to goodwill during the six months ended June 30, 2017. In addition, our Food Packaging segment allocated $27 million to definite-lived intangible assets amortized over a weighted average of 18 years. The purchase price allocations for the above acquisitions are not final and are subject to change.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perform the annual goodwill impairment test for our Energy segment as of April 30 of each year, or more frequently if impairment indicators exist. During the first quarter of 2016, due to worsening sales trends for our Energy segment's petroleum reporting unit, we performed an interim goodwill impairment analysis. Based on this analysis, our Energy segment recognized a goodwill impairment charge of $574 million, which represented the full amount of the remaining goodwill allocated to the petroleum reporting unit as well as the segment.</w:t>
      </w:r>
    </w:p>
    <w:p>
      <w:pPr>
        <w:spacing w:after="0" w:line="18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Refer to Note 12, "Segment Reporting," for debt balances for each of our segments and our Holding Company. Except for those described below, there were no other significant changes to our consolidated debt during the six months ended June 30, 2017 as compared to that reported in our Annual Report on Form 10-K for the year ended December 31, 2016. Additionally, where applicable, we or our subsidiaries were in compliance with all covenants for their respective debt instruments as of June 30, 2017 and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and Icahn Enterprises Holdings</w:t>
      </w:r>
    </w:p>
    <w:p>
      <w:pPr>
        <w:spacing w:after="0" w:line="11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On January 18, 2017, we and a wholly owned subsidiary of ours, Icahn Enterprises Finance Corp. (collectively, the "Issuers"), issued $695 million in aggregate principal amount of 6.250% senior unsecured notes due 2022 and $500 million in aggregate principal amount of 6.750% senior unsecured notes due 2024 (collectively, the "New Notes"). The net proceeds from the sale of the New Notes were $1.190 billion, after deducting the initial purchaser’s discount and commission and estimated fees and expenses related to the offering. These proceeds were used to redeem all of the Issuer's outstanding senior unsecured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notes due 2017, including accrued interest. Interest on the New Notes are payable on February 1 and August 1 of each year, commencing August 1, 2017. The Issuers issued the New Notes under an indenture dated January 18, 2017, among the Issuers, Icahn Enterprises Holdings (the "Guarantor"), and Wilmington Trust Company, as trustee. The indenture contains customary events of defaults and covenants relating to, among other things, the incurrence of debt, affiliate transactions, liens and restricted payments. Prior to maturity of the New Notes, the Issuers may redeem some or all of the notes at certain times by paying a premium as specified in the indenture, plus accrued and unpaid interest.</w:t>
      </w:r>
    </w:p>
    <w:p>
      <w:pPr>
        <w:spacing w:after="0" w:line="8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All of our senior unsecured notes and the related guarantees are effectively subordinated to the Issuers’ and the Guarantor’s existing and future secured indebtedness to the extent of the collateral securing such indebtedness. All of our senior unsecured notes and the related guarantees are also effectively subordinated to all indebtedness and other liabilities of the Issuers’ subsidiaries other than the Guarantor.</w:t>
      </w:r>
    </w:p>
    <w:p>
      <w:pPr>
        <w:spacing w:after="0" w:line="6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March 22, 2017, the Issuers and the Guarantor filed a registration statement on Form S-4 with the SEC which offered to exchange the unregistered New Notes for registered, publicly tradable notes that have substantially identical terms as the New Notes. The registration statement on Form S-4 was declared effective by the SEC on April 27, 2017 and the exchange offer expired on May 24, 2017.</w:t>
      </w:r>
    </w:p>
    <w:p>
      <w:pPr>
        <w:spacing w:after="0" w:line="73" w:lineRule="exact"/>
        <w:rPr>
          <w:sz w:val="20"/>
          <w:szCs w:val="20"/>
          <w:color w:val="auto"/>
        </w:rPr>
      </w:pPr>
    </w:p>
    <w:p>
      <w:pPr>
        <w:ind w:right="100" w:firstLine="405"/>
        <w:spacing w:after="0" w:line="375" w:lineRule="auto"/>
        <w:rPr>
          <w:sz w:val="20"/>
          <w:szCs w:val="20"/>
          <w:color w:val="auto"/>
        </w:rPr>
      </w:pPr>
      <w:r>
        <w:rPr>
          <w:rFonts w:ascii="Arial" w:cs="Arial" w:eastAsia="Arial" w:hAnsi="Arial"/>
          <w:sz w:val="18"/>
          <w:szCs w:val="18"/>
          <w:color w:val="auto"/>
        </w:rPr>
        <w:t xml:space="preserve">As of June 30, 2017, based on covenants in the indentures governing our senior unsecured notes, we are not permitted to incur additional indebtedness. </w:t>
      </w:r>
      <w:r>
        <w:rPr>
          <w:rFonts w:ascii="Arial" w:cs="Arial" w:eastAsia="Arial" w:hAnsi="Arial"/>
          <w:sz w:val="18"/>
          <w:szCs w:val="18"/>
          <w:b w:val="1"/>
          <w:bCs w:val="1"/>
          <w:i w:val="1"/>
          <w:iCs w:val="1"/>
          <w:color w:val="auto"/>
        </w:rPr>
        <w:t>Automotive</w:t>
      </w:r>
    </w:p>
    <w:p>
      <w:pPr>
        <w:spacing w:after="0" w:line="1"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On March 30, 2017, Federal-Mogul issued €415 million in aggregate principal amount of 4.875% senior secured notes due 2022 and €300 million in aggregate principal amount of floating rate senior secured notes due 2024. Interest on the floating rate notes will accrue at the three-month EURIBOR rate, with 0% floor, plus 4.875% per annum. These notes were issued without a discount and will rank equally in right of payment to all existing and future senior secured indebtedness of Federal-Mogul. Proceeds from the issuance of these notes were $776 million which were used to repay Federal-Mogul's tranche B term loan, including accrued interest, a portion of the outstanding balance on its revolving facility and fees and expenses related to the issuance of the notes.</w:t>
      </w:r>
    </w:p>
    <w:p>
      <w:pPr>
        <w:spacing w:after="0" w:line="5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June 29, 2017, Federal-Mogul issued €350 million in aggregate principal amount of 5.000% senior secured notes due 2024. These notes were issued without a discount and will rank equally in right of payment to all existing and future senior secured indebtedness of Federal-Mogul. Proceeds from the issuance of these notes were $395 million which were used to repay a portion of Federal-Mogul's tranche C term loan, including accrued interest, and fees and expenses related to the issuance of the notes.</w:t>
      </w:r>
    </w:p>
    <w:p>
      <w:pPr>
        <w:spacing w:after="0" w:line="79"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Federal-Mogul recognized an aggregate of $2 million and $4 million loss on the extinguishment of debt for the three and six months ended June 30, 2017, respectively, for the write-off of prior debt issuance costs and original issue discounts related to the tranche B and tranche C term loans discussed above.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7"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Other Post-Retirement Benefits and Employee Benefit Plans.</w:t>
      </w:r>
    </w:p>
    <w:p>
      <w:pPr>
        <w:spacing w:after="0" w:line="12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Federal-Mogul, ARI and Viskase each sponsor several defined benefit pension plans (the ''Pension Benefits'') (and, in the case of Viskase, its pension plans include defined contribution plans). Additionally, Federal-Mogul and Viskase each sponsor health care and life insurance benefits (''Other Post-Retirement Benefits'') for certain employees and retirees around the world.</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and six months ended June 30, 2017 and 2016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6"/>
              </w:rPr>
              <w:t>Pension Benefits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1"/>
              </w:rPr>
              <w:t>Other Post-Retirement Benefits</w:t>
            </w:r>
          </w:p>
        </w:tc>
      </w:tr>
      <w:tr>
        <w:trPr>
          <w:trHeight w:val="27"/>
        </w:trPr>
        <w:tc>
          <w:tcPr>
            <w:tcW w:w="4680" w:type="dxa"/>
            <w:vAlign w:val="bottom"/>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18"/>
        </w:trPr>
        <w:tc>
          <w:tcPr>
            <w:tcW w:w="4680" w:type="dxa"/>
            <w:vAlign w:val="bottom"/>
          </w:tcPr>
          <w:p>
            <w:pPr>
              <w:spacing w:after="0"/>
              <w:rPr>
                <w:sz w:val="18"/>
                <w:szCs w:val="18"/>
                <w:color w:val="auto"/>
              </w:rPr>
            </w:pPr>
          </w:p>
        </w:tc>
        <w:tc>
          <w:tcPr>
            <w:tcW w:w="28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4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68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467"/>
        </w:trPr>
        <w:tc>
          <w:tcPr>
            <w:tcW w:w="4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6"/>
              </w:rPr>
              <w:t>Pension Benefits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1"/>
              </w:rPr>
              <w:t>Other Post-Retirement Benefits</w:t>
            </w:r>
          </w:p>
        </w:tc>
      </w:tr>
      <w:tr>
        <w:trPr>
          <w:trHeight w:val="27"/>
        </w:trPr>
        <w:tc>
          <w:tcPr>
            <w:tcW w:w="4680" w:type="dxa"/>
            <w:vAlign w:val="bottom"/>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18"/>
        </w:trPr>
        <w:tc>
          <w:tcPr>
            <w:tcW w:w="4680" w:type="dxa"/>
            <w:vAlign w:val="bottom"/>
          </w:tcPr>
          <w:p>
            <w:pPr>
              <w:spacing w:after="0"/>
              <w:rPr>
                <w:sz w:val="18"/>
                <w:szCs w:val="18"/>
                <w:color w:val="auto"/>
              </w:rPr>
            </w:pPr>
          </w:p>
        </w:tc>
        <w:tc>
          <w:tcPr>
            <w:tcW w:w="282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0"/>
              </w:rPr>
              <w:t>Six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4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68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LP Unit.</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sets forth the allocation of net income attributable to Icahn Enterprises allocable to limited partners and the computation of basic and diluted income per LP unit of Icahn Enterprises: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3"/>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60" w:type="dxa"/>
            <w:vAlign w:val="bottom"/>
            <w:gridSpan w:val="5"/>
          </w:tcPr>
          <w:p>
            <w:pPr>
              <w:ind w:left="260"/>
              <w:spacing w:after="0"/>
              <w:rPr>
                <w:sz w:val="20"/>
                <w:szCs w:val="20"/>
                <w:color w:val="auto"/>
              </w:rPr>
            </w:pPr>
            <w:r>
              <w:rPr>
                <w:rFonts w:ascii="Arial" w:cs="Arial" w:eastAsia="Arial" w:hAnsi="Arial"/>
                <w:sz w:val="14"/>
                <w:szCs w:val="14"/>
                <w:color w:val="auto"/>
              </w:rPr>
              <w:t>(in millions, except per unit data)</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w w:val="93"/>
              </w:rPr>
              <w:t>Net income (loss) attributable to Icahn Enterprises allocable to</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6"/>
                <w:szCs w:val="16"/>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limited partners (98.01% allocation)</w:t>
            </w:r>
          </w:p>
        </w:tc>
        <w:tc>
          <w:tcPr>
            <w:tcW w:w="36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and diluted income (loss) per LP unit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37" w:right="2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Rights Offering</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January 2017, Icahn Enterprises commenced a rights offering entitling holders of the rights to acquire newly issued depositary units of Icahn Enterprises. The rights offering, which expired on February 22, 2017, was fully subscribed with total basic subscription rights and over-subscription rights being exercised resulting in a total of 11,171,104 depositary units issued on March 1, 2017 and for aggregate proceeds of $600 million. Affiliates of Mr. Icahn fully exercised all of the basic subscription rights and over-subscription rights allocated to them in the rights offering aggregating 10,525,105 additional depositary units.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Distributions</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On February 27, 2017, Icahn Enterprises declared a quarterly distribution in the amount of $1.50 per depositary unit in which each depositary unit holder had the option to make an election to receive either cash or additional depositary units. As a result, on April 18, 2017, Icahn Enterprises distributed an aggregate 4,335,685 depositary units to unit holders electing to receive depositary units in connection with this distribution.</w:t>
      </w:r>
    </w:p>
    <w:p>
      <w:pPr>
        <w:spacing w:after="0" w:line="5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May 3, 2017, Icahn Enterprises declared a quarterly distribution in the amount of $1.50 per depositary unit in which each depositary unit holder had the option to make an election to receive either cash or additional depositary units. As a result, on June 13, 2017, Icahn Enterprises distributed an aggregate 4,556,977 depositary units to unit holders electing to receive depositary units in connection with this distribution.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Mr. Icahn and his affiliates elected to receive their proportionate share of the quarterly distributions in depositary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117"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During the three and six months ended June 30, 2017, Icahn Enterprises distributed 2,358 and 3,030 depositary units, respectively, net of payroll withholdings, with respect to certain restricted depositary units that vested during the period in connection with the 2017 Incentive Plan. The aggregate impact of the 2017 Incentive Plan is not material with respect to our condensed consolidated financial statements, including the calculation of potentially dilutive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59"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Icahn Enterprises' condensed statements of operations by reporting segment for the three and six months ended June 30, 2017 and 2016 are presented below. Icahn Enterprises Holdings' condensed statements of operations are substantially the same, with immaterial differences relating to our Holding Company's interest expense.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86"/>
              <w:spacing w:after="0"/>
              <w:rPr>
                <w:sz w:val="20"/>
                <w:szCs w:val="20"/>
                <w:color w:val="auto"/>
              </w:rPr>
            </w:pPr>
            <w:r>
              <w:rPr>
                <w:rFonts w:ascii="Arial" w:cs="Arial" w:eastAsia="Arial" w:hAnsi="Arial"/>
                <w:sz w:val="11"/>
                <w:szCs w:val="11"/>
                <w:b w:val="1"/>
                <w:bCs w:val="1"/>
                <w:color w:val="auto"/>
                <w:w w:val="89"/>
              </w:rPr>
              <w:t>Three Months Ended June 30, 2017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4,282</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487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1,525</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6,654</w:t>
            </w:r>
          </w:p>
        </w:tc>
      </w:tr>
      <w:tr>
        <w:trPr>
          <w:trHeight w:val="242"/>
        </w:trPr>
        <w:tc>
          <w:tcPr>
            <w:tcW w:w="230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3,723</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623</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218</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4,913</w:t>
            </w:r>
          </w:p>
        </w:tc>
      </w:tr>
      <w:tr>
        <w:trPr>
          <w:trHeight w:val="228"/>
        </w:trPr>
        <w:tc>
          <w:tcPr>
            <w:tcW w:w="2300" w:type="dxa"/>
            <w:vAlign w:val="bottom"/>
          </w:tcPr>
          <w:p>
            <w:pPr>
              <w:ind w:left="40"/>
              <w:spacing w:after="0"/>
              <w:rPr>
                <w:sz w:val="20"/>
                <w:szCs w:val="20"/>
                <w:color w:val="auto"/>
              </w:rPr>
            </w:pPr>
            <w:r>
              <w:rPr>
                <w:rFonts w:ascii="Arial" w:cs="Arial" w:eastAsia="Arial" w:hAnsi="Arial"/>
                <w:sz w:val="11"/>
                <w:szCs w:val="11"/>
                <w:color w:val="auto"/>
                <w:w w:val="91"/>
              </w:rPr>
              <w:t>Income (loss) before income tax benefit (expense)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1,514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1,741</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r>
      <w:tr>
        <w:trPr>
          <w:trHeight w:val="228"/>
        </w:trPr>
        <w:tc>
          <w:tcPr>
            <w:tcW w:w="2300" w:type="dxa"/>
            <w:vAlign w:val="bottom"/>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1,007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1,725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172</w:t>
            </w:r>
          </w:p>
        </w:tc>
      </w:tr>
      <w:tr>
        <w:trPr>
          <w:trHeight w:val="215"/>
        </w:trPr>
        <w:tc>
          <w:tcPr>
            <w:tcW w:w="2300" w:type="dxa"/>
            <w:vAlign w:val="bottom"/>
          </w:tcPr>
          <w:p>
            <w:pPr>
              <w:ind w:left="4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1,003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1,553</w:t>
            </w:r>
          </w:p>
        </w:tc>
      </w:tr>
      <w:tr>
        <w:trPr>
          <w:trHeight w:val="62"/>
        </w:trPr>
        <w:tc>
          <w:tcPr>
            <w:tcW w:w="23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239</w:t>
            </w: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252</w:t>
            </w:r>
          </w:p>
        </w:tc>
      </w:tr>
      <w:tr>
        <w:trPr>
          <w:trHeight w:val="405"/>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9"/>
          </w:tcPr>
          <w:p>
            <w:pPr>
              <w:jc w:val="center"/>
              <w:ind w:left="86"/>
              <w:spacing w:after="0"/>
              <w:rPr>
                <w:sz w:val="20"/>
                <w:szCs w:val="20"/>
                <w:color w:val="auto"/>
              </w:rPr>
            </w:pPr>
            <w:r>
              <w:rPr>
                <w:rFonts w:ascii="Arial" w:cs="Arial" w:eastAsia="Arial" w:hAnsi="Arial"/>
                <w:sz w:val="11"/>
                <w:szCs w:val="11"/>
                <w:b w:val="1"/>
                <w:bCs w:val="1"/>
                <w:color w:val="auto"/>
                <w:w w:val="89"/>
              </w:rPr>
              <w:t>Three Months Ended June 30, 2016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4,094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4,350</w:t>
            </w:r>
          </w:p>
        </w:tc>
      </w:tr>
      <w:tr>
        <w:trPr>
          <w:trHeight w:val="242"/>
        </w:trPr>
        <w:tc>
          <w:tcPr>
            <w:tcW w:w="230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3,448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314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615</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4,585</w:t>
            </w:r>
          </w:p>
        </w:tc>
      </w:tr>
      <w:tr>
        <w:trPr>
          <w:trHeight w:val="228"/>
        </w:trPr>
        <w:tc>
          <w:tcPr>
            <w:tcW w:w="2300" w:type="dxa"/>
            <w:vAlign w:val="bottom"/>
          </w:tcPr>
          <w:p>
            <w:pPr>
              <w:ind w:left="4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(351)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(235)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w:t>
            </w:r>
          </w:p>
        </w:tc>
      </w:tr>
      <w:tr>
        <w:trPr>
          <w:trHeight w:val="228"/>
        </w:trPr>
        <w:tc>
          <w:tcPr>
            <w:tcW w:w="2300" w:type="dxa"/>
            <w:vAlign w:val="bottom"/>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(351)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(285)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(244)</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(216)</w:t>
            </w:r>
          </w:p>
        </w:tc>
      </w:tr>
      <w:tr>
        <w:trPr>
          <w:trHeight w:val="215"/>
        </w:trPr>
        <w:tc>
          <w:tcPr>
            <w:tcW w:w="2300" w:type="dxa"/>
            <w:vAlign w:val="bottom"/>
          </w:tcPr>
          <w:p>
            <w:pPr>
              <w:ind w:left="4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(69)</w:t>
            </w:r>
          </w:p>
        </w:tc>
      </w:tr>
      <w:tr>
        <w:trPr>
          <w:trHeight w:val="62"/>
        </w:trPr>
        <w:tc>
          <w:tcPr>
            <w:tcW w:w="23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211</w:t>
            </w: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-5465445</wp:posOffset>
            </wp:positionV>
            <wp:extent cx="1457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-6528435</wp:posOffset>
            </wp:positionV>
            <wp:extent cx="1457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-7917815</wp:posOffset>
            </wp:positionV>
            <wp:extent cx="1457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1457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-1649095</wp:posOffset>
            </wp:positionV>
            <wp:extent cx="1457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-3038475</wp:posOffset>
            </wp:positionV>
            <wp:extent cx="1457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019"/>
          </w:cols>
          <w:pgMar w:left="1440" w:top="58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66"/>
              <w:spacing w:after="0"/>
              <w:rPr>
                <w:sz w:val="20"/>
                <w:szCs w:val="20"/>
                <w:color w:val="auto"/>
              </w:rPr>
            </w:pPr>
            <w:r>
              <w:rPr>
                <w:rFonts w:ascii="Arial" w:cs="Arial" w:eastAsia="Arial" w:hAnsi="Arial"/>
                <w:sz w:val="11"/>
                <w:szCs w:val="11"/>
                <w:b w:val="1"/>
                <w:bCs w:val="1"/>
                <w:color w:val="auto"/>
                <w:w w:val="88"/>
              </w:rPr>
              <w:t>Six Months Ended June 30, 2017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8,601</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439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1,520</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2,954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11,331</w:t>
            </w:r>
          </w:p>
        </w:tc>
      </w:tr>
      <w:tr>
        <w:trPr>
          <w:trHeight w:val="242"/>
        </w:trPr>
        <w:tc>
          <w:tcPr>
            <w:tcW w:w="230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7,415</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1,250</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441</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2,959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9,724</w:t>
            </w:r>
          </w:p>
        </w:tc>
      </w:tr>
      <w:tr>
        <w:trPr>
          <w:trHeight w:val="228"/>
        </w:trPr>
        <w:tc>
          <w:tcPr>
            <w:tcW w:w="2300" w:type="dxa"/>
            <w:vAlign w:val="bottom"/>
          </w:tcPr>
          <w:p>
            <w:pPr>
              <w:ind w:left="40"/>
              <w:spacing w:after="0"/>
              <w:rPr>
                <w:sz w:val="20"/>
                <w:szCs w:val="20"/>
                <w:color w:val="auto"/>
              </w:rPr>
            </w:pPr>
            <w:r>
              <w:rPr>
                <w:rFonts w:ascii="Arial" w:cs="Arial" w:eastAsia="Arial" w:hAnsi="Arial"/>
                <w:sz w:val="11"/>
                <w:szCs w:val="11"/>
                <w:color w:val="auto"/>
                <w:w w:val="91"/>
              </w:rPr>
              <w:t>Income (loss) before income tax benefit (expense)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1,578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1,607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(42)</w:t>
            </w:r>
          </w:p>
        </w:tc>
      </w:tr>
      <w:tr>
        <w:trPr>
          <w:trHeight w:val="228"/>
        </w:trPr>
        <w:tc>
          <w:tcPr>
            <w:tcW w:w="2300" w:type="dxa"/>
            <w:vAlign w:val="bottom"/>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576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1,059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1,565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r>
      <w:tr>
        <w:trPr>
          <w:trHeight w:val="215"/>
        </w:trPr>
        <w:tc>
          <w:tcPr>
            <w:tcW w:w="2300" w:type="dxa"/>
            <w:vAlign w:val="bottom"/>
          </w:tcPr>
          <w:p>
            <w:pPr>
              <w:ind w:left="4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570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1,051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1,535</w:t>
            </w:r>
          </w:p>
        </w:tc>
      </w:tr>
      <w:tr>
        <w:trPr>
          <w:trHeight w:val="62"/>
        </w:trPr>
        <w:tc>
          <w:tcPr>
            <w:tcW w:w="23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470</w:t>
            </w: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457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-1649095</wp:posOffset>
            </wp:positionV>
            <wp:extent cx="1457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-3038475</wp:posOffset>
            </wp:positionV>
            <wp:extent cx="1457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66"/>
              <w:spacing w:after="0"/>
              <w:rPr>
                <w:sz w:val="20"/>
                <w:szCs w:val="20"/>
                <w:color w:val="auto"/>
              </w:rPr>
            </w:pPr>
            <w:r>
              <w:rPr>
                <w:rFonts w:ascii="Arial" w:cs="Arial" w:eastAsia="Arial" w:hAnsi="Arial"/>
                <w:sz w:val="11"/>
                <w:szCs w:val="11"/>
                <w:b w:val="1"/>
                <w:bCs w:val="1"/>
                <w:color w:val="auto"/>
                <w:w w:val="88"/>
              </w:rPr>
              <w:t>Six Months Ended June 30,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7,642</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472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(1,244)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7,477</w:t>
            </w:r>
          </w:p>
        </w:tc>
      </w:tr>
      <w:tr>
        <w:trPr>
          <w:trHeight w:val="242"/>
        </w:trPr>
        <w:tc>
          <w:tcPr>
            <w:tcW w:w="2300" w:type="dxa"/>
            <w:vAlign w:val="bottom"/>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6,571</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560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1,133</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443</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9,305</w:t>
            </w:r>
          </w:p>
        </w:tc>
      </w:tr>
      <w:tr>
        <w:trPr>
          <w:trHeight w:val="228"/>
        </w:trPr>
        <w:tc>
          <w:tcPr>
            <w:tcW w:w="2300" w:type="dxa"/>
            <w:vAlign w:val="bottom"/>
          </w:tcPr>
          <w:p>
            <w:pPr>
              <w:ind w:left="4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(1,334)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(593)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(1,828)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(66)</w:t>
            </w:r>
          </w:p>
        </w:tc>
      </w:tr>
      <w:tr>
        <w:trPr>
          <w:trHeight w:val="228"/>
        </w:trPr>
        <w:tc>
          <w:tcPr>
            <w:tcW w:w="2300" w:type="dxa"/>
            <w:vAlign w:val="bottom"/>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(1,334)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(1,894)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300" w:type="dxa"/>
            <w:vAlign w:val="bottom"/>
            <w:shd w:val="clear" w:color="auto" w:fill="CCEEFF"/>
          </w:tcPr>
          <w:p>
            <w:pPr>
              <w:ind w:left="4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(777)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(249)</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(988)</w:t>
            </w:r>
          </w:p>
        </w:tc>
      </w:tr>
      <w:tr>
        <w:trPr>
          <w:trHeight w:val="215"/>
        </w:trPr>
        <w:tc>
          <w:tcPr>
            <w:tcW w:w="2300" w:type="dxa"/>
            <w:vAlign w:val="bottom"/>
          </w:tcPr>
          <w:p>
            <w:pPr>
              <w:ind w:left="4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(557)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(331)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(906)</w:t>
            </w:r>
          </w:p>
        </w:tc>
      </w:tr>
      <w:tr>
        <w:trPr>
          <w:trHeight w:val="62"/>
        </w:trPr>
        <w:tc>
          <w:tcPr>
            <w:tcW w:w="23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421</w:t>
            </w: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457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-1649095</wp:posOffset>
            </wp:positionV>
            <wp:extent cx="1457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-3038475</wp:posOffset>
            </wp:positionV>
            <wp:extent cx="1457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180" w:right="180" w:hanging="172"/>
        <w:spacing w:after="0" w:line="273" w:lineRule="auto"/>
        <w:tabs>
          <w:tab w:leader="none" w:pos="180" w:val="left"/>
        </w:tabs>
        <w:numPr>
          <w:ilvl w:val="0"/>
          <w:numId w:val="17"/>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$4 million and $4 million for the three months ended June 30, 2017 and 2016, respectively, and $9 million and $8 million for the six months ended June 30, 2017 and 2016,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Icahn Enterprises' condensed balance sheets by reporting segment as of June 30, 2017 and December 31, 2016 are presented below. Icahn Enterprises Holdings' condensed balance sheets are substantially the same, with immaterial differences relating to our Holding Company's other assets, debt and equity attributable to Icahn Enterprises Holdings.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5"/>
          </w:tcPr>
          <w:p>
            <w:pPr>
              <w:ind w:left="60"/>
              <w:spacing w:after="0"/>
              <w:rPr>
                <w:sz w:val="20"/>
                <w:szCs w:val="20"/>
                <w:color w:val="auto"/>
              </w:rPr>
            </w:pPr>
            <w:r>
              <w:rPr>
                <w:rFonts w:ascii="Arial" w:cs="Arial" w:eastAsia="Arial" w:hAnsi="Arial"/>
                <w:sz w:val="11"/>
                <w:szCs w:val="11"/>
                <w:b w:val="1"/>
                <w:bCs w:val="1"/>
                <w:color w:val="auto"/>
              </w:rPr>
              <w:t>June 30, 2017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Gaming</w:t>
            </w:r>
          </w:p>
        </w:tc>
        <w:tc>
          <w:tcPr>
            <w:tcW w:w="1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90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2,389</w:t>
            </w:r>
          </w:p>
        </w:tc>
        <w:tc>
          <w:tcPr>
            <w:tcW w:w="0" w:type="dxa"/>
            <w:vAlign w:val="bottom"/>
          </w:tcPr>
          <w:p>
            <w:pPr>
              <w:spacing w:after="0"/>
              <w:rPr>
                <w:sz w:val="1"/>
                <w:szCs w:val="1"/>
                <w:color w:val="auto"/>
              </w:rPr>
            </w:pPr>
          </w:p>
        </w:tc>
      </w:tr>
      <w:tr>
        <w:trPr>
          <w:trHeight w:val="139"/>
        </w:trPr>
        <w:tc>
          <w:tcPr>
            <w:tcW w:w="2180" w:type="dxa"/>
            <w:vAlign w:val="bottom"/>
          </w:tcPr>
          <w:p>
            <w:pPr>
              <w:ind w:left="40"/>
              <w:spacing w:after="0"/>
              <w:rPr>
                <w:sz w:val="20"/>
                <w:szCs w:val="20"/>
                <w:color w:val="auto"/>
              </w:rPr>
            </w:pPr>
            <w:r>
              <w:rPr>
                <w:rFonts w:ascii="Arial" w:cs="Arial" w:eastAsia="Arial" w:hAnsi="Arial"/>
                <w:sz w:val="11"/>
                <w:szCs w:val="11"/>
                <w:color w:val="auto"/>
                <w:w w:val="90"/>
              </w:rPr>
              <w:t>Cash held at consolidated affiliated partnerships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1,019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9,302</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1,757</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3,142</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1,164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455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9,610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2,231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468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3,107</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11,020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10,386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4,959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1,904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1,007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32,557</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1"/>
              </w:rPr>
              <w:t>Accounts payable, accrued expenses and other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3,018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7,127</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w w:val="92"/>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1,729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676</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1,210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11,285</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3,942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7,556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2,684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907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5,773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22,027</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786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(4,766)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4,231</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6,299</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7,078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2,830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997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(4,766)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10,530</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11,020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10,386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4,959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1,904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1,007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32,557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ind w:left="60"/>
              <w:spacing w:after="0"/>
              <w:rPr>
                <w:sz w:val="20"/>
                <w:szCs w:val="20"/>
                <w:color w:val="auto"/>
              </w:rPr>
            </w:pPr>
            <w:r>
              <w:rPr>
                <w:rFonts w:ascii="Arial" w:cs="Arial" w:eastAsia="Arial" w:hAnsi="Arial"/>
                <w:sz w:val="11"/>
                <w:szCs w:val="11"/>
                <w:b w:val="1"/>
                <w:bCs w:val="1"/>
                <w:color w:val="auto"/>
              </w:rPr>
              <w:t>December 31,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Gaming</w:t>
            </w:r>
          </w:p>
        </w:tc>
        <w:tc>
          <w:tcPr>
            <w:tcW w:w="1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Fashion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90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1,833</w:t>
            </w:r>
          </w:p>
        </w:tc>
        <w:tc>
          <w:tcPr>
            <w:tcW w:w="0" w:type="dxa"/>
            <w:vAlign w:val="bottom"/>
          </w:tcPr>
          <w:p>
            <w:pPr>
              <w:spacing w:after="0"/>
              <w:rPr>
                <w:sz w:val="1"/>
                <w:szCs w:val="1"/>
                <w:color w:val="auto"/>
              </w:rPr>
            </w:pPr>
          </w:p>
        </w:tc>
      </w:tr>
      <w:tr>
        <w:trPr>
          <w:trHeight w:val="139"/>
        </w:trPr>
        <w:tc>
          <w:tcPr>
            <w:tcW w:w="2180" w:type="dxa"/>
            <w:vAlign w:val="bottom"/>
          </w:tcPr>
          <w:p>
            <w:pPr>
              <w:ind w:left="40"/>
              <w:spacing w:after="0"/>
              <w:rPr>
                <w:sz w:val="20"/>
                <w:szCs w:val="20"/>
                <w:color w:val="auto"/>
              </w:rPr>
            </w:pPr>
            <w:r>
              <w:rPr>
                <w:rFonts w:ascii="Arial" w:cs="Arial" w:eastAsia="Arial" w:hAnsi="Arial"/>
                <w:sz w:val="11"/>
                <w:szCs w:val="11"/>
                <w:color w:val="auto"/>
                <w:w w:val="90"/>
              </w:rPr>
              <w:t>Cash held at consolidated affiliated partnerships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752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804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9,881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1,609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2,983</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3,358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1,567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814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10,122</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2,216</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1,410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3,887</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11,496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9,819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5,013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3,332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33,335</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1"/>
              </w:rPr>
              <w:t>Accounts payable, accrued expenses and other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2,100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8,155</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w w:val="92"/>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1,139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3,725</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1,180</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11,119</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6,100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7,206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2,639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2,680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25,318</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(5,105)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2,154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5,863</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5,396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2,613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2,374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652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962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(5,105)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8,017</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11,496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9,819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5,013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3,332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33,335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 xml:space="preserve">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analyze all positive and negative evidence and maintain a valuation allowance on deferred tax assets that are not considered more likely than not to be realized. Based on current analysis, including increased level of income and ability to use losses previously limited, we have determined that it is more likely than not that a significant portion of our U.S. tax loss carryforwards and credits will be realized and have released the valuation allowance on these deferred tax assets.</w:t>
      </w:r>
    </w:p>
    <w:p>
      <w:pPr>
        <w:spacing w:after="0" w:line="79"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For the three months ended June 30, 2017, we recorded an income tax expense of $16 million on pre-tax income of approximately $1.7 billion compared to an income tax expense of $50 million on pre-tax loss of $235 million for the three months ended June 30, 2016. Our effective income tax rate was 0.9% and (21.3)% for the three months ended June 30, 2017 and 2016, respectively.</w:t>
      </w:r>
    </w:p>
    <w:p>
      <w:pPr>
        <w:spacing w:after="0" w:line="73"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For the three months ended June 30, 2017, the effective tax rate was lower than the statutory federal rate of 35%, primarily due to a decrease in the valuation allowance and partnership income for which there was no tax expense, as such income is allocated to the partners.</w:t>
      </w:r>
    </w:p>
    <w:p>
      <w:pPr>
        <w:spacing w:after="0" w:line="3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For the three months ended June 30, 2016, the effective tax rate was lower than the statutory federal rate of 35%, primarily due to partnership losses for which there was no tax benefit, as such losses are allocated to the partners.</w:t>
      </w:r>
    </w:p>
    <w:p>
      <w:pPr>
        <w:spacing w:after="0" w:line="62"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For the six months ended June 30, 2017, we recorded an income tax expense of $42 million on pre-tax income of approximately $1.6 billion compared to an income tax expense of $66 million on pre-tax loss of approximately $1.8 billion for the six months ended June 30, 2016. Our effective income tax rate was 2.6% and (3.6)% for the six months ended June 30, 2017 and 2016, respectively.</w:t>
      </w:r>
    </w:p>
    <w:p>
      <w:pPr>
        <w:spacing w:after="0" w:line="73" w:lineRule="exact"/>
        <w:rPr>
          <w:sz w:val="20"/>
          <w:szCs w:val="20"/>
          <w:color w:val="auto"/>
        </w:rPr>
      </w:pPr>
    </w:p>
    <w:p>
      <w:pPr>
        <w:ind w:right="560" w:firstLine="405"/>
        <w:spacing w:after="0" w:line="308" w:lineRule="auto"/>
        <w:rPr>
          <w:sz w:val="20"/>
          <w:szCs w:val="20"/>
          <w:color w:val="auto"/>
        </w:rPr>
      </w:pPr>
      <w:r>
        <w:rPr>
          <w:rFonts w:ascii="Arial" w:cs="Arial" w:eastAsia="Arial" w:hAnsi="Arial"/>
          <w:sz w:val="17"/>
          <w:szCs w:val="17"/>
          <w:color w:val="auto"/>
        </w:rPr>
        <w:t>For the six months ended June 30, 2017, the effective tax rate was lower than the statutory federal rate of 35%, primarily due to a decrease in the valuation allowance and partnership income for which there was no tax expense, as such income is allocated to the partners.</w:t>
      </w:r>
    </w:p>
    <w:p>
      <w:pPr>
        <w:spacing w:after="0" w:line="38"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For the six months ended June 30, 2016,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Post-Retirement</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Hedge Instruments,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Adjustments and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Benefits, Net of Tax</w:t>
            </w:r>
          </w:p>
        </w:tc>
        <w:tc>
          <w:tcPr>
            <w:tcW w:w="28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Net of Tax</w:t>
            </w:r>
          </w:p>
        </w:tc>
        <w:tc>
          <w:tcPr>
            <w:tcW w:w="16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Other, Net of Tax</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40" w:type="dxa"/>
            <w:vAlign w:val="bottom"/>
            <w:gridSpan w:val="5"/>
          </w:tcPr>
          <w:p>
            <w:pPr>
              <w:ind w:left="110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29"/>
        </w:trPr>
        <w:tc>
          <w:tcPr>
            <w:tcW w:w="4220" w:type="dxa"/>
            <w:vAlign w:val="bottom"/>
          </w:tcPr>
          <w:p>
            <w:pPr>
              <w:ind w:left="40"/>
              <w:spacing w:after="0"/>
              <w:rPr>
                <w:sz w:val="20"/>
                <w:szCs w:val="20"/>
                <w:color w:val="auto"/>
              </w:rPr>
            </w:pPr>
            <w:r>
              <w:rPr>
                <w:rFonts w:ascii="Arial" w:cs="Arial" w:eastAsia="Arial" w:hAnsi="Arial"/>
                <w:sz w:val="18"/>
                <w:szCs w:val="18"/>
                <w:color w:val="auto"/>
                <w:w w:val="90"/>
              </w:rPr>
              <w:t>Other comprehensive income before reclassifications, net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Reclassifications from accumulated other comprehensive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4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to earnings</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w:t>
            </w: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comprehensive income, net of tax includes $9 million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37"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15. Other Income, Net.</w:t>
            </w: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470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4700" w:type="dxa"/>
            <w:vAlign w:val="bottom"/>
          </w:tcPr>
          <w:p>
            <w:pPr>
              <w:spacing w:after="0"/>
              <w:rPr>
                <w:sz w:val="24"/>
                <w:szCs w:val="24"/>
                <w:color w:val="auto"/>
              </w:rPr>
            </w:pPr>
          </w:p>
        </w:tc>
        <w:tc>
          <w:tcPr>
            <w:tcW w:w="28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Realized and unrealized (loss) gain on derivatives, net (Note 6)</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derivative loss</w:t>
            </w:r>
          </w:p>
        </w:tc>
        <w:tc>
          <w:tcPr>
            <w:tcW w:w="11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(Note 9)</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 gain</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$48 million and $50 million as of June 30, 2017 and December 31, 2016, respectively, primarily within our Automotive, Energy and Metals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EPA,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the professional judgment of consultants.</w:t>
      </w:r>
    </w:p>
    <w:p>
      <w:pPr>
        <w:spacing w:after="0" w:line="64"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Our Automotive segment's total environmental liabilities, determined on an undiscounted basis, were $15 million and $16 million as of June 30, 2017 and December 31, 2016, respectively. 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could be materially affected. At June 30, 2017, Federal-Mogul estimates reasonably possible material additional losses, above and beyond its best estimate of required remediation costs as recorded, to approximate $40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Except as otherwise described below, there have been no new developments or material changes to the environmental accruals or expected capital expenditures related to compliance with the environmental matters from those disclosed in our Annual Report on Form 10-K for the year ended December 31, 2016. CVR Energy believes the petroleum and nitrogen fertilizer businesses are in material compliance with existing EHS rules and regulations. There can be no assurance that the EHS matters described or referenced herein or other EHS matters which may develop in the future will not have a material adverse effect on CVR Energy's business, financial condition or results of operations.</w:t>
      </w:r>
    </w:p>
    <w:p>
      <w:pPr>
        <w:spacing w:after="0" w:line="8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of June 30, 2017 and December 31, 2016, our Energy segment had environmental accruals of $4 million and $5 million, respectively. CVR Energy's management periodically reviews and, as appropriate, revises its environmental accruals. Based on current information and regulatory requirements, CVR Energy's management believes that the accruals established for environmental expenditures are adequate.</w:t>
      </w:r>
    </w:p>
    <w:p>
      <w:pPr>
        <w:spacing w:after="0" w:line="7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Environmental expenditures are capitalized when such expenditures are expected to result in future economic benefits. Capital expenditures incurred for environmental compliance and efficiency of the operations were $2 million and $3 million for the three months ended June 30, 2017 and 2016, respectively, and $7 million and $6 million for the six months ended June 30, 2017 and 2016,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one of PSC Metals' Knoxville locations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at this location.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other sites to be immaterial as of both June 30, 2017 and December 31, 2016. If it is determined that PSC Metals has liability to remediate those sites and that more expensive remediation approaches are required in the future, PSC Metals could incur additional obligations, which could be material to its operations.</w:t>
      </w:r>
    </w:p>
    <w:p>
      <w:pPr>
        <w:spacing w:after="0" w:line="61"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MDNR’s claims and required limited soil remediation at the 15 residences. PSC Metals has complied with the terms of the settlement agreement and expects its obligations under the settlement agreement to terminate in the near future. PSC Metals believes that it has adequately reserved for the cost of compliance with the settlement agreement. Additionally, PSC Metals believes that liability for off-site contamination was retained by the prior owner of the Festus yard and accordingly, it would have a claim for indemnification against the prior owner.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its management's judgment and prior experience. PSC Metals has estimated the liability to remediate these sites to be $28 million and $28 million at June 30, 2017 and December 31, 2016, respectively. PSC Metals believes, based on past experience, that the vast majority of these environmental liabilities and costs will be assessed and paid over an extended period of time. PSC Metals believes that it will be able to fund such costs in the ordinary course of business. 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CVR Refining is subject to the Renewable Fuel Standard which requires refiners to either blend "renewable fuels" with their transportation fuels or purchase renewable fuel credits, known as renewable identification numbers (“RINs”), in lieu of blending, by March 31, 2018 or otherwise be subject to penalties.</w:t>
      </w:r>
    </w:p>
    <w:p>
      <w:pPr>
        <w:spacing w:after="0" w:line="7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December 12, 2016, the United States Environmental Protection Agency ("EPA") published in the Federal Register a final rule establishing the renewable fuel volume mandates for 2017, and the biomass-based diesel mandate for 2018. On July 21, 2017, the EPA published in the Federal Register its proposed rule establishing the renewable fuel volume mandates for 2018, and the biomass-based diesel mandate for 2019. The EPA is required by the Clean Air Act to publish the final rule for 2018 by November 30, 2017.</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RINs expense was $106 million and $51 million for three months ended June 30, 2017 and 2016, respectively, and $99 million and $94 million for six months ended June 30, 2017 and 2016, respectively. RINs expense includes the impact of recognizing the petroleum business' uncommitted biofuel blending obligation at fair value based on market prices at each reporting date. As of June 30, 2017 and December 31, 2016, the petroleum business' biofuel blending obligation was $280 million and $186 million, respectively, which is included in accrued expenses and other liabilities in our condensed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On March 3, 2017, certain purported former stockholders of Federal-Mogul Holdings Corporation filed a petition in the Delaware Court of Chancery seeking an appraisal of the value of common stock they claim to have held at the time of the January 23, 2017 merger of IEH FM Holdings, LLC into Federal-Mogul Holdings Corporation. IEH FM Holdings, LLC was a wholly owned subsidiary of Icahn Enterprises. Federal-Mogul Holdings LLC filed an answer to the petition on March 28, 2017. A second petition for appraisal was filed by purported former stockholders of Federal-Mogul Holdings Corporation on May 1, 2017. The two cases were consolidated on May 10, 2017, captioned </w:t>
      </w:r>
      <w:r>
        <w:rPr>
          <w:rFonts w:ascii="Arial" w:cs="Arial" w:eastAsia="Arial" w:hAnsi="Arial"/>
          <w:sz w:val="18"/>
          <w:szCs w:val="18"/>
          <w:i w:val="1"/>
          <w:iCs w:val="1"/>
          <w:color w:val="auto"/>
        </w:rPr>
        <w:t>In re Appraisal of Federal-Mogul Holdings LLC, C.A. No. 2017-0158-AGB</w:t>
      </w:r>
      <w:r>
        <w:rPr>
          <w:rFonts w:ascii="Arial" w:cs="Arial" w:eastAsia="Arial" w:hAnsi="Arial"/>
          <w:sz w:val="18"/>
          <w:szCs w:val="18"/>
          <w:color w:val="auto"/>
        </w:rPr>
        <w:t>. Discovery is ongoing and a trial date has not yet been set. Federal-Mogul believes that it has a meritorious defense and intends to vigorously defend the matter.</w:t>
      </w:r>
    </w:p>
    <w:p>
      <w:pPr>
        <w:spacing w:after="0" w:line="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does not currently believe the outcome of this litigation will have a material impact on its financial statements.</w:t>
      </w:r>
    </w:p>
    <w:p>
      <w:pPr>
        <w:spacing w:after="0" w:line="8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 xml:space="preserve">On September 29, 2016, September 30, 2016, October 12, 2016 and October 19, 2016, respectively, four putative class actions, captioned </w:t>
      </w:r>
      <w:r>
        <w:rPr>
          <w:rFonts w:ascii="Arial" w:cs="Arial" w:eastAsia="Arial" w:hAnsi="Arial"/>
          <w:sz w:val="18"/>
          <w:szCs w:val="18"/>
          <w:i w:val="1"/>
          <w:iCs w:val="1"/>
          <w:color w:val="auto"/>
        </w:rPr>
        <w:t>Skybo v.</w:t>
      </w:r>
      <w:r>
        <w:rPr>
          <w:rFonts w:ascii="Arial" w:cs="Arial" w:eastAsia="Arial" w:hAnsi="Arial"/>
          <w:sz w:val="18"/>
          <w:szCs w:val="18"/>
          <w:color w:val="auto"/>
        </w:rPr>
        <w:t xml:space="preserve"> </w:t>
      </w:r>
      <w:r>
        <w:rPr>
          <w:rFonts w:ascii="Arial" w:cs="Arial" w:eastAsia="Arial" w:hAnsi="Arial"/>
          <w:sz w:val="18"/>
          <w:szCs w:val="18"/>
          <w:i w:val="1"/>
          <w:iCs w:val="1"/>
          <w:color w:val="auto"/>
        </w:rPr>
        <w:t>Ninivaggi et al.</w:t>
      </w:r>
      <w:r>
        <w:rPr>
          <w:rFonts w:ascii="Arial" w:cs="Arial" w:eastAsia="Arial" w:hAnsi="Arial"/>
          <w:sz w:val="18"/>
          <w:szCs w:val="18"/>
          <w:color w:val="auto"/>
        </w:rPr>
        <w:t>, C.A. No. 12790,</w:t>
      </w:r>
      <w:r>
        <w:rPr>
          <w:rFonts w:ascii="Arial" w:cs="Arial" w:eastAsia="Arial" w:hAnsi="Arial"/>
          <w:sz w:val="18"/>
          <w:szCs w:val="18"/>
          <w:i w:val="1"/>
          <w:iCs w:val="1"/>
          <w:color w:val="auto"/>
        </w:rPr>
        <w:t xml:space="preserve"> Lemanchek v. Ninivaggi et al.</w:t>
      </w:r>
      <w:r>
        <w:rPr>
          <w:rFonts w:ascii="Arial" w:cs="Arial" w:eastAsia="Arial" w:hAnsi="Arial"/>
          <w:sz w:val="18"/>
          <w:szCs w:val="18"/>
          <w:color w:val="auto"/>
        </w:rPr>
        <w:t>, C.A. No. 12791,</w:t>
      </w:r>
      <w:r>
        <w:rPr>
          <w:rFonts w:ascii="Arial" w:cs="Arial" w:eastAsia="Arial" w:hAnsi="Arial"/>
          <w:sz w:val="18"/>
          <w:szCs w:val="18"/>
          <w:i w:val="1"/>
          <w:iCs w:val="1"/>
          <w:color w:val="auto"/>
        </w:rPr>
        <w:t xml:space="preserve"> Raul v. Ninivaggi et al.</w:t>
      </w:r>
      <w:r>
        <w:rPr>
          <w:rFonts w:ascii="Arial" w:cs="Arial" w:eastAsia="Arial" w:hAnsi="Arial"/>
          <w:sz w:val="18"/>
          <w:szCs w:val="18"/>
          <w:color w:val="auto"/>
        </w:rPr>
        <w:t>, C.A. No. 12821 and</w:t>
      </w:r>
      <w:r>
        <w:rPr>
          <w:rFonts w:ascii="Arial" w:cs="Arial" w:eastAsia="Arial" w:hAnsi="Arial"/>
          <w:sz w:val="18"/>
          <w:szCs w:val="18"/>
          <w:i w:val="1"/>
          <w:iCs w:val="1"/>
          <w:color w:val="auto"/>
        </w:rPr>
        <w:t xml:space="preserve"> Mercado v. Ninivaggi et al.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C.A. No. 12837, were filed in the Court of Chancery of the State of Delaware against the Board of Directors of Federal-Mogul (the "FM Board") and Icahn Enterprises, Icahn Enterprises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37"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 xml:space="preserve">Holdings, certain of their affiliates and Icahn Enterprises' Board of Directors (the "Icahn Defendants"), and, in the case of </w:t>
      </w:r>
      <w:r>
        <w:rPr>
          <w:rFonts w:ascii="Arial" w:cs="Arial" w:eastAsia="Arial" w:hAnsi="Arial"/>
          <w:sz w:val="16"/>
          <w:szCs w:val="16"/>
          <w:i w:val="1"/>
          <w:iCs w:val="1"/>
          <w:color w:val="auto"/>
        </w:rPr>
        <w:t>Raul</w:t>
      </w:r>
      <w:r>
        <w:rPr>
          <w:rFonts w:ascii="Arial" w:cs="Arial" w:eastAsia="Arial" w:hAnsi="Arial"/>
          <w:sz w:val="16"/>
          <w:szCs w:val="16"/>
          <w:color w:val="auto"/>
        </w:rPr>
        <w:t xml:space="preserve">, Federal-Mogul. The complaints allege that, among other things, the FM Board breached its fiduciary duties by approving the proposed Merger Agreement, that the Icahn Defendants breached their fiduciary duties to the minority stockholders of Federal-Mogul and/or aided and abetted the FM Board’s breaches of its fiduciary duties, as well as alleging certain material misstatements and omissions in the Schedule 14D-9 filed by Federal-Mogul (the "Schedule 14D-9"). The complaints allege that, among other things, the then-Offer Price was inadequate and, together with that the Merger Agreement, was the result of a flawed and unfair sales process and conflicts of interest of the FM Board and the special committee of independent directors of Federal-Mogul (the "Special Committee"), alleging that the Special Committee and Federal-Mogul’s management lacked independence from the Icahn Defendants. In addition, the complaints allege that the Merger Agreement contains certain allegedly preclusive deal protection provisions, including a no-solicitation provision, an information rights provision and a matching rights provision. Among other things, the complaints sought to enjoin the transactions contemplated by the Merger Agreement, as well as award costs and disbursements, including reasonable attorneys’ and experts’ fees. The </w:t>
      </w:r>
      <w:r>
        <w:rPr>
          <w:rFonts w:ascii="Arial" w:cs="Arial" w:eastAsia="Arial" w:hAnsi="Arial"/>
          <w:sz w:val="16"/>
          <w:szCs w:val="16"/>
          <w:i w:val="1"/>
          <w:iCs w:val="1"/>
          <w:color w:val="auto"/>
        </w:rPr>
        <w:t>Raul</w:t>
      </w:r>
      <w:r>
        <w:rPr>
          <w:rFonts w:ascii="Arial" w:cs="Arial" w:eastAsia="Arial" w:hAnsi="Arial"/>
          <w:sz w:val="16"/>
          <w:szCs w:val="16"/>
          <w:color w:val="auto"/>
        </w:rPr>
        <w:t xml:space="preserve"> and </w:t>
      </w:r>
      <w:r>
        <w:rPr>
          <w:rFonts w:ascii="Arial" w:cs="Arial" w:eastAsia="Arial" w:hAnsi="Arial"/>
          <w:sz w:val="16"/>
          <w:szCs w:val="16"/>
          <w:i w:val="1"/>
          <w:iCs w:val="1"/>
          <w:color w:val="auto"/>
        </w:rPr>
        <w:t>Mercado</w:t>
      </w:r>
      <w:r>
        <w:rPr>
          <w:rFonts w:ascii="Arial" w:cs="Arial" w:eastAsia="Arial" w:hAnsi="Arial"/>
          <w:sz w:val="16"/>
          <w:szCs w:val="16"/>
          <w:color w:val="auto"/>
        </w:rPr>
        <w:t xml:space="preserve"> complaints further seek to rescind the transaction or award rescissory damages, or (in the case of </w:t>
      </w:r>
      <w:r>
        <w:rPr>
          <w:rFonts w:ascii="Arial" w:cs="Arial" w:eastAsia="Arial" w:hAnsi="Arial"/>
          <w:sz w:val="16"/>
          <w:szCs w:val="16"/>
          <w:i w:val="1"/>
          <w:iCs w:val="1"/>
          <w:color w:val="auto"/>
        </w:rPr>
        <w:t>Raul</w:t>
      </w:r>
      <w:r>
        <w:rPr>
          <w:rFonts w:ascii="Arial" w:cs="Arial" w:eastAsia="Arial" w:hAnsi="Arial"/>
          <w:sz w:val="16"/>
          <w:szCs w:val="16"/>
          <w:color w:val="auto"/>
        </w:rPr>
        <w:t xml:space="preserve">) award a quasi-appraisal remedy in the event that the transaction was consummated, as well as award money damages. On October 28, 2016, all four actions were consolidated under the caption </w:t>
      </w:r>
      <w:r>
        <w:rPr>
          <w:rFonts w:ascii="Arial" w:cs="Arial" w:eastAsia="Arial" w:hAnsi="Arial"/>
          <w:sz w:val="16"/>
          <w:szCs w:val="16"/>
          <w:i w:val="1"/>
          <w:iCs w:val="1"/>
          <w:color w:val="auto"/>
        </w:rPr>
        <w:t>In re Federal-Mogul Holdings,</w:t>
      </w:r>
      <w:r>
        <w:rPr>
          <w:rFonts w:ascii="Arial" w:cs="Arial" w:eastAsia="Arial" w:hAnsi="Arial"/>
          <w:sz w:val="16"/>
          <w:szCs w:val="16"/>
          <w:color w:val="auto"/>
        </w:rPr>
        <w:t xml:space="preserve"> </w:t>
      </w:r>
      <w:r>
        <w:rPr>
          <w:rFonts w:ascii="Arial" w:cs="Arial" w:eastAsia="Arial" w:hAnsi="Arial"/>
          <w:sz w:val="16"/>
          <w:szCs w:val="16"/>
          <w:i w:val="1"/>
          <w:iCs w:val="1"/>
          <w:color w:val="auto"/>
        </w:rPr>
        <w:t>Inc. Stockholder Litigation</w:t>
      </w:r>
      <w:r>
        <w:rPr>
          <w:rFonts w:ascii="Arial" w:cs="Arial" w:eastAsia="Arial" w:hAnsi="Arial"/>
          <w:sz w:val="16"/>
          <w:szCs w:val="16"/>
          <w:color w:val="auto"/>
        </w:rPr>
        <w:t>, C.A. No. 12790-CB (the "Delaware Action"). On March 6, 2017, plaintiffs filed a consolidated amended complaint that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name Federal-Mogul as a defendant. Among other things, the consolidated amended complaint also adds allegations regarding the commencement and extension of the Offer, the increase in the Offer price, the closing of the transaction, Federal-Mogul's subsequent performance and public statements, Mr. Ninivaggi’s post-merger employment with Icahn Enterprises and the independence of the chairman of the Special Committee. Icahn Defendants have moved to dismiss the amended complaint and to stay discovery pending determination of that motion. The plaintiffs responded and on July 10, 2017, the Icahn Defendants' reply brief on the motion to dismiss was filed. A hearing is scheduled for October 12, 2017.</w:t>
      </w:r>
    </w:p>
    <w:p>
      <w:pPr>
        <w:spacing w:after="0" w:line="6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On October 5, 2016, a putative class action captioned </w:t>
      </w:r>
      <w:r>
        <w:rPr>
          <w:rFonts w:ascii="Arial" w:cs="Arial" w:eastAsia="Arial" w:hAnsi="Arial"/>
          <w:sz w:val="16"/>
          <w:szCs w:val="16"/>
          <w:i w:val="1"/>
          <w:iCs w:val="1"/>
          <w:color w:val="auto"/>
        </w:rPr>
        <w:t>Sanders v. Federal-Mogul Holdings Corporation et al.</w:t>
      </w:r>
      <w:r>
        <w:rPr>
          <w:rFonts w:ascii="Arial" w:cs="Arial" w:eastAsia="Arial" w:hAnsi="Arial"/>
          <w:sz w:val="16"/>
          <w:szCs w:val="16"/>
          <w:color w:val="auto"/>
        </w:rPr>
        <w:t>, C.A. No. 16-155387 was filed in the Circuit Court for Oakland County of the State of Michigan against Federal-Mogul, the FM Board and the Icahn Defendants (the "Michigan Action"). The complaint alleges, among other things, that the FM Board breached its fiduciary duties and that Federal-Mogul and the Icahn Defendants aided and abetted the FM Board’s breaches of its fiduciary duties, as well as alleging certain material misstatements and omissions in the Schedule 14D-9. The complaint alleges that, among other things, the then-Offer Price was unfair and the result of an unfair sales process that included conflicts of interest. In addition, the complaint alleges that the Merger Agreement contains certain allegedly preclusive deal protection provisions, including a no-solicitation provision, an information rights provision and a matching rights provision. Among other things, the complaint sought to enjoin the transactions contemplated by the Merger Agreement, or, in the event that the transactions were consummated, rescind the transactions or award rescissory damages, as well as award money damages and costs, including reasonable attorneys’ and experts’ fees. On March 6, 2017, the plaintiffs filed an amended complaint which, among other things, dropped Federal-Mogul as a defendant. The amended complaint also: named certain additional Icahn-affiliated individuals and entities as defendants; deleted various allegations relating to process and purported disclosure deficiencies; added allegations regarding the commencement and extension of the Offer, the increase in the Offer price, the closing of the transaction, Federal-Mogul's subsequent performance and public statements, Mr. Ninivaggi’s post-merger employment with Icahn Enterprises, and the independence of certain directors; and eliminated the request for injunctive relief given the consummation of the transaction. On April 4, 2017 the Court entered a stipulated order staying the Michigan Action pending final determination of the Delaware Action.</w:t>
      </w:r>
    </w:p>
    <w:p>
      <w:pPr>
        <w:spacing w:after="0" w:line="6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Each of Icahn Enterprises and Federal-Mogul believes that the claims in the Delaware and Michigan Actions are without merit and intends to defend against them vigorously.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 Directive</w:t>
      </w:r>
    </w:p>
    <w:p>
      <w:pPr>
        <w:spacing w:after="0" w:line="11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On September 30, 2016 the Federal Railroad Administration ("FRA") issued Railworthiness Directive ("RWD") No. 2016-01 (the "Original Directive"). The Original Directive addressed, among other things, certain welding practices in one weld area in specified DOT 111 tank railcars manufactured between 2009 and 2015 by ARI and ACF. Our Railcar segment met and corresponded with the FRA following the issuance of the Original Directive to express its concerns with the Original Directive and its impact on our Railcar segment, as well as the industry as a whole.</w:t>
      </w:r>
    </w:p>
    <w:p>
      <w:pPr>
        <w:spacing w:after="0" w:line="6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November 18, 2016 (the "Issuance Date"), the FRA issued RWD No. 2016-01 [Revised] (the "Revised Directive"). The Revised Directive changes and supersedes the Original Directive in several ways.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Original Directive indicated that approximately 14,800 general purpose tank railcars could be affected. The Revised Directive requires owners to identify their subject tank railcars and then from that population identify the 15% of subject tank railcars currently in hazardous materials service with the highest mileage in each tank car owner’s fleet. Visual inspection of each of the subject tank railcars is required by the car operator prior to putting any railcar into service. Owners must ensure appropriate inspection, testing and repairs, if needed, within twelve months of the Issuance Date for the 15% of their subject tank railcars identified to be in hazardous materials service with the highest mileage. The FRA will monitor and analyze the results of the 15% sample and has reserved the right to impose additional test and inspection requirements for the remaining fleet of tank railcars subject to the Revised Directive.</w:t>
      </w:r>
    </w:p>
    <w:p>
      <w:pPr>
        <w:spacing w:after="0" w:line="5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Our Railcar segment has evaluated its potential exposure related to the Revised Directive and has established a loss contingency of $14 million, as of June 30, 2017, to cover its probable and estimable liabilities with respect to our Railcar segment's response to the Revised Directive, taking into account currently available information and our Railcar segment's contractual obligations in its capacity as both a manufacturer and lessor of railcars subject to the Revised Directive. This amount is included in accrued expenses and other liabilities on the condensed consolidated balance sheets and will continue to be evaluated as our Railcar segment's and its customers' compliance with the Revised Directive progresses and our Railcar segment evolves its understanding of the impact that the Revised Directive may have on its business, including results of operations and cash flows. Actual results could differ from this estimate.</w:t>
      </w:r>
    </w:p>
    <w:p>
      <w:pPr>
        <w:spacing w:after="0" w:line="5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It is reasonably possible that a loss exists in excess of the amount accrued by our Railcar segment. However, the amount of potential costs and expenses expected to be incurred for compliance with the Revised Directive in excess of the loss contingency of $14 million cannot be reasonably estimated at this time.</w:t>
      </w:r>
    </w:p>
    <w:p>
      <w:pPr>
        <w:spacing w:after="0" w:line="73"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Although the Revised Directive addresses some of Railcar segment's concerns and clarifies certain requirements of the Original Directive, our Railcar segment has identified significant issues with the Revised Directive. As a result, in a letter to the FRA dated November 28, 2016, our Railcar segment has requested that the FRA immediately rescind or stay the Revised Directive without reinstating the Original Directive. In addition, our Railcar segment has sought judicial review of and relief from the Revised Directive. On December 13, 2016, our Railcar segment filed a petition for review in the United States Court of Appeals for the District of Columbia Circuit against the FRA. In the petition, our Railcar segment asserted that (i) the Revised Directive was unlawful and inconsistent with administrative law, (ii) the Revised Directive is arbitrary, capricious and inconsistent with law, (iii) the FRA exceeded its authority when it issued the Revised Directive and (iv) the Revised Directive was an improper adjudication under applicable laws. The petition requests that the court review, remand and vacate, defer enforcement of, and/or stay pending review, the Revised Directive. Briefs have been filed relating to this ongoing matter and a hearing date has been set by the court for September 22, 2017. Our Railcar segment cannot assure you that this petition will be successful in reversing or modifying the Revised Directive or if it is successful, whether it will be successful in a reasonable amount of time to benefit railcar owners with cars subject to the Revised Directive. Regardless of the petition, significant uncertainty exists in connection with the Revised Directive and its implementation. Our Railcar segment's attempts to comply with the Revised Directive may fail if it is unable to get clarification from the FRA on a variety of questions and our Railcar segment or other railcar owners cannot meet the expectations of the FRA in complying with the Revised Directive. Legal fees incurred with respect to this matter will be expensed in the period in which they occur, in accordance with our Railcar segment's accounting policy.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90.6% of Icahn Enterprises' outstanding depositary units as of June 30, 2017.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Therefore, as a result of our ownership of more than 80% in certain of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have been met as of June 30, 2017 and December 31, 2016. If the plans were voluntarily terminated, they would be underfunded by approximately $509 million and $613 million as of June 30, 2017 and December 31, 2016,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5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Cash Flow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consists of the following:</w:t>
      </w:r>
    </w:p>
    <w:p>
      <w:pPr>
        <w:spacing w:after="0" w:line="167"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payments for income taxes</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subsidiary common stock included in accrued expenses and 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Investment in subsidiaries prior to acquiring a controlling interest</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LP unit issuance for remaining 25% interest in ARL</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Subsidiary common unit issuance for acquisition of CVR Nitrogen</w:t>
            </w:r>
          </w:p>
        </w:tc>
        <w:tc>
          <w:tcPr>
            <w:tcW w:w="11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 included in accounts payable, accrued expenses and other liabilities</w:t>
            </w: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August 2, 2017,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September 15, 2017 to depositary unit holders of record at the close of business on August 14, 2017. Depositary unit holders have until September 6, 2017 to make an election to receive either cash or additional depositary units; if a holder does not make an election, it will automatically be deemed to have elected to receive the distribution in cash. Depositary unit holders who elect to receive additional depositary units will receive units valued at the volume weighted average trading price of the units on NASDAQ during the 5 consecutive trading days ending September 13, 2017. No fractional depositary units will be issued pursuant to the distribution payment. Icahn Enterprises will make a cash payment in lieu of issuing fractional depositary units to any holders electing to receive depositary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4" w:name="page45"/>
    <w:bookmarkEnd w:id="44"/>
    <w:p>
      <w:pPr>
        <w:jc w:val="center"/>
        <w:ind w:right="-8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units. Any 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0"/>
          </w:cols>
          <w:pgMar w:left="240" w:top="337" w:right="10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June 30, 2017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Icahn Enterprises L.P. ("Icahn Enterprises") owns a 99% limited partner interest in Icahn Enterprises Holdings L.P.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it is necessary to an understanding of the businesses. References to "we," "our" or "us" herein include both Icahn Enterprises and Icahn Enterprises Holdings and their subsidiaries, unless the context otherwise requires.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Our operating businesses comprise consolidated subsidiaries which operate in various industries and are managed on a decentralized basis. Results of operations for our operating businesses primarily consist of net sales of various products, services revenue, casino related operations and leasing of certain assets.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 addition to the summary below, refer to Note 12, "Segment Reporting," to the condensed consolidated financial statements for a reconciliation of each of our reporting segment's results of operations to our consolidated results.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Net Income (Loss) Attributable to</w:t>
            </w:r>
          </w:p>
        </w:tc>
      </w:tr>
      <w:tr>
        <w:trPr>
          <w:trHeight w:val="234"/>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4"/>
              </w:rPr>
              <w:t>Revenues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Net Income (Loss)</w:t>
            </w:r>
          </w:p>
        </w:tc>
        <w:tc>
          <w:tcPr>
            <w:tcW w:w="120" w:type="dxa"/>
            <w:vAlign w:val="bottom"/>
          </w:tcPr>
          <w:p>
            <w:pPr>
              <w:spacing w:after="0"/>
              <w:rPr>
                <w:sz w:val="20"/>
                <w:szCs w:val="20"/>
                <w:color w:val="auto"/>
              </w:rPr>
            </w:pPr>
          </w:p>
        </w:tc>
        <w:tc>
          <w:tcPr>
            <w:tcW w:w="27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Icahn Enterprises</w:t>
            </w: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3"/>
          </w:tcPr>
          <w:p>
            <w:pPr>
              <w:jc w:val="center"/>
              <w:ind w:left="591"/>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Railcar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Gaming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Metals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26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42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Net Income (Loss) Attributable to</w:t>
            </w:r>
          </w:p>
        </w:tc>
      </w:tr>
      <w:tr>
        <w:trPr>
          <w:trHeight w:val="234"/>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6"/>
              </w:rPr>
              <w:t>Revenues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Net Income (Loss)</w:t>
            </w:r>
          </w:p>
        </w:tc>
        <w:tc>
          <w:tcPr>
            <w:tcW w:w="120" w:type="dxa"/>
            <w:vAlign w:val="bottom"/>
          </w:tcPr>
          <w:p>
            <w:pPr>
              <w:spacing w:after="0"/>
              <w:rPr>
                <w:sz w:val="20"/>
                <w:szCs w:val="20"/>
                <w:color w:val="auto"/>
              </w:rPr>
            </w:pPr>
          </w:p>
        </w:tc>
        <w:tc>
          <w:tcPr>
            <w:tcW w:w="27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Icahn Enterprises</w:t>
            </w:r>
          </w:p>
        </w:tc>
      </w:tr>
      <w:tr>
        <w:trPr>
          <w:trHeight w:val="27"/>
        </w:trPr>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8"/>
        </w:trPr>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Six Months Ended</w:t>
            </w:r>
          </w:p>
        </w:tc>
        <w:tc>
          <w:tcPr>
            <w:tcW w:w="320" w:type="dxa"/>
            <w:vAlign w:val="bottom"/>
          </w:tcPr>
          <w:p>
            <w:pPr>
              <w:spacing w:after="0"/>
              <w:rPr>
                <w:sz w:val="18"/>
                <w:szCs w:val="18"/>
                <w:color w:val="auto"/>
              </w:rPr>
            </w:pPr>
          </w:p>
        </w:tc>
        <w:tc>
          <w:tcPr>
            <w:tcW w:w="26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270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center"/>
              <w:ind w:left="591"/>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3"/>
          </w:tcPr>
          <w:p>
            <w:pPr>
              <w:jc w:val="center"/>
              <w:ind w:left="551"/>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Railcar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Metals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7"/>
        </w:trPr>
        <w:tc>
          <w:tcPr>
            <w:tcW w:w="26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11,331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r>
      <w:tr>
        <w:trPr>
          <w:trHeight w:val="27"/>
        </w:trPr>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("Investment Funds"). As of June 30, 2017 and December 31, 2016, we had investments with a fair market value of approximately $2.7 billion and $1.7 billion, respectively, in the Investment Funds. As of June 30, 2017 and December 31, 2016, the total fair market value of investments in the Investment Funds made by Mr. Icahn and his affiliates (excluding us) was approximately $4.3 billion and $3.7 billion, respectively.</w:t>
      </w:r>
    </w:p>
    <w:p>
      <w:pPr>
        <w:spacing w:after="0" w:line="79" w:lineRule="exact"/>
        <w:rPr>
          <w:sz w:val="20"/>
          <w:szCs w:val="20"/>
          <w:color w:val="auto"/>
        </w:rPr>
      </w:pPr>
    </w:p>
    <w:p>
      <w:pPr>
        <w:ind w:right="80" w:firstLine="378"/>
        <w:spacing w:after="0" w:line="308" w:lineRule="auto"/>
        <w:rPr>
          <w:sz w:val="20"/>
          <w:szCs w:val="20"/>
          <w:color w:val="auto"/>
        </w:rPr>
      </w:pPr>
      <w:r>
        <w:rPr>
          <w:rFonts w:ascii="Arial" w:cs="Arial" w:eastAsia="Arial" w:hAnsi="Arial"/>
          <w:sz w:val="17"/>
          <w:szCs w:val="17"/>
          <w:color w:val="auto"/>
        </w:rPr>
        <w:t>Our Investment segment's results of operations are reflected in net income (loss) on the condensed consolidated statements of operations. The following table presents net income (loss) for our Investment segment for the three and six months ended June 30, 2017 and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8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7"/>
        </w:trPr>
        <w:tc>
          <w:tcPr>
            <w:tcW w:w="5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firstLine="378"/>
        <w:spacing w:after="0" w:line="271" w:lineRule="auto"/>
        <w:rPr>
          <w:sz w:val="20"/>
          <w:szCs w:val="20"/>
          <w:color w:val="auto"/>
        </w:rPr>
      </w:pPr>
      <w:r>
        <w:rPr>
          <w:rFonts w:ascii="Arial" w:cs="Arial" w:eastAsia="Arial" w:hAnsi="Arial"/>
          <w:sz w:val="17"/>
          <w:szCs w:val="17"/>
          <w:color w:val="auto"/>
        </w:rPr>
        <w:t>Our Investment segment's net income (loss) is driven by the amount of funds available to invest and the performance of the Investment Funds with respect to the amount of those funds available to invest. Future funds available to invest may increase or decrease based on the liquidity of the Holding Company and that of Mr. Icahn and his affiliates. Additionally, historical performance results of the Investment Funds are not indicative of future results as past market conditions, investment opportunities and investment decisions may not occur in the future. For example, changes in general market conditions coupled with changes in exposure to short and long positions have significant impact on our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below for additional information regarding our Investment segment's exposure as of June 30,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26" w:right="239" w:bottom="1440" w:gutter="0" w:footer="0" w:header="0"/>
        </w:sectPr>
      </w:pPr>
    </w:p>
    <w:bookmarkStart w:id="47" w:name="page48"/>
    <w:bookmarkEnd w:id="47"/>
    <w:p>
      <w:pPr>
        <w:jc w:val="both"/>
        <w:ind w:right="280" w:firstLine="378"/>
        <w:spacing w:after="0" w:line="312" w:lineRule="auto"/>
        <w:rPr>
          <w:sz w:val="20"/>
          <w:szCs w:val="20"/>
          <w:color w:val="auto"/>
        </w:rPr>
      </w:pPr>
      <w:r>
        <w:rPr>
          <w:rFonts w:ascii="Arial" w:cs="Arial" w:eastAsia="Arial" w:hAnsi="Arial"/>
          <w:sz w:val="16"/>
          <w:szCs w:val="16"/>
          <w:color w:val="auto"/>
        </w:rPr>
        <w:t>For the three months ended June 30, 2017 and 2016, our Investment Funds' returns were 4.3% and (6.0)%, respectively, and for the six months ended June 30, 2017 and 2016, such returns were 1.4% and (18.0)%, respectively. Our Investment Funds' returns represent a weighted-average composite of the average returns, net of expenses. The following table sets forth the performance attribution for the Investment Funds returns.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4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5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99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Short positions</w:t>
            </w:r>
          </w:p>
        </w:tc>
        <w:tc>
          <w:tcPr>
            <w:tcW w:w="54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5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(0.2)%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(0.6)%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3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1.4 %</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5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From inception in November 2004 through June 30, 2017, the Investment Funds' return was approximately 119.1%, representing an annualized rate of return of approximately 6.4%.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For the three months ended June 30, 2017, our Investment segment had net income of $273 million compared to net loss of $351 million for the comparable prior year period. For the three months ended June 30, 2017, net income was attributable to the Investment Funds' positive returns. For the three months ended June 30, 2016, net loss was attributable to the Investment Funds' negative returns.</w:t>
      </w:r>
    </w:p>
    <w:p>
      <w:pPr>
        <w:spacing w:after="0" w:line="7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For the three months ended June 30, 2017, the Investment Funds' positive returns were driven by net gains in their long and short positions, accounting for $240 million and $50 million, respectively, of our Investment segment's net income, offset in part by other net losses of $17 million. For the three months ended June 30, 2016, the Investment Funds' negative returns were driven by losses in their short positions, accounting for $331 million of our Investment segment's net loss, and other losses of $20 million. Returns on long positions for the three months ended June 30, 2016 were not material. Performance of the Investment Funds' core holdings accounted for changes in long positions and performance of broad market hedges accounted for changes in short positions.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For the six months ended June 30, 2017, our Investment segment had net income of $81 million compared to net loss of approximately $1.3 billion for the comparable prior year period. For the six months ended June 30, 2017, net income was attributable to the Investment Funds' positive returns. For the six months ended June 30, 2016, net loss was attributable to the Investment Funds' negative returns.</w:t>
      </w:r>
    </w:p>
    <w:p>
      <w:pPr>
        <w:spacing w:after="0" w:line="7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For the six months ended June 30, 2017, the Investment Funds' positive returns were driven by net gains in their long positions, accounting for $660 million of our Investment segment's net income, offset in part by net losses in their short positions and other net losses of $535 million and $44 million, respectively. For the six months ended June 30, 2016, the Investment Funds' negative returns were driven by losses in their short and long positions, accounting for $751 million and $465 million, respectively, of our Investment segment's net loss. Other losses accounted for another $118 million of our Investment segment's net loss. Performance of the Investment Funds' core holdings accounted for changes in long positions and performance of broad market hedges accounted for changes in short positions.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240" w:firstLine="378"/>
        <w:spacing w:after="0" w:line="276" w:lineRule="auto"/>
        <w:rPr>
          <w:sz w:val="20"/>
          <w:szCs w:val="20"/>
          <w:color w:val="auto"/>
        </w:rPr>
      </w:pPr>
      <w:r>
        <w:rPr>
          <w:rFonts w:ascii="Arial" w:cs="Arial" w:eastAsia="Arial" w:hAnsi="Arial"/>
          <w:sz w:val="17"/>
          <w:szCs w:val="17"/>
          <w:color w:val="auto"/>
        </w:rPr>
        <w:t>Our Automotive segment's results of operations are generally driven by the manufacturing and distribution of automotive parts. Acquisitions in recent years within our Automotive segment, including our acquisition of The Pep Boys - Manny, Moe &amp; Jack ("Pep Boys"), provided operating synergies, added new product lines, strengthened distribution channels and enhanced our Automotive segment's ability to better service its customers. Our Automotive segment's results of operations are affected by the relative strength of global vehicle production levels, global vehicle sales levels, automotive part replacement trends, geopolitical risk and foreign currencies, among other factors.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2,518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2,473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2,027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1,986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3,898</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Net sales for our Automotive segment for the three months ended June 30, 2017 increased by $45 million (2%) as compared to the comparable prior year period. The increase is primarily due to volume increases of $91 million, primarily organic sales volume increases and, to a lesser extent, sales volume increases from acquisitions. These sales volume increases were offset in part $46 million primarily due to an unfavorable effect of foreign currency exchange.</w:t>
      </w:r>
    </w:p>
    <w:p>
      <w:pPr>
        <w:spacing w:after="0" w:line="3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Cost of goods sold for the three months ended June 30, 2017 increased by $41 million (2%) as compared to the comparable prior year period. The increase is primarily due to volume increases of $71 million as well as net performance improvements. These increases were offset in part primarily from the favorable effects of foreign currency exchange.</w:t>
      </w:r>
    </w:p>
    <w:p>
      <w:pPr>
        <w:spacing w:after="0" w:line="7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Gross margin on net sales for the three months ended June 30, 2017 increased by $4 million (1%) as compared to the comparable prior year period. Gross margin as a percentage of net sales decreased to 19% for the three months ended June 30, 2017 compared to 20% for the comparable prior year period. The favorable effects of higher sales volumes, net of changes in product mix, resulted in an increase in gross margin as a percentage of net sales. However, this increase was more than offset by unfavorable effects of performance and foreign currency exchange.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Net sales for our Automotive segment for the six months ended June 30, 2017 increased by $201 million (4%) as compared to the comparable prior year period. The increase was due to volume increases of $298 million, primarily due to acquisitions, accounting for $176 million of the increase, and which was impacted primarily from the inclusion of the results of Pep Boys for the full six months in 2017 compared to five months in the comparable prior year period. In addition, organic sales growth was $122 million. These sales volume increases were offset in part by $97 million primarily due to an unfavorable effect of foreign currency exchange.</w:t>
      </w:r>
    </w:p>
    <w:p>
      <w:pPr>
        <w:spacing w:after="0" w:line="80"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Cost of goods sold for the six months ended June 30, 2017 increased by $125 million (3%) as compared to the comparable prior year period. The increase is primarily due to volume increases of $176 million offset in part by $51 million primarily due to the favorable effect of foreign currency exchange.</w:t>
      </w:r>
    </w:p>
    <w:p>
      <w:pPr>
        <w:spacing w:after="0" w:line="1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Gross margin on net sales for the six months ended June 30, 2017 increased by $76 million (8%) as compared to the comparable prior year period. Gross margin as a percentage of net sales was flat at 19% for each of the six months ended June 30, 2017 and 2016. The inclusion of the results of Pep Boys, whose product sales margins are higher than those of Federal-Mogul's, as well as the favorable effects of higher sales volumes, net of changes in product mix, resulted in an increase in gross margin as a percentage of net sales. However, this increase was offset by unfavorable effects of performance and foreign currency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71"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Our Energy segment is primarily engaged in the petroleum refining and nitrogen fertilizer manufacturing. The petroleum business accounted for approximately 94%, and 91% of our Energy segment's net sales for the six months ended June 30, 2017 and 2016, respectively.</w:t>
      </w:r>
    </w:p>
    <w:p>
      <w:pPr>
        <w:spacing w:after="0" w:line="38" w:lineRule="exact"/>
        <w:rPr>
          <w:sz w:val="20"/>
          <w:szCs w:val="20"/>
          <w:color w:val="auto"/>
        </w:rPr>
      </w:pPr>
    </w:p>
    <w:p>
      <w:pPr>
        <w:jc w:val="both"/>
        <w:ind w:right="120" w:firstLine="378"/>
        <w:spacing w:after="0" w:line="264" w:lineRule="auto"/>
        <w:rPr>
          <w:sz w:val="20"/>
          <w:szCs w:val="20"/>
          <w:color w:val="auto"/>
        </w:rPr>
      </w:pPr>
      <w:r>
        <w:rPr>
          <w:rFonts w:ascii="Arial" w:cs="Arial" w:eastAsia="Arial" w:hAnsi="Arial"/>
          <w:sz w:val="18"/>
          <w:szCs w:val="18"/>
          <w:color w:val="auto"/>
        </w:rPr>
        <w:t>The results of operations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our Energy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t>segment's control, including the supply of and demand for crude oil, as well as gasoline and other refined products. This supply and demand depends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85"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("EPA"), which requires it to either blend “renewable fuels” in with its transportation fuels or purchase renewable fuel credits, known as renewable identification numbers (“RINs”), in lieu of blending. The price of RINs has been volatile and the future cost of RINs for the petroleum business is difficult to estimate.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1,283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1,416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1,175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2,102</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jc w:val="both"/>
        <w:ind w:right="160" w:firstLine="378"/>
        <w:spacing w:after="0" w:line="286" w:lineRule="auto"/>
        <w:rPr>
          <w:sz w:val="20"/>
          <w:szCs w:val="20"/>
          <w:color w:val="auto"/>
        </w:rPr>
      </w:pPr>
      <w:r>
        <w:rPr>
          <w:rFonts w:ascii="Arial" w:cs="Arial" w:eastAsia="Arial" w:hAnsi="Arial"/>
          <w:sz w:val="17"/>
          <w:szCs w:val="17"/>
          <w:color w:val="auto"/>
        </w:rPr>
        <w:t>Net sales for our Energy segment increased by $152 million (12%) for the three months ended June 30, 2017 as compared to the comparable prior year period. The increase was primarily due to our petroleum business as a result of significantly higher sales prices as well as higher sales volume. This increase was offset in part by our nitrogen fertilizer business primarily due to a decrease in sales prices for its products.</w:t>
      </w:r>
    </w:p>
    <w:p>
      <w:pPr>
        <w:spacing w:after="0" w:line="57" w:lineRule="exact"/>
        <w:rPr>
          <w:sz w:val="20"/>
          <w:szCs w:val="20"/>
          <w:color w:val="auto"/>
        </w:rPr>
      </w:pPr>
    </w:p>
    <w:p>
      <w:pPr>
        <w:ind w:right="220" w:firstLine="378"/>
        <w:spacing w:after="0" w:line="312" w:lineRule="auto"/>
        <w:rPr>
          <w:sz w:val="20"/>
          <w:szCs w:val="20"/>
          <w:color w:val="auto"/>
        </w:rPr>
      </w:pPr>
      <w:r>
        <w:rPr>
          <w:rFonts w:ascii="Arial" w:cs="Arial" w:eastAsia="Arial" w:hAnsi="Arial"/>
          <w:sz w:val="16"/>
          <w:szCs w:val="16"/>
          <w:color w:val="auto"/>
        </w:rPr>
        <w:t>Cost of goods sold for our Energy segment increased by $241 million (21%) for the three months ended June 30, 2017 as compared to the comparable prior year period. The increase was primarily due to our petroleum business as a result of a higher cost of consumed crude oil costs as well as increases in RINs expense. This increase was offset in part by our nitrogen fertilizer business which had a decrease in cost of material due to lower third party costs.</w:t>
      </w:r>
    </w:p>
    <w:p>
      <w:pPr>
        <w:spacing w:after="0" w:line="39"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Gross margin for our Energy segment decreased by $89 million for the three months ended June 30, 2017 as compared to the comparable prior year period. Gross margin as a percentage of net sales was 1% and 8% for the three months ended June 30, 2017 and 2016, respectively. The decrease in the gross margin as a percentage of net sales was primarily due to lower refining margins and an increase in cost of materials for our petroleum business. The decrease in refining margin was primarily due to an increase in consumed crude oil costs and an increase in RINs expense which were offset in part by an increase in sales prices for gasoline and distillates.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Net sales for our Energy segment increased by $753 million (34%) for the six months ended June 30, 2017 as compared to the comparable prior year period. The increase was primarily due to our petroleum business as a result of significantly higher sales prices for transportation fuels and by-products, as well as higher sales volume. Net sales for our nitrogen fertilizer business decreased primarily due to a decrease in sales prices for its products, offset in part by increases resulting from the inclusion CVR Nitrogen, LP, which was acquired in April 2016.</w:t>
      </w:r>
    </w:p>
    <w:p>
      <w:pPr>
        <w:spacing w:after="0" w:line="63" w:lineRule="exact"/>
        <w:rPr>
          <w:sz w:val="20"/>
          <w:szCs w:val="20"/>
          <w:color w:val="auto"/>
        </w:rPr>
      </w:pPr>
    </w:p>
    <w:p>
      <w:pPr>
        <w:jc w:val="both"/>
        <w:ind w:right="300" w:firstLine="378"/>
        <w:spacing w:after="0" w:line="312" w:lineRule="auto"/>
        <w:rPr>
          <w:sz w:val="20"/>
          <w:szCs w:val="20"/>
          <w:color w:val="auto"/>
        </w:rPr>
      </w:pPr>
      <w:r>
        <w:rPr>
          <w:rFonts w:ascii="Arial" w:cs="Arial" w:eastAsia="Arial" w:hAnsi="Arial"/>
          <w:sz w:val="16"/>
          <w:szCs w:val="16"/>
          <w:color w:val="auto"/>
        </w:rPr>
        <w:t>Cost of goods sold for our Energy segment increased by $733 million (35%) for the six months ended June 30, 2017 as compared to the comparable prior year period. The increase was primarily due to our petroleum business as a result of higher cost of consumed crude oil and other feedstock as well as higher volumes. This increase was offset in part by our nitrogen fertilizer business which had a decrease in cost of material due to lower third party costs.</w:t>
      </w:r>
    </w:p>
    <w:p>
      <w:pPr>
        <w:spacing w:after="0" w:line="39"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Gross margin for our Energy segment increased by $20 million for the six months ended June 30, 2017 as compared to the comparable prior year period. Gross margin as a percentage of net sales was flat at 4% for the six months ended June 30,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50" w:name="page51"/>
    <w:bookmarkEnd w:id="50"/>
    <w:p>
      <w:pPr>
        <w:ind w:right="200"/>
        <w:spacing w:after="0" w:line="264" w:lineRule="auto"/>
        <w:rPr>
          <w:sz w:val="20"/>
          <w:szCs w:val="20"/>
          <w:color w:val="auto"/>
        </w:rPr>
      </w:pPr>
      <w:r>
        <w:rPr>
          <w:rFonts w:ascii="Arial" w:cs="Arial" w:eastAsia="Arial" w:hAnsi="Arial"/>
          <w:sz w:val="18"/>
          <w:szCs w:val="18"/>
          <w:color w:val="auto"/>
        </w:rPr>
        <w:t>and 2016, respectively, with an increase attributable to our petroleum business offset by a decrease attributable to our fertilizer business. The increase in the gross margin as a percentage of net sales for our petroleum business was primarily due to higher gross margins per barrel resulting from a higher spread between crude oil and transportation fuels pricing and a favorable change in gasoline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71"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Our Railcar segment's results of operations are generally driven by the manufacturing and leasing of railcars. As discussed in Note 1, "Description of Business," to the condensed consolidated financial statements, we sold approximately 29,000 railcars on lease in connection with our previously announced sale of ARL. For a period of three years after the closing of the sale of ARL, and upon satisfaction of certain conditions, we have an option to sell, and SMBC Rail Services LLC has an option to buy, approximately 4,600 remaining railcars currently owned by a wholly owned subsidiary of ours, which continue to be included in our Railcar segment results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Summarized shipments of railcars to leasing and non-leasing customers for the three and six months ended June 30, 2017 and 2016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Shipments to leasing customers</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Shipments to non-leasing customers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2,062</w:t>
            </w:r>
          </w:p>
        </w:tc>
      </w:tr>
      <w:tr>
        <w:trPr>
          <w:trHeight w:val="27"/>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1,076</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1,017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As of June 30, 2017, our Railcar segment had a backlog of 2,808 railcars, including 715 railcars expected to be built for lease customers and 2,093 for non-lease customers. In response to changes in customer demand, our Railcar segment continues to adjust production rates at its railcar manufacturing facilities as needed.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Total manufacturing revenues for the three months ended June 30, 2017 decreased by $42 million (43%) as compared to the comparable prior year period. The decrease was primarily due to fewer shipments of hopper and tank railcars to non-leasing customers and a more competitive market for both types of railcars.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76" w:right="239" w:bottom="1440" w:gutter="0" w:footer="0" w:header="0"/>
        </w:sectPr>
      </w:pPr>
    </w:p>
    <w:bookmarkStart w:id="51" w:name="page52"/>
    <w:bookmarkEnd w:id="51"/>
    <w:p>
      <w:pPr>
        <w:ind w:right="140" w:firstLine="405"/>
        <w:spacing w:after="0" w:line="279" w:lineRule="auto"/>
        <w:rPr>
          <w:sz w:val="20"/>
          <w:szCs w:val="20"/>
          <w:color w:val="auto"/>
        </w:rPr>
      </w:pPr>
      <w:r>
        <w:rPr>
          <w:rFonts w:ascii="Arial" w:cs="Arial" w:eastAsia="Arial" w:hAnsi="Arial"/>
          <w:sz w:val="17"/>
          <w:szCs w:val="17"/>
          <w:color w:val="auto"/>
        </w:rPr>
        <w:t>Gross margin from manufacturing operations for the three months ended June 30, 2017 decreased by $10 million as compared to the comparable prior year period. Gross margin from manufacturing operations as a percentage of manufacturing revenues decreased to 9% for the three months ended June 30, 2017 from 15% for the comparable prior year period. The decrease in gross margin as a percentage of revenue was due to higher costs associated with lower production volumes and a more competitive market for both tanker and hopper railcars.</w:t>
      </w:r>
    </w:p>
    <w:p>
      <w:pPr>
        <w:spacing w:after="0" w:line="6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Railcar leasing revenues decreased for the three months ended June 30, 2017 as compared to the comparable prior year period due to a decrease in leased railcars as a result of the closing of the ARL Initial Sale on June 1, 2017 as well as a decrease in weighted average lease rates. The lease fleet decreased to 16,905 railcars at June 30, 2017 from 45,336 railcars at June 30,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Total manufacturing revenues for the six months ended June 30, 2017 decreased by $105 million (48%) as compared to the comparable prior year period. The decrease was primarily due to fewer shipments of hopper and tank railcars to non-leasing customers, a more competitive market for both types of railcars and a higher mix of hopper railcars, which generally sell at lower prices than tank railcars due to less material and labor content.</w:t>
      </w:r>
    </w:p>
    <w:p>
      <w:pPr>
        <w:spacing w:after="0" w:line="5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Gross margin from manufacturing operations for the six months ended June 30, 2017 decreased by $26 million as compared to the comparable prior year period. Gross margin from manufacturing operations as a percentage of manufacturing revenues decreased to 9% for the six months ended June 30, 2017 from 17% for the comparable prior year period. The decrease in gross margin as a percentage of revenue was due to higher costs associated with lower production volumes and a more competitive market for both tanker and hopper railcars.</w:t>
      </w:r>
    </w:p>
    <w:p>
      <w:pPr>
        <w:spacing w:after="0" w:line="7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Railcar leasing revenues decreased for the six months ended June 30, 2017 as compared to the comparable prior year period due to a decrease in leased railcars as a result of the closing of the ARL Initial Sale on June 1, 2017 as well as a decrease in weighted average lease rates. The lease fleet decreased to 16,905 railcars at June 30, 2017 from 45,336 railcars at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71" w:lineRule="exact"/>
        <w:rPr>
          <w:sz w:val="20"/>
          <w:szCs w:val="20"/>
          <w:color w:val="auto"/>
        </w:rPr>
      </w:pPr>
    </w:p>
    <w:p>
      <w:pPr>
        <w:jc w:val="both"/>
        <w:ind w:right="340" w:firstLine="405"/>
        <w:spacing w:after="0" w:line="286" w:lineRule="auto"/>
        <w:rPr>
          <w:sz w:val="20"/>
          <w:szCs w:val="20"/>
          <w:color w:val="auto"/>
        </w:rPr>
      </w:pPr>
      <w:r>
        <w:rPr>
          <w:rFonts w:ascii="Arial" w:cs="Arial" w:eastAsia="Arial" w:hAnsi="Arial"/>
          <w:sz w:val="17"/>
          <w:szCs w:val="17"/>
          <w:color w:val="auto"/>
        </w:rPr>
        <w:t>Casino revenues are one of our Gaming segment's main performance indicators and account for a significant portion of its net revenues. In addition, casino revenues can vary because of table games hold percentage and differences in the odds for different table games. High end play may lead to greater fluctuations in table games hold percentage and, as a result, greater revenue fluctuation between reporting periods may occur.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consolidated gaming revenues decreased by $32 million (13%) for the three months ended June 30, 2017 as compared to the comparable prior year period due to the closing of the Trump Taj Mahal Casino Resort in October 2016, which accounted for a $48 million decrease in consolidated gaming revenues. Our existing gaming operations' revenues increased by $16 million over the comparable periods primarily due to an increase in casino revenues. The increase in casino revenues for the three months ended June 30, 2017 as compared to the comparable prior year period was primarily due to increased gaming revenues at Tropicana Atlantic 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Our consolidated gaming revenues decreased by $33 million (7%) for the six months ended June 30, 2017 as compared to the comparable prior year period due to the closing of the Trump Taj Mahal Casino Resort in October 2016, which accounted for a $60 million decrease in consolidated gaming revenues. Our existing gaming operations' revenues increased by $27 million over the comparable periods primarily due to an increase in casino revenues. The increase in casino revenues for the six months ended June 30, 2017 as compared to the comparable prior year period was primarily due to increased gaming revenues at Tropicana Atlantic 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Net sales for the three months ended June 30, 2017 increased by $26 million (34%) compared to the comparable prior year period primarily due to higher non-ferrous and non-ferrous auto residue shipment volumes and higher average selling prices for most grades of metal. Non-ferrous shipment volumes increased primarily due to the capital investment in aluminum processing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52" w:name="page53"/>
    <w:bookmarkEnd w:id="52"/>
    <w:p>
      <w:pPr>
        <w:ind w:right="240"/>
        <w:spacing w:after="0" w:line="286" w:lineRule="auto"/>
        <w:rPr>
          <w:sz w:val="20"/>
          <w:szCs w:val="20"/>
          <w:color w:val="auto"/>
        </w:rPr>
      </w:pPr>
      <w:r>
        <w:rPr>
          <w:rFonts w:ascii="Arial" w:cs="Arial" w:eastAsia="Arial" w:hAnsi="Arial"/>
          <w:sz w:val="17"/>
          <w:szCs w:val="17"/>
          <w:color w:val="auto"/>
        </w:rPr>
        <w:t>capabilities at one of our facilities made in late 2016, while higher pricing reflected higher terminal market prices in 2017 as compared to 2016. Ferrous selling prices increased due to higher market pricing as domestic mill production has benefited from trade cases and speculation regarding the recent probe into steel imports. Improved consumer market pricing was also driven primarily by the increased demand from domestic steel mills.</w:t>
      </w:r>
    </w:p>
    <w:p>
      <w:pPr>
        <w:spacing w:after="0" w:line="5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Cost of goods sold for the three months ended June 30, 2017 increased by $23 million (31%) compared to the comparable prior year period. The increase was primarily due to higher non-ferrous shipment volumes and to increased material costs driven by higher market prices. Gross margin as a percentage of net sales was 4% for the three months ended June 30, 2017 as compared to 1% in the comparable prior year period. The margin percentage improvement was attributed to a continued focus on disciplined buying, higher pricing for non-ferrous auto residue, improved terminal market pricing, and by continued efforts to bring processing costs in line with volume and market pricing.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100" w:firstLine="378"/>
        <w:spacing w:after="0" w:line="254" w:lineRule="auto"/>
        <w:rPr>
          <w:sz w:val="20"/>
          <w:szCs w:val="20"/>
          <w:color w:val="auto"/>
        </w:rPr>
      </w:pPr>
      <w:r>
        <w:rPr>
          <w:rFonts w:ascii="Arial" w:cs="Arial" w:eastAsia="Arial" w:hAnsi="Arial"/>
          <w:sz w:val="18"/>
          <w:szCs w:val="18"/>
          <w:color w:val="auto"/>
        </w:rPr>
        <w:t>Net sales for the six months ended June 30, 2017 increased by $71 million (53%) compared to the comparable prior year period primarily due to higher ferrous and non-ferrous shipment volumes and higher average selling prices. Ferrous shipment volumes increased due to improved demand from domestic steel mills and improved flow of raw materials into the recycling yards driven by increased market pricing. Additionally, during 2017, a major new steel mill came on line which increased demand for scrap metal. Domestic mill production has benefited from trade cases and speculation regarding the recent probe into steel imports. Improved consumer market pricing was also driven primarily by the increased demand from domestic steel mills. Non-ferrous shipment volumes increased 50% in the first half of 2017 compared to the comparable prior year period primarily due to utilization of the capital investment in aluminum processing capabilities at one of our facilities made in late 2016, while higher pricing reflected higher terminal market prices in 2017 as compared to 2016.</w:t>
      </w:r>
    </w:p>
    <w:p>
      <w:pPr>
        <w:spacing w:after="0" w:line="84"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Cost of goods sold for the six months ended June 30, 2017 increased by $55 million (40%) compared to the comparable prior year period. The increase was primarily due to higher shipment volumes and to increased material costs due to higher market prices. Gross margin as a percentage of net sales was 5% for the six months ended June 30, 2017 as compared to a loss of 4% in the comparable prior year period. The margin percentage improvement was driven by an increased material margin attributed to a continued focus on disciplined buying, higher pricing for non-ferrous auto residue, and by continued efforts to bring processing costs in line with volume and market pricing.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Mining segment's key performance driver has historically been from demand for raw materials from Chinese steelmakers. Since acquiring Ferrous Resources in 2015, our Mining segment has been concentrating on sales in its domestic market, Brazil.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Net sales for the three months ended June 30, 2017 increased $1 million as compared to the comparable prior year period due to iron ore price increases offset in part by volume decreases. Cost of goods sold for the three months ended June 30, 2017 decreased $3 million as compared to the comparable prior year period due to volume decreases.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Net sales for the six months ended June 30, 2017 increased $24 million as compared to the comparable prior year period primarily due to iron ore price increases. Cost of goods sold for the six months ended June 30, 2017 was flat as compared to the comparable prior year period reflecting minimal volume changes.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Net sales for the three months ended June 30, 2017 increased by $14 million (16%) as compared to the corresponding prior year period. The increase was primarily due to higher sales volume, primarily from acquisitions, offset in part by unfavorable price and product mix and foreign currency exchange. Cost of goods sold for the three months ended June 30, 2017 increased by $12 million (19%) as compared to the corresponding prior year period. Gross margin as a percentage of net sales was flat at 26% for each of the three months ended June 30, 2017 and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Net sales for the six months ended June 30, 2017 increased by $27 million (17%) as compared to the corresponding prior year period. The increase was primarily due to higher sales volume, primarily from acquisitions, offset in part by unfavorable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76" w:right="259" w:bottom="1440" w:gutter="0" w:footer="0" w:header="0"/>
        </w:sectPr>
      </w:pPr>
    </w:p>
    <w:bookmarkStart w:id="53" w:name="page54"/>
    <w:bookmarkEnd w:id="53"/>
    <w:p>
      <w:pPr>
        <w:ind w:right="300"/>
        <w:spacing w:after="0" w:line="259" w:lineRule="auto"/>
        <w:rPr>
          <w:sz w:val="20"/>
          <w:szCs w:val="20"/>
          <w:color w:val="auto"/>
        </w:rPr>
      </w:pPr>
      <w:r>
        <w:rPr>
          <w:rFonts w:ascii="Arial" w:cs="Arial" w:eastAsia="Arial" w:hAnsi="Arial"/>
          <w:sz w:val="18"/>
          <w:szCs w:val="18"/>
          <w:color w:val="auto"/>
        </w:rPr>
        <w:t>price and product mix and foreign currency exchange. Cost of goods sold for the six months ended June 30, 2017 increased by $19 million (15%) as compared to the corresponding prior year period. Gross margin as a percentage of net sales was 24% and 23% for the six months ended June 30, 2017 and 2016, respectively. The improvement in gross margin as a percentage of net sales over the comparable period was primarily due to efficiencies from plant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jc w:val="both"/>
        <w:ind w:right="320" w:firstLine="405"/>
        <w:spacing w:after="0" w:line="257" w:lineRule="auto"/>
        <w:rPr>
          <w:sz w:val="20"/>
          <w:szCs w:val="20"/>
          <w:color w:val="auto"/>
        </w:rPr>
      </w:pPr>
      <w:r>
        <w:rPr>
          <w:rFonts w:ascii="Arial" w:cs="Arial" w:eastAsia="Arial" w:hAnsi="Arial"/>
          <w:sz w:val="18"/>
          <w:szCs w:val="18"/>
          <w:color w:val="auto"/>
        </w:rPr>
        <w:t>Real Estate revenues and expenses include sales of residential units, results from club operations and rental income and expenses, including income from financing leases. Sales of residential units are included in net sales in our condensed consolidated financial statements. Results from club and rental operations, including financing lease income, are included in other revenues from operations in our condensed consolidated financial statements. Revenue from our real estate operations for each of the three and six months ended June 30, 2017 and 2016 were substantially derived from income from club and rental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 Many of the larger retailers are customers of WestPoint Home LLC ("WPH"). WPH has a stable manufacturing platform and is focused on continued improvement in its cost structure through the use of certain process improvement initiatives.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Net sales for the three months ended June 30, 2017 decreased by $8 million (15%) compared to the comparable prior year period. The decrease was primarily due to lower sales volume. Cost of goods sold for the three months ended June 30, 2017 decreased by $6 million (13%) compared to the comparable prior year period. The decrease was primarily due to lower sales volume and product mix. Gross margin as a percentage of net sales was 11% for the three months ended June 30, 2017 compared to 13% for the comparable prior year period. The decrease was primarily due to product mix.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Net sales for the six months ended June 30, 2017 decreased by $11 million (11%) compared to the comparable prior year period. The decrease was primarily due to lower sales volume. Cost of goods sold for the six months ended June 30, 2017 decreased by $8 million (9%) compared to the comparable prior year period. The decrease was primarily due to lower sales volume and product mix. Gross margin as a percentage of net sales was 13% for the six months ended June 30, 2017 compared to 15% for the comparable prior year period. The decrease was primarily due to product mix.</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 Net</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June 1, 2017, we closed on the initial sale of ARL, resulting in a pretax gain on disposition of assets of approximately $1.5 billion recorded by our Railcar segment for the three and six months ended June 30,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Our consolidated selling, general and administrative for the three months ended June 30, 2017 increased by $8 million (1%) as compared to the comparable prior year period. The increase was primarily attributable to our Automotive segment due to certain acquisitions and personnel costs associated with integration and increased customer services offset in part by a decrease in our Gaming segment due to the closing and subsequent sale the Trump Taj Mahal Casino Resort in October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Our consolidated selling, general and administrative for the six months ended June 30, 2017 increased by $117 million (10%) as compared to the comparable prior year period. The increase was primarily attributable to an increase from our Automotive segment of $116 million primarily due to the inclusion of Pep Boys' results beginning in February 2016 and certain other acquisitions as well as personnel costs associated with integration and increased customer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Net</w:t>
      </w:r>
    </w:p>
    <w:p>
      <w:pPr>
        <w:spacing w:after="0" w:line="22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Our consolidated restructuring costs, net are primarily attributable to our Automotive segment and consist primarily of employee severance and termination benefits as well as facility closures and other costs. Our Automotive segment's restructuring activities are undertaken as necessary to execute management’s strategy and streamline operations, consolidate and take advantage of available capacity and resources, and ultimately achieve net cost reductions. Restructuring activities include efforts to integrate and rationalize businesses and to relocate manufacturing operations to best cost manufacturing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76" w:right="239" w:bottom="1440" w:gutter="0" w:footer="0" w:header="0"/>
        </w:sectPr>
      </w:pPr>
    </w:p>
    <w:bookmarkStart w:id="54" w:name="page55"/>
    <w:bookmarkEnd w:id="54"/>
    <w:p>
      <w:pPr>
        <w:ind w:right="680"/>
        <w:spacing w:after="0" w:line="277" w:lineRule="auto"/>
        <w:rPr>
          <w:sz w:val="20"/>
          <w:szCs w:val="20"/>
          <w:color w:val="auto"/>
        </w:rPr>
      </w:pPr>
      <w:r>
        <w:rPr>
          <w:rFonts w:ascii="Arial" w:cs="Arial" w:eastAsia="Arial" w:hAnsi="Arial"/>
          <w:sz w:val="18"/>
          <w:szCs w:val="18"/>
          <w:color w:val="auto"/>
        </w:rPr>
        <w:t>locations. Restructuring, net decreased for the three and six months ended June 30, 2017 compared to the comparable prior year periods due to lower severance and other charges incurred.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5, "Fair Value Measurements," and Note 8, "Goodwill and Intangible Assets, Net," for discussion of impairments of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2017 and 2016</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consolidated interest expense during the three months ended June 30, 2017 increased by $16 million (8%) as compared the corresponding prior year period. The increase was primarily due to higher interest expense from our Energy segment due to a certain debt offering during the second quarter of 2016, as well as higher interest from our Holding Company due to our senior unsecured notes refinancing in the first quarter of 2017, which is subject to a higher interest 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2017 and 2016</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Our consolidated interest expense during the six months ended June 30, 2017 decreased by $2 million as compared the corresponding prior year period. The decrease was primarily due to lower interest expense from our Investment segment attributable to a decrease in due to broker balances over the respective periods, offset in part by higher interest expense from our Energy segment due to a certain debt offering during the second quarter of 2016, as well as higher interest from our Holding Company due to our senior unsecured notes refinancing in the first quarter of 2017, which is subject to a higher interest rate.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560" w:firstLine="405"/>
        <w:spacing w:after="0" w:line="259" w:lineRule="auto"/>
        <w:rPr>
          <w:sz w:val="20"/>
          <w:szCs w:val="20"/>
          <w:color w:val="auto"/>
        </w:rPr>
      </w:pPr>
      <w:r>
        <w:rPr>
          <w:rFonts w:ascii="Arial" w:cs="Arial" w:eastAsia="Arial" w:hAnsi="Arial"/>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of 35%. Refer to Note 13, "Income Taxes," to the condensed consolidated financial statements for a discussion of income taxes.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addition,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analyze all positive and negative evidence and maintain a valuation allowance on deferred tax assets that are not considered more likely than not to be realized. Based on current analysis, including increased level of income and ability to use losses previously limited, we have determined that it is more likely than not that a significant portion of our U.S. tax loss carryforwards and credits will be realized and have released the valuation allowance on these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As of June 30, 2017, our Holding Company had cash and cash equivalents of $653 million and total debt of approximately $5.5 billion. During 2017, our Holding Company invested $1.0 billion in the Investment Funds, net of redemptions. As of June 30, 2017, our Holding Company had investments in the Investment Funds with a total fair market value of approximately $2.7 billion. We may redeem our direct investment in the Investment Funds upon notice. See "Segment Liquidity and Capital Resources" below for additional information with respect to our Investment segment liquidity.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ARL</w:t>
      </w:r>
    </w:p>
    <w:p>
      <w:pPr>
        <w:spacing w:after="0" w:line="7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June 1, 2017, we closed on our previously announced sale of ARL (the "ARL Initial Sale") to SMBC Rail Services, LLC ("SMBC Rail"). After repaying, or assigning to SMBC Rail, applicable indebtedness of ARL, we received cash consideration of approximately $1.3 billion in connection with the ARL Initial Sale. For a period of three years after the closing of the ARL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Initial Sale, and upon satisfaction of certain conditions, we have an option to sell, and SMBC Rail has an option to buy, approximately 4,600 remaining railcars currently owned by a wholly owned subsidiary of ours for an additional purchase price estimated as of June 30, 2017 to be approximately $559 million.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unsecured notes due 2024 - Icahn Enterprises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6.25% senior unsecured notes due 2022 - Icahn Enterprises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unsecured notes due 2022 - Icahn Enterprises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6.00% senior unsecured notes due 2020 - Icahn Enterprises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2019 - Icahn Enterprises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3.50% senior unsecured notes due 2017 - Icahn Enterprises</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1,174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of June 30, 2017, based on covenants in the indenture governing our senior unsecured notes, we are not permitted to incur additional indebtedness. However, our covenants do permit us to refinance our debt obligations and receive additional incremental proceeds to pay related fees as well as accrued and unpaid interest.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of 3.50% Senior Unsecured Notes Due 2017</w:t>
      </w:r>
    </w:p>
    <w:p>
      <w:pPr>
        <w:spacing w:after="0" w:line="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18, 2017, we issued $695 million in aggregate principal amount of 6.250% senior notes due 2022 and $500 million in aggregate principal amount of 6.750% senior notes due 2024 resulting in proceeds of $1.190 billion, after deducting the initial purchaser’s discount and commission and estimated fees and expenses related to the offering. The proceeds from the issuance of these notes were used to redeem all of our 3.50% senior unsecured notes due 2017 and to pay related accrued and unpaid interest.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Rights Offering</w:t>
      </w:r>
    </w:p>
    <w:p>
      <w:pPr>
        <w:spacing w:after="0" w:line="11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In January 2017, Icahn Enterprises commenced a rights offering entitling holders of the rights to acquire newly issued depositary units of Icahn Enterprises. The purposes of the rights offering were to (i) enhance Icahn Enterprises' depositary unit holder equity; (ii) endeavor to improve Icahn Enterprises' credit ratings; and (iii) raise equity capital to be used for general partnership purposes. Aggregate proceeds from the rights offering was $600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On August 2, 2017,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September 15, 2017 to depositary unit holders of record at the close of business on August 14, 2017.</w:t>
      </w:r>
    </w:p>
    <w:p>
      <w:pPr>
        <w:spacing w:after="0" w:line="5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During the six months ended June 30, 2017, we declared two quarterly distributions aggregating $3.00 per depositary unit. Mr. Icahn and his affiliates elected to receive their proportionate share of these distributions in depositary units. Mr. Icahn and his affiliates owned approximately 90.6% of Icahn Enterprises' outstanding depositary units as of June 30, 2017. In connection with these distributions, aggregate cash distributions to all depositary unitholders was $39 million.</w:t>
      </w:r>
    </w:p>
    <w:p>
      <w:pPr>
        <w:spacing w:after="0" w:line="79"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3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Tropicana Tender Offer</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On June 23, 2017, Icahn Enterprises Holdings and Tropicana commenced a tender offer to purchase severally, and not jointly, up to 5,580,000 shares of Tropicana common stock in the aggregate, at a price not greater than $45.00 nor less than $38.00 per share, by means of a "modified" Dutch auction, on the terms and subject to the conditions set forth in the Offer to Purchase dated June 23, 2017 and the related Letter of Transmittal (which, together with any amendments or supplements thereto, collectively constitute the "Tender Offer"). The Tender Offer is being made severally, and not jointly, by Icahn Enterprises Holdings and Tropicana and upon the terms and subject to the conditions of the Tender Offer, first, Tropicana will severally, and not jointly, purchase 800,000 of the shares properly tendered, and second, Icahn Enterprises will severally, and not jointly, purchase any remaining shares properly tendered, up to a maximum of 4,780,000 shares. The Tender Offer was extended on August 3, 2017 and expires on August 9, 2017, unless the Tender Offer is further extended.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Distributions From Subsidiaries</w:t>
      </w:r>
    </w:p>
    <w:p>
      <w:pPr>
        <w:spacing w:after="0" w:line="117"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Dividends and distributions are primarily received from our Energy and Railcar segments. See "Other Segment Liquidity" below for additional information with respect to our dividends and distributions from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During the six months ended June 30, 2017, we invested $1.0 billion in the Investment Funds, net of redemptions, and affiliates of Mr. Icahn (excluding us and our subsidiaries) invested $600 million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3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June 30, 2017, the Investment Funds' had a net short notional exposure of 44%. The Investment Funds' long exposure was 132% (120% long equity and 12% long credit and other) and its short exposure was 176% (166% short equity, 10% short credit and other). The notional exposure represents the ratio of the notional exposure of the Investment Funds' invested capital to the net asset value of the Investment Funds at June 30, 2017.</w:t>
      </w:r>
    </w:p>
    <w:p>
      <w:pPr>
        <w:spacing w:after="0" w:line="63" w:lineRule="exact"/>
        <w:rPr>
          <w:sz w:val="20"/>
          <w:szCs w:val="20"/>
          <w:color w:val="auto"/>
        </w:rPr>
      </w:pPr>
    </w:p>
    <w:p>
      <w:pPr>
        <w:ind w:right="100" w:firstLine="378"/>
        <w:spacing w:after="0" w:line="312" w:lineRule="auto"/>
        <w:rPr>
          <w:sz w:val="20"/>
          <w:szCs w:val="20"/>
          <w:color w:val="auto"/>
        </w:rPr>
      </w:pPr>
      <w:r>
        <w:rPr>
          <w:rFonts w:ascii="Arial" w:cs="Arial" w:eastAsia="Arial" w:hAnsi="Arial"/>
          <w:sz w:val="16"/>
          <w:szCs w:val="16"/>
          <w:color w:val="auto"/>
        </w:rPr>
        <w:t>Of the Investment Funds' 132% long exposure, 122% was comprised of the fair value of its long positions (with certain adjustments) and 10% was comprised of single name equity forward contracts and credit contracts. Of the Investment Funds' 176% short exposure, 24% was comprised of the fair value of our short positions and 152% was comprised of short credit default swap contracts and short broad market index swap derivative contracts.</w:t>
      </w:r>
    </w:p>
    <w:p>
      <w:pPr>
        <w:spacing w:after="0" w:line="39"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(122% long exposure) and our short positions that are not notionalized (24%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(152%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Other Segment Liquidity</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Segment debt consists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Automotive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leases and other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Refer to our Annual Report on Form 10-K for the year ended December 31, 2016 for information concerning terms, restrictions and covenants pertaining to our subsidiaries' debt. See Note 9, “Debt,” to the condensed consolidated financial statements for information with respect to updates to our subsidiaries' debt as of June 30, 2017 compared to December 31, 2016. As of June 30, 2017, our subsidiaries are in compliance with all debt covenants.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June 30, 2017</w:t>
            </w:r>
          </w:p>
        </w:tc>
      </w:tr>
      <w:tr>
        <w:trPr>
          <w:trHeight w:val="27"/>
        </w:trPr>
        <w:tc>
          <w:tcPr>
            <w:tcW w:w="9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52"/>
              <w:spacing w:after="0"/>
              <w:rPr>
                <w:sz w:val="20"/>
                <w:szCs w:val="20"/>
                <w:color w:val="auto"/>
              </w:rPr>
            </w:pPr>
            <w:r>
              <w:rPr>
                <w:rFonts w:ascii="Arial" w:cs="Arial" w:eastAsia="Arial" w:hAnsi="Arial"/>
                <w:sz w:val="14"/>
                <w:szCs w:val="14"/>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Energy</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383</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9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1,044</w:t>
            </w:r>
          </w:p>
        </w:tc>
      </w:tr>
      <w:tr>
        <w:trPr>
          <w:trHeight w:val="27"/>
        </w:trPr>
        <w:tc>
          <w:tcPr>
            <w:tcW w:w="9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Common Stock Dividends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For the six months ended June 30, 2017, we received $71 million in dividends from CVR Energy. Subsequent to June 30, 2017, CVR Energy declared a quarterly dividend, which will result in an additional $36 million in dividends paid to us in the third quarter of 2017.</w:t>
      </w:r>
    </w:p>
    <w:p>
      <w:pPr>
        <w:spacing w:after="0" w:line="62"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For the six months ended June 30, 2017, we received $39 million in aggregate dividends and distributions from our Railcar segment. Subsequent to June 30, 2017, ARI declared a quarterly dividend, which will result in an additional $5 million in dividends paid to us in the third quarter of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Federal-Mogul's subsidiaries in Brazil, Canada, France, Germany, Italy, and the United States are party to accounts receivable factoring and securitization facilities. Refer to Note 2, "Basis of Presentation and Summary of Significant Accounting Policies," to the condensed consolidated financial statements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Stock Repurchases</w:t>
      </w:r>
    </w:p>
    <w:p>
      <w:pPr>
        <w:spacing w:after="0" w:line="117"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On July 28, 2015, ARI's board of directors authorized the repurchase of up to $250 million of its outstanding common stock (the "ARI Stock Repurchase Program"). ARI did not repurchase shares of its common stock during the six months ended June 30, 2017. Prior to 2017, an aggregate $86 million was repurchased under the ARI Stock Repurchase Program.</w:t>
      </w:r>
    </w:p>
    <w:p>
      <w:pPr>
        <w:spacing w:after="0" w:line="73"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On July 31, 2015, Tropicana's board of directors authorized the repurchase of up to $50 million of its outstanding common stock and on February 22, 2017, an additional $50 million was authorized for repurchase (the "Tropicana Stock Repurchase Program"). Tropicana did not repurchase shares of its common stock during the six months ended June 30,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8" w:name="page59"/>
    <w:bookmarkEnd w:id="58"/>
    <w:p>
      <w:pPr>
        <w:jc w:val="both"/>
        <w:ind w:right="360"/>
        <w:spacing w:after="0" w:line="264" w:lineRule="auto"/>
        <w:rPr>
          <w:sz w:val="20"/>
          <w:szCs w:val="20"/>
          <w:color w:val="auto"/>
        </w:rPr>
      </w:pPr>
      <w:r>
        <w:rPr>
          <w:rFonts w:ascii="Arial" w:cs="Arial" w:eastAsia="Arial" w:hAnsi="Arial"/>
          <w:sz w:val="18"/>
          <w:szCs w:val="18"/>
          <w:color w:val="auto"/>
        </w:rPr>
        <w:t>Prior to 2017, an aggregate $43 million was repurchased under the Tropicana Stock Repurchase Program. Additionally, refer to "Tropicana Tender Offer" above for discussion of Tropicana's and Icahn Enterprises Holding's commencement of a tender offer to purchase additional shares of Tropicana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may include various investment transactions, including acquisitions and dispositions of businesses, including proceeds from the sale of ARL. Our Investment segment's cash flows are primarily driven by investment transactions, which are included in net cash flows from operating activities due to the nature of its business, as well as contributions and distributions from Mr. Icahn and his affiliates (including us), which are included in net cash flow from financing activities. Our other operating segments' cash flows are driven by the activities and performance of each business, which is included in the discussion below. The following table summarizes consolidated cash and cash equivalents as of June 30, 2017 and cash flow information for the six months ended June 30, 2017 and 2016 for Icahn Enterprises' reporting segments and our Holding Company: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18"/>
                <w:szCs w:val="18"/>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1"/>
              </w:rPr>
              <w:t>Six Months Ended June 30, 2017</w:t>
            </w:r>
          </w:p>
        </w:tc>
        <w:tc>
          <w:tcPr>
            <w:tcW w:w="160" w:type="dxa"/>
            <w:vAlign w:val="bottom"/>
          </w:tcPr>
          <w:p>
            <w:pPr>
              <w:spacing w:after="0"/>
              <w:rPr>
                <w:sz w:val="18"/>
                <w:szCs w:val="18"/>
                <w:color w:val="auto"/>
              </w:rPr>
            </w:pPr>
          </w:p>
        </w:tc>
        <w:tc>
          <w:tcPr>
            <w:tcW w:w="342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w w:val="91"/>
              </w:rPr>
              <w:t>Six Months Ended June 30, 2016</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7"/>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Net Cash Provided By (Used In)</w:t>
            </w:r>
          </w:p>
        </w:tc>
        <w:tc>
          <w:tcPr>
            <w:tcW w:w="160" w:type="dxa"/>
            <w:vAlign w:val="bottom"/>
          </w:tcPr>
          <w:p>
            <w:pPr>
              <w:spacing w:after="0"/>
              <w:rPr>
                <w:sz w:val="18"/>
                <w:szCs w:val="18"/>
                <w:color w:val="auto"/>
              </w:rPr>
            </w:pPr>
          </w:p>
        </w:tc>
        <w:tc>
          <w:tcPr>
            <w:tcW w:w="342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w w:val="92"/>
              </w:rPr>
              <w:t>Net Cash Provided By (Used In)</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Cash and Cash</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Operating</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Investing</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Financing</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Operating</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Investing</w:t>
            </w:r>
          </w:p>
        </w:tc>
        <w:tc>
          <w:tcPr>
            <w:tcW w:w="1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Financing</w:t>
            </w:r>
          </w:p>
        </w:tc>
      </w:tr>
      <w:tr>
        <w:trPr>
          <w:trHeight w:val="210"/>
        </w:trPr>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Equivalents</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Activities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Activities</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Activities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Activities</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Activities</w:t>
            </w:r>
          </w:p>
        </w:tc>
        <w:tc>
          <w:tcPr>
            <w:tcW w:w="1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Activities</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00" w:type="dxa"/>
            <w:vAlign w:val="bottom"/>
            <w:gridSpan w:val="5"/>
          </w:tcPr>
          <w:p>
            <w:pPr>
              <w:ind w:left="6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Investment</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3"/>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Other Operating Segments: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Automotive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7"/>
        </w:trPr>
        <w:tc>
          <w:tcPr>
            <w:tcW w:w="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6"/>
                <w:szCs w:val="16"/>
                <w:color w:val="auto"/>
              </w:rPr>
              <w:t>Energy</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Railcar</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7"/>
        </w:trPr>
        <w:tc>
          <w:tcPr>
            <w:tcW w:w="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6"/>
                <w:szCs w:val="16"/>
                <w:color w:val="auto"/>
              </w:rPr>
              <w:t>Gaming</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Metals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6"/>
                <w:szCs w:val="16"/>
                <w:color w:val="auto"/>
              </w:rPr>
              <w:t>Mining</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Food Packaging</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40" w:type="dxa"/>
            <w:vAlign w:val="bottom"/>
          </w:tcPr>
          <w:p>
            <w:pPr>
              <w:spacing w:after="0"/>
              <w:rPr>
                <w:sz w:val="20"/>
                <w:szCs w:val="20"/>
                <w:color w:val="auto"/>
              </w:rPr>
            </w:pPr>
          </w:p>
        </w:tc>
        <w:tc>
          <w:tcPr>
            <w:tcW w:w="2600" w:type="dxa"/>
            <w:vAlign w:val="bottom"/>
            <w:gridSpan w:val="2"/>
          </w:tcPr>
          <w:p>
            <w:pPr>
              <w:ind w:left="120"/>
              <w:spacing w:after="0"/>
              <w:rPr>
                <w:sz w:val="20"/>
                <w:szCs w:val="20"/>
                <w:color w:val="auto"/>
              </w:rPr>
            </w:pPr>
            <w:r>
              <w:rPr>
                <w:rFonts w:ascii="Arial" w:cs="Arial" w:eastAsia="Arial" w:hAnsi="Arial"/>
                <w:sz w:val="16"/>
                <w:szCs w:val="16"/>
                <w:color w:val="auto"/>
              </w:rPr>
              <w:t>Real Estate</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Home Fashion</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2600" w:type="dxa"/>
            <w:vAlign w:val="bottom"/>
            <w:gridSpan w:val="2"/>
          </w:tcPr>
          <w:p>
            <w:pPr>
              <w:ind w:left="120"/>
              <w:spacing w:after="0"/>
              <w:rPr>
                <w:sz w:val="20"/>
                <w:szCs w:val="20"/>
                <w:color w:val="auto"/>
              </w:rPr>
            </w:pPr>
            <w:r>
              <w:rPr>
                <w:rFonts w:ascii="Arial" w:cs="Arial" w:eastAsia="Arial" w:hAnsi="Arial"/>
                <w:sz w:val="16"/>
                <w:szCs w:val="16"/>
                <w:color w:val="auto"/>
              </w:rPr>
              <w:t>Other operating segments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r>
      <w:tr>
        <w:trPr>
          <w:trHeight w:val="33"/>
        </w:trPr>
        <w:tc>
          <w:tcPr>
            <w:tcW w:w="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before eliminations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50"/>
        </w:trPr>
        <w:tc>
          <w:tcPr>
            <w:tcW w:w="26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Eliminations</w:t>
            </w:r>
            <w:r>
              <w:rPr>
                <w:rFonts w:ascii="Arial" w:cs="Arial" w:eastAsia="Arial" w:hAnsi="Arial"/>
                <w:sz w:val="21"/>
                <w:szCs w:val="21"/>
                <w:color w:val="auto"/>
                <w:vertAlign w:val="superscript"/>
              </w:rPr>
              <w:t>(1)</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1,036</w:t>
            </w: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40" w:hanging="172"/>
        <w:spacing w:after="0" w:line="268" w:lineRule="auto"/>
        <w:tabs>
          <w:tab w:leader="none" w:pos="145" w:val="left"/>
        </w:tabs>
        <w:numPr>
          <w:ilvl w:val="0"/>
          <w:numId w:val="18"/>
        </w:numPr>
        <w:rPr>
          <w:rFonts w:ascii="Arial" w:cs="Arial" w:eastAsia="Arial" w:hAnsi="Arial"/>
          <w:sz w:val="8"/>
          <w:szCs w:val="8"/>
          <w:color w:val="auto"/>
        </w:rPr>
      </w:pPr>
      <w:r>
        <w:rPr>
          <w:rFonts w:ascii="Arial" w:cs="Arial" w:eastAsia="Arial" w:hAnsi="Arial"/>
          <w:sz w:val="13"/>
          <w:szCs w:val="13"/>
          <w:color w:val="auto"/>
        </w:rPr>
        <w:t>Eliminations in the table above relate to our Holding Company's transactions with our Investment and other operating segments. Our Holding Company's transactions with our Investment and other operating segments are generally reported as cash flows from investing activities by our Holding Company and such transactions are generally reported as cash flows from financing activities by our Investment and other operating segments. During the six months ended June 30, 2017, our Holding Company had net investment of $1.0 billion in the Investment Funds offset in part by $79 million in net proceeds from our other operating segments. Additionally, our Holding Company repaid a loan to ARL for $120 million classified as financing activities by our Holding Company and investing activities by our Railcar segment for the six months ended June 30, 2017. For the six months ended June 30, 2016, our Holding Company had net proceeds from the Investment Funds and our other operating segments aggregating approximately $1.2 billion. Additionally, our Holding Company received loan proceeds from ARL of $125 million classified as financing activities by our Holding Company and investing activities by our Railcar segment for the six months ended June 30, 2016.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For the six months ended June 30, 2017, net cash used in operating activities was primarily driven by our Investment segment and our Holding Company, offset in part by net cash provided by operating activities from our other operating segments, particularly from our Railcar, Energy, Automotive, and Gaming segments. For the six months ended June 30,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sectPr>
      </w:pPr>
    </w:p>
    <w:bookmarkStart w:id="59" w:name="page60"/>
    <w:bookmarkEnd w:id="59"/>
    <w:p>
      <w:pPr>
        <w:ind w:right="20"/>
        <w:spacing w:after="0" w:line="277" w:lineRule="auto"/>
        <w:rPr>
          <w:sz w:val="20"/>
          <w:szCs w:val="20"/>
          <w:color w:val="auto"/>
        </w:rPr>
      </w:pPr>
      <w:r>
        <w:rPr>
          <w:rFonts w:ascii="Arial" w:cs="Arial" w:eastAsia="Arial" w:hAnsi="Arial"/>
          <w:sz w:val="18"/>
          <w:szCs w:val="18"/>
          <w:color w:val="auto"/>
        </w:rPr>
        <w:t>net cash provided by operating activities was primarily driven by our Investment and other operating segments, particularly from our Automotive and Energy segments, offset in part by our Holding Company.</w:t>
      </w:r>
    </w:p>
    <w:p>
      <w:pPr>
        <w:spacing w:after="0" w:line="62"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Our Investment segment's cash flows from operating activities for the comparable periods were attributable to its net investment transactions. Our Holding Company's cash flows from operating activities for the comparable periods were attributable to our semi-annual interest payments on our senior unsecured notes and certain operating expenses of the Holding Company. Our other operating segments' cash flows from operating activities for the comparable periods were primarily attributable to earnings before non-cash charges with an increase in net cash provided by operating activities from our other operating segments in 2017 compared to 2016 primarily attributable to changes in operating assets and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six months ended June 30, 2017, our Holding Company had net cash provided by investing activities due to proceeds of approximately $1.3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billion from the sale of ARL and aggregate proceeds from our other operating segments of $79 million, offset in part by investments in the Investment Funds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$1.0 billion and payments to acquire the remaining outstanding common stock of Federal-Mogul, which was purchased for $305 million and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$254 million was paid during the six months ended June 30, 2017. For the six months ended June 30, 2016, our Holding Company had net cash provided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 due to proceeds received from our Investment and other operating segments of approximately $1.2 billion, offset in part by our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Pep Boys for approximately $1.0 billion.</w:t>
      </w:r>
    </w:p>
    <w:p>
      <w:pPr>
        <w:spacing w:after="0" w:line="103"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Our other operating segments had net cash used in investing activities for the six months ended June 30, 2017 and 2016 primarily due to capital expenditures as well as certain acquisitions. For the six months ended June 30, 2017, capital expenditures at our Automotive segment of $220 million were primarily related to investing in new facilities, upgrading existing products, continuing new product launches and other infrastructure and equipment costs. Our Railcar segment's capital expenditures were $109 million, primarily for railcars for lease. For the six months ended June 30, 2016 our Railcar segment had capital expenditures of $62 million, primarily for railcars for lease, and our Automotive and Energy segments had capital expenditures of $208 million and $83 million, respectively.</w:t>
      </w:r>
    </w:p>
    <w:p>
      <w:pPr>
        <w:spacing w:after="0" w:line="8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the six months ended June 30, 2017, our Railcar segment's net cash used in investing activities also reflects the cash held by ARL at disposition which, when netted with the proceeds from the sale of ARL received by our Holding Company, resulted in net cash proceeds from the sale of ARL in consolidation of approximately $1.2 billion, offset in part by cash received of $120 million from the Holding Company for the repayment of an intercompany loan. Additionally, our other operating segments had cash used in investing activities due to certain acquisitions aggregating $49 million for the six months ended June 30, 2017 compared to $69 million for the six months ended June 30, 2016, including our Energy segments acquisition of CVR Nitrogen, LP. in 2016 for $64 million, net of cash acquired.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For the six months ended June 30, 2017, our Holding Company received proceeds from our rights offing of $612 million (which includes a contribution from our general partner in order to maintain its aggregate 1.99% general partner interest in us) and net proceeds from our senior unsecured debt refinancing of $15 million, offset in part by repayment of an intercompany loan due to ARL of $120 million and by cash distributions on our depositary units of $39 million for the six months ended June 30, 2017. For the six months ended June 30, 2016, our Holding Company received $125 million in proceeds from its intercompany loan from ARL which was offset in part by cash distributions to our depositary unitholders of $53 million.</w:t>
      </w:r>
    </w:p>
    <w:p>
      <w:pPr>
        <w:spacing w:after="0" w:line="64"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For the six months ended June 30, 2017, our Investment segment had net cash provided by financing activities of $1.6 billion, which included our $1.0 billion investment in the Investment Funds as well as $600 million received from Mr. Icahn and his affiliates (excluding us). For the six months ended June 30, 2016, our Investment segment had net cash used in financing activities of $560 million due to distributions paid to our Holding Company of approximately $1.1 billion, offset in part by contributions from Mr. Icahn and his affiliates (excluding us) of $490 million.</w:t>
      </w:r>
    </w:p>
    <w:p>
      <w:pPr>
        <w:spacing w:after="0" w:line="6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other operating segments had net cash used in financing activities for the six months ended June 30, 2017 and 2016 primarily due to net debt transactions as well as dividends and distributions to us and to non-controlling interests. Our other operating segments had net cash payments for debt of $96 million and $31 million for the six months ended June 30, 2017 and 2016, respectively. Additionally, our Energy and Railcar segments had cash payments for dividends and distributions aggregating $134 million and $157 million for the six months ended June 30, 2017 and 2016, respectively, of which $110 million and $106 million, respectively, was paid to us. In addition, our Railcar segment's net cash used in investing activities for or the six months ended June 30, 2016 included a $125 million loan to our Holding Company.</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76"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Consolidated Capital Resources</w:t>
      </w:r>
    </w:p>
    <w:p>
      <w:pPr>
        <w:spacing w:after="0" w:line="117"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There have been no significant changes to our capital expenditures during the six months ended June 30, 2017 as compared to the estimated capital expenditures for 2017 as reported in our Annual Report on Form 10-K for the year ended December 31, 2016. Capital expenditures with respect to certain environmental matters are discussed in Note 16, "Commitments and Contingencies," to the condensed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right="480" w:firstLine="378"/>
        <w:spacing w:after="0" w:line="277" w:lineRule="auto"/>
        <w:rPr>
          <w:sz w:val="20"/>
          <w:szCs w:val="20"/>
          <w:color w:val="auto"/>
        </w:rPr>
      </w:pPr>
      <w:r>
        <w:rPr>
          <w:rFonts w:ascii="Arial" w:cs="Arial" w:eastAsia="Arial" w:hAnsi="Arial"/>
          <w:sz w:val="18"/>
          <w:szCs w:val="18"/>
          <w:color w:val="auto"/>
        </w:rPr>
        <w:t>Other than certain debt transactions as described above, there have been no material changes to our contractual commitments and contingencies as compared to those reported in our Annual Report on Form 10-K for the year ended December 31, 2016</w:t>
      </w:r>
      <w:r>
        <w:rPr>
          <w:rFonts w:ascii="Arial" w:cs="Arial" w:eastAsia="Arial" w:hAnsi="Arial"/>
          <w:sz w:val="18"/>
          <w:szCs w:val="18"/>
          <w:b w:val="1"/>
          <w:b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jc w:val="both"/>
        <w:ind w:right="260" w:firstLine="405"/>
        <w:spacing w:after="0" w:line="286" w:lineRule="auto"/>
        <w:rPr>
          <w:sz w:val="20"/>
          <w:szCs w:val="20"/>
          <w:color w:val="auto"/>
        </w:rPr>
      </w:pPr>
      <w:r>
        <w:rPr>
          <w:rFonts w:ascii="Arial" w:cs="Arial" w:eastAsia="Arial" w:hAnsi="Arial"/>
          <w:sz w:val="17"/>
          <w:szCs w:val="17"/>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2, “Basis of Presentation and Summary of Significant Accounting Policies” and Note 6, “Financial Instruments," to the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six months ended June 30, 2017 as compared to those reported in our Annual Report on Form 10-K for the year ended December 31,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Refer to Note 2, "Basis of Presentation and Summary of Significant Accounting Policies," to the condensed consolidated financial statements for a discussion of recent accounting pronouncements applicable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2016 and those set forth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Except as discussed below, information about our quantitative and qualitative disclosures about market risk did not differ materially from those disclosed in our Annual Report on Form 10-K for the year ended December 31,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76" w:right="259" w:bottom="1440" w:gutter="0" w:footer="0" w:header="0"/>
        </w:sectPr>
      </w:pPr>
    </w:p>
    <w:bookmarkStart w:id="61" w:name="page62"/>
    <w:bookmarkEnd w:id="61"/>
    <w:p>
      <w:pPr>
        <w:spacing w:after="0" w:line="276" w:lineRule="auto"/>
        <w:rPr>
          <w:sz w:val="20"/>
          <w:szCs w:val="20"/>
          <w:color w:val="auto"/>
        </w:rPr>
      </w:pPr>
      <w:r>
        <w:rPr>
          <w:rFonts w:ascii="Arial" w:cs="Arial" w:eastAsia="Arial" w:hAnsi="Arial"/>
          <w:sz w:val="17"/>
          <w:szCs w:val="17"/>
          <w:color w:val="auto"/>
        </w:rPr>
        <w:t>their respective balances as of June 30, 2017, we estimate that in the event of a 10% adverse change in the fair value of these investments, the fair values of securities owned, securities sold, not yet purchased and derivatives would decrease by approximately $862 million, $173 million and $1.6 billion, respectively. However, as of June 30, 2017, we estimate that the impact to our share of the net gain (loss) from investment activities reported in our condensed consolidated statement of operations would be less than the change in fair value since we have an investment of approximately 39% in the Investment Funds, and the non-controlling interests in income would correspondingly offset approximately 61% of the change in fair value.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predominant exposure to foreign currency exchange rate risk is related to our Automotive segment and the sensitivities to movements in the foreign currency exchange rate between the Euro and U.S. Dollar.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Federal-Mogul issued notes in the amount €1,065 million during the six months ended June 30, 2017. Federal-Moguls has designated €753 million of these notes as a net investment hedge in certain foreign subsidiaries and affiliates of Federal-Mogul. As such, an adverse change in foreign currency exchange rates will have no effect on earnings. For the portion of the debt not designated as a net investment hedge, Federal-Mogul has other natural hedges in place that will offset any adverse change in foreign currency exchange rates. A 10% adverse change in foreign currency exchange rates between the Euro and U.S. Dollar as of June 30, 2017 would increase the amount of cash required to settle the Euro Notes by approximately $122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of June 30, 2017,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were no material changes to our risk factors during the six months ended June 30, 2017 as compared to those reported in our Annual Report on Form 10-K for the year ended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Certification of Chief Executive Officer and Chief Financial Officer pursuant to Section 906 of the Sarbanes-Oxley Act of 2002 (18</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U.S.C. 1350) and Rule 13a-14(b) of the Securities Exchange Act of 1934.</w:t>
            </w: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64" w:right="2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June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2017;</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June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2017;</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June 30, 2017, the undersigned certify that, to the best of his knowledge, based upon a review of the Icahn Enterprises L.P. and Icahn Enterprises Holdings L.P. joint quarterly report on Form 10-Q for the period ended June 30, 2017:</w:t>
      </w:r>
    </w:p>
    <w:p>
      <w:pPr>
        <w:spacing w:after="0" w:line="181" w:lineRule="exact"/>
        <w:rPr>
          <w:sz w:val="20"/>
          <w:szCs w:val="20"/>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lowerRoman"/>
      <w:start w:val="2"/>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lowerRoman"/>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6"/>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8"/>
    </w:lvl>
  </w:abstractNum>
  <w:abstractNum w:abstractNumId="15">
    <w:nsid w:val="3F2DBA31"/>
    <w:multiLevelType w:val="hybridMultilevel"/>
    <w:lvl w:ilvl="0">
      <w:lvlJc w:val="left"/>
      <w:lvlText w:val="%1."/>
      <w:numFmt w:val="decimal"/>
      <w:start w:val="9"/>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2019-12-29T04:45:59Z</dcterms:created>
  <dcterms:modified xsi:type="dcterms:W3CDTF">2019-12-29T04:45:59Z</dcterms:modified>
</cp:coreProperties>
</file>