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2014</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4760" w:type="dxa"/>
            <w:vAlign w:val="bottom"/>
            <w:gridSpan w:val="4"/>
            <w:vMerge w:val="restart"/>
          </w:tcPr>
          <w:p>
            <w:pPr>
              <w:jc w:val="center"/>
              <w:ind w:right="362"/>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640" w:type="dxa"/>
            <w:vAlign w:val="bottom"/>
          </w:tcPr>
          <w:p>
            <w:pPr>
              <w:jc w:val="center"/>
              <w:ind w:left="165"/>
              <w:spacing w:after="0"/>
              <w:rPr>
                <w:sz w:val="20"/>
                <w:szCs w:val="20"/>
                <w:color w:val="auto"/>
              </w:rPr>
            </w:pPr>
            <w:r>
              <w:rPr>
                <w:rFonts w:ascii="Times New Roman" w:cs="Times New Roman" w:eastAsia="Times New Roman" w:hAnsi="Times New Roman"/>
                <w:sz w:val="14"/>
                <w:szCs w:val="14"/>
                <w:color w:val="auto"/>
              </w:rPr>
              <w:t>(State or Other</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760" w:type="dxa"/>
            <w:vAlign w:val="bottom"/>
            <w:gridSpan w:val="4"/>
            <w:vMerge w:val="continue"/>
          </w:tcPr>
          <w:p>
            <w:pPr>
              <w:spacing w:after="0"/>
              <w:rPr>
                <w:sz w:val="12"/>
                <w:szCs w:val="12"/>
                <w:color w:val="auto"/>
              </w:rPr>
            </w:pPr>
          </w:p>
        </w:tc>
        <w:tc>
          <w:tcPr>
            <w:tcW w:w="1640" w:type="dxa"/>
            <w:vAlign w:val="bottom"/>
          </w:tcPr>
          <w:p>
            <w:pPr>
              <w:jc w:val="center"/>
              <w:ind w:left="165"/>
              <w:spacing w:after="0" w:line="149" w:lineRule="exact"/>
              <w:rPr>
                <w:sz w:val="20"/>
                <w:szCs w:val="20"/>
                <w:color w:val="auto"/>
              </w:rPr>
            </w:pPr>
            <w:r>
              <w:rPr>
                <w:rFonts w:ascii="Times New Roman" w:cs="Times New Roman" w:eastAsia="Times New Roman" w:hAnsi="Times New Roman"/>
                <w:sz w:val="14"/>
                <w:szCs w:val="14"/>
                <w:color w:val="auto"/>
              </w:rPr>
              <w:t>Jurisdiction of</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vMerge w:val="restart"/>
          </w:tcPr>
          <w:p>
            <w:pPr>
              <w:ind w:left="640"/>
              <w:spacing w:after="0"/>
              <w:rPr>
                <w:sz w:val="20"/>
                <w:szCs w:val="20"/>
                <w:color w:val="auto"/>
              </w:rPr>
            </w:pPr>
            <w:r>
              <w:rPr>
                <w:rFonts w:ascii="Times New Roman" w:cs="Times New Roman" w:eastAsia="Times New Roman" w:hAnsi="Times New Roman"/>
                <w:sz w:val="14"/>
                <w:szCs w:val="14"/>
                <w:color w:val="auto"/>
              </w:rPr>
              <w:t>(Commission File Number)</w:t>
            </w:r>
          </w:p>
        </w:tc>
        <w:tc>
          <w:tcPr>
            <w:tcW w:w="4760" w:type="dxa"/>
            <w:vAlign w:val="bottom"/>
            <w:gridSpan w:val="4"/>
          </w:tcPr>
          <w:p>
            <w:pPr>
              <w:jc w:val="center"/>
              <w:ind w:right="342"/>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1640" w:type="dxa"/>
            <w:vAlign w:val="bottom"/>
          </w:tcPr>
          <w:p>
            <w:pPr>
              <w:jc w:val="center"/>
              <w:ind w:left="145"/>
              <w:spacing w:after="0" w:line="149" w:lineRule="exact"/>
              <w:rPr>
                <w:sz w:val="20"/>
                <w:szCs w:val="20"/>
                <w:color w:val="auto"/>
              </w:rPr>
            </w:pPr>
            <w:r>
              <w:rPr>
                <w:rFonts w:ascii="Times New Roman" w:cs="Times New Roman" w:eastAsia="Times New Roman" w:hAnsi="Times New Roman"/>
                <w:sz w:val="14"/>
                <w:szCs w:val="14"/>
                <w:color w:val="auto"/>
              </w:rPr>
              <w:t>Incorporation or</w:t>
            </w: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80" w:type="dxa"/>
            <w:vAlign w:val="bottom"/>
            <w:vMerge w:val="continue"/>
          </w:tcPr>
          <w:p>
            <w:pPr>
              <w:spacing w:after="0"/>
              <w:rPr>
                <w:sz w:val="16"/>
                <w:szCs w:val="16"/>
                <w:color w:val="auto"/>
              </w:rPr>
            </w:pPr>
          </w:p>
        </w:tc>
        <w:tc>
          <w:tcPr>
            <w:tcW w:w="2800" w:type="dxa"/>
            <w:vAlign w:val="bottom"/>
            <w:gridSpan w:val="3"/>
          </w:tcPr>
          <w:p>
            <w:pPr>
              <w:jc w:val="center"/>
              <w:ind w:left="1436"/>
              <w:spacing w:after="0"/>
              <w:rPr>
                <w:sz w:val="20"/>
                <w:szCs w:val="20"/>
                <w:color w:val="auto"/>
              </w:rPr>
            </w:pPr>
            <w:r>
              <w:rPr>
                <w:rFonts w:ascii="Times New Roman" w:cs="Times New Roman" w:eastAsia="Times New Roman" w:hAnsi="Times New Roman"/>
                <w:sz w:val="14"/>
                <w:szCs w:val="14"/>
                <w:color w:val="auto"/>
              </w:rPr>
              <w:t>(Telephone Number)</w:t>
            </w:r>
          </w:p>
        </w:tc>
        <w:tc>
          <w:tcPr>
            <w:tcW w:w="1960" w:type="dxa"/>
            <w:vAlign w:val="bottom"/>
          </w:tcPr>
          <w:p>
            <w:pPr>
              <w:spacing w:after="0"/>
              <w:rPr>
                <w:sz w:val="16"/>
                <w:szCs w:val="16"/>
                <w:color w:val="auto"/>
              </w:rPr>
            </w:pPr>
          </w:p>
        </w:tc>
        <w:tc>
          <w:tcPr>
            <w:tcW w:w="1640" w:type="dxa"/>
            <w:vAlign w:val="bottom"/>
          </w:tcPr>
          <w:p>
            <w:pPr>
              <w:jc w:val="center"/>
              <w:ind w:left="165"/>
              <w:spacing w:after="0"/>
              <w:rPr>
                <w:sz w:val="20"/>
                <w:szCs w:val="20"/>
                <w:color w:val="auto"/>
              </w:rPr>
            </w:pPr>
            <w:r>
              <w:rPr>
                <w:rFonts w:ascii="Times New Roman" w:cs="Times New Roman" w:eastAsia="Times New Roman" w:hAnsi="Times New Roman"/>
                <w:sz w:val="14"/>
                <w:szCs w:val="14"/>
                <w:color w:val="auto"/>
              </w:rPr>
              <w:t>Organization)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310"/>
        </w:trPr>
        <w:tc>
          <w:tcPr>
            <w:tcW w:w="3500" w:type="dxa"/>
            <w:vAlign w:val="bottom"/>
            <w:gridSpan w:val="2"/>
          </w:tcPr>
          <w:p>
            <w:pPr>
              <w:jc w:val="right"/>
              <w:ind w:right="1621"/>
              <w:spacing w:after="0"/>
              <w:rPr>
                <w:sz w:val="20"/>
                <w:szCs w:val="20"/>
                <w:color w:val="auto"/>
              </w:rPr>
            </w:pPr>
            <w:r>
              <w:rPr>
                <w:rFonts w:ascii="Times New Roman" w:cs="Times New Roman" w:eastAsia="Times New Roman" w:hAnsi="Times New Roman"/>
                <w:sz w:val="16"/>
                <w:szCs w:val="16"/>
                <w:b w:val="1"/>
                <w:bCs w:val="1"/>
                <w:color w:val="auto"/>
              </w:rPr>
              <w:t>001-09516</w:t>
            </w:r>
          </w:p>
        </w:tc>
        <w:tc>
          <w:tcPr>
            <w:tcW w:w="4760" w:type="dxa"/>
            <w:vAlign w:val="bottom"/>
            <w:gridSpan w:val="4"/>
          </w:tcPr>
          <w:p>
            <w:pPr>
              <w:jc w:val="center"/>
              <w:ind w:right="362"/>
              <w:spacing w:after="0"/>
              <w:rPr>
                <w:sz w:val="20"/>
                <w:szCs w:val="20"/>
                <w:color w:val="auto"/>
              </w:rPr>
            </w:pPr>
            <w:r>
              <w:rPr>
                <w:rFonts w:ascii="Times New Roman" w:cs="Times New Roman" w:eastAsia="Times New Roman" w:hAnsi="Times New Roman"/>
                <w:sz w:val="23"/>
                <w:szCs w:val="23"/>
                <w:b w:val="1"/>
                <w:bCs w:val="1"/>
                <w:color w:val="auto"/>
              </w:rPr>
              <w:t>ICAHN ENTERPRISES L.P.</w:t>
            </w:r>
          </w:p>
        </w:tc>
        <w:tc>
          <w:tcPr>
            <w:tcW w:w="1640" w:type="dxa"/>
            <w:vAlign w:val="bottom"/>
          </w:tcPr>
          <w:p>
            <w:pPr>
              <w:jc w:val="center"/>
              <w:ind w:left="16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13-3398766</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760" w:type="dxa"/>
            <w:vAlign w:val="bottom"/>
            <w:gridSpan w:val="4"/>
          </w:tcPr>
          <w:p>
            <w:pPr>
              <w:jc w:val="center"/>
              <w:ind w:right="342"/>
              <w:spacing w:after="0"/>
              <w:rPr>
                <w:sz w:val="20"/>
                <w:szCs w:val="20"/>
                <w:color w:val="auto"/>
              </w:rPr>
            </w:pPr>
            <w:r>
              <w:rPr>
                <w:rFonts w:ascii="Times New Roman" w:cs="Times New Roman" w:eastAsia="Times New Roman" w:hAnsi="Times New Roman"/>
                <w:sz w:val="16"/>
                <w:szCs w:val="16"/>
                <w:b w:val="1"/>
                <w:bCs w:val="1"/>
                <w:color w:val="auto"/>
              </w:rPr>
              <w:t>767 Fifth Avenue, Suite 4700</w:t>
            </w:r>
          </w:p>
        </w:tc>
        <w:tc>
          <w:tcPr>
            <w:tcW w:w="1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760" w:type="dxa"/>
            <w:vAlign w:val="bottom"/>
            <w:gridSpan w:val="4"/>
          </w:tcPr>
          <w:p>
            <w:pPr>
              <w:jc w:val="center"/>
              <w:ind w:right="342"/>
              <w:spacing w:after="0"/>
              <w:rPr>
                <w:sz w:val="20"/>
                <w:szCs w:val="20"/>
                <w:color w:val="auto"/>
              </w:rPr>
            </w:pPr>
            <w:r>
              <w:rPr>
                <w:rFonts w:ascii="Times New Roman" w:cs="Times New Roman" w:eastAsia="Times New Roman" w:hAnsi="Times New Roman"/>
                <w:sz w:val="16"/>
                <w:szCs w:val="16"/>
                <w:b w:val="1"/>
                <w:bCs w:val="1"/>
                <w:color w:val="auto"/>
              </w:rPr>
              <w:t>New York, NY 10153</w:t>
            </w:r>
          </w:p>
        </w:tc>
        <w:tc>
          <w:tcPr>
            <w:tcW w:w="1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0" w:type="dxa"/>
            <w:vAlign w:val="bottom"/>
            <w:gridSpan w:val="3"/>
          </w:tcPr>
          <w:p>
            <w:pPr>
              <w:jc w:val="center"/>
              <w:ind w:left="1456"/>
              <w:spacing w:after="0"/>
              <w:rPr>
                <w:sz w:val="20"/>
                <w:szCs w:val="20"/>
                <w:color w:val="auto"/>
              </w:rPr>
            </w:pPr>
            <w:r>
              <w:rPr>
                <w:rFonts w:ascii="Times New Roman" w:cs="Times New Roman" w:eastAsia="Times New Roman" w:hAnsi="Times New Roman"/>
                <w:sz w:val="16"/>
                <w:szCs w:val="16"/>
                <w:b w:val="1"/>
                <w:bCs w:val="1"/>
                <w:color w:val="auto"/>
              </w:rPr>
              <w:t>(212) 702-4300</w:t>
            </w:r>
          </w:p>
        </w:tc>
        <w:tc>
          <w:tcPr>
            <w:tcW w:w="19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4"/>
        </w:trPr>
        <w:tc>
          <w:tcPr>
            <w:tcW w:w="3500" w:type="dxa"/>
            <w:vAlign w:val="bottom"/>
            <w:gridSpan w:val="2"/>
          </w:tcPr>
          <w:p>
            <w:pPr>
              <w:jc w:val="right"/>
              <w:ind w:right="1481"/>
              <w:spacing w:after="0"/>
              <w:rPr>
                <w:sz w:val="20"/>
                <w:szCs w:val="20"/>
                <w:color w:val="auto"/>
              </w:rPr>
            </w:pPr>
            <w:r>
              <w:rPr>
                <w:rFonts w:ascii="Times New Roman" w:cs="Times New Roman" w:eastAsia="Times New Roman" w:hAnsi="Times New Roman"/>
                <w:sz w:val="16"/>
                <w:szCs w:val="16"/>
                <w:b w:val="1"/>
                <w:bCs w:val="1"/>
                <w:color w:val="auto"/>
              </w:rPr>
              <w:t>333-118021-01</w:t>
            </w:r>
          </w:p>
        </w:tc>
        <w:tc>
          <w:tcPr>
            <w:tcW w:w="4760" w:type="dxa"/>
            <w:vAlign w:val="bottom"/>
            <w:gridSpan w:val="4"/>
          </w:tcPr>
          <w:p>
            <w:pPr>
              <w:jc w:val="center"/>
              <w:ind w:right="362"/>
              <w:spacing w:after="0"/>
              <w:rPr>
                <w:sz w:val="20"/>
                <w:szCs w:val="20"/>
                <w:color w:val="auto"/>
              </w:rPr>
            </w:pPr>
            <w:r>
              <w:rPr>
                <w:rFonts w:ascii="Times New Roman" w:cs="Times New Roman" w:eastAsia="Times New Roman" w:hAnsi="Times New Roman"/>
                <w:sz w:val="23"/>
                <w:szCs w:val="23"/>
                <w:b w:val="1"/>
                <w:bCs w:val="1"/>
                <w:color w:val="auto"/>
              </w:rPr>
              <w:t>ICAHN ENTERPRISES HOLDINGS L.P.</w:t>
            </w:r>
          </w:p>
        </w:tc>
        <w:tc>
          <w:tcPr>
            <w:tcW w:w="1640" w:type="dxa"/>
            <w:vAlign w:val="bottom"/>
          </w:tcPr>
          <w:p>
            <w:pPr>
              <w:jc w:val="center"/>
              <w:ind w:left="16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13-3398767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760" w:type="dxa"/>
            <w:vAlign w:val="bottom"/>
            <w:gridSpan w:val="4"/>
          </w:tcPr>
          <w:p>
            <w:pPr>
              <w:jc w:val="center"/>
              <w:ind w:right="342"/>
              <w:spacing w:after="0"/>
              <w:rPr>
                <w:sz w:val="20"/>
                <w:szCs w:val="20"/>
                <w:color w:val="auto"/>
              </w:rPr>
            </w:pPr>
            <w:r>
              <w:rPr>
                <w:rFonts w:ascii="Times New Roman" w:cs="Times New Roman" w:eastAsia="Times New Roman" w:hAnsi="Times New Roman"/>
                <w:sz w:val="16"/>
                <w:szCs w:val="16"/>
                <w:b w:val="1"/>
                <w:bCs w:val="1"/>
                <w:color w:val="auto"/>
              </w:rPr>
              <w:t>767 Fifth Avenue, Suite 4700</w:t>
            </w:r>
          </w:p>
        </w:tc>
        <w:tc>
          <w:tcPr>
            <w:tcW w:w="1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760" w:type="dxa"/>
            <w:vAlign w:val="bottom"/>
            <w:gridSpan w:val="4"/>
          </w:tcPr>
          <w:p>
            <w:pPr>
              <w:jc w:val="center"/>
              <w:ind w:right="342"/>
              <w:spacing w:after="0"/>
              <w:rPr>
                <w:sz w:val="20"/>
                <w:szCs w:val="20"/>
                <w:color w:val="auto"/>
              </w:rPr>
            </w:pPr>
            <w:r>
              <w:rPr>
                <w:rFonts w:ascii="Times New Roman" w:cs="Times New Roman" w:eastAsia="Times New Roman" w:hAnsi="Times New Roman"/>
                <w:sz w:val="16"/>
                <w:szCs w:val="16"/>
                <w:b w:val="1"/>
                <w:bCs w:val="1"/>
                <w:color w:val="auto"/>
              </w:rPr>
              <w:t>New York, NY 10153</w:t>
            </w:r>
          </w:p>
        </w:tc>
        <w:tc>
          <w:tcPr>
            <w:tcW w:w="1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0" w:type="dxa"/>
            <w:vAlign w:val="bottom"/>
            <w:gridSpan w:val="3"/>
          </w:tcPr>
          <w:p>
            <w:pPr>
              <w:jc w:val="center"/>
              <w:ind w:left="1456"/>
              <w:spacing w:after="0"/>
              <w:rPr>
                <w:sz w:val="20"/>
                <w:szCs w:val="20"/>
                <w:color w:val="auto"/>
              </w:rPr>
            </w:pPr>
            <w:r>
              <w:rPr>
                <w:rFonts w:ascii="Times New Roman" w:cs="Times New Roman" w:eastAsia="Times New Roman" w:hAnsi="Times New Roman"/>
                <w:sz w:val="16"/>
                <w:szCs w:val="16"/>
                <w:b w:val="1"/>
                <w:bCs w:val="1"/>
                <w:color w:val="auto"/>
              </w:rPr>
              <w:t>(212) 702-4300</w:t>
            </w:r>
          </w:p>
        </w:tc>
        <w:tc>
          <w:tcPr>
            <w:tcW w:w="19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760" w:type="dxa"/>
            <w:vAlign w:val="bottom"/>
            <w:gridSpan w:val="4"/>
          </w:tcPr>
          <w:p>
            <w:pPr>
              <w:jc w:val="center"/>
              <w:ind w:right="262"/>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480" w:type="dxa"/>
            <w:vAlign w:val="bottom"/>
          </w:tcPr>
          <w:p>
            <w:pPr>
              <w:jc w:val="center"/>
              <w:ind w:left="2021"/>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100" w:type="dxa"/>
            <w:vAlign w:val="bottom"/>
            <w:gridSpan w:val="3"/>
          </w:tcPr>
          <w:p>
            <w:pPr>
              <w:jc w:val="center"/>
              <w:ind w:right="483"/>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tcPr>
          <w:p>
            <w:pPr>
              <w:jc w:val="center"/>
              <w:ind w:right="700"/>
              <w:spacing w:after="0"/>
              <w:rPr>
                <w:sz w:val="20"/>
                <w:szCs w:val="20"/>
                <w:color w:val="auto"/>
              </w:rPr>
            </w:pPr>
            <w:r>
              <w:rPr>
                <w:rFonts w:ascii="Times New Roman" w:cs="Times New Roman" w:eastAsia="Times New Roman" w:hAnsi="Times New Roman"/>
                <w:sz w:val="16"/>
                <w:szCs w:val="16"/>
                <w:color w:val="auto"/>
              </w:rPr>
              <w:t>Depositary Units of Icahn Enterprises L.P.</w:t>
            </w:r>
          </w:p>
        </w:tc>
        <w:tc>
          <w:tcPr>
            <w:tcW w:w="3600" w:type="dxa"/>
            <w:vAlign w:val="bottom"/>
            <w:gridSpan w:val="2"/>
            <w:vMerge w:val="restart"/>
          </w:tcPr>
          <w:p>
            <w:pPr>
              <w:jc w:val="center"/>
              <w:ind w:left="862"/>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gridSpan w:val="4"/>
            <w:vMerge w:val="restart"/>
          </w:tcPr>
          <w:p>
            <w:pPr>
              <w:jc w:val="center"/>
              <w:ind w:right="680"/>
              <w:spacing w:after="0"/>
              <w:rPr>
                <w:sz w:val="20"/>
                <w:szCs w:val="20"/>
                <w:color w:val="auto"/>
              </w:rPr>
            </w:pPr>
            <w:r>
              <w:rPr>
                <w:rFonts w:ascii="Times New Roman" w:cs="Times New Roman" w:eastAsia="Times New Roman" w:hAnsi="Times New Roman"/>
                <w:sz w:val="16"/>
                <w:szCs w:val="16"/>
                <w:color w:val="auto"/>
              </w:rPr>
              <w:t>Representing Limited Partner Interests</w:t>
            </w:r>
          </w:p>
        </w:tc>
        <w:tc>
          <w:tcPr>
            <w:tcW w:w="3600" w:type="dxa"/>
            <w:vAlign w:val="bottom"/>
            <w:gridSpan w:val="2"/>
            <w:vMerge w:val="continue"/>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80" w:type="dxa"/>
            <w:vAlign w:val="bottom"/>
            <w:gridSpan w:val="4"/>
            <w:vMerge w:val="continue"/>
          </w:tcPr>
          <w:p>
            <w:pPr>
              <w:spacing w:after="0"/>
              <w:rPr>
                <w:sz w:val="9"/>
                <w:szCs w:val="9"/>
                <w:color w:val="auto"/>
              </w:rPr>
            </w:pPr>
          </w:p>
        </w:tc>
        <w:tc>
          <w:tcPr>
            <w:tcW w:w="19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760" w:type="dxa"/>
            <w:vAlign w:val="bottom"/>
            <w:gridSpan w:val="4"/>
          </w:tcPr>
          <w:p>
            <w:pPr>
              <w:jc w:val="center"/>
              <w:ind w:right="262"/>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2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by Rule 405 of the Securities Act.</w:t>
            </w:r>
          </w:p>
        </w:tc>
        <w:tc>
          <w:tcPr>
            <w:tcW w:w="16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0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 xml:space="preserve">Icahn Enterprises L.P. Yes o No </w:t>
            </w:r>
            <w:r>
              <w:rPr>
                <w:rFonts w:ascii="Times New Roman" w:cs="Times New Roman" w:eastAsia="Times New Roman" w:hAnsi="Times New Roman"/>
                <w:sz w:val="18"/>
                <w:szCs w:val="18"/>
                <w:color w:val="auto"/>
              </w:rPr>
              <w:t>x</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Icahn Enterprises Holdings L.P. Yes o No x</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Exchange Act.</w:t>
      </w:r>
    </w:p>
    <w:p>
      <w:pPr>
        <w:spacing w:after="0" w:line="114" w:lineRule="exact"/>
        <w:rPr>
          <w:sz w:val="24"/>
          <w:szCs w:val="24"/>
          <w:color w:val="auto"/>
        </w:rPr>
      </w:pPr>
    </w:p>
    <w:p>
      <w:pPr>
        <w:ind w:left="3840"/>
        <w:spacing w:after="0"/>
        <w:tabs>
          <w:tab w:leader="none" w:pos="6360" w:val="left"/>
        </w:tabs>
        <w:rPr>
          <w:sz w:val="20"/>
          <w:szCs w:val="20"/>
          <w:color w:val="auto"/>
        </w:rPr>
      </w:pPr>
      <w:r>
        <w:rPr>
          <w:rFonts w:ascii="Times New Roman" w:cs="Times New Roman" w:eastAsia="Times New Roman" w:hAnsi="Times New Roman"/>
          <w:sz w:val="14"/>
          <w:szCs w:val="14"/>
          <w:color w:val="auto"/>
        </w:rPr>
        <w:t xml:space="preserve">Icahn Enterprises L.P. Yes o No </w:t>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4"/>
          <w:szCs w:val="14"/>
          <w:color w:val="auto"/>
        </w:rPr>
        <w:t>Icahn Enterprises Holdings L.P. Yes o No x</w:t>
      </w:r>
    </w:p>
    <w:p>
      <w:pPr>
        <w:spacing w:after="0" w:line="126"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8" w:lineRule="exact"/>
        <w:rPr>
          <w:sz w:val="24"/>
          <w:szCs w:val="24"/>
          <w:color w:val="auto"/>
        </w:rPr>
      </w:pPr>
    </w:p>
    <w:p>
      <w:pPr>
        <w:ind w:left="3840"/>
        <w:spacing w:after="0"/>
        <w:tabs>
          <w:tab w:leader="none" w:pos="6360" w:val="left"/>
        </w:tabs>
        <w:rPr>
          <w:sz w:val="20"/>
          <w:szCs w:val="20"/>
          <w:color w:val="auto"/>
        </w:rPr>
      </w:pPr>
      <w:r>
        <w:rPr>
          <w:rFonts w:ascii="Times New Roman" w:cs="Times New Roman" w:eastAsia="Times New Roman" w:hAnsi="Times New Roman"/>
          <w:sz w:val="14"/>
          <w:szCs w:val="14"/>
          <w:color w:val="auto"/>
        </w:rPr>
        <w:t xml:space="preserve">Icahn Enterprises L.P. Yes x No </w:t>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4"/>
          <w:szCs w:val="14"/>
          <w:color w:val="auto"/>
        </w:rPr>
        <w:t>Icahn Enterprises Holdings L.P. Yes x No o</w:t>
      </w:r>
    </w:p>
    <w:p>
      <w:pPr>
        <w:spacing w:after="0" w:line="126"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58" w:lineRule="exact"/>
        <w:rPr>
          <w:sz w:val="24"/>
          <w:szCs w:val="24"/>
          <w:color w:val="auto"/>
        </w:rPr>
      </w:pPr>
    </w:p>
    <w:p>
      <w:pPr>
        <w:ind w:left="3840"/>
        <w:spacing w:after="0"/>
        <w:tabs>
          <w:tab w:leader="none" w:pos="6360" w:val="left"/>
        </w:tabs>
        <w:rPr>
          <w:sz w:val="20"/>
          <w:szCs w:val="20"/>
          <w:color w:val="auto"/>
        </w:rPr>
      </w:pPr>
      <w:r>
        <w:rPr>
          <w:rFonts w:ascii="Times New Roman" w:cs="Times New Roman" w:eastAsia="Times New Roman" w:hAnsi="Times New Roman"/>
          <w:sz w:val="14"/>
          <w:szCs w:val="14"/>
          <w:color w:val="auto"/>
        </w:rPr>
        <w:t xml:space="preserve">Icahn Enterprises L.P. Yes x No </w:t>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4"/>
          <w:szCs w:val="14"/>
          <w:color w:val="auto"/>
        </w:rPr>
        <w:t>Icahn Enterprises Holdings L.P. Yes x No o</w:t>
      </w:r>
    </w:p>
    <w:p>
      <w:pPr>
        <w:spacing w:after="0" w:line="12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54" w:lineRule="exact"/>
        <w:rPr>
          <w:sz w:val="24"/>
          <w:szCs w:val="24"/>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32"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1400" w:type="dxa"/>
            <w:vAlign w:val="bottom"/>
          </w:tcPr>
          <w:p>
            <w:pPr>
              <w:spacing w:after="0"/>
              <w:rPr>
                <w:sz w:val="13"/>
                <w:szCs w:val="13"/>
                <w:color w:val="auto"/>
              </w:rPr>
            </w:pPr>
          </w:p>
        </w:tc>
        <w:tc>
          <w:tcPr>
            <w:tcW w:w="3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Icahn Enterprises L.P.</w:t>
            </w:r>
          </w:p>
        </w:tc>
        <w:tc>
          <w:tcPr>
            <w:tcW w:w="1980" w:type="dxa"/>
            <w:vAlign w:val="bottom"/>
          </w:tcPr>
          <w:p>
            <w:pPr>
              <w:spacing w:after="0"/>
              <w:rPr>
                <w:sz w:val="13"/>
                <w:szCs w:val="13"/>
                <w:color w:val="auto"/>
              </w:rPr>
            </w:pPr>
          </w:p>
        </w:tc>
        <w:tc>
          <w:tcPr>
            <w:tcW w:w="3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Icahn Enterprises Holdings L.P.</w:t>
            </w:r>
          </w:p>
        </w:tc>
      </w:tr>
      <w:tr>
        <w:trPr>
          <w:trHeight w:val="20"/>
        </w:trPr>
        <w:tc>
          <w:tcPr>
            <w:tcW w:w="1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1"/>
        </w:trPr>
        <w:tc>
          <w:tcPr>
            <w:tcW w:w="2020" w:type="dxa"/>
            <w:vAlign w:val="bottom"/>
            <w:gridSpan w:val="2"/>
          </w:tcPr>
          <w:p>
            <w:pPr>
              <w:jc w:val="center"/>
              <w:ind w:right="488"/>
              <w:spacing w:after="0"/>
              <w:rPr>
                <w:sz w:val="20"/>
                <w:szCs w:val="20"/>
                <w:color w:val="auto"/>
              </w:rPr>
            </w:pPr>
            <w:r>
              <w:rPr>
                <w:rFonts w:ascii="Times New Roman" w:cs="Times New Roman" w:eastAsia="Times New Roman" w:hAnsi="Times New Roman"/>
                <w:sz w:val="14"/>
                <w:szCs w:val="14"/>
                <w:color w:val="auto"/>
              </w:rPr>
              <w:t>Large Accelerated Filer x</w:t>
            </w:r>
          </w:p>
        </w:tc>
        <w:tc>
          <w:tcPr>
            <w:tcW w:w="640" w:type="dxa"/>
            <w:vAlign w:val="bottom"/>
          </w:tcPr>
          <w:p>
            <w:pPr>
              <w:spacing w:after="0"/>
              <w:rPr>
                <w:sz w:val="24"/>
                <w:szCs w:val="24"/>
                <w:color w:val="auto"/>
              </w:rPr>
            </w:pPr>
          </w:p>
        </w:tc>
        <w:tc>
          <w:tcPr>
            <w:tcW w:w="2520" w:type="dxa"/>
            <w:vAlign w:val="bottom"/>
          </w:tcPr>
          <w:p>
            <w:pPr>
              <w:jc w:val="center"/>
              <w:ind w:right="848"/>
              <w:spacing w:after="0"/>
              <w:rPr>
                <w:sz w:val="20"/>
                <w:szCs w:val="20"/>
                <w:color w:val="auto"/>
              </w:rPr>
            </w:pPr>
            <w:r>
              <w:rPr>
                <w:rFonts w:ascii="Times New Roman" w:cs="Times New Roman" w:eastAsia="Times New Roman" w:hAnsi="Times New Roman"/>
                <w:sz w:val="14"/>
                <w:szCs w:val="14"/>
                <w:color w:val="auto"/>
              </w:rPr>
              <w:t>Accelerated Filer o</w:t>
            </w:r>
          </w:p>
        </w:tc>
        <w:tc>
          <w:tcPr>
            <w:tcW w:w="2820" w:type="dxa"/>
            <w:vAlign w:val="bottom"/>
            <w:gridSpan w:val="2"/>
          </w:tcPr>
          <w:p>
            <w:pPr>
              <w:jc w:val="center"/>
              <w:ind w:left="288"/>
              <w:spacing w:after="0"/>
              <w:rPr>
                <w:sz w:val="20"/>
                <w:szCs w:val="20"/>
                <w:color w:val="auto"/>
              </w:rPr>
            </w:pPr>
            <w:r>
              <w:rPr>
                <w:rFonts w:ascii="Times New Roman" w:cs="Times New Roman" w:eastAsia="Times New Roman" w:hAnsi="Times New Roman"/>
                <w:sz w:val="14"/>
                <w:szCs w:val="14"/>
                <w:color w:val="auto"/>
              </w:rPr>
              <w:t>Large Accelerated Filer o</w:t>
            </w:r>
          </w:p>
        </w:tc>
        <w:tc>
          <w:tcPr>
            <w:tcW w:w="226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color w:val="auto"/>
              </w:rPr>
              <w:t>Accelerated Filer o</w:t>
            </w:r>
          </w:p>
        </w:tc>
      </w:tr>
      <w:tr>
        <w:trPr>
          <w:trHeight w:val="270"/>
        </w:trPr>
        <w:tc>
          <w:tcPr>
            <w:tcW w:w="2020" w:type="dxa"/>
            <w:vAlign w:val="bottom"/>
            <w:gridSpan w:val="2"/>
          </w:tcPr>
          <w:p>
            <w:pPr>
              <w:jc w:val="center"/>
              <w:ind w:right="508"/>
              <w:spacing w:after="0"/>
              <w:rPr>
                <w:sz w:val="20"/>
                <w:szCs w:val="20"/>
                <w:color w:val="auto"/>
              </w:rPr>
            </w:pPr>
            <w:r>
              <w:rPr>
                <w:rFonts w:ascii="Times New Roman" w:cs="Times New Roman" w:eastAsia="Times New Roman" w:hAnsi="Times New Roman"/>
                <w:sz w:val="14"/>
                <w:szCs w:val="14"/>
                <w:color w:val="auto"/>
              </w:rPr>
              <w:t>Non-accelerated Filer o</w:t>
            </w:r>
          </w:p>
        </w:tc>
        <w:tc>
          <w:tcPr>
            <w:tcW w:w="3160" w:type="dxa"/>
            <w:vAlign w:val="bottom"/>
            <w:gridSpan w:val="2"/>
          </w:tcPr>
          <w:p>
            <w:pPr>
              <w:jc w:val="center"/>
              <w:ind w:right="208"/>
              <w:spacing w:after="0"/>
              <w:rPr>
                <w:sz w:val="20"/>
                <w:szCs w:val="20"/>
                <w:color w:val="auto"/>
              </w:rPr>
            </w:pPr>
            <w:r>
              <w:rPr>
                <w:rFonts w:ascii="Times New Roman" w:cs="Times New Roman" w:eastAsia="Times New Roman" w:hAnsi="Times New Roman"/>
                <w:sz w:val="14"/>
                <w:szCs w:val="14"/>
                <w:color w:val="auto"/>
              </w:rPr>
              <w:t>Smaller Reporting Company o</w:t>
            </w:r>
          </w:p>
        </w:tc>
        <w:tc>
          <w:tcPr>
            <w:tcW w:w="2820" w:type="dxa"/>
            <w:vAlign w:val="bottom"/>
            <w:gridSpan w:val="2"/>
          </w:tcPr>
          <w:p>
            <w:pPr>
              <w:jc w:val="center"/>
              <w:ind w:left="288"/>
              <w:spacing w:after="0"/>
              <w:rPr>
                <w:sz w:val="20"/>
                <w:szCs w:val="20"/>
                <w:color w:val="auto"/>
              </w:rPr>
            </w:pPr>
            <w:r>
              <w:rPr>
                <w:rFonts w:ascii="Times New Roman" w:cs="Times New Roman" w:eastAsia="Times New Roman" w:hAnsi="Times New Roman"/>
                <w:sz w:val="14"/>
                <w:szCs w:val="14"/>
                <w:color w:val="auto"/>
              </w:rPr>
              <w:t>Non-accelerated Filer x</w:t>
            </w:r>
          </w:p>
        </w:tc>
        <w:tc>
          <w:tcPr>
            <w:tcW w:w="2260" w:type="dxa"/>
            <w:vAlign w:val="bottom"/>
            <w:gridSpan w:val="2"/>
          </w:tcPr>
          <w:p>
            <w:pPr>
              <w:jc w:val="center"/>
              <w:ind w:left="428"/>
              <w:spacing w:after="0"/>
              <w:rPr>
                <w:sz w:val="20"/>
                <w:szCs w:val="20"/>
                <w:color w:val="auto"/>
              </w:rPr>
            </w:pPr>
            <w:r>
              <w:rPr>
                <w:rFonts w:ascii="Times New Roman" w:cs="Times New Roman" w:eastAsia="Times New Roman" w:hAnsi="Times New Roman"/>
                <w:sz w:val="14"/>
                <w:szCs w:val="14"/>
                <w:color w:val="auto"/>
              </w:rPr>
              <w:t>Smaller Reporting Company o</w:t>
            </w:r>
          </w:p>
        </w:tc>
      </w:tr>
    </w:tbl>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114" w:lineRule="exact"/>
        <w:rPr>
          <w:sz w:val="24"/>
          <w:szCs w:val="24"/>
          <w:color w:val="auto"/>
        </w:rPr>
      </w:pPr>
    </w:p>
    <w:p>
      <w:pPr>
        <w:ind w:left="3920"/>
        <w:spacing w:after="0"/>
        <w:tabs>
          <w:tab w:leader="none" w:pos="6300" w:val="left"/>
        </w:tabs>
        <w:rPr>
          <w:sz w:val="20"/>
          <w:szCs w:val="20"/>
          <w:color w:val="auto"/>
        </w:rPr>
      </w:pPr>
      <w:r>
        <w:rPr>
          <w:rFonts w:ascii="Times New Roman" w:cs="Times New Roman" w:eastAsia="Times New Roman" w:hAnsi="Times New Roman"/>
          <w:sz w:val="14"/>
          <w:szCs w:val="14"/>
          <w:color w:val="auto"/>
        </w:rPr>
        <w:t xml:space="preserve">Icahn Enterprises L.P. Yes o No </w:t>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4"/>
          <w:szCs w:val="14"/>
          <w:color w:val="auto"/>
        </w:rPr>
        <w:t>Icahn Enterprises Holdings L.P. Yes o No x</w:t>
      </w:r>
    </w:p>
    <w:p>
      <w:pPr>
        <w:spacing w:after="0" w:line="126"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4"/>
          <w:szCs w:val="14"/>
          <w:color w:val="auto"/>
        </w:rPr>
        <w:t>The aggregate market value of Icahn Enterprises' depositary units held by non-affiliates of the registrant as of June 30, 2014, the last business day of the registrant's most recently completed second fiscal quarter, based upon the closing price of depositary units on the New York Stock Exchange Composite Tape on such date was $1,415 million.</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26, 2015, there were 123,103,414 of Icahn Enterprises' depositary units outstanding.</w:t>
      </w:r>
    </w:p>
    <w:p>
      <w:pPr>
        <w:sectPr>
          <w:pgSz w:w="11900" w:h="16838" w:orient="portrait"/>
          <w:cols w:equalWidth="0" w:num="1">
            <w:col w:w="11400"/>
          </w:cols>
          <w:pgMar w:left="240" w:top="225"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60" w:type="dxa"/>
            <w:vAlign w:val="bottom"/>
            <w:gridSpan w:val="9"/>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9"/>
              </w:rPr>
              <w:t>ICAHN ENTERPRISES L.P.</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80" w:type="dxa"/>
            <w:vAlign w:val="bottom"/>
            <w:gridSpan w:val="11"/>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ICAHN ENTERPRISES HOLDINGS L.P.</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00" w:type="dxa"/>
            <w:vAlign w:val="bottom"/>
            <w:gridSpan w:val="8"/>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56"/>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5"/>
        </w:trPr>
        <w:tc>
          <w:tcPr>
            <w:tcW w:w="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w:t>
            </w:r>
          </w:p>
        </w:tc>
      </w:tr>
      <w:tr>
        <w:trPr>
          <w:trHeight w:val="249"/>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7"/>
            <w:shd w:val="clear" w:color="auto" w:fill="CCEEFF"/>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gridSpan w:val="7"/>
          </w:tcPr>
          <w:p>
            <w:pPr>
              <w:ind w:left="4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9540" w:type="dxa"/>
            <w:vAlign w:val="bottom"/>
            <w:gridSpan w:val="21"/>
          </w:tcPr>
          <w:p>
            <w:pPr>
              <w:ind w:left="32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540" w:type="dxa"/>
            <w:vAlign w:val="bottom"/>
            <w:gridSpan w:val="5"/>
          </w:tcPr>
          <w:p>
            <w:pPr>
              <w:jc w:val="center"/>
              <w:ind w:left="271"/>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1A.</w:t>
              </w:r>
            </w:hyperlink>
          </w:p>
        </w:tc>
        <w:tc>
          <w:tcPr>
            <w:tcW w:w="9540" w:type="dxa"/>
            <w:vAlign w:val="bottom"/>
            <w:gridSpan w:val="21"/>
            <w:shd w:val="clear" w:color="auto" w:fill="CCEEFF"/>
          </w:tcPr>
          <w:p>
            <w:pPr>
              <w:ind w:left="320"/>
              <w:spacing w:after="0" w:line="202"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Risk Factors</w:t>
              </w:r>
            </w:hyperlink>
          </w:p>
        </w:tc>
        <w:tc>
          <w:tcPr>
            <w:tcW w:w="540" w:type="dxa"/>
            <w:vAlign w:val="bottom"/>
            <w:gridSpan w:val="5"/>
            <w:shd w:val="clear" w:color="auto" w:fill="CCEEFF"/>
          </w:tcPr>
          <w:p>
            <w:pPr>
              <w:jc w:val="center"/>
              <w:ind w:left="271"/>
              <w:spacing w:after="0" w:line="202"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24</w:t>
              </w:r>
            </w:hyperlink>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Item 1B.</w:t>
              </w:r>
            </w:hyperlink>
          </w:p>
        </w:tc>
        <w:tc>
          <w:tcPr>
            <w:tcW w:w="9540" w:type="dxa"/>
            <w:vAlign w:val="bottom"/>
            <w:gridSpan w:val="21"/>
          </w:tcPr>
          <w:p>
            <w:pPr>
              <w:ind w:left="320"/>
              <w:spacing w:after="0" w:line="202"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Unresolved Staff Comments</w:t>
              </w:r>
            </w:hyperlink>
          </w:p>
        </w:tc>
        <w:tc>
          <w:tcPr>
            <w:tcW w:w="540" w:type="dxa"/>
            <w:vAlign w:val="bottom"/>
            <w:gridSpan w:val="5"/>
          </w:tcPr>
          <w:p>
            <w:pPr>
              <w:jc w:val="center"/>
              <w:ind w:left="271"/>
              <w:spacing w:after="0" w:line="202" w:lineRule="exact"/>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86</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Item 2.</w:t>
              </w:r>
            </w:hyperlink>
          </w:p>
        </w:tc>
        <w:tc>
          <w:tcPr>
            <w:tcW w:w="9540" w:type="dxa"/>
            <w:vAlign w:val="bottom"/>
            <w:gridSpan w:val="21"/>
            <w:shd w:val="clear" w:color="auto" w:fill="CCEEFF"/>
          </w:tcPr>
          <w:p>
            <w:pPr>
              <w:ind w:left="320"/>
              <w:spacing w:after="0" w:line="202"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Properties</w:t>
              </w:r>
            </w:hyperlink>
          </w:p>
        </w:tc>
        <w:tc>
          <w:tcPr>
            <w:tcW w:w="540" w:type="dxa"/>
            <w:vAlign w:val="bottom"/>
            <w:gridSpan w:val="5"/>
            <w:shd w:val="clear" w:color="auto" w:fill="CCEEFF"/>
          </w:tcPr>
          <w:p>
            <w:pPr>
              <w:jc w:val="center"/>
              <w:ind w:left="271"/>
              <w:spacing w:after="0" w:line="202" w:lineRule="exact"/>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86</w:t>
              </w:r>
            </w:hyperlink>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Item 3.</w:t>
              </w:r>
            </w:hyperlink>
          </w:p>
        </w:tc>
        <w:tc>
          <w:tcPr>
            <w:tcW w:w="9540" w:type="dxa"/>
            <w:vAlign w:val="bottom"/>
            <w:gridSpan w:val="21"/>
          </w:tcPr>
          <w:p>
            <w:pPr>
              <w:ind w:left="320"/>
              <w:spacing w:after="0" w:line="202"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Legal Proceedings</w:t>
              </w:r>
            </w:hyperlink>
          </w:p>
        </w:tc>
        <w:tc>
          <w:tcPr>
            <w:tcW w:w="540" w:type="dxa"/>
            <w:vAlign w:val="bottom"/>
            <w:gridSpan w:val="5"/>
          </w:tcPr>
          <w:p>
            <w:pPr>
              <w:jc w:val="center"/>
              <w:ind w:left="271"/>
              <w:spacing w:after="0" w:line="202" w:lineRule="exact"/>
              <w:rPr>
                <w:rFonts w:ascii="Times New Roman" w:cs="Times New Roman" w:eastAsia="Times New Roman" w:hAnsi="Times New Roman"/>
                <w:sz w:val="18"/>
                <w:szCs w:val="18"/>
                <w:color w:val="0000EE"/>
                <w:w w:val="99"/>
              </w:rPr>
            </w:pPr>
            <w:hyperlink w:anchor="page90">
              <w:r>
                <w:rPr>
                  <w:rFonts w:ascii="Times New Roman" w:cs="Times New Roman" w:eastAsia="Times New Roman" w:hAnsi="Times New Roman"/>
                  <w:sz w:val="18"/>
                  <w:szCs w:val="18"/>
                  <w:color w:val="0000EE"/>
                  <w:w w:val="99"/>
                </w:rPr>
                <w:t>88</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50"/>
        </w:trPr>
        <w:tc>
          <w:tcPr>
            <w:tcW w:w="980" w:type="dxa"/>
            <w:vAlign w:val="bottom"/>
            <w:gridSpan w:val="7"/>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Item 4.</w:t>
              </w:r>
            </w:hyperlink>
          </w:p>
        </w:tc>
        <w:tc>
          <w:tcPr>
            <w:tcW w:w="9540" w:type="dxa"/>
            <w:vAlign w:val="bottom"/>
            <w:gridSpan w:val="21"/>
            <w:shd w:val="clear" w:color="auto" w:fill="CCEEFF"/>
          </w:tcPr>
          <w:p>
            <w:pPr>
              <w:ind w:left="320"/>
              <w:spacing w:after="0" w:line="202"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Mine Safety Disclosures</w:t>
              </w:r>
            </w:hyperlink>
          </w:p>
        </w:tc>
        <w:tc>
          <w:tcPr>
            <w:tcW w:w="540" w:type="dxa"/>
            <w:vAlign w:val="bottom"/>
            <w:gridSpan w:val="5"/>
            <w:shd w:val="clear" w:color="auto" w:fill="CCEEFF"/>
          </w:tcPr>
          <w:p>
            <w:pPr>
              <w:jc w:val="center"/>
              <w:ind w:left="271"/>
              <w:spacing w:after="0" w:line="202" w:lineRule="exact"/>
              <w:rPr>
                <w:rFonts w:ascii="Times New Roman" w:cs="Times New Roman" w:eastAsia="Times New Roman" w:hAnsi="Times New Roman"/>
                <w:sz w:val="18"/>
                <w:szCs w:val="18"/>
                <w:color w:val="0000EE"/>
                <w:w w:val="99"/>
              </w:rPr>
            </w:pPr>
            <w:hyperlink w:anchor="page90">
              <w:r>
                <w:rPr>
                  <w:rFonts w:ascii="Times New Roman" w:cs="Times New Roman" w:eastAsia="Times New Roman" w:hAnsi="Times New Roman"/>
                  <w:sz w:val="18"/>
                  <w:szCs w:val="18"/>
                  <w:color w:val="0000EE"/>
                  <w:w w:val="99"/>
                </w:rPr>
                <w:t>88</w:t>
              </w:r>
            </w:hyperlink>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7"/>
            <w:shd w:val="clear" w:color="auto" w:fill="CCEEFF"/>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gridSpan w:val="7"/>
          </w:tcPr>
          <w:p>
            <w:pPr>
              <w:ind w:left="40"/>
              <w:spacing w:after="0" w:line="202" w:lineRule="exact"/>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Item 5.</w:t>
              </w:r>
            </w:hyperlink>
          </w:p>
        </w:tc>
        <w:tc>
          <w:tcPr>
            <w:tcW w:w="9540" w:type="dxa"/>
            <w:vAlign w:val="bottom"/>
            <w:gridSpan w:val="21"/>
          </w:tcPr>
          <w:p>
            <w:pPr>
              <w:ind w:left="320"/>
              <w:spacing w:after="0" w:line="202" w:lineRule="exact"/>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Market for Registrant's Common Equity, Related Security Holder Matters and Issuer Purchases of Equity Securities</w:t>
              </w:r>
            </w:hyperlink>
          </w:p>
        </w:tc>
        <w:tc>
          <w:tcPr>
            <w:tcW w:w="540" w:type="dxa"/>
            <w:vAlign w:val="bottom"/>
            <w:gridSpan w:val="5"/>
          </w:tcPr>
          <w:p>
            <w:pPr>
              <w:jc w:val="center"/>
              <w:ind w:left="271"/>
              <w:spacing w:after="0" w:line="202" w:lineRule="exact"/>
              <w:rPr>
                <w:rFonts w:ascii="Times New Roman" w:cs="Times New Roman" w:eastAsia="Times New Roman" w:hAnsi="Times New Roman"/>
                <w:sz w:val="18"/>
                <w:szCs w:val="18"/>
                <w:color w:val="0000EE"/>
                <w:w w:val="99"/>
              </w:rPr>
            </w:pPr>
            <w:hyperlink w:anchor="page91">
              <w:r>
                <w:rPr>
                  <w:rFonts w:ascii="Times New Roman" w:cs="Times New Roman" w:eastAsia="Times New Roman" w:hAnsi="Times New Roman"/>
                  <w:sz w:val="18"/>
                  <w:szCs w:val="18"/>
                  <w:color w:val="0000EE"/>
                  <w:w w:val="99"/>
                </w:rPr>
                <w:t>89</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Item 6.</w:t>
              </w:r>
            </w:hyperlink>
          </w:p>
        </w:tc>
        <w:tc>
          <w:tcPr>
            <w:tcW w:w="9540" w:type="dxa"/>
            <w:vAlign w:val="bottom"/>
            <w:gridSpan w:val="21"/>
            <w:shd w:val="clear" w:color="auto" w:fill="CCEEFF"/>
          </w:tcPr>
          <w:p>
            <w:pPr>
              <w:ind w:left="320"/>
              <w:spacing w:after="0" w:line="202"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Selected Financial Data</w:t>
              </w:r>
            </w:hyperlink>
          </w:p>
        </w:tc>
        <w:tc>
          <w:tcPr>
            <w:tcW w:w="540" w:type="dxa"/>
            <w:vAlign w:val="bottom"/>
            <w:gridSpan w:val="5"/>
            <w:shd w:val="clear" w:color="auto" w:fill="CCEEFF"/>
          </w:tcPr>
          <w:p>
            <w:pPr>
              <w:jc w:val="center"/>
              <w:ind w:left="271"/>
              <w:spacing w:after="0" w:line="202" w:lineRule="exact"/>
              <w:rPr>
                <w:rFonts w:ascii="Times New Roman" w:cs="Times New Roman" w:eastAsia="Times New Roman" w:hAnsi="Times New Roman"/>
                <w:sz w:val="18"/>
                <w:szCs w:val="18"/>
                <w:color w:val="0000EE"/>
                <w:w w:val="99"/>
              </w:rPr>
            </w:pPr>
            <w:hyperlink w:anchor="page92">
              <w:r>
                <w:rPr>
                  <w:rFonts w:ascii="Times New Roman" w:cs="Times New Roman" w:eastAsia="Times New Roman" w:hAnsi="Times New Roman"/>
                  <w:sz w:val="18"/>
                  <w:szCs w:val="18"/>
                  <w:color w:val="0000EE"/>
                  <w:w w:val="99"/>
                </w:rPr>
                <w:t>90</w:t>
              </w:r>
            </w:hyperlink>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Item 7.</w:t>
              </w:r>
            </w:hyperlink>
          </w:p>
        </w:tc>
        <w:tc>
          <w:tcPr>
            <w:tcW w:w="9540" w:type="dxa"/>
            <w:vAlign w:val="bottom"/>
            <w:gridSpan w:val="21"/>
          </w:tcPr>
          <w:p>
            <w:pPr>
              <w:ind w:left="320"/>
              <w:spacing w:after="0" w:line="202"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40" w:type="dxa"/>
            <w:vAlign w:val="bottom"/>
            <w:gridSpan w:val="5"/>
          </w:tcPr>
          <w:p>
            <w:pPr>
              <w:jc w:val="center"/>
              <w:ind w:left="271"/>
              <w:spacing w:after="0" w:line="202" w:lineRule="exact"/>
              <w:rPr>
                <w:rFonts w:ascii="Times New Roman" w:cs="Times New Roman" w:eastAsia="Times New Roman" w:hAnsi="Times New Roman"/>
                <w:sz w:val="18"/>
                <w:szCs w:val="18"/>
                <w:color w:val="0000EE"/>
                <w:w w:val="99"/>
              </w:rPr>
            </w:pPr>
            <w:hyperlink w:anchor="page95">
              <w:r>
                <w:rPr>
                  <w:rFonts w:ascii="Times New Roman" w:cs="Times New Roman" w:eastAsia="Times New Roman" w:hAnsi="Times New Roman"/>
                  <w:sz w:val="18"/>
                  <w:szCs w:val="18"/>
                  <w:color w:val="0000EE"/>
                  <w:w w:val="99"/>
                </w:rPr>
                <w:t>94</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130">
              <w:r>
                <w:rPr>
                  <w:rFonts w:ascii="Times New Roman" w:cs="Times New Roman" w:eastAsia="Times New Roman" w:hAnsi="Times New Roman"/>
                  <w:sz w:val="18"/>
                  <w:szCs w:val="18"/>
                  <w:color w:val="0000EE"/>
                </w:rPr>
                <w:t>Item 7A.</w:t>
              </w:r>
            </w:hyperlink>
          </w:p>
        </w:tc>
        <w:tc>
          <w:tcPr>
            <w:tcW w:w="9540" w:type="dxa"/>
            <w:vAlign w:val="bottom"/>
            <w:gridSpan w:val="21"/>
            <w:shd w:val="clear" w:color="auto" w:fill="CCEEFF"/>
          </w:tcPr>
          <w:p>
            <w:pPr>
              <w:ind w:left="320"/>
              <w:spacing w:after="0" w:line="202" w:lineRule="exact"/>
              <w:rPr>
                <w:rFonts w:ascii="Times New Roman" w:cs="Times New Roman" w:eastAsia="Times New Roman" w:hAnsi="Times New Roman"/>
                <w:sz w:val="18"/>
                <w:szCs w:val="18"/>
                <w:color w:val="0000EE"/>
              </w:rPr>
            </w:pPr>
            <w:hyperlink w:anchor="page130">
              <w:r>
                <w:rPr>
                  <w:rFonts w:ascii="Times New Roman" w:cs="Times New Roman" w:eastAsia="Times New Roman" w:hAnsi="Times New Roman"/>
                  <w:sz w:val="18"/>
                  <w:szCs w:val="18"/>
                  <w:color w:val="0000EE"/>
                </w:rPr>
                <w:t>Quantitative and Qualitative Disclosures about Market Risk</w:t>
              </w:r>
            </w:hyperlink>
          </w:p>
        </w:tc>
        <w:tc>
          <w:tcPr>
            <w:tcW w:w="900" w:type="dxa"/>
            <w:vAlign w:val="bottom"/>
            <w:gridSpan w:val="7"/>
            <w:shd w:val="clear" w:color="auto" w:fill="CCEEFF"/>
          </w:tcPr>
          <w:p>
            <w:pPr>
              <w:jc w:val="center"/>
              <w:spacing w:after="0" w:line="202" w:lineRule="exact"/>
              <w:rPr>
                <w:rFonts w:ascii="Times New Roman" w:cs="Times New Roman" w:eastAsia="Times New Roman" w:hAnsi="Times New Roman"/>
                <w:sz w:val="18"/>
                <w:szCs w:val="18"/>
                <w:color w:val="0000EE"/>
                <w:w w:val="96"/>
              </w:rPr>
            </w:pPr>
            <w:hyperlink w:anchor="page130">
              <w:r>
                <w:rPr>
                  <w:rFonts w:ascii="Times New Roman" w:cs="Times New Roman" w:eastAsia="Times New Roman" w:hAnsi="Times New Roman"/>
                  <w:sz w:val="18"/>
                  <w:szCs w:val="18"/>
                  <w:color w:val="0000EE"/>
                  <w:w w:val="96"/>
                </w:rPr>
                <w:t>128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color w:val="0000EE"/>
                </w:rPr>
                <w:t>Item 8.</w:t>
              </w:r>
            </w:hyperlink>
          </w:p>
        </w:tc>
        <w:tc>
          <w:tcPr>
            <w:tcW w:w="9540" w:type="dxa"/>
            <w:vAlign w:val="bottom"/>
            <w:gridSpan w:val="21"/>
          </w:tcPr>
          <w:p>
            <w:pPr>
              <w:ind w:left="320"/>
              <w:spacing w:after="0" w:line="202" w:lineRule="exact"/>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color w:val="0000EE"/>
                </w:rPr>
                <w:t>Financial Statements and Supplementary Data</w:t>
              </w:r>
            </w:hyperlink>
          </w:p>
        </w:tc>
        <w:tc>
          <w:tcPr>
            <w:tcW w:w="900" w:type="dxa"/>
            <w:vAlign w:val="bottom"/>
            <w:gridSpan w:val="7"/>
          </w:tcPr>
          <w:p>
            <w:pPr>
              <w:jc w:val="center"/>
              <w:spacing w:after="0" w:line="202" w:lineRule="exact"/>
              <w:rPr>
                <w:rFonts w:ascii="Times New Roman" w:cs="Times New Roman" w:eastAsia="Times New Roman" w:hAnsi="Times New Roman"/>
                <w:sz w:val="18"/>
                <w:szCs w:val="18"/>
                <w:color w:val="0000EE"/>
                <w:w w:val="96"/>
              </w:rPr>
            </w:pPr>
            <w:hyperlink w:anchor="page133">
              <w:r>
                <w:rPr>
                  <w:rFonts w:ascii="Times New Roman" w:cs="Times New Roman" w:eastAsia="Times New Roman" w:hAnsi="Times New Roman"/>
                  <w:sz w:val="18"/>
                  <w:szCs w:val="18"/>
                  <w:color w:val="0000EE"/>
                  <w:w w:val="96"/>
                </w:rPr>
                <w:t>132</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231">
              <w:r>
                <w:rPr>
                  <w:rFonts w:ascii="Times New Roman" w:cs="Times New Roman" w:eastAsia="Times New Roman" w:hAnsi="Times New Roman"/>
                  <w:sz w:val="18"/>
                  <w:szCs w:val="18"/>
                  <w:color w:val="0000EE"/>
                </w:rPr>
                <w:t>Item 9.</w:t>
              </w:r>
            </w:hyperlink>
          </w:p>
        </w:tc>
        <w:tc>
          <w:tcPr>
            <w:tcW w:w="9540" w:type="dxa"/>
            <w:vAlign w:val="bottom"/>
            <w:gridSpan w:val="21"/>
            <w:shd w:val="clear" w:color="auto" w:fill="CCEEFF"/>
          </w:tcPr>
          <w:p>
            <w:pPr>
              <w:ind w:left="320"/>
              <w:spacing w:after="0" w:line="202" w:lineRule="exact"/>
              <w:rPr>
                <w:rFonts w:ascii="Times New Roman" w:cs="Times New Roman" w:eastAsia="Times New Roman" w:hAnsi="Times New Roman"/>
                <w:sz w:val="18"/>
                <w:szCs w:val="18"/>
                <w:color w:val="0000EE"/>
              </w:rPr>
            </w:pPr>
            <w:hyperlink w:anchor="page231">
              <w:r>
                <w:rPr>
                  <w:rFonts w:ascii="Times New Roman" w:cs="Times New Roman" w:eastAsia="Times New Roman" w:hAnsi="Times New Roman"/>
                  <w:sz w:val="18"/>
                  <w:szCs w:val="18"/>
                  <w:color w:val="0000EE"/>
                </w:rPr>
                <w:t>Changes In and Disagreements With Accountants on Accounting and Financial Disclosure</w:t>
              </w:r>
            </w:hyperlink>
          </w:p>
        </w:tc>
        <w:tc>
          <w:tcPr>
            <w:tcW w:w="900" w:type="dxa"/>
            <w:vAlign w:val="bottom"/>
            <w:gridSpan w:val="7"/>
            <w:shd w:val="clear" w:color="auto" w:fill="CCEEFF"/>
          </w:tcPr>
          <w:p>
            <w:pPr>
              <w:jc w:val="center"/>
              <w:spacing w:after="0" w:line="202" w:lineRule="exact"/>
              <w:rPr>
                <w:rFonts w:ascii="Times New Roman" w:cs="Times New Roman" w:eastAsia="Times New Roman" w:hAnsi="Times New Roman"/>
                <w:sz w:val="18"/>
                <w:szCs w:val="18"/>
                <w:color w:val="0000EE"/>
                <w:w w:val="96"/>
              </w:rPr>
            </w:pPr>
            <w:hyperlink w:anchor="page231">
              <w:r>
                <w:rPr>
                  <w:rFonts w:ascii="Times New Roman" w:cs="Times New Roman" w:eastAsia="Times New Roman" w:hAnsi="Times New Roman"/>
                  <w:sz w:val="18"/>
                  <w:szCs w:val="18"/>
                  <w:color w:val="0000EE"/>
                  <w:w w:val="96"/>
                </w:rPr>
                <w:t>229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Times New Roman" w:cs="Times New Roman" w:eastAsia="Times New Roman" w:hAnsi="Times New Roman"/>
                <w:sz w:val="18"/>
                <w:szCs w:val="18"/>
                <w:color w:val="0000EE"/>
              </w:rPr>
            </w:pPr>
            <w:hyperlink w:anchor="page232">
              <w:r>
                <w:rPr>
                  <w:rFonts w:ascii="Times New Roman" w:cs="Times New Roman" w:eastAsia="Times New Roman" w:hAnsi="Times New Roman"/>
                  <w:sz w:val="18"/>
                  <w:szCs w:val="18"/>
                  <w:color w:val="0000EE"/>
                </w:rPr>
                <w:t>Item 9A.</w:t>
              </w:r>
            </w:hyperlink>
          </w:p>
        </w:tc>
        <w:tc>
          <w:tcPr>
            <w:tcW w:w="9540" w:type="dxa"/>
            <w:vAlign w:val="bottom"/>
            <w:gridSpan w:val="21"/>
          </w:tcPr>
          <w:p>
            <w:pPr>
              <w:ind w:left="320"/>
              <w:spacing w:after="0" w:line="202" w:lineRule="exact"/>
              <w:rPr>
                <w:rFonts w:ascii="Times New Roman" w:cs="Times New Roman" w:eastAsia="Times New Roman" w:hAnsi="Times New Roman"/>
                <w:sz w:val="18"/>
                <w:szCs w:val="18"/>
                <w:color w:val="0000EE"/>
              </w:rPr>
            </w:pPr>
            <w:hyperlink w:anchor="page232">
              <w:r>
                <w:rPr>
                  <w:rFonts w:ascii="Times New Roman" w:cs="Times New Roman" w:eastAsia="Times New Roman" w:hAnsi="Times New Roman"/>
                  <w:sz w:val="18"/>
                  <w:szCs w:val="18"/>
                  <w:color w:val="0000EE"/>
                </w:rPr>
                <w:t>Controls and Procedures</w:t>
              </w:r>
            </w:hyperlink>
          </w:p>
        </w:tc>
        <w:tc>
          <w:tcPr>
            <w:tcW w:w="900" w:type="dxa"/>
            <w:vAlign w:val="bottom"/>
            <w:gridSpan w:val="7"/>
          </w:tcPr>
          <w:p>
            <w:pPr>
              <w:jc w:val="center"/>
              <w:spacing w:after="0" w:line="202" w:lineRule="exact"/>
              <w:rPr>
                <w:rFonts w:ascii="Times New Roman" w:cs="Times New Roman" w:eastAsia="Times New Roman" w:hAnsi="Times New Roman"/>
                <w:sz w:val="18"/>
                <w:szCs w:val="18"/>
                <w:color w:val="0000EE"/>
                <w:w w:val="96"/>
              </w:rPr>
            </w:pPr>
            <w:hyperlink w:anchor="page232">
              <w:r>
                <w:rPr>
                  <w:rFonts w:ascii="Times New Roman" w:cs="Times New Roman" w:eastAsia="Times New Roman" w:hAnsi="Times New Roman"/>
                  <w:sz w:val="18"/>
                  <w:szCs w:val="18"/>
                  <w:color w:val="0000EE"/>
                  <w:w w:val="96"/>
                </w:rPr>
                <w:t>229</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50"/>
        </w:trPr>
        <w:tc>
          <w:tcPr>
            <w:tcW w:w="980" w:type="dxa"/>
            <w:vAlign w:val="bottom"/>
            <w:gridSpan w:val="7"/>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233">
              <w:r>
                <w:rPr>
                  <w:rFonts w:ascii="Times New Roman" w:cs="Times New Roman" w:eastAsia="Times New Roman" w:hAnsi="Times New Roman"/>
                  <w:sz w:val="18"/>
                  <w:szCs w:val="18"/>
                  <w:color w:val="0000EE"/>
                </w:rPr>
                <w:t>Item 9B.</w:t>
              </w:r>
            </w:hyperlink>
          </w:p>
        </w:tc>
        <w:tc>
          <w:tcPr>
            <w:tcW w:w="9540" w:type="dxa"/>
            <w:vAlign w:val="bottom"/>
            <w:gridSpan w:val="21"/>
            <w:shd w:val="clear" w:color="auto" w:fill="CCEEFF"/>
          </w:tcPr>
          <w:p>
            <w:pPr>
              <w:ind w:left="320"/>
              <w:spacing w:after="0" w:line="202" w:lineRule="exact"/>
              <w:rPr>
                <w:rFonts w:ascii="Times New Roman" w:cs="Times New Roman" w:eastAsia="Times New Roman" w:hAnsi="Times New Roman"/>
                <w:sz w:val="18"/>
                <w:szCs w:val="18"/>
                <w:color w:val="0000EE"/>
              </w:rPr>
            </w:pPr>
            <w:hyperlink w:anchor="page233">
              <w:r>
                <w:rPr>
                  <w:rFonts w:ascii="Times New Roman" w:cs="Times New Roman" w:eastAsia="Times New Roman" w:hAnsi="Times New Roman"/>
                  <w:sz w:val="18"/>
                  <w:szCs w:val="18"/>
                  <w:color w:val="0000EE"/>
                </w:rPr>
                <w:t>Other Information</w:t>
              </w:r>
            </w:hyperlink>
          </w:p>
        </w:tc>
        <w:tc>
          <w:tcPr>
            <w:tcW w:w="900" w:type="dxa"/>
            <w:vAlign w:val="bottom"/>
            <w:gridSpan w:val="7"/>
            <w:shd w:val="clear" w:color="auto" w:fill="CCEEFF"/>
          </w:tcPr>
          <w:p>
            <w:pPr>
              <w:jc w:val="center"/>
              <w:spacing w:after="0" w:line="202" w:lineRule="exact"/>
              <w:rPr>
                <w:rFonts w:ascii="Times New Roman" w:cs="Times New Roman" w:eastAsia="Times New Roman" w:hAnsi="Times New Roman"/>
                <w:sz w:val="18"/>
                <w:szCs w:val="18"/>
                <w:color w:val="0000EE"/>
                <w:w w:val="96"/>
              </w:rPr>
            </w:pPr>
            <w:hyperlink w:anchor="page233">
              <w:r>
                <w:rPr>
                  <w:rFonts w:ascii="Times New Roman" w:cs="Times New Roman" w:eastAsia="Times New Roman" w:hAnsi="Times New Roman"/>
                  <w:sz w:val="18"/>
                  <w:szCs w:val="18"/>
                  <w:color w:val="0000EE"/>
                  <w:w w:val="96"/>
                </w:rPr>
                <w:t>231</w:t>
              </w:r>
            </w:hyperlink>
          </w:p>
        </w:tc>
      </w:tr>
      <w:tr>
        <w:trPr>
          <w:trHeight w:val="297"/>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7"/>
            <w:shd w:val="clear" w:color="auto" w:fill="CCEEFF"/>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gridSpan w:val="7"/>
          </w:tcPr>
          <w:p>
            <w:pPr>
              <w:ind w:left="40"/>
              <w:spacing w:after="0" w:line="202" w:lineRule="exact"/>
              <w:rPr>
                <w:rFonts w:ascii="Times New Roman" w:cs="Times New Roman" w:eastAsia="Times New Roman" w:hAnsi="Times New Roman"/>
                <w:sz w:val="18"/>
                <w:szCs w:val="18"/>
                <w:color w:val="0000EE"/>
              </w:rPr>
            </w:pPr>
            <w:hyperlink w:anchor="page235">
              <w:r>
                <w:rPr>
                  <w:rFonts w:ascii="Times New Roman" w:cs="Times New Roman" w:eastAsia="Times New Roman" w:hAnsi="Times New Roman"/>
                  <w:sz w:val="18"/>
                  <w:szCs w:val="18"/>
                  <w:color w:val="0000EE"/>
                </w:rPr>
                <w:t>Item 10.</w:t>
              </w:r>
            </w:hyperlink>
          </w:p>
        </w:tc>
        <w:tc>
          <w:tcPr>
            <w:tcW w:w="9540" w:type="dxa"/>
            <w:vAlign w:val="bottom"/>
            <w:gridSpan w:val="21"/>
          </w:tcPr>
          <w:p>
            <w:pPr>
              <w:ind w:left="320"/>
              <w:spacing w:after="0" w:line="202" w:lineRule="exact"/>
              <w:rPr>
                <w:rFonts w:ascii="Times New Roman" w:cs="Times New Roman" w:eastAsia="Times New Roman" w:hAnsi="Times New Roman"/>
                <w:sz w:val="18"/>
                <w:szCs w:val="18"/>
                <w:color w:val="0000EE"/>
              </w:rPr>
            </w:pPr>
            <w:hyperlink w:anchor="page235">
              <w:r>
                <w:rPr>
                  <w:rFonts w:ascii="Times New Roman" w:cs="Times New Roman" w:eastAsia="Times New Roman" w:hAnsi="Times New Roman"/>
                  <w:sz w:val="18"/>
                  <w:szCs w:val="18"/>
                  <w:color w:val="0000EE"/>
                </w:rPr>
                <w:t>Directors, Executive Officers and Corporate Governance</w:t>
              </w:r>
            </w:hyperlink>
          </w:p>
        </w:tc>
        <w:tc>
          <w:tcPr>
            <w:tcW w:w="900" w:type="dxa"/>
            <w:vAlign w:val="bottom"/>
            <w:gridSpan w:val="7"/>
          </w:tcPr>
          <w:p>
            <w:pPr>
              <w:jc w:val="center"/>
              <w:spacing w:after="0" w:line="202" w:lineRule="exact"/>
              <w:rPr>
                <w:rFonts w:ascii="Times New Roman" w:cs="Times New Roman" w:eastAsia="Times New Roman" w:hAnsi="Times New Roman"/>
                <w:sz w:val="18"/>
                <w:szCs w:val="18"/>
                <w:color w:val="0000EE"/>
                <w:w w:val="96"/>
              </w:rPr>
            </w:pPr>
            <w:hyperlink w:anchor="page235">
              <w:r>
                <w:rPr>
                  <w:rFonts w:ascii="Times New Roman" w:cs="Times New Roman" w:eastAsia="Times New Roman" w:hAnsi="Times New Roman"/>
                  <w:sz w:val="18"/>
                  <w:szCs w:val="18"/>
                  <w:color w:val="0000EE"/>
                  <w:w w:val="96"/>
                </w:rPr>
                <w:t>232</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240">
              <w:r>
                <w:rPr>
                  <w:rFonts w:ascii="Times New Roman" w:cs="Times New Roman" w:eastAsia="Times New Roman" w:hAnsi="Times New Roman"/>
                  <w:sz w:val="18"/>
                  <w:szCs w:val="18"/>
                  <w:color w:val="0000EE"/>
                </w:rPr>
                <w:t>Item 11.</w:t>
              </w:r>
            </w:hyperlink>
          </w:p>
        </w:tc>
        <w:tc>
          <w:tcPr>
            <w:tcW w:w="9540" w:type="dxa"/>
            <w:vAlign w:val="bottom"/>
            <w:gridSpan w:val="21"/>
            <w:shd w:val="clear" w:color="auto" w:fill="CCEEFF"/>
          </w:tcPr>
          <w:p>
            <w:pPr>
              <w:ind w:left="320"/>
              <w:spacing w:after="0" w:line="202" w:lineRule="exact"/>
              <w:rPr>
                <w:rFonts w:ascii="Times New Roman" w:cs="Times New Roman" w:eastAsia="Times New Roman" w:hAnsi="Times New Roman"/>
                <w:sz w:val="18"/>
                <w:szCs w:val="18"/>
                <w:color w:val="0000EE"/>
              </w:rPr>
            </w:pPr>
            <w:hyperlink w:anchor="page240">
              <w:r>
                <w:rPr>
                  <w:rFonts w:ascii="Times New Roman" w:cs="Times New Roman" w:eastAsia="Times New Roman" w:hAnsi="Times New Roman"/>
                  <w:sz w:val="18"/>
                  <w:szCs w:val="18"/>
                  <w:color w:val="0000EE"/>
                </w:rPr>
                <w:t>Executive Compensation</w:t>
              </w:r>
            </w:hyperlink>
          </w:p>
        </w:tc>
        <w:tc>
          <w:tcPr>
            <w:tcW w:w="900" w:type="dxa"/>
            <w:vAlign w:val="bottom"/>
            <w:gridSpan w:val="7"/>
            <w:shd w:val="clear" w:color="auto" w:fill="CCEEFF"/>
          </w:tcPr>
          <w:p>
            <w:pPr>
              <w:jc w:val="center"/>
              <w:spacing w:after="0" w:line="202" w:lineRule="exact"/>
              <w:rPr>
                <w:rFonts w:ascii="Times New Roman" w:cs="Times New Roman" w:eastAsia="Times New Roman" w:hAnsi="Times New Roman"/>
                <w:sz w:val="18"/>
                <w:szCs w:val="18"/>
                <w:color w:val="0000EE"/>
                <w:w w:val="96"/>
              </w:rPr>
            </w:pPr>
            <w:hyperlink w:anchor="page240">
              <w:r>
                <w:rPr>
                  <w:rFonts w:ascii="Times New Roman" w:cs="Times New Roman" w:eastAsia="Times New Roman" w:hAnsi="Times New Roman"/>
                  <w:sz w:val="18"/>
                  <w:szCs w:val="18"/>
                  <w:color w:val="0000EE"/>
                  <w:w w:val="96"/>
                </w:rPr>
                <w:t>237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Times New Roman" w:cs="Times New Roman" w:eastAsia="Times New Roman" w:hAnsi="Times New Roman"/>
                <w:sz w:val="18"/>
                <w:szCs w:val="18"/>
                <w:color w:val="0000EE"/>
              </w:rPr>
            </w:pPr>
            <w:hyperlink w:anchor="page247">
              <w:r>
                <w:rPr>
                  <w:rFonts w:ascii="Times New Roman" w:cs="Times New Roman" w:eastAsia="Times New Roman" w:hAnsi="Times New Roman"/>
                  <w:sz w:val="18"/>
                  <w:szCs w:val="18"/>
                  <w:color w:val="0000EE"/>
                </w:rPr>
                <w:t>Item 12.</w:t>
              </w:r>
            </w:hyperlink>
          </w:p>
        </w:tc>
        <w:tc>
          <w:tcPr>
            <w:tcW w:w="9540" w:type="dxa"/>
            <w:vAlign w:val="bottom"/>
            <w:gridSpan w:val="21"/>
          </w:tcPr>
          <w:p>
            <w:pPr>
              <w:ind w:left="320"/>
              <w:spacing w:after="0" w:line="202" w:lineRule="exact"/>
              <w:rPr>
                <w:rFonts w:ascii="Times New Roman" w:cs="Times New Roman" w:eastAsia="Times New Roman" w:hAnsi="Times New Roman"/>
                <w:sz w:val="18"/>
                <w:szCs w:val="18"/>
                <w:color w:val="0000EE"/>
              </w:rPr>
            </w:pPr>
            <w:hyperlink w:anchor="page247">
              <w:r>
                <w:rPr>
                  <w:rFonts w:ascii="Times New Roman" w:cs="Times New Roman" w:eastAsia="Times New Roman" w:hAnsi="Times New Roman"/>
                  <w:sz w:val="18"/>
                  <w:szCs w:val="18"/>
                  <w:color w:val="0000EE"/>
                </w:rPr>
                <w:t>Security Ownership of Certain Beneficial Owners and Management and Related Security Holder Matters</w:t>
              </w:r>
            </w:hyperlink>
          </w:p>
        </w:tc>
        <w:tc>
          <w:tcPr>
            <w:tcW w:w="900" w:type="dxa"/>
            <w:vAlign w:val="bottom"/>
            <w:gridSpan w:val="7"/>
          </w:tcPr>
          <w:p>
            <w:pPr>
              <w:jc w:val="center"/>
              <w:spacing w:after="0" w:line="202" w:lineRule="exact"/>
              <w:rPr>
                <w:rFonts w:ascii="Times New Roman" w:cs="Times New Roman" w:eastAsia="Times New Roman" w:hAnsi="Times New Roman"/>
                <w:sz w:val="18"/>
                <w:szCs w:val="18"/>
                <w:color w:val="0000EE"/>
                <w:w w:val="96"/>
              </w:rPr>
            </w:pPr>
            <w:hyperlink w:anchor="page247">
              <w:r>
                <w:rPr>
                  <w:rFonts w:ascii="Times New Roman" w:cs="Times New Roman" w:eastAsia="Times New Roman" w:hAnsi="Times New Roman"/>
                  <w:sz w:val="18"/>
                  <w:szCs w:val="18"/>
                  <w:color w:val="0000EE"/>
                  <w:w w:val="96"/>
                </w:rPr>
                <w:t>244</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4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248">
              <w:r>
                <w:rPr>
                  <w:rFonts w:ascii="Times New Roman" w:cs="Times New Roman" w:eastAsia="Times New Roman" w:hAnsi="Times New Roman"/>
                  <w:sz w:val="18"/>
                  <w:szCs w:val="18"/>
                  <w:color w:val="0000EE"/>
                </w:rPr>
                <w:t>Item 13.</w:t>
              </w:r>
            </w:hyperlink>
          </w:p>
        </w:tc>
        <w:tc>
          <w:tcPr>
            <w:tcW w:w="9540" w:type="dxa"/>
            <w:vAlign w:val="bottom"/>
            <w:gridSpan w:val="21"/>
            <w:shd w:val="clear" w:color="auto" w:fill="CCEEFF"/>
          </w:tcPr>
          <w:p>
            <w:pPr>
              <w:ind w:left="320"/>
              <w:spacing w:after="0" w:line="202" w:lineRule="exact"/>
              <w:rPr>
                <w:rFonts w:ascii="Times New Roman" w:cs="Times New Roman" w:eastAsia="Times New Roman" w:hAnsi="Times New Roman"/>
                <w:sz w:val="18"/>
                <w:szCs w:val="18"/>
                <w:color w:val="0000EE"/>
              </w:rPr>
            </w:pPr>
            <w:hyperlink w:anchor="page248">
              <w:r>
                <w:rPr>
                  <w:rFonts w:ascii="Times New Roman" w:cs="Times New Roman" w:eastAsia="Times New Roman" w:hAnsi="Times New Roman"/>
                  <w:sz w:val="18"/>
                  <w:szCs w:val="18"/>
                  <w:color w:val="0000EE"/>
                </w:rPr>
                <w:t>Certain Relationships and Related Transactions, and Director Independence</w:t>
              </w:r>
            </w:hyperlink>
          </w:p>
        </w:tc>
        <w:tc>
          <w:tcPr>
            <w:tcW w:w="900" w:type="dxa"/>
            <w:vAlign w:val="bottom"/>
            <w:gridSpan w:val="7"/>
            <w:shd w:val="clear" w:color="auto" w:fill="CCEEFF"/>
          </w:tcPr>
          <w:p>
            <w:pPr>
              <w:jc w:val="center"/>
              <w:spacing w:after="0" w:line="202" w:lineRule="exact"/>
              <w:rPr>
                <w:rFonts w:ascii="Times New Roman" w:cs="Times New Roman" w:eastAsia="Times New Roman" w:hAnsi="Times New Roman"/>
                <w:sz w:val="18"/>
                <w:szCs w:val="18"/>
                <w:color w:val="0000EE"/>
                <w:w w:val="96"/>
              </w:rPr>
            </w:pPr>
            <w:hyperlink w:anchor="page248">
              <w:r>
                <w:rPr>
                  <w:rFonts w:ascii="Times New Roman" w:cs="Times New Roman" w:eastAsia="Times New Roman" w:hAnsi="Times New Roman"/>
                  <w:sz w:val="18"/>
                  <w:szCs w:val="18"/>
                  <w:color w:val="0000EE"/>
                  <w:w w:val="96"/>
                </w:rPr>
                <w:t>245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Times New Roman" w:cs="Times New Roman" w:eastAsia="Times New Roman" w:hAnsi="Times New Roman"/>
                <w:sz w:val="18"/>
                <w:szCs w:val="18"/>
                <w:color w:val="0000EE"/>
              </w:rPr>
            </w:pPr>
            <w:hyperlink w:anchor="page253">
              <w:r>
                <w:rPr>
                  <w:rFonts w:ascii="Times New Roman" w:cs="Times New Roman" w:eastAsia="Times New Roman" w:hAnsi="Times New Roman"/>
                  <w:sz w:val="18"/>
                  <w:szCs w:val="18"/>
                  <w:color w:val="0000EE"/>
                </w:rPr>
                <w:t>Item 14.</w:t>
              </w:r>
            </w:hyperlink>
          </w:p>
        </w:tc>
        <w:tc>
          <w:tcPr>
            <w:tcW w:w="9540" w:type="dxa"/>
            <w:vAlign w:val="bottom"/>
            <w:gridSpan w:val="21"/>
          </w:tcPr>
          <w:p>
            <w:pPr>
              <w:ind w:left="320"/>
              <w:spacing w:after="0" w:line="202" w:lineRule="exact"/>
              <w:rPr>
                <w:rFonts w:ascii="Times New Roman" w:cs="Times New Roman" w:eastAsia="Times New Roman" w:hAnsi="Times New Roman"/>
                <w:sz w:val="18"/>
                <w:szCs w:val="18"/>
                <w:color w:val="0000EE"/>
              </w:rPr>
            </w:pPr>
            <w:hyperlink w:anchor="page253">
              <w:r>
                <w:rPr>
                  <w:rFonts w:ascii="Times New Roman" w:cs="Times New Roman" w:eastAsia="Times New Roman" w:hAnsi="Times New Roman"/>
                  <w:sz w:val="18"/>
                  <w:szCs w:val="18"/>
                  <w:color w:val="0000EE"/>
                </w:rPr>
                <w:t>Principal Accountant Fees and Services</w:t>
              </w:r>
            </w:hyperlink>
          </w:p>
        </w:tc>
        <w:tc>
          <w:tcPr>
            <w:tcW w:w="900" w:type="dxa"/>
            <w:vAlign w:val="bottom"/>
            <w:gridSpan w:val="7"/>
          </w:tcPr>
          <w:p>
            <w:pPr>
              <w:jc w:val="center"/>
              <w:spacing w:after="0" w:line="202" w:lineRule="exact"/>
              <w:rPr>
                <w:rFonts w:ascii="Times New Roman" w:cs="Times New Roman" w:eastAsia="Times New Roman" w:hAnsi="Times New Roman"/>
                <w:sz w:val="18"/>
                <w:szCs w:val="18"/>
                <w:color w:val="0000EE"/>
                <w:w w:val="96"/>
              </w:rPr>
            </w:pPr>
            <w:hyperlink w:anchor="page253">
              <w:r>
                <w:rPr>
                  <w:rFonts w:ascii="Times New Roman" w:cs="Times New Roman" w:eastAsia="Times New Roman" w:hAnsi="Times New Roman"/>
                  <w:sz w:val="18"/>
                  <w:szCs w:val="18"/>
                  <w:color w:val="0000EE"/>
                  <w:w w:val="96"/>
                </w:rPr>
                <w:t>250</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97"/>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14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3"/>
        </w:trPr>
        <w:tc>
          <w:tcPr>
            <w:tcW w:w="980" w:type="dxa"/>
            <w:vAlign w:val="bottom"/>
            <w:gridSpan w:val="7"/>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254">
              <w:r>
                <w:rPr>
                  <w:rFonts w:ascii="Times New Roman" w:cs="Times New Roman" w:eastAsia="Times New Roman" w:hAnsi="Times New Roman"/>
                  <w:sz w:val="18"/>
                  <w:szCs w:val="18"/>
                  <w:color w:val="0000EE"/>
                </w:rPr>
                <w:t>Item 15.</w:t>
              </w:r>
            </w:hyperlink>
          </w:p>
        </w:tc>
        <w:tc>
          <w:tcPr>
            <w:tcW w:w="9540" w:type="dxa"/>
            <w:vAlign w:val="bottom"/>
            <w:gridSpan w:val="21"/>
            <w:shd w:val="clear" w:color="auto" w:fill="CCEEFF"/>
          </w:tcPr>
          <w:p>
            <w:pPr>
              <w:ind w:left="320"/>
              <w:spacing w:after="0" w:line="202" w:lineRule="exact"/>
              <w:rPr>
                <w:rFonts w:ascii="Times New Roman" w:cs="Times New Roman" w:eastAsia="Times New Roman" w:hAnsi="Times New Roman"/>
                <w:sz w:val="18"/>
                <w:szCs w:val="18"/>
                <w:color w:val="0000EE"/>
              </w:rPr>
            </w:pPr>
            <w:hyperlink w:anchor="page254">
              <w:r>
                <w:rPr>
                  <w:rFonts w:ascii="Times New Roman" w:cs="Times New Roman" w:eastAsia="Times New Roman" w:hAnsi="Times New Roman"/>
                  <w:sz w:val="18"/>
                  <w:szCs w:val="18"/>
                  <w:color w:val="0000EE"/>
                </w:rPr>
                <w:t>Exhibits and Financial Statement Schedules</w:t>
              </w:r>
            </w:hyperlink>
          </w:p>
        </w:tc>
        <w:tc>
          <w:tcPr>
            <w:tcW w:w="900" w:type="dxa"/>
            <w:vAlign w:val="bottom"/>
            <w:gridSpan w:val="7"/>
            <w:shd w:val="clear" w:color="auto" w:fill="CCEEFF"/>
          </w:tcPr>
          <w:p>
            <w:pPr>
              <w:jc w:val="center"/>
              <w:spacing w:after="0" w:line="202" w:lineRule="exact"/>
              <w:rPr>
                <w:rFonts w:ascii="Times New Roman" w:cs="Times New Roman" w:eastAsia="Times New Roman" w:hAnsi="Times New Roman"/>
                <w:sz w:val="18"/>
                <w:szCs w:val="18"/>
                <w:color w:val="0000EE"/>
                <w:w w:val="96"/>
              </w:rPr>
            </w:pPr>
            <w:hyperlink w:anchor="page254">
              <w:r>
                <w:rPr>
                  <w:rFonts w:ascii="Times New Roman" w:cs="Times New Roman" w:eastAsia="Times New Roman" w:hAnsi="Times New Roman"/>
                  <w:sz w:val="18"/>
                  <w:szCs w:val="18"/>
                  <w:color w:val="0000EE"/>
                  <w:w w:val="96"/>
                </w:rPr>
                <w:t>251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360"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This Annual Report on Form 10-K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firstLine="378"/>
        <w:spacing w:after="0" w:line="266" w:lineRule="auto"/>
        <w:rPr>
          <w:sz w:val="20"/>
          <w:szCs w:val="20"/>
          <w:color w:val="auto"/>
        </w:rPr>
      </w:pPr>
      <w:r>
        <w:rPr>
          <w:rFonts w:ascii="Times New Roman" w:cs="Times New Roman" w:eastAsia="Times New Roman" w:hAnsi="Times New Roman"/>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68"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10, "Debt," to the consolidated financial statements, and to the allocation of the general partner interest, which is reflected as an aggregate 1.99% general partner interest in the financial statements of Icahn Enterprises. In addition to the above, as of February 26, 2015, Mr. Icahn and his affiliates owned 108,810,845, or approximately 88.4%, of Icahn Enterprises' outstanding depositary units.</w:t>
      </w:r>
    </w:p>
    <w:p>
      <w:pPr>
        <w:spacing w:after="0" w:line="81" w:lineRule="exact"/>
        <w:rPr>
          <w:sz w:val="20"/>
          <w:szCs w:val="20"/>
          <w:color w:val="auto"/>
        </w:rPr>
      </w:pPr>
    </w:p>
    <w:p>
      <w:pPr>
        <w:jc w:val="both"/>
        <w:ind w:right="160" w:firstLine="378"/>
        <w:spacing w:after="0" w:line="266" w:lineRule="auto"/>
        <w:rPr>
          <w:sz w:val="20"/>
          <w:szCs w:val="20"/>
          <w:color w:val="auto"/>
        </w:rPr>
      </w:pPr>
      <w:r>
        <w:rPr>
          <w:rFonts w:ascii="Times New Roman" w:cs="Times New Roman" w:eastAsia="Times New Roman" w:hAnsi="Times New Roman"/>
          <w:sz w:val="18"/>
          <w:szCs w:val="18"/>
          <w:color w:val="auto"/>
        </w:rPr>
        <w:t>Mr. Icahn's estate has been designed to assure the stability and continuation of Icahn Enterprises with no need to monetize his interests for estate tax or other purposes. In the event of Mr. Icahn's death, control of Mr. Icahn's interests in Icahn Enterprises and its general partner will be placed in charitable and other trusts under the control of senior Icahn Enterprises executives and family members.</w:t>
      </w:r>
    </w:p>
    <w:p>
      <w:pPr>
        <w:spacing w:after="0" w:line="68"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We are a diversified holding company owning subsidiaries currently engaged in the following continuing operating businesses: Investment, Automotive, Energy, Metals, Railcar, Gaming, Food Packaging, Real Estate and Home Fashion. Segment and geographic information for our reporting segments, as of December 31, 2014 and 2013 and for each of the three years ended December 31, 2014 is presented in Note 13, “Segment and Geographic Reporting,” to the consolidated financial statements, included in Item 8 of this Report. Also, refer to Note 3, “Operating Units,” for additional information for each of our reporting segments.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 and Core Strengths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Icahn Strategy</w:t>
      </w:r>
    </w:p>
    <w:p>
      <w:pPr>
        <w:spacing w:after="0" w:line="121" w:lineRule="exact"/>
        <w:rPr>
          <w:sz w:val="20"/>
          <w:szCs w:val="20"/>
          <w:color w:val="auto"/>
        </w:rPr>
      </w:pPr>
    </w:p>
    <w:p>
      <w:pPr>
        <w:ind w:right="100" w:firstLine="378"/>
        <w:spacing w:after="0" w:line="256" w:lineRule="auto"/>
        <w:rPr>
          <w:sz w:val="20"/>
          <w:szCs w:val="20"/>
          <w:color w:val="auto"/>
        </w:rPr>
      </w:pPr>
      <w:r>
        <w:rPr>
          <w:rFonts w:ascii="Times New Roman" w:cs="Times New Roman" w:eastAsia="Times New Roman" w:hAnsi="Times New Roman"/>
          <w:sz w:val="18"/>
          <w:szCs w:val="18"/>
          <w:color w:val="auto"/>
        </w:rPr>
        <w:t>Across all of our businesses, our success is based on a simple formula: we seek to find undervalued companies in the Graham &amp; Dodd tradition, a methodology for valuing stocks that primarily looks for deeply depressed prices. However, while the typical Graham &amp; Dodd value investor purchases undervalued securities and waits for results, we often become actively involved in the companies we target. That activity may involve a broad range of approaches, from influencing the management of a target to take steps to improve shareholder value, to acquiring a controlling interest or outright ownership of the target company in order to implement changes that we believe are required to improve its business, and then operating and expanding that business. This activism has brought about very strong returns over the years.</w:t>
      </w:r>
    </w:p>
    <w:p>
      <w:pPr>
        <w:spacing w:after="0" w:line="80" w:lineRule="exact"/>
        <w:rPr>
          <w:sz w:val="20"/>
          <w:szCs w:val="20"/>
          <w:color w:val="auto"/>
        </w:rPr>
      </w:pPr>
    </w:p>
    <w:p>
      <w:pPr>
        <w:ind w:right="200" w:firstLine="378"/>
        <w:spacing w:after="0" w:line="256" w:lineRule="auto"/>
        <w:rPr>
          <w:sz w:val="20"/>
          <w:szCs w:val="20"/>
          <w:color w:val="auto"/>
        </w:rPr>
      </w:pPr>
      <w:r>
        <w:rPr>
          <w:rFonts w:ascii="Times New Roman" w:cs="Times New Roman" w:eastAsia="Times New Roman" w:hAnsi="Times New Roman"/>
          <w:sz w:val="18"/>
          <w:szCs w:val="18"/>
          <w:color w:val="auto"/>
        </w:rPr>
        <w:t>Today, we are a diversified holding company owning subsidiaries engaged in the following operating businesses: Investment, Automotive, Energy, Metals, Railcar, Gaming, Food Packaging, Real Estate and Home Fashion. Through our Investment segment, as of December 31, 2014, we have significant positions in various investments, which include Apple Inc. (AAPL), eBay Inc. (EBAY), Chesapeake Energy (CHK), Hertz Global Holdings, Inc. (HTZ), Hologic Inc. (HOLX), Nuance Communications, Inc. (NUAN), Herbalife Ltd. (HLF), Talisman Energy Inc. (TLM), Navistar International Corp. (NAV), Netflix (NFLX), Gannett Co., Inc. (GCI), Transocean Ltd. (RIG), Mentor Graphics Corporation (MENT), Manitowoc Company Inc. (MTW) and Seventy Seven Energy Inc. (SSE).</w:t>
      </w:r>
    </w:p>
    <w:p>
      <w:pPr>
        <w:spacing w:after="0" w:line="80"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Several of our operating businesses started out as investment positions in debt or equity securities, held either directly by our Investment segment or Mr. Icahn. Those positions ultimately resulted in control or complete ownership of the target company. In 2012, we acquired a controlling interest in CVR Energy, Inc. (‘‘CVR’’) which started out as a position in our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360" w:right="259" w:bottom="1440" w:gutter="0" w:footer="0" w:header="0"/>
        </w:sectPr>
      </w:pPr>
    </w:p>
    <w:bookmarkStart w:id="3" w:name="page4"/>
    <w:bookmarkEnd w:id="3"/>
    <w:p>
      <w:pPr>
        <w:ind w:right="260"/>
        <w:spacing w:after="0" w:line="258" w:lineRule="auto"/>
        <w:rPr>
          <w:sz w:val="20"/>
          <w:szCs w:val="20"/>
          <w:color w:val="auto"/>
        </w:rPr>
      </w:pPr>
      <w:r>
        <w:rPr>
          <w:rFonts w:ascii="Times New Roman" w:cs="Times New Roman" w:eastAsia="Times New Roman" w:hAnsi="Times New Roman"/>
          <w:sz w:val="18"/>
          <w:szCs w:val="18"/>
          <w:color w:val="auto"/>
        </w:rPr>
        <w:t>Investment segment and is now an operating subsidiary that comprises our Energy segment. As of December 31, 2014, based on the closing sale price of CVR stock and distributions since we acquired control, we had a gain of approximately $2.0 billion on our purchase of CVR. The acquisition of CVR, like our other operating subsidiaries, reflects our opportunistic approach to value creation, through which returns may be obtained by, among other things, promoting change through minority positions at targeted companies in our Investment segment or by acquiring control of those target companies that we believe we could run more profitably ourselves.</w:t>
      </w:r>
    </w:p>
    <w:p>
      <w:pPr>
        <w:spacing w:after="0" w:line="76" w:lineRule="exact"/>
        <w:rPr>
          <w:sz w:val="20"/>
          <w:szCs w:val="20"/>
          <w:color w:val="auto"/>
        </w:rPr>
      </w:pPr>
    </w:p>
    <w:p>
      <w:pPr>
        <w:ind w:right="60" w:firstLine="378"/>
        <w:spacing w:after="0" w:line="258" w:lineRule="auto"/>
        <w:rPr>
          <w:sz w:val="20"/>
          <w:szCs w:val="20"/>
          <w:color w:val="auto"/>
        </w:rPr>
      </w:pPr>
      <w:r>
        <w:rPr>
          <w:rFonts w:ascii="Times New Roman" w:cs="Times New Roman" w:eastAsia="Times New Roman" w:hAnsi="Times New Roman"/>
          <w:sz w:val="18"/>
          <w:szCs w:val="18"/>
          <w:color w:val="auto"/>
        </w:rPr>
        <w:t>In 2000, we began to expand our business beyond our traditional real estate activities, and to fully embrace our activist strategy. On January 1, 2000, the closing sale price of our depositary units was $7.625 per depositary unit. On December 31, 2014, our depositary units closed at $92.47 per depositary unit, representing an increase of approximately 1,476% since January 1, 2000 (including reinvestment of distributions into additional depositary units and taking into account in-kind distributions of depositary units). Comparatively, the S&amp;P 500, Dow Jones Industrial and Russell 2000 indices increased approximately 86%, 122% and 190%, respectively, over the same period (including reinvestment of distributions into those indices).</w:t>
      </w:r>
    </w:p>
    <w:p>
      <w:pPr>
        <w:spacing w:after="0" w:line="76"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During the next several years, we see a favorable opportunity to follow an activist strategy that centers on the purchase of target stock and the subsequent removal of any barriers that might interfere with a friendly purchase offer from a strong buyer. Alternatively, in appropriate circumstances, we or our subsidiaries may become the buyer of target companies, adding them to our portfolio of operating subsidiaries, thereby expanding our operations through such opportunistic acquisitions. We believe that the companies that we target for our activist activities are undervalued for many reasons, often including inept management. Unfortunately for the individual investor, in particular, and the economy, in general, many poor management teams are often unaccountable and very difficult to remove.</w:t>
      </w:r>
    </w:p>
    <w:p>
      <w:pPr>
        <w:spacing w:after="0" w:line="80"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Unlike the individual investor, we have the wherewithal to purchase companies that we feel we can operate more effectively than incumbent management. In addition, through our Investment segment, we are in a position to pursue our activist strategy by purchasing stock or debt positions and trying to promulgate change through a variety of activist approaches, ranging from speaking and negotiating with the board and CEO to proxy fights, tender offers and taking control. We work diligently to enhance value for all shareholders and we believe that the best way to do this is to make underperforming management teams and boards accountable or to replace them.</w:t>
      </w:r>
    </w:p>
    <w:p>
      <w:pPr>
        <w:spacing w:after="0" w:line="76" w:lineRule="exact"/>
        <w:rPr>
          <w:sz w:val="20"/>
          <w:szCs w:val="20"/>
          <w:color w:val="auto"/>
        </w:rPr>
      </w:pPr>
    </w:p>
    <w:p>
      <w:pPr>
        <w:ind w:right="160" w:firstLine="378"/>
        <w:spacing w:after="0" w:line="266" w:lineRule="auto"/>
        <w:rPr>
          <w:sz w:val="20"/>
          <w:szCs w:val="20"/>
          <w:color w:val="auto"/>
        </w:rPr>
      </w:pPr>
      <w:r>
        <w:rPr>
          <w:rFonts w:ascii="Times New Roman" w:cs="Times New Roman" w:eastAsia="Times New Roman" w:hAnsi="Times New Roman"/>
          <w:sz w:val="18"/>
          <w:szCs w:val="18"/>
          <w:color w:val="auto"/>
        </w:rPr>
        <w:t>The Chairman of the Board of our general partner, Carl C. Icahn, has been an activist investor since 1980. Mr. Icahn believes that the current environment continues to be conducive to activism. Many major companies have substantial amounts of cash. We believe that they are hoarding cash, rather than spending it, because they do not believe investments in their business will translate to earnings.</w:t>
      </w:r>
    </w:p>
    <w:p>
      <w:pPr>
        <w:spacing w:after="0" w:line="68" w:lineRule="exact"/>
        <w:rPr>
          <w:sz w:val="20"/>
          <w:szCs w:val="20"/>
          <w:color w:val="auto"/>
        </w:rPr>
      </w:pPr>
    </w:p>
    <w:p>
      <w:pPr>
        <w:ind w:right="100" w:firstLine="378"/>
        <w:spacing w:after="0" w:line="256" w:lineRule="auto"/>
        <w:rPr>
          <w:sz w:val="20"/>
          <w:szCs w:val="20"/>
          <w:color w:val="auto"/>
        </w:rPr>
      </w:pPr>
      <w:r>
        <w:rPr>
          <w:rFonts w:ascii="Times New Roman" w:cs="Times New Roman" w:eastAsia="Times New Roman" w:hAnsi="Times New Roman"/>
          <w:sz w:val="18"/>
          <w:szCs w:val="18"/>
          <w:color w:val="auto"/>
        </w:rPr>
        <w:t>We believe that one of the best ways for many cash-rich companies to achieve increased earnings is to use their large amounts of excess cash, together with advantageous borrowing opportunities, to purchase other companies in their industries and take advantage of the meaningful synergies that could result. In our opinion, the CEOs and Boards of Directors of undervalued companies that would be acquisition targets are the major road blocks to this logical use of assets to increase value, because we believe those CEOs and boards are not willing to give up their power and perquisites, even if they have done a poor job in administering the companies they have been running. In addition, acquirers are often unwilling to undertake the arduous task of launching a hostile campaign. This is precisely the situation in which a strong activist catalyst is necessary.</w:t>
      </w:r>
    </w:p>
    <w:p>
      <w:pPr>
        <w:spacing w:after="0" w:line="80" w:lineRule="exact"/>
        <w:rPr>
          <w:sz w:val="20"/>
          <w:szCs w:val="20"/>
          <w:color w:val="auto"/>
        </w:rPr>
      </w:pPr>
    </w:p>
    <w:p>
      <w:pPr>
        <w:ind w:right="80" w:firstLine="378"/>
        <w:spacing w:after="0" w:line="256" w:lineRule="auto"/>
        <w:rPr>
          <w:sz w:val="20"/>
          <w:szCs w:val="20"/>
          <w:color w:val="auto"/>
        </w:rPr>
      </w:pPr>
      <w:r>
        <w:rPr>
          <w:rFonts w:ascii="Times New Roman" w:cs="Times New Roman" w:eastAsia="Times New Roman" w:hAnsi="Times New Roman"/>
          <w:sz w:val="18"/>
          <w:szCs w:val="18"/>
          <w:color w:val="auto"/>
        </w:rPr>
        <w:t>We believe that the activist catalyst adds value because, for companies with strong balance sheets, acquisition of their weaker industry rivals is often extremely compelling financially. We further believe that there are many transactions that make economic sense, even at a large premium over market. Acquirers can use their excess cash, that is earning a very low return, and/or borrow at the advantageous interest rates now available, to acquire a target company. In either case, an acquirer can add the target company’s earnings and the income from synergies to the acquirer’s bottom line, at a relatively low cost. But for these potential acquirers to act, the target company must be willing to at least entertain an offer. We believe that often the activist can step in and remove the obstacles that a target may seek to use to prevent an acquisition.</w:t>
      </w:r>
    </w:p>
    <w:p>
      <w:pPr>
        <w:spacing w:after="0" w:line="80" w:lineRule="exact"/>
        <w:rPr>
          <w:sz w:val="20"/>
          <w:szCs w:val="20"/>
          <w:color w:val="auto"/>
        </w:rPr>
      </w:pPr>
    </w:p>
    <w:p>
      <w:pPr>
        <w:ind w:right="60" w:firstLine="378"/>
        <w:spacing w:after="0" w:line="261" w:lineRule="auto"/>
        <w:rPr>
          <w:sz w:val="20"/>
          <w:szCs w:val="20"/>
          <w:color w:val="auto"/>
        </w:rPr>
      </w:pPr>
      <w:r>
        <w:rPr>
          <w:rFonts w:ascii="Times New Roman" w:cs="Times New Roman" w:eastAsia="Times New Roman" w:hAnsi="Times New Roman"/>
          <w:sz w:val="18"/>
          <w:szCs w:val="18"/>
          <w:color w:val="auto"/>
        </w:rPr>
        <w:t>It is our belief that our strategy will continue to produce strong results into the future, and that belief is reflected in the action of the board of directors of our general partner, which announced in March 2014, a decision to modify our distribution policy to increase our annual distribution to $6.00 per depositary unit. We believe that the strong cash flow and asset coverage from our operating segments will allow us to maintain a strong balance sheet and ample liquidity.</w:t>
      </w:r>
    </w:p>
    <w:p>
      <w:pPr>
        <w:spacing w:after="0" w:line="72" w:lineRule="exact"/>
        <w:rPr>
          <w:sz w:val="20"/>
          <w:szCs w:val="20"/>
          <w:color w:val="auto"/>
        </w:rPr>
      </w:pPr>
    </w:p>
    <w:p>
      <w:pPr>
        <w:jc w:val="both"/>
        <w:ind w:right="160" w:firstLine="378"/>
        <w:spacing w:after="0" w:line="266" w:lineRule="auto"/>
        <w:rPr>
          <w:sz w:val="20"/>
          <w:szCs w:val="20"/>
          <w:color w:val="auto"/>
        </w:rPr>
      </w:pPr>
      <w:r>
        <w:rPr>
          <w:rFonts w:ascii="Times New Roman" w:cs="Times New Roman" w:eastAsia="Times New Roman" w:hAnsi="Times New Roman"/>
          <w:sz w:val="18"/>
          <w:szCs w:val="18"/>
          <w:color w:val="auto"/>
        </w:rPr>
        <w:t>In our view Icahn Enterprises is in a virtuous cycle. We believe that our depositary units will give us another powerful activist tool, allowing us both to use our depositary units as currency for tender offers and acquisitions (both hostile and friendly) where appropriate. All of these factors will, in our opinion, contribute to making our activism even more efficacious, which we expect to enhance our results and stock value.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Strengths</w:t>
      </w:r>
    </w:p>
    <w:p>
      <w:pPr>
        <w:spacing w:after="0" w:line="121" w:lineRule="exact"/>
        <w:rPr>
          <w:sz w:val="20"/>
          <w:szCs w:val="20"/>
          <w:color w:val="auto"/>
        </w:rPr>
      </w:pPr>
    </w:p>
    <w:p>
      <w:pPr>
        <w:ind w:right="620" w:firstLine="378"/>
        <w:spacing w:after="0" w:line="282" w:lineRule="auto"/>
        <w:rPr>
          <w:sz w:val="20"/>
          <w:szCs w:val="20"/>
          <w:color w:val="auto"/>
        </w:rPr>
      </w:pPr>
      <w:r>
        <w:rPr>
          <w:rFonts w:ascii="Times New Roman" w:cs="Times New Roman" w:eastAsia="Times New Roman" w:hAnsi="Times New Roman"/>
          <w:sz w:val="18"/>
          <w:szCs w:val="18"/>
          <w:color w:val="auto"/>
        </w:rPr>
        <w:t>We believe that our core strengths include: identifying and acquiring undervalued assets and businesses, often through the purchase of distressed securities; increasing value through management, financial or other operational changes; and managing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72"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complex legal, regulatory or financial issues, which may include bankruptcy or insolvency, environmental, zoning, permitting and licensing issues.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key elements of our business strategy include the following:</w:t>
      </w:r>
    </w:p>
    <w:p>
      <w:pPr>
        <w:spacing w:after="0" w:line="115" w:lineRule="exact"/>
        <w:rPr>
          <w:sz w:val="20"/>
          <w:szCs w:val="20"/>
          <w:color w:val="auto"/>
        </w:rPr>
      </w:pPr>
    </w:p>
    <w:p>
      <w:pPr>
        <w:ind w:right="60" w:firstLine="378"/>
        <w:spacing w:after="0" w:line="267" w:lineRule="auto"/>
        <w:rPr>
          <w:sz w:val="20"/>
          <w:szCs w:val="20"/>
          <w:color w:val="auto"/>
        </w:rPr>
      </w:pPr>
      <w:r>
        <w:rPr>
          <w:rFonts w:ascii="Times New Roman" w:cs="Times New Roman" w:eastAsia="Times New Roman" w:hAnsi="Times New Roman"/>
          <w:sz w:val="18"/>
          <w:szCs w:val="18"/>
          <w:i w:val="1"/>
          <w:iCs w:val="1"/>
          <w:color w:val="auto"/>
        </w:rPr>
        <w:t>Capitalize on Growth Opportunities in our Existing Businesses</w:t>
      </w:r>
      <w:r>
        <w:rPr>
          <w:rFonts w:ascii="Times New Roman" w:cs="Times New Roman" w:eastAsia="Times New Roman" w:hAnsi="Times New Roman"/>
          <w:sz w:val="18"/>
          <w:szCs w:val="18"/>
          <w:color w:val="auto"/>
        </w:rPr>
        <w:t>. We believe that we have developed a strong portfolio of businesses with experienced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teams. We may expand our existing businesses if appropriate opportunities are identified, as well as use our established businesses as a platform for additional acquisitions in the same or related areas.</w:t>
      </w:r>
    </w:p>
    <w:p>
      <w:pPr>
        <w:spacing w:after="0" w:line="65" w:lineRule="exact"/>
        <w:rPr>
          <w:sz w:val="20"/>
          <w:szCs w:val="20"/>
          <w:color w:val="auto"/>
        </w:rPr>
      </w:pPr>
    </w:p>
    <w:p>
      <w:pPr>
        <w:ind w:right="120" w:firstLine="37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Drive Accountability and Financial Discipline in the Management of our Business. </w:t>
      </w:r>
      <w:r>
        <w:rPr>
          <w:rFonts w:ascii="Times New Roman" w:cs="Times New Roman" w:eastAsia="Times New Roman" w:hAnsi="Times New Roman"/>
          <w:sz w:val="18"/>
          <w:szCs w:val="18"/>
          <w:color w:val="auto"/>
        </w:rPr>
        <w:t>Our Chief Executive Officer is accountable directly to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including the Chairman, and has day-to-day responsibility, in consultation with our Chairman, for general oversight of our business segments. We continually evaluate our operating subsidiaries with a view towards maximizing value and cost efficiencies, bringing an owner's perspective to our operating businesses. In each of these businesses, we assemble senior management teams with the expertise to run their businesses and boards of directors to oversee the management of those businesses. Each management team is responsible for the day-to-day operations of their businesses and directly accountable to its board of directors.</w:t>
      </w:r>
    </w:p>
    <w:p>
      <w:pPr>
        <w:spacing w:after="0" w:line="75" w:lineRule="exact"/>
        <w:rPr>
          <w:sz w:val="20"/>
          <w:szCs w:val="20"/>
          <w:color w:val="auto"/>
        </w:rPr>
      </w:pPr>
    </w:p>
    <w:p>
      <w:pPr>
        <w:ind w:firstLine="378"/>
        <w:spacing w:after="0" w:line="259" w:lineRule="auto"/>
        <w:rPr>
          <w:sz w:val="20"/>
          <w:szCs w:val="20"/>
          <w:color w:val="auto"/>
        </w:rPr>
      </w:pPr>
      <w:r>
        <w:rPr>
          <w:rFonts w:ascii="Times New Roman" w:cs="Times New Roman" w:eastAsia="Times New Roman" w:hAnsi="Times New Roman"/>
          <w:sz w:val="18"/>
          <w:szCs w:val="18"/>
          <w:i w:val="1"/>
          <w:iCs w:val="1"/>
          <w:color w:val="auto"/>
        </w:rPr>
        <w:t>Seek to Acquire Undervalued Assets</w:t>
      </w:r>
      <w:r>
        <w:rPr>
          <w:rFonts w:ascii="Times New Roman" w:cs="Times New Roman" w:eastAsia="Times New Roman" w:hAnsi="Times New Roman"/>
          <w:sz w:val="18"/>
          <w:szCs w:val="18"/>
          <w:color w:val="auto"/>
        </w:rPr>
        <w:t>. We intend to continue to make investments in businesses that we believe are undervalued and have potential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We also seek to capitalize on investment opportunities arising from market inefficiencies, economic or market trends that have not been identified and reflected in market value, or complex or special situations. Certain opportunities may arise from companies that experience disappointing financial results, liquidity or capital needs, lowered credit ratings, revised industry forecasts or legal complications. We may acquire businesses or assets directly or we may establish an ownership position through the purchase of debt or equity securities in the open market or in privately negotiated transactions.</w:t>
      </w:r>
    </w:p>
    <w:p>
      <w:pPr>
        <w:spacing w:after="0" w:line="72" w:lineRule="exact"/>
        <w:rPr>
          <w:sz w:val="20"/>
          <w:szCs w:val="20"/>
          <w:color w:val="auto"/>
        </w:rPr>
      </w:pPr>
    </w:p>
    <w:p>
      <w:pPr>
        <w:jc w:val="both"/>
        <w:ind w:right="120" w:firstLine="3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Activism to Unlock Value. </w:t>
      </w:r>
      <w:r>
        <w:rPr>
          <w:rFonts w:ascii="Times New Roman" w:cs="Times New Roman" w:eastAsia="Times New Roman" w:hAnsi="Times New Roman"/>
          <w:sz w:val="18"/>
          <w:szCs w:val="18"/>
          <w:color w:val="auto"/>
        </w:rPr>
        <w:t>As described above, we become actively involved in companies in which we invest. Such activism may involve a broad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activities, from trying to influence management in a proxy fight, to taking outright control of a company in order to bring about the change we think is required to unlock value. The key is flexibility, permanent capital and the willingness and ability to have a long-term investment horizon.</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right="40" w:firstLine="378"/>
        <w:spacing w:after="0" w:line="255" w:lineRule="auto"/>
        <w:rPr>
          <w:sz w:val="20"/>
          <w:szCs w:val="20"/>
          <w:color w:val="auto"/>
        </w:rPr>
      </w:pPr>
      <w:r>
        <w:rPr>
          <w:rFonts w:ascii="Times New Roman" w:cs="Times New Roman" w:eastAsia="Times New Roman" w:hAnsi="Times New Roman"/>
          <w:sz w:val="18"/>
          <w:szCs w:val="18"/>
          <w:color w:val="auto"/>
        </w:rPr>
        <w:t>Our Investment segment is comprised of various private investment funds, including Icahn Partners L.P. ("Icahn Partners"), Icahn Partners Master Fund LP, Icahn Partners Master Fund II LP and Icahn Partners Master Fund III LP (collectively, the "Master Funds", and together with Icahn Partners, the "Investment Funds"), through which we invest our proprietary capital. Effective January 1, 2014, Icahn Partners Master Fund II LP and Icahn Partners Master Fund III LP were merged with and into Icahn Partners. We and certain of Mr. Icahn's wholly owned affiliates are the sole investors in the Investment Funds. Icahn Onshore LP and Icahn Offshore LP (together, the "General Partners") act as the general partner of Icahn Partners and the Master Funds,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81" w:lineRule="exact"/>
        <w:rPr>
          <w:sz w:val="20"/>
          <w:szCs w:val="20"/>
          <w:color w:val="auto"/>
        </w:rPr>
      </w:pPr>
    </w:p>
    <w:p>
      <w:pPr>
        <w:ind w:right="100" w:firstLine="378"/>
        <w:spacing w:after="0" w:line="282" w:lineRule="auto"/>
        <w:rPr>
          <w:sz w:val="20"/>
          <w:szCs w:val="20"/>
          <w:color w:val="auto"/>
        </w:rPr>
      </w:pPr>
      <w:r>
        <w:rPr>
          <w:rFonts w:ascii="Times New Roman" w:cs="Times New Roman" w:eastAsia="Times New Roman" w:hAnsi="Times New Roman"/>
          <w:sz w:val="18"/>
          <w:szCs w:val="18"/>
          <w:color w:val="auto"/>
        </w:rPr>
        <w:t>The Investment Funds returned all fee-paying capital to their investors during 2011. Payments were funded through cash on hand and borrowings under existing credit lines.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Strategy</w:t>
      </w:r>
    </w:p>
    <w:p>
      <w:pPr>
        <w:spacing w:after="0" w:line="121" w:lineRule="exact"/>
        <w:rPr>
          <w:sz w:val="20"/>
          <w:szCs w:val="20"/>
          <w:color w:val="auto"/>
        </w:rPr>
      </w:pPr>
    </w:p>
    <w:p>
      <w:pPr>
        <w:jc w:val="both"/>
        <w:ind w:right="80" w:firstLine="378"/>
        <w:spacing w:after="0" w:line="313" w:lineRule="auto"/>
        <w:rPr>
          <w:sz w:val="20"/>
          <w:szCs w:val="20"/>
          <w:color w:val="auto"/>
        </w:rPr>
      </w:pPr>
      <w:r>
        <w:rPr>
          <w:rFonts w:ascii="Times New Roman" w:cs="Times New Roman" w:eastAsia="Times New Roman" w:hAnsi="Times New Roman"/>
          <w:sz w:val="17"/>
          <w:szCs w:val="17"/>
          <w:color w:val="auto"/>
        </w:rPr>
        <w:t>The investment strategy of the General Partners is set and led by Mr. Icahn. The Investment Funds seek to acquire securities in companies that trade at a discount to inherent value as determined by various metrics, including replacement cost, break-up value, cash flow and earnings power and liquidation value.</w:t>
      </w:r>
    </w:p>
    <w:p>
      <w:pPr>
        <w:spacing w:after="0" w:line="30" w:lineRule="exact"/>
        <w:rPr>
          <w:sz w:val="20"/>
          <w:szCs w:val="20"/>
          <w:color w:val="auto"/>
        </w:rPr>
      </w:pPr>
    </w:p>
    <w:p>
      <w:pPr>
        <w:ind w:right="100" w:firstLine="378"/>
        <w:spacing w:after="0" w:line="256" w:lineRule="auto"/>
        <w:rPr>
          <w:sz w:val="20"/>
          <w:szCs w:val="20"/>
          <w:color w:val="auto"/>
        </w:rPr>
      </w:pPr>
      <w:r>
        <w:rPr>
          <w:rFonts w:ascii="Times New Roman" w:cs="Times New Roman" w:eastAsia="Times New Roman" w:hAnsi="Times New Roman"/>
          <w:sz w:val="18"/>
          <w:szCs w:val="18"/>
          <w:color w:val="auto"/>
        </w:rPr>
        <w:t>The General Partners utilize a process-oriented, research-intensive, value-based investment approach. This approach generally involves three critical steps: (i) fundamental credit, valuation and capital structure analysis; (ii) intense legal and tax analysis of fulcrum issues such as litigation and regulation that often affect valuation; and (iii) combined business valuation analysis and legal and tax review to establish a strategy for gaining an attractive risk-adjusted investment position. This approach focuses on exploiting market dislocations or misjudgments that may result from market euphoria, litigation, complex contingent liabilities, corporate malfeasance and weak corporate governance, general economic conditions or market cycles and complex and inappropriate capital structures.</w:t>
      </w:r>
    </w:p>
    <w:p>
      <w:pPr>
        <w:spacing w:after="0" w:line="80" w:lineRule="exact"/>
        <w:rPr>
          <w:sz w:val="20"/>
          <w:szCs w:val="20"/>
          <w:color w:val="auto"/>
        </w:rPr>
      </w:pPr>
    </w:p>
    <w:p>
      <w:pPr>
        <w:ind w:right="220" w:firstLine="378"/>
        <w:spacing w:after="0" w:line="282" w:lineRule="auto"/>
        <w:rPr>
          <w:sz w:val="20"/>
          <w:szCs w:val="20"/>
          <w:color w:val="auto"/>
        </w:rPr>
      </w:pPr>
      <w:r>
        <w:rPr>
          <w:rFonts w:ascii="Times New Roman" w:cs="Times New Roman" w:eastAsia="Times New Roman" w:hAnsi="Times New Roman"/>
          <w:sz w:val="18"/>
          <w:szCs w:val="18"/>
          <w:color w:val="auto"/>
        </w:rPr>
        <w:t>The Investment Funds are often activist investors ready to take the steps necessary to seek to unlock value, including tender offers, proxy contests and demands for management accountability. The Investment Funds may employ a number 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72" w:right="239" w:bottom="1440" w:gutter="0" w:footer="0" w:header="0"/>
        </w:sectPr>
      </w:pPr>
    </w:p>
    <w:bookmarkStart w:id="5" w:name="page6"/>
    <w:bookmarkEnd w:id="5"/>
    <w:p>
      <w:pPr>
        <w:ind w:right="100"/>
        <w:spacing w:after="0" w:line="266" w:lineRule="auto"/>
        <w:rPr>
          <w:sz w:val="20"/>
          <w:szCs w:val="20"/>
          <w:color w:val="auto"/>
        </w:rPr>
      </w:pPr>
      <w:r>
        <w:rPr>
          <w:rFonts w:ascii="Times New Roman" w:cs="Times New Roman" w:eastAsia="Times New Roman" w:hAnsi="Times New Roman"/>
          <w:sz w:val="18"/>
          <w:szCs w:val="18"/>
          <w:color w:val="auto"/>
        </w:rPr>
        <w:t>strategies and are permitted to invest across a variety of industries and types of securities, including long and short equities, long and short bonds, bank debt and other corporate obligations, options, swaps and other derivative instruments thereof, risk arbitrage and capital structure arbitrage and other special situations. The Investment Funds invest a material portion of their capital in publicly traded equity and debt securities of companies that the General Partners believe to be undervalued by the marketplace. The Investment Funds often take significant positions in the companies in which they invest.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w:t>
      </w:r>
    </w:p>
    <w:p>
      <w:pPr>
        <w:spacing w:after="0" w:line="121" w:lineRule="exact"/>
        <w:rPr>
          <w:sz w:val="20"/>
          <w:szCs w:val="20"/>
          <w:color w:val="auto"/>
        </w:rPr>
      </w:pPr>
    </w:p>
    <w:p>
      <w:pPr>
        <w:ind w:right="40" w:firstLine="378"/>
        <w:spacing w:after="0" w:line="261" w:lineRule="auto"/>
        <w:rPr>
          <w:sz w:val="20"/>
          <w:szCs w:val="20"/>
          <w:color w:val="auto"/>
        </w:rPr>
      </w:pPr>
      <w:r>
        <w:rPr>
          <w:rFonts w:ascii="Times New Roman" w:cs="Times New Roman" w:eastAsia="Times New Roman" w:hAnsi="Times New Roman"/>
          <w:sz w:val="18"/>
          <w:szCs w:val="18"/>
          <w:color w:val="auto"/>
        </w:rPr>
        <w:t>Since April 1, 2011, the results of our Investment segment have primarily been driven by the performance of the Investment Funds and our interests therein; the General Partners no longer receive special profits interest allocations or incentive allocations. Prior to March 31, 2011, income from our Investment segment was principally derived from three sources: (1) special profits interest allocations; (2) incentive allocations; and (3) gains and losses from our interests in the Investment Funds.</w:t>
      </w:r>
    </w:p>
    <w:p>
      <w:pPr>
        <w:spacing w:after="0" w:line="72" w:lineRule="exact"/>
        <w:rPr>
          <w:sz w:val="20"/>
          <w:szCs w:val="20"/>
          <w:color w:val="auto"/>
        </w:rPr>
      </w:pPr>
    </w:p>
    <w:p>
      <w:pPr>
        <w:ind w:right="80" w:firstLine="378"/>
        <w:spacing w:after="0" w:line="255" w:lineRule="auto"/>
        <w:rPr>
          <w:sz w:val="20"/>
          <w:szCs w:val="20"/>
          <w:color w:val="auto"/>
        </w:rPr>
      </w:pPr>
      <w:r>
        <w:rPr>
          <w:rFonts w:ascii="Times New Roman" w:cs="Times New Roman" w:eastAsia="Times New Roman" w:hAnsi="Times New Roman"/>
          <w:sz w:val="18"/>
          <w:szCs w:val="18"/>
          <w:color w:val="auto"/>
        </w:rPr>
        <w:t>Prior to March 31, 2011, incentive allocations generally ranged from 15% to 25% of the net profits (both realized and unrealized) generated by fee-paying investors in the Investment Funds and were generally subject to a “high watermark," whereby the General Partners did not earn incentive allocations during a particular year even though the fund had a positive return in such year until losses in prior periods were recovered. In general, these allocations had been calculated and distributed to the General Partners annually other than incentive allocations earned as a result of investor redemption events during interim periods. For the period January 1, 2008 through March 31, 2011, the Investment Fund Limited Partnership Agreements provided that the applicable General Partner was eligible to receive a special profits interest allocation at the end of each calendar year from each applicable fee-paying capital account maintained at the Investment Fund. Special profits interest allocations ranged from 1.5% to 2.5% per annum and were allocated to the General Partners to the extent the Investment Funds had sufficient profits to cover such amounts.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Affiliate Investments</w:t>
      </w:r>
    </w:p>
    <w:p>
      <w:pPr>
        <w:spacing w:after="0" w:line="121" w:lineRule="exact"/>
        <w:rPr>
          <w:sz w:val="20"/>
          <w:szCs w:val="20"/>
          <w:color w:val="auto"/>
        </w:rPr>
      </w:pPr>
    </w:p>
    <w:p>
      <w:pPr>
        <w:ind w:right="20" w:firstLine="378"/>
        <w:spacing w:after="0" w:line="256" w:lineRule="auto"/>
        <w:rPr>
          <w:sz w:val="20"/>
          <w:szCs w:val="20"/>
          <w:color w:val="auto"/>
        </w:rPr>
      </w:pPr>
      <w:r>
        <w:rPr>
          <w:rFonts w:ascii="Times New Roman" w:cs="Times New Roman" w:eastAsia="Times New Roman" w:hAnsi="Times New Roman"/>
          <w:sz w:val="18"/>
          <w:szCs w:val="18"/>
          <w:color w:val="auto"/>
        </w:rPr>
        <w:t>We and Mr. Icahn, along with the Investment Funds, have entered into a covered affiliate agreement, which was amended on March 31, 2011, pursuant to which Mr. Icahn agreed (on behalf of himself and certain of his affiliates, excluding Icahn Enterprises, Icahn Enterprises Holdings and their subsidiaries) to be bound by certain restrictions on their investments in any assets that the General Partners deem suitable for the Investment Funds, other than government and agency bonds and cash equivalents, unless otherwise approved by our Audit Committee. In addition, Mr. Icahn and such affiliates continue to have the right to co-invest with the Investment Funds. We have no interest in, nor do we generate any income from, any such co-investments, which have been and may continue to be substantial.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right="140" w:firstLine="378"/>
        <w:spacing w:after="0" w:line="266" w:lineRule="auto"/>
        <w:rPr>
          <w:sz w:val="20"/>
          <w:szCs w:val="20"/>
          <w:color w:val="auto"/>
        </w:rPr>
      </w:pPr>
      <w:r>
        <w:rPr>
          <w:rFonts w:ascii="Times New Roman" w:cs="Times New Roman" w:eastAsia="Times New Roman" w:hAnsi="Times New Roman"/>
          <w:sz w:val="18"/>
          <w:szCs w:val="18"/>
          <w:color w:val="auto"/>
        </w:rPr>
        <w:t>Our Investment segment is supported by an experienced team of 21 professionals as of December 31, 2014, including an investment, legal and operations group. In many cases, team members have worked together successfully and have provided business, investing and legal services for a number of years with respect to the Investment Funds' operations.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Automotive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right="20" w:firstLine="378"/>
        <w:spacing w:after="0" w:line="266" w:lineRule="auto"/>
        <w:rPr>
          <w:sz w:val="20"/>
          <w:szCs w:val="20"/>
          <w:color w:val="auto"/>
        </w:rPr>
      </w:pPr>
      <w:r>
        <w:rPr>
          <w:rFonts w:ascii="Times New Roman" w:cs="Times New Roman" w:eastAsia="Times New Roman" w:hAnsi="Times New Roman"/>
          <w:sz w:val="18"/>
          <w:szCs w:val="18"/>
          <w:color w:val="auto"/>
        </w:rPr>
        <w:t>As of the date of this Report, we conducted our Automotive segment through our majority ownership in Federal-Mogul Holdings Corporation ("Federal-Mogul"). On July 3, 2008, we acquired a majority interest in Federal-Mogul. Since 2008, we acquired additional shares of common stock of Federal-Mogul. As of December 31, 2014, we owned approximately 80.7% of the outstanding common stock of Federal-Mogul.</w:t>
      </w:r>
    </w:p>
    <w:p>
      <w:pPr>
        <w:spacing w:after="0" w:line="68" w:lineRule="exact"/>
        <w:rPr>
          <w:sz w:val="20"/>
          <w:szCs w:val="20"/>
          <w:color w:val="auto"/>
        </w:rPr>
      </w:pPr>
    </w:p>
    <w:p>
      <w:pPr>
        <w:ind w:right="120" w:firstLine="378"/>
        <w:spacing w:after="0" w:line="261" w:lineRule="auto"/>
        <w:rPr>
          <w:sz w:val="20"/>
          <w:szCs w:val="20"/>
          <w:color w:val="auto"/>
        </w:rPr>
      </w:pPr>
      <w:r>
        <w:rPr>
          <w:rFonts w:ascii="Times New Roman" w:cs="Times New Roman" w:eastAsia="Times New Roman" w:hAnsi="Times New Roman"/>
          <w:sz w:val="18"/>
          <w:szCs w:val="18"/>
          <w:color w:val="auto"/>
        </w:rPr>
        <w:t>As discussed below, on February 9, 2015, Icahn Enterprises entered into a definitive agreement to acquire substantially all of the auto parts assets in the United States of Uni-Select, Inc. ("Uni-Select USA"), a leading automotive parts distributor for domestic and imported vehicles. UniSelect USA will be operated independently of Federal-Mogul and will be reported as part of our Automotive segment during 2015. Unless the context indicates otherwise, all discussions contained herein regarding our Automotive segment pertain only to Federal-Mogul.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April 15, 2014, Federal-Mogul completed a holding company reorganization (the “Reorganization”). As a result of the Reorganization, the outstanding shares of Federal-Mogul Corporation common stock were automatically converted on a one-for-one basis into shares of Federal-Mogul Holdings Corporation common stock, and all of the stockholders of Federal-Mogul Corporation immediately prior to the Reorganization automatically became stockholders of Federal-Mogul Holdings Corporation.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72" w:right="23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t>References herein to “Federal-Mogul” are to Federal-Mogul Corporation for the period prior to the effective time of the Reorganization on April 15, 2014 and to Federal-Mogul Holdings Corporation for the period after the effective time of the Reorganization.</w:t>
      </w:r>
    </w:p>
    <w:p>
      <w:pPr>
        <w:spacing w:after="0" w:line="54" w:lineRule="exact"/>
        <w:rPr>
          <w:sz w:val="20"/>
          <w:szCs w:val="20"/>
          <w:color w:val="auto"/>
        </w:rPr>
      </w:pPr>
    </w:p>
    <w:p>
      <w:pPr>
        <w:ind w:right="240" w:firstLine="378"/>
        <w:spacing w:after="0" w:line="256" w:lineRule="auto"/>
        <w:rPr>
          <w:sz w:val="20"/>
          <w:szCs w:val="20"/>
          <w:color w:val="auto"/>
        </w:rPr>
      </w:pPr>
      <w:r>
        <w:rPr>
          <w:rFonts w:ascii="Times New Roman" w:cs="Times New Roman" w:eastAsia="Times New Roman" w:hAnsi="Times New Roman"/>
          <w:sz w:val="18"/>
          <w:szCs w:val="18"/>
          <w:color w:val="auto"/>
        </w:rPr>
        <w:t>On September 3, 2014, Federal-Mogul announced its plan to separate its Powertrain and Motorparts businesses into two independent, publicly-traded companies serving the global original equipment and aftermarket industries. The planned separation will be implemented through a tax-free distribution of Federal-Mogul’s Motorparts business to shareholders of Federal-Mogul Holdings Corporation. Completion of the transaction is subject to customary conditions, including among others, Federal-Mogul’s receipt of an IRS ruling or opinion of counsel to the effect that the distribution will qualify as a transaction that is generally tax-free for U.S. Federal Income tax purposes; as well as effectiveness of a Form 10 Registration Statement to be filed with the SEC.</w:t>
      </w:r>
    </w:p>
    <w:p>
      <w:pPr>
        <w:spacing w:after="0" w:line="80" w:lineRule="exact"/>
        <w:rPr>
          <w:sz w:val="20"/>
          <w:szCs w:val="20"/>
          <w:color w:val="auto"/>
        </w:rPr>
      </w:pPr>
    </w:p>
    <w:p>
      <w:pPr>
        <w:ind w:right="320" w:firstLine="378"/>
        <w:spacing w:after="0" w:line="256" w:lineRule="auto"/>
        <w:rPr>
          <w:sz w:val="20"/>
          <w:szCs w:val="20"/>
          <w:color w:val="auto"/>
        </w:rPr>
      </w:pPr>
      <w:r>
        <w:rPr>
          <w:rFonts w:ascii="Times New Roman" w:cs="Times New Roman" w:eastAsia="Times New Roman" w:hAnsi="Times New Roman"/>
          <w:sz w:val="18"/>
          <w:szCs w:val="18"/>
          <w:color w:val="auto"/>
        </w:rPr>
        <w:t>On February 24, 2015, Federal-Mogul announced that it would defer the previously announced spin-off of its Motorparts business to allow for the integration of its recently completed brake component, chassis and valvetrain acquisitions and to recognize the benefits of the strategic initiatives in the Motorparts business. As a result of the deferral and the recent closing of the acquisition of TRW's (as defined below) valvetrain business, Federal-Mogul will commence a common stock rights offering to strengthen its balance sheet (as further discussed below). Federal-Mogul’s board of directors intends to revisit the timing of the spin-off prior to year-end. Meanwhile Federal-Mogul will continue to operate as two separate, independent businesses. No assurances can be given regarding the ultimate timing of the separation or that it will be consummated.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Offering</w:t>
      </w:r>
    </w:p>
    <w:p>
      <w:pPr>
        <w:spacing w:after="0" w:line="121"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On February 24, 2015, Federal-Mogul announced that it intends to launch a registered rights offering on or about March 6, 2015. In the rights offering, each holder of Federal-Mogul’s common stock as of the close of business on the record date of March 6, 2015 will be issued, at no charge, one transferable subscription right for each whole share of common stock owned by that stockholder on the record date (the “basic subscription privilege”). The rights offering will also include an over-subscription privilege, which will entitle stockholders who exercise all of their subscription rights in the basic subscription privilege the right to purchase additional shares of common stock in the rights offering, subject to availability and pro rata allocation of shares among rights holders exercising such over-subscription privilege.</w:t>
      </w:r>
    </w:p>
    <w:p>
      <w:pPr>
        <w:spacing w:after="0" w:line="80" w:lineRule="exact"/>
        <w:rPr>
          <w:sz w:val="20"/>
          <w:szCs w:val="20"/>
          <w:color w:val="auto"/>
        </w:rPr>
      </w:pPr>
    </w:p>
    <w:p>
      <w:pPr>
        <w:ind w:right="620" w:firstLine="378"/>
        <w:spacing w:after="0" w:line="282" w:lineRule="auto"/>
        <w:rPr>
          <w:sz w:val="20"/>
          <w:szCs w:val="20"/>
          <w:color w:val="auto"/>
        </w:rPr>
      </w:pPr>
      <w:r>
        <w:rPr>
          <w:rFonts w:ascii="Times New Roman" w:cs="Times New Roman" w:eastAsia="Times New Roman" w:hAnsi="Times New Roman"/>
          <w:sz w:val="18"/>
          <w:szCs w:val="18"/>
          <w:color w:val="auto"/>
        </w:rPr>
        <w:t>Federal-Mogul will offer a number of shares of its common stock in the rights offering, inclusive of the over-subscription privilege, representing approximately $250 million of gross proceeds. Federal-Mogul plans to use the proceeds from the rights offering to strengthen its balance sheet.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ind w:right="20" w:firstLine="378"/>
        <w:spacing w:after="0" w:line="253" w:lineRule="auto"/>
        <w:rPr>
          <w:sz w:val="20"/>
          <w:szCs w:val="20"/>
          <w:color w:val="auto"/>
        </w:rPr>
      </w:pPr>
      <w:r>
        <w:rPr>
          <w:rFonts w:ascii="Times New Roman" w:cs="Times New Roman" w:eastAsia="Times New Roman" w:hAnsi="Times New Roman"/>
          <w:sz w:val="18"/>
          <w:szCs w:val="18"/>
          <w:color w:val="auto"/>
        </w:rPr>
        <w:t>Federal-Mogul is a leading global supplier of technology and innovation in vehicle and industrial products for fuel economy, emissions reduction and safety systems. Federal-Mogul serves the world’s foremost original equipment manufacturers (“OEM”) and servicers (“OES”) (collectively “OE”) of automotive, light, medium and heavy-duty commercial vehicles, off-road, agricultural, marine, rail, aerospace, power generation and industrial equipment, as well as the worldwide aftermarket. Federal-Mogul seeks to participate in both of these markets by leveraging its original equipment product engineering and development capability, manufacturing know-how, and expertise in managing a broad and deep range of replacement parts to service the aftermarket. Federal-Mogul believes that it is uniquely positioned to effectively manage and deliver the life cycle of a broad range of products to a diverse customer base. Federal-Mogul is a leading technology supplier and a market share leader in several product categories. As of December 31, 2014, Federal-Mogul had current OEM products included on more than 300 global vehicle platforms and more than 700 global powertrains used in light, medium and heavy-duty vehicles. Federal-Mogul offers premium brands, OE replacement and entry/midlevel products for all aftermarket customers. Therefore, Federal-Mogul can be first to the aftermarket with new products, service expertise and customer support. This broad range of vehicle and powertrain applications reinforces Federal-Mogul’s belief in its unique market position.</w:t>
      </w:r>
    </w:p>
    <w:p>
      <w:pPr>
        <w:spacing w:after="0" w:line="85" w:lineRule="exact"/>
        <w:rPr>
          <w:sz w:val="20"/>
          <w:szCs w:val="20"/>
          <w:color w:val="auto"/>
        </w:rPr>
      </w:pPr>
    </w:p>
    <w:p>
      <w:pPr>
        <w:ind w:right="100" w:firstLine="378"/>
        <w:spacing w:after="0" w:line="255" w:lineRule="auto"/>
        <w:rPr>
          <w:sz w:val="20"/>
          <w:szCs w:val="20"/>
          <w:color w:val="auto"/>
        </w:rPr>
      </w:pPr>
      <w:r>
        <w:rPr>
          <w:rFonts w:ascii="Times New Roman" w:cs="Times New Roman" w:eastAsia="Times New Roman" w:hAnsi="Times New Roman"/>
          <w:sz w:val="18"/>
          <w:szCs w:val="18"/>
          <w:color w:val="auto"/>
        </w:rPr>
        <w:t>Federal-Mogul operates with two end-customer focused businesses. The Powertrain business focuses on original equipment products for automotive, heavy-duty and industrial applications. The Motorparts business sells and distributes a broad portfolio of products in the global aftermarket, while also serving original equipment manufacturers with products including braking, chassis, wipers and other vehicle components. This organizational model allows for a strong product line focus benefiting both original equipment and aftermarket customers and enables the global Federal-Mogul teams to be responsive to customers’ needs for superior products and to promote greater identification with Federal-Mogul premium brands. Additionally, this organizational model enhances management focus to capitalize on opportunities for organic or acquisition growth, profit improvement, resource utilization and business model optimization in line with the unique requirements of the two different customer bases.</w:t>
      </w:r>
    </w:p>
    <w:p>
      <w:pPr>
        <w:spacing w:after="0" w:line="81" w:lineRule="exact"/>
        <w:rPr>
          <w:sz w:val="20"/>
          <w:szCs w:val="20"/>
          <w:color w:val="auto"/>
        </w:rPr>
      </w:pPr>
    </w:p>
    <w:p>
      <w:pPr>
        <w:ind w:right="80" w:firstLine="378"/>
        <w:spacing w:after="0" w:line="266" w:lineRule="auto"/>
        <w:rPr>
          <w:sz w:val="20"/>
          <w:szCs w:val="20"/>
          <w:color w:val="auto"/>
        </w:rPr>
      </w:pPr>
      <w:r>
        <w:rPr>
          <w:rFonts w:ascii="Times New Roman" w:cs="Times New Roman" w:eastAsia="Times New Roman" w:hAnsi="Times New Roman"/>
          <w:sz w:val="18"/>
          <w:szCs w:val="18"/>
          <w:color w:val="auto"/>
        </w:rPr>
        <w:t>The Powertrain business offers its customers a diverse array of market-leading products for OE applications, including pistons, piston rings, piston pins, cylinder liners, valve seats and guides, ignition products, dynamic seals, bonded piston seals, combustion and exhaust gaskets, static gaskets and seals, rigid heat shields, engine bearings, industrial bearings, bushings and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72" w:right="239" w:bottom="1440" w:gutter="0" w:footer="0" w:header="0"/>
        </w:sectPr>
      </w:pPr>
    </w:p>
    <w:bookmarkStart w:id="7" w:name="page8"/>
    <w:bookmarkEnd w:id="7"/>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washers, plus element resistant systems protection sleeving products, acoustic shielding and flexible heat shields. The Motorparts business offers powertrain products manufactured by the Powertrain business, distributed through globally-recognized aftermarket brands to the independent aftermarket and also offers brake disc pads, brake linings, brake blocks, brake system components, chassis products, wipers, and other product lines to OE and aftermarket customers.</w:t>
      </w:r>
    </w:p>
    <w:p>
      <w:pPr>
        <w:spacing w:after="0" w:line="68" w:lineRule="exact"/>
        <w:rPr>
          <w:sz w:val="20"/>
          <w:szCs w:val="20"/>
          <w:color w:val="auto"/>
        </w:rPr>
      </w:pPr>
    </w:p>
    <w:p>
      <w:pPr>
        <w:ind w:right="80" w:firstLine="378"/>
        <w:spacing w:after="0" w:line="261" w:lineRule="auto"/>
        <w:rPr>
          <w:sz w:val="20"/>
          <w:szCs w:val="20"/>
          <w:color w:val="auto"/>
        </w:rPr>
      </w:pPr>
      <w:r>
        <w:rPr>
          <w:rFonts w:ascii="Times New Roman" w:cs="Times New Roman" w:eastAsia="Times New Roman" w:hAnsi="Times New Roman"/>
          <w:sz w:val="18"/>
          <w:szCs w:val="18"/>
          <w:color w:val="auto"/>
        </w:rPr>
        <w:t>Federal-Mogul has manufacturing facilities and distribution centers in 26 countries and, accordingly, Federal-Mogul’s businesses derive sales from both domestic and international markets. The attendant risks of Federal-Mogul’s international operations are primarily related to currency fluctuations, changes in local economic and political conditions, extraterritorial effects of United States laws such as the Foreign Corrupt Practices Act, and changes in laws and regulations.</w:t>
      </w:r>
    </w:p>
    <w:p>
      <w:pPr>
        <w:spacing w:after="0" w:line="72" w:lineRule="exact"/>
        <w:rPr>
          <w:sz w:val="20"/>
          <w:szCs w:val="20"/>
          <w:color w:val="auto"/>
        </w:rPr>
      </w:pPr>
    </w:p>
    <w:p>
      <w:pPr>
        <w:ind w:right="340" w:firstLine="378"/>
        <w:spacing w:after="0" w:line="282" w:lineRule="auto"/>
        <w:rPr>
          <w:sz w:val="20"/>
          <w:szCs w:val="20"/>
          <w:color w:val="auto"/>
        </w:rPr>
      </w:pPr>
      <w:r>
        <w:rPr>
          <w:rFonts w:ascii="Times New Roman" w:cs="Times New Roman" w:eastAsia="Times New Roman" w:hAnsi="Times New Roman"/>
          <w:sz w:val="18"/>
          <w:szCs w:val="18"/>
          <w:color w:val="auto"/>
        </w:rPr>
        <w:t>Federal-Mogul is a reporting company under the Securities Exchange Act of 1934, as amended, or the Exchange Act, and files annual, quarterly and current reports, proxy statements and other information with the Securities and Exchange Commission (the "SEC") that are publicly available.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Uni-Select USA</w:t>
      </w:r>
    </w:p>
    <w:p>
      <w:pPr>
        <w:spacing w:after="0" w:line="11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 previously disclosed, on February 9, 2015, Icahn Enterprises entered into a definitive agreement to acquire substantially all of the auto parts assets of Uni-Select USA, a leading automotive parts distributor for domestic and imported vehicles, for a purchase price of approximately $340 million, subject to customary closing conditions.</w:t>
      </w:r>
    </w:p>
    <w:p>
      <w:pPr>
        <w:spacing w:after="0" w:line="6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Uni-Select USA has 39 distribution centers and satellite locations and 240 corporate-owned jobber stores in the United States and supports a network of more than 2,000 independent wholesalers. Through its banner and technical support programs as well as its offering of premium auto parts, Uni-Select USA has built its reputation on being the partner of choice for independent entrepreneurs eager to tap into the strength of large network.</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UniSelect USA will be operated independently of Federal-Mogul and will be reported as part of our Automotive segment.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TRW Automotive Holdings Corp.</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February 6, 2015, certain subsidiaries of Federal-Mogul finalized an agreement with TRW Automotive Holdings Corp. ("TRW") to purchase certain business assets of the TRW engine components business. The business was acquired through a combination of asset and stock purchases for a base purchase price of approximately $313 million, subject to certain customary closing and post-closing adjustments. The purchase of TRW’s engine valve business adds a new product line to Federal-Mogul's portfolio, strengthens its position as a leading developer and supplier of core components for engines, and enhances its ability to support its customers to improve fuel economy and reduce emissions.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Honeywell International Inc.</w:t>
      </w:r>
    </w:p>
    <w:p>
      <w:pPr>
        <w:spacing w:after="0" w:line="11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On July 11, 2014, Federal-Mogul completed the purchase of certain business assets of Honeywell International Inc.'s ("Honeywell") automotive and industrial brake friction business (the "Honeywell Acquisition"), including two recently established manufacturing facilities in China and Romania, substantially strengthening the manufacturing and engineering capabilities of Federal-Mogul's current global braking portfolio. The business was acquired through a combination of asset and stock purchases for a base purchase price of $169 million and a provisional estimate of $15 million, primarily for working capital adjustments and earn-out targets, subject to certain customary post-closing adjustments, contingent consideration and other liabilities.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Affinia Group Inc.</w:t>
      </w:r>
    </w:p>
    <w:p>
      <w:pPr>
        <w:spacing w:after="0" w:line="119"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On May 1, 2014, Federal-Mogul completed the Affinia Group Inc. ("Affinia") chassis business acquisition (the "Affinia Acquisition"). This business serves leading U.S. aftermarket customers with private label chassis product lines and will allow Federal-Mogul to broaden its product offering, provide operational synergies and better service customers globally. The purchase price was $149 million, net of acquired cash.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Federal-Mogul's strategy is designed to create sustainable global profitable growth, by leveraging existing and developing new competitive advantages.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strategy consists of the following primary elements:</w:t>
      </w:r>
    </w:p>
    <w:p>
      <w:pPr>
        <w:spacing w:after="0" w:line="99" w:lineRule="exact"/>
        <w:rPr>
          <w:sz w:val="20"/>
          <w:szCs w:val="20"/>
          <w:color w:val="auto"/>
        </w:rPr>
      </w:pPr>
    </w:p>
    <w:p>
      <w:pPr>
        <w:ind w:left="660" w:hanging="247"/>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value-added products to customers in all markets served through leading technology and innovation;</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products to enable increased fuel economy and reduce vehicle emissions, plus enable the use of alternative energies;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Federal-Mogul's leading technology resources to develop advanced and innovative products, processes and manufacturing capabilities;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72" w:right="239" w:bottom="1440" w:gutter="0" w:footer="0" w:header="0"/>
        </w:sectPr>
      </w:pPr>
    </w:p>
    <w:bookmarkStart w:id="8" w:name="page9"/>
    <w:bookmarkEnd w:id="8"/>
    <w:p>
      <w:pPr>
        <w:ind w:left="660" w:hanging="247"/>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Federal-Mogul's global reach to support its OE customers, furthering its relationships with leading Asian OEs and strengthening market share with U.S. and European OEs;</w:t>
      </w:r>
    </w:p>
    <w:p>
      <w:pPr>
        <w:spacing w:after="0" w:line="53" w:lineRule="exact"/>
        <w:rPr>
          <w:rFonts w:ascii="Times New Roman" w:cs="Times New Roman" w:eastAsia="Times New Roman" w:hAnsi="Times New Roman"/>
          <w:sz w:val="18"/>
          <w:szCs w:val="18"/>
          <w:color w:val="auto"/>
        </w:rPr>
      </w:pPr>
    </w:p>
    <w:p>
      <w:pPr>
        <w:ind w:left="660" w:right="800" w:hanging="247"/>
        <w:spacing w:after="0" w:line="313" w:lineRule="auto"/>
        <w:tabs>
          <w:tab w:leader="none" w:pos="6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 acquisition and investment opportunities that provide product line expansion, technological advancements, geographic positioning, penetration of emerging markets (including the “BRIC” markets of Brazil, Russia, India and China) and market share growth;</w:t>
      </w:r>
    </w:p>
    <w:p>
      <w:pPr>
        <w:spacing w:after="0" w:line="30" w:lineRule="exact"/>
        <w:rPr>
          <w:rFonts w:ascii="Times New Roman" w:cs="Times New Roman" w:eastAsia="Times New Roman" w:hAnsi="Times New Roman"/>
          <w:sz w:val="17"/>
          <w:szCs w:val="17"/>
          <w:color w:val="auto"/>
        </w:rPr>
      </w:pPr>
    </w:p>
    <w:p>
      <w:pPr>
        <w:ind w:left="660" w:right="240" w:hanging="247"/>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strength of Federal-Mogul's global aftermarket leading brand positions, product portfolio and range, marketing and selling expertise, and distribution and logistics capabilities; and</w:t>
      </w:r>
    </w:p>
    <w:p>
      <w:pPr>
        <w:spacing w:after="0" w:line="53" w:lineRule="exact"/>
        <w:rPr>
          <w:rFonts w:ascii="Times New Roman" w:cs="Times New Roman" w:eastAsia="Times New Roman" w:hAnsi="Times New Roman"/>
          <w:sz w:val="18"/>
          <w:szCs w:val="18"/>
          <w:color w:val="auto"/>
        </w:rPr>
      </w:pPr>
    </w:p>
    <w:p>
      <w:pPr>
        <w:ind w:left="660" w:right="60" w:hanging="247"/>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Aggressively pursue cost competitiveness in all business segments by continuing to drive productivity in existing operations, consolidating and relocating manufacturing operations to best cost countries, utilizing Federal-Mogul's strategic joint ventures and alliances, and rationalizing business resources and infrastructure.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Federal-Mogul’s research and development activities are conducted its research and development locations. Within the United States, these centers are located in Skokie, Illinois; Ann Arbor, Michigan; Plymouth, Michigan; St. Louis, Missouri; Exton, Pennsylvania; and Waupun, Wisconsin. Internationally, the Company’s research and development centers are located in Araras, Brazil; Aubange, Belgium; Noyon Codex, France; Chapel-en-le-Frith, United Kingdom, Coventry, United Kingdom; Burscheid, Germany; Nuremberg, Germany; Wiesbaden, Germany; Bad Camberg, Germany; and Shanghai, China.</w:t>
      </w:r>
    </w:p>
    <w:p>
      <w:pPr>
        <w:spacing w:after="0" w:line="72" w:lineRule="exact"/>
        <w:rPr>
          <w:sz w:val="20"/>
          <w:szCs w:val="20"/>
          <w:color w:val="auto"/>
        </w:rPr>
      </w:pPr>
    </w:p>
    <w:p>
      <w:pPr>
        <w:ind w:right="120" w:firstLine="378"/>
        <w:spacing w:after="0" w:line="266" w:lineRule="auto"/>
        <w:rPr>
          <w:sz w:val="20"/>
          <w:szCs w:val="20"/>
          <w:color w:val="auto"/>
        </w:rPr>
      </w:pPr>
      <w:r>
        <w:rPr>
          <w:rFonts w:ascii="Times New Roman" w:cs="Times New Roman" w:eastAsia="Times New Roman" w:hAnsi="Times New Roman"/>
          <w:sz w:val="18"/>
          <w:szCs w:val="18"/>
          <w:color w:val="auto"/>
        </w:rPr>
        <w:t>Each of Federal-Mogul's business units is engaged in engineering, research and development efforts working closely with customers to develop custom solutions to meet their needs. Total expenditures for research and development activities, including product engineering and validation costs, were $192 million, $177 million and $179 million for the years ended December 31, 2014, 2013 and 2012,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Activities</w:t>
      </w:r>
    </w:p>
    <w:p>
      <w:pPr>
        <w:spacing w:after="0" w:line="121" w:lineRule="exact"/>
        <w:rPr>
          <w:sz w:val="20"/>
          <w:szCs w:val="20"/>
          <w:color w:val="auto"/>
        </w:rPr>
      </w:pPr>
    </w:p>
    <w:p>
      <w:pPr>
        <w:ind w:right="120" w:firstLine="378"/>
        <w:spacing w:after="0" w:line="266" w:lineRule="auto"/>
        <w:rPr>
          <w:sz w:val="20"/>
          <w:szCs w:val="20"/>
          <w:color w:val="auto"/>
        </w:rPr>
      </w:pPr>
      <w:r>
        <w:rPr>
          <w:rFonts w:ascii="Times New Roman" w:cs="Times New Roman" w:eastAsia="Times New Roman" w:hAnsi="Times New Roman"/>
          <w:sz w:val="18"/>
          <w:szCs w:val="18"/>
          <w:color w:val="auto"/>
        </w:rPr>
        <w:t>Federal-Mogul's restructuring activities are undertaken as necessary to execute its strategy and streamline operations, consolidate and take advantage of available capacity and resources, and ultimately to achieve net cost reductions. These restructuring activities include efforts to integrate and rationalize businesses and to relocate manufacturing operations to best cost markets.</w:t>
      </w:r>
    </w:p>
    <w:p>
      <w:pPr>
        <w:spacing w:after="0" w:line="68" w:lineRule="exact"/>
        <w:rPr>
          <w:sz w:val="20"/>
          <w:szCs w:val="20"/>
          <w:color w:val="auto"/>
        </w:rPr>
      </w:pPr>
    </w:p>
    <w:p>
      <w:pPr>
        <w:ind w:right="180" w:firstLine="378"/>
        <w:spacing w:after="0" w:line="282" w:lineRule="auto"/>
        <w:rPr>
          <w:sz w:val="20"/>
          <w:szCs w:val="20"/>
          <w:color w:val="auto"/>
        </w:rPr>
      </w:pPr>
      <w:r>
        <w:rPr>
          <w:rFonts w:ascii="Times New Roman" w:cs="Times New Roman" w:eastAsia="Times New Roman" w:hAnsi="Times New Roman"/>
          <w:sz w:val="18"/>
          <w:szCs w:val="18"/>
          <w:color w:val="auto"/>
        </w:rPr>
        <w:t>Federal-Mogul's restructuring activities are further discussed in Item 7, “Management's Discussion and Analysis of Financial Condition and Results of Operations,” and in Note 3, “Operating Units,” to the consolidated financial statements, included in Item 8 of this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provides an overview of products manufactured and distributed by Federal-Mogul by product group:</w:t>
      </w:r>
    </w:p>
    <w:p>
      <w:pPr>
        <w:spacing w:after="0" w:line="115" w:lineRule="exact"/>
        <w:rPr>
          <w:sz w:val="20"/>
          <w:szCs w:val="20"/>
          <w:color w:val="auto"/>
        </w:rPr>
      </w:pPr>
    </w:p>
    <w:p>
      <w:pPr>
        <w:ind w:left="660" w:right="140" w:hanging="247"/>
        <w:spacing w:after="0" w:line="261"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Powertrain. </w:t>
      </w:r>
      <w:r>
        <w:rPr>
          <w:rFonts w:ascii="Times New Roman" w:cs="Times New Roman" w:eastAsia="Times New Roman" w:hAnsi="Times New Roman"/>
          <w:sz w:val="18"/>
          <w:szCs w:val="18"/>
          <w:color w:val="auto"/>
        </w:rPr>
        <w:t>The Powertrain business primarily represents Federal-Mogul’s OE business. Approximately 93% of the Powertrain business’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derived from sales to OE customers, with the remaining 7% of its revenue being derived from sales directly to the Motorparts business for eventual distribution, by the Motorparts business, to customers in the independent aftermarket. The Powertrain business operates 66 manufacturing sites in 18 countries, serving a large number of major automotive, heavy-duty, marine and industrial customers worldwide.</w:t>
      </w:r>
    </w:p>
    <w:p>
      <w:pPr>
        <w:spacing w:after="0" w:line="128" w:lineRule="exact"/>
        <w:rPr>
          <w:rFonts w:ascii="Times New Roman" w:cs="Times New Roman" w:eastAsia="Times New Roman" w:hAnsi="Times New Roman"/>
          <w:sz w:val="18"/>
          <w:szCs w:val="18"/>
          <w:i w:val="1"/>
          <w:iCs w:val="1"/>
          <w:color w:val="auto"/>
        </w:rPr>
      </w:pPr>
    </w:p>
    <w:p>
      <w:pPr>
        <w:jc w:val="both"/>
        <w:ind w:left="660"/>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Federal-Mogul is one of the world’s leading powertrain component and assembly providers. Comprehensive design capability and an extensive product portfolio enable effective delivery of a broad range of engine and driveline components as well as engineered solutions to improve fuel economy, reduce emissions or enhance vehicle performance and durability. Products in this segment include pistons, piston rings, piston pins, cylinder liners, valve seats and guides, engine bearings, industrial bearings, bushings and washers, ignition products, dynamic seals, bonded piston seals, combustion and exhaust gaskets, static gaskets and seals, rigid heat shields, element resistant systems protection sleeving products, flexible heat shields and lighting products. The Powertrain business' products are used in automotive, motorcycle, light truck, heavy-duty, industrial, commercial equipment (construction, agricultural, power generation, marine and railway), aerospace, and small air-cooled engine applications.</w:t>
      </w:r>
    </w:p>
    <w:p>
      <w:pPr>
        <w:spacing w:after="0" w:line="79" w:lineRule="exact"/>
        <w:rPr>
          <w:rFonts w:ascii="Times New Roman" w:cs="Times New Roman" w:eastAsia="Times New Roman" w:hAnsi="Times New Roman"/>
          <w:sz w:val="18"/>
          <w:szCs w:val="18"/>
          <w:i w:val="1"/>
          <w:iCs w:val="1"/>
          <w:color w:val="auto"/>
        </w:rPr>
      </w:pPr>
    </w:p>
    <w:p>
      <w:pPr>
        <w:jc w:val="both"/>
        <w:ind w:left="660" w:right="100" w:hanging="247"/>
        <w:spacing w:after="0" w:line="267"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Motorparts. </w:t>
      </w:r>
      <w:r>
        <w:rPr>
          <w:rFonts w:ascii="Times New Roman" w:cs="Times New Roman" w:eastAsia="Times New Roman" w:hAnsi="Times New Roman"/>
          <w:sz w:val="18"/>
          <w:szCs w:val="18"/>
          <w:color w:val="auto"/>
        </w:rPr>
        <w:t>The Motorparts business sells and distributes a broad portfolio of products in the global vehicle aftermarket. Approximately 75%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Motorparts business’ sales are derived from sales to customers in the aftermarket and approximately 25% are attributable to sales to the OE market. The Motorparts business operates 33 manufacturing sites in 16 countries and 24 distribution centers in 14 countries.</w:t>
      </w:r>
    </w:p>
    <w:p>
      <w:pPr>
        <w:spacing w:after="0" w:line="121" w:lineRule="exact"/>
        <w:rPr>
          <w:rFonts w:ascii="Times New Roman" w:cs="Times New Roman" w:eastAsia="Times New Roman" w:hAnsi="Times New Roman"/>
          <w:sz w:val="18"/>
          <w:szCs w:val="18"/>
          <w:i w:val="1"/>
          <w:iCs w:val="1"/>
          <w:color w:val="auto"/>
        </w:rPr>
      </w:pPr>
    </w:p>
    <w:p>
      <w:pPr>
        <w:ind w:left="66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Motorparts business’ products are designed to solve a problem, facilitate installation and improve safety, durability and vehicle performance. The Motorparts business’ products are utilized widely in vehicle braking systems and chassis,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72" w:right="239" w:bottom="1440" w:gutter="0" w:footer="0" w:header="0"/>
        </w:sectPr>
      </w:pPr>
    </w:p>
    <w:bookmarkStart w:id="9" w:name="page10"/>
    <w:bookmarkEnd w:id="9"/>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 well as in engine and sealing applications and general service. The Motorparts business sells its products, which total more than 570,000 SKUs, into the independent automotive, heavy-duty and specialty replacement markets. Through global market insight, supply chain expertise and brand and product line management, aftermarket and OE customers worldwide benefit from Federal-Mogul’s innovative technology, manufacturing, supply chain and distribution expertise.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automotive light vehicle market, as well as the medium duty / heavy duty commercial market, is comprised of two primary businesses: the OE market in which Federal-Mogul’s products are used in the manufacture of new vehicles and OE dealer service parts, and the global aftermarket, in which Federal-Mogul’s products are used as replacement parts for all vehicles in operation on the road, including all previous models.</w:t>
      </w:r>
    </w:p>
    <w:p>
      <w:pPr>
        <w:spacing w:after="0" w:line="66" w:lineRule="exact"/>
        <w:rPr>
          <w:sz w:val="20"/>
          <w:szCs w:val="20"/>
          <w:color w:val="auto"/>
        </w:rPr>
      </w:pPr>
    </w:p>
    <w:p>
      <w:pPr>
        <w:ind w:left="660" w:right="120" w:hanging="247"/>
        <w:spacing w:after="0" w:line="257" w:lineRule="auto"/>
        <w:tabs>
          <w:tab w:leader="none" w:pos="6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The OE Market</w:t>
      </w:r>
      <w:r>
        <w:rPr>
          <w:rFonts w:ascii="Times New Roman" w:cs="Times New Roman" w:eastAsia="Times New Roman" w:hAnsi="Times New Roman"/>
          <w:sz w:val="18"/>
          <w:szCs w:val="18"/>
          <w:color w:val="auto"/>
        </w:rPr>
        <w:t>. Demand for component parts in the OE market is generally a function of the number of new vehicles produced, which is driven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macro-economic factors such as interest rates, fuel prices, consumer confidence, employment trends, regulatory requirements and trade agreements. Although OE demand is tied to planned vehicle production, parts suppliers also have the opportunity to grow through increasing their product content per vehicle, by increasing market share and by expanding into new or emerging markets. Companies with a global presence, leading technology and innovation, and advanced product engineering, manufacturing and customer support capabilities are best positioned to take advantage of these opportunities.</w:t>
      </w:r>
    </w:p>
    <w:p>
      <w:pPr>
        <w:spacing w:after="0" w:line="74" w:lineRule="exact"/>
        <w:rPr>
          <w:rFonts w:ascii="Times New Roman" w:cs="Times New Roman" w:eastAsia="Times New Roman" w:hAnsi="Times New Roman"/>
          <w:sz w:val="18"/>
          <w:szCs w:val="18"/>
          <w:b w:val="1"/>
          <w:bCs w:val="1"/>
          <w:i w:val="1"/>
          <w:iCs w:val="1"/>
          <w:color w:val="auto"/>
        </w:rPr>
      </w:pPr>
    </w:p>
    <w:p>
      <w:pPr>
        <w:ind w:left="660" w:right="20" w:hanging="247"/>
        <w:spacing w:after="0" w:line="261"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Aftermarket Business. </w:t>
      </w:r>
      <w:r>
        <w:rPr>
          <w:rFonts w:ascii="Times New Roman" w:cs="Times New Roman" w:eastAsia="Times New Roman" w:hAnsi="Times New Roman"/>
          <w:sz w:val="18"/>
          <w:szCs w:val="18"/>
          <w:color w:val="auto"/>
        </w:rPr>
        <w:t>Products for the global vehicle aftermarket are sold directly to a wide range of distributors, retail parts stores and mass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merchants that distribute these products to professional service providers, “do-it-yourself” consumers and in some cases, directly to service chains. Demand for aftermarket products historically has been driven by three primary factors: (i) the number of vehicles in operation; (ii) the average age of vehicles; and (iii) vehicle usage trends.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Federal-Mogul supplies OEs with a wide variety of technologically innovative parts, substantially all of which are manufactured by it. Federal-Mogul’s OE customers consist of automotive and heavy-duty vehicle manufacturers as well as agricultural, off-highway, marine, railroad, aerospace, high performance and industrial application manufacturers. Federal-Mogul has well-established relationships with substantially all major American, European and Asian automotive OEs.</w:t>
      </w:r>
    </w:p>
    <w:p>
      <w:pPr>
        <w:spacing w:after="0" w:line="4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Federal-Mogul’s aftermarket customers include independent warehouse distributors who redistribute products to local parts suppliers, distributors of heavy-duty vehicular parts, engine rebuilders, retail parts stores and mass merchants. The breadth of Federal-Mogul’s product lines, the strength of its leading brand names, marketing expertise, sizable sales force, and its distribution and logistics capability are central to the success of Federal-Mogul’s Motorparts operations.</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 individual customer accounted for more than 6% of Federal-Mogul’s direct sales during 2014.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9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global vehicular parts business is highly competitive. Federal-Mogul competes with many independent manufacturers and distributors of component parts globally. In general, competition for sales is based on price, product quality, technology, delivery, customer service and the breadth of products offered by a given supplier. Federal-Mogul is meeting these competitive challenges by developing leading technologies, efficiently integrating its manufacturing and distribution operations, expanding its product coverage within its core businesses, restructuring its operations and transferring production to best cost countries, and utilizing its worldwide technical centers to develop and provide value-added solutions to its customers. A summary of Federal-Mogul's primary independent competitors by its businesses is set forth below.</w:t>
      </w:r>
    </w:p>
    <w:p>
      <w:pPr>
        <w:spacing w:after="0" w:line="78" w:lineRule="exact"/>
        <w:rPr>
          <w:sz w:val="20"/>
          <w:szCs w:val="20"/>
          <w:color w:val="auto"/>
        </w:rPr>
      </w:pPr>
    </w:p>
    <w:p>
      <w:pPr>
        <w:ind w:left="660" w:right="160" w:hanging="247"/>
        <w:spacing w:after="0" w:line="26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Powertrain</w:t>
      </w:r>
      <w:r>
        <w:rPr>
          <w:rFonts w:ascii="Times New Roman" w:cs="Times New Roman" w:eastAsia="Times New Roman" w:hAnsi="Times New Roman"/>
          <w:sz w:val="18"/>
          <w:szCs w:val="18"/>
          <w:color w:val="auto"/>
        </w:rPr>
        <w:t>. Primary competitors include Aisin, Art Metal, BinZou, Bleistahl, Bosch, Daido, Dana/Reinz, Delfingen, Denso, DongYang,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ElringKlinger, Freudenberg, GKN, Hella, Hitachi-Automotive, Kolbenschmidt, Mahle, Miba, NGK, NOK, NPR, Osram, Pall, Riken, Sinteron, and Stanley.</w:t>
      </w:r>
    </w:p>
    <w:p>
      <w:pPr>
        <w:spacing w:after="0" w:line="65" w:lineRule="exact"/>
        <w:rPr>
          <w:rFonts w:ascii="Times New Roman" w:cs="Times New Roman" w:eastAsia="Times New Roman" w:hAnsi="Times New Roman"/>
          <w:sz w:val="18"/>
          <w:szCs w:val="18"/>
          <w:color w:val="auto"/>
        </w:rPr>
      </w:pPr>
    </w:p>
    <w:p>
      <w:pPr>
        <w:ind w:left="660" w:right="60" w:hanging="247"/>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Motorparts</w:t>
      </w:r>
      <w:r>
        <w:rPr>
          <w:rFonts w:ascii="Times New Roman" w:cs="Times New Roman" w:eastAsia="Times New Roman" w:hAnsi="Times New Roman"/>
          <w:sz w:val="18"/>
          <w:szCs w:val="18"/>
          <w:color w:val="auto"/>
        </w:rPr>
        <w:t>. Primary competitors include Akebono Brake Corporation, Autolite, Brake Parts Inc., Bosch Group, Centric Parts, Crowne Group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Delphi Automotive LLP, Denso Corporation, Dorman Products, Inc., GRI Engineering and Development LLC (MAT Holdings, Inc.), Mahle GmbH, Mevotech Inc., NGK Spark Plug Co., Ltd., NTN Bearing Corporation, Neapco Inc., Old World Industries, LLC, Phillips Industries, Pylon Manufacturing Corporation, Rain-X (ITW Global Brands), SKF Group, Osram Sylvania Ltd., TRW Automotive Holdings Corp., The Timken Company, Trico Products Corporation and Valeo Group.</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26"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Materials and Suppliers</w:t>
      </w:r>
    </w:p>
    <w:p>
      <w:pPr>
        <w:spacing w:after="0" w:line="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Federal-Mogul purchases various raw materials and component parts for use in its manufacturing processes, including ferrous and non-ferrous metals, non-metallic raw materials, stampings, castings and forgings. Federal-Mogul also purchases parts manufactured by other manufacturers for sale in the aftermarket. Federal-Mogul has not experienced any significant shortages of raw materials, components or finished parts and normally does not carry inventories of raw materials or finished parts in excess of those reasonably required to meet its production and shipping schedules. In 2014, no outside supplier of Federal-Mogul provided products that accounted for more than 3% of Federal-Mogul’s annual purchases.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Federal-Mogul’s business is moderately seasonal because many North American OE customers typically close assembly plants for two weeks in July for model year changeovers, and for an additional week during the December holiday season. OE customers in Europe historically shut down vehicle production during portions of July and August and one week in December. Shut-down periods in the Rest of World generally vary by country. The aftermarket experiences seasonal fluctuations in sales due to demands caused by weather and driving patterns. Historically, Federal-Mogul’s sales and operating profits have been the strongest in the second quarter.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Environmental Regulations</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Federal-Mogul’s operations, consistent with those of the manufacturing sector in general, are subject to numerous existing and proposed laws and governmental regulations designed to protect the environment, particularly regarding plant wastes and emissions and solid waste disposal. Capital expenditures for property, plant and equipment for environmental control activities did not have a material impact on Federal-Mogul’s financial position or cash flows in 2014 and are not expected to have a material impact on its financial position or cash flows in 2015.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Federal-Mogul holds in excess of 5,700 patents and patent applications on a worldwide basis, of which more than 1,160 have been filed in the United States. Of the approximately 5,700 patents and patent applications, approximately 30% are in production use and/or are licensed to third parties, and the remaining 70% are being considered for future production use or provide a strategic technological benefit to Federal-Mogul.</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Federal-Mogul does not materially rely on any single patent, nor will the expiration of any single patent materially affect its business. Federal-Mogul’s current patents expire over various periods into the year 2036. Federal-Mogul is actively introducing and patenting new technology to replace formerly patented technology before the expiration of the existing patents. In the aggregate, Federal-Mogul’s worldwide patent portfolio is materially important to its business because it enables it to achieve technological differentiation from its competitors.</w:t>
      </w:r>
    </w:p>
    <w:p>
      <w:pPr>
        <w:spacing w:after="0" w:line="12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Federal-Mogul also maintains more than 6,800 active trademark registrations and applications worldwide. In excess of 90% of these trademark registrations and applications are in commercial use by Federal-Mogul or are licensed to third parties.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Federal-Mogul had approximately 48,600 employees as of December 31, 2014.</w:t>
      </w:r>
    </w:p>
    <w:p>
      <w:pPr>
        <w:spacing w:after="0" w:line="117" w:lineRule="exact"/>
        <w:rPr>
          <w:sz w:val="20"/>
          <w:szCs w:val="20"/>
          <w:color w:val="auto"/>
        </w:rPr>
      </w:pPr>
    </w:p>
    <w:p>
      <w:pPr>
        <w:ind w:firstLine="378"/>
        <w:spacing w:after="0" w:line="266" w:lineRule="auto"/>
        <w:rPr>
          <w:sz w:val="20"/>
          <w:szCs w:val="20"/>
          <w:color w:val="auto"/>
        </w:rPr>
      </w:pPr>
      <w:r>
        <w:rPr>
          <w:rFonts w:ascii="Times New Roman" w:cs="Times New Roman" w:eastAsia="Times New Roman" w:hAnsi="Times New Roman"/>
          <w:sz w:val="18"/>
          <w:szCs w:val="18"/>
          <w:color w:val="auto"/>
        </w:rPr>
        <w:t>Various unions represent approximately 31% of Federal-Mogul's U.S. hourly employees and approximately 91% of Federal-Mogul's non-U.S. hourly employees. With the exception of two facilities in the United States, most of Federal-Mogul's unionized manufacturing facilities have their own contracts with their own expiration dates, and as a result, no contract expiration date affects more than one facility.</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conduct our Energy segment through our majority ownership in CVR. We acquired a controlling interest in CVR on May 4, 2012.</w:t>
      </w:r>
    </w:p>
    <w:p>
      <w:pPr>
        <w:spacing w:after="0" w:line="117" w:lineRule="exact"/>
        <w:rPr>
          <w:sz w:val="20"/>
          <w:szCs w:val="20"/>
          <w:color w:val="auto"/>
        </w:rPr>
      </w:pPr>
    </w:p>
    <w:p>
      <w:pPr>
        <w:ind w:right="120" w:firstLine="378"/>
        <w:spacing w:after="0" w:line="258" w:lineRule="auto"/>
        <w:rPr>
          <w:sz w:val="20"/>
          <w:szCs w:val="20"/>
          <w:color w:val="auto"/>
        </w:rPr>
      </w:pPr>
      <w:r>
        <w:rPr>
          <w:rFonts w:ascii="Times New Roman" w:cs="Times New Roman" w:eastAsia="Times New Roman" w:hAnsi="Times New Roman"/>
          <w:sz w:val="18"/>
          <w:szCs w:val="18"/>
          <w:color w:val="auto"/>
        </w:rPr>
        <w:t>CVR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nitrogen fertilizers in the form of urea ammonium nitrate ("UAN") and ammonia. As of December 31, 2014, CVR owned 100% of the general partners of CVR Refining and CVR Partners and approximately 66% of the common units of CVR Refining and 53% of the common units of CVR Partners.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22" w:right="239" w:bottom="1440" w:gutter="0" w:footer="0" w:header="0"/>
        </w:sectPr>
      </w:pPr>
    </w:p>
    <w:bookmarkStart w:id="11" w:name="page12"/>
    <w:bookmarkEnd w:id="11"/>
    <w:p>
      <w:pPr>
        <w:ind w:right="240" w:firstLine="378"/>
        <w:spacing w:after="0" w:line="282" w:lineRule="auto"/>
        <w:rPr>
          <w:sz w:val="20"/>
          <w:szCs w:val="20"/>
          <w:color w:val="auto"/>
        </w:rPr>
      </w:pPr>
      <w:r>
        <w:rPr>
          <w:rFonts w:ascii="Times New Roman" w:cs="Times New Roman" w:eastAsia="Times New Roman" w:hAnsi="Times New Roman"/>
          <w:sz w:val="18"/>
          <w:szCs w:val="18"/>
          <w:color w:val="auto"/>
        </w:rPr>
        <w:t>CVR is a reporting company under the Exchange Act and files annual, quarterly and current reports, proxy statements and other information with the SEC that are publicly available.</w:t>
      </w:r>
    </w:p>
    <w:p>
      <w:pPr>
        <w:spacing w:after="0" w:line="54" w:lineRule="exact"/>
        <w:rPr>
          <w:sz w:val="20"/>
          <w:szCs w:val="20"/>
          <w:color w:val="auto"/>
        </w:rPr>
      </w:pPr>
    </w:p>
    <w:p>
      <w:pPr>
        <w:ind w:right="260" w:firstLine="378"/>
        <w:spacing w:after="0" w:line="282" w:lineRule="auto"/>
        <w:rPr>
          <w:sz w:val="20"/>
          <w:szCs w:val="20"/>
          <w:color w:val="auto"/>
        </w:rPr>
      </w:pPr>
      <w:r>
        <w:rPr>
          <w:rFonts w:ascii="Times New Roman" w:cs="Times New Roman" w:eastAsia="Times New Roman" w:hAnsi="Times New Roman"/>
          <w:sz w:val="18"/>
          <w:szCs w:val="18"/>
          <w:color w:val="auto"/>
        </w:rPr>
        <w:t>As of December 31, 2014, Icahn Enterprises owned 82.0% of the total outstanding common stock of CVR. In addition, as of December 31, 2014, we directly owned approximately 4.0% of the total outstanding common units of CVR Refining.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Petroleum Business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petroleum business consists of our and CVR's interest in CVR Refining.</w:t>
      </w:r>
    </w:p>
    <w:p>
      <w:pPr>
        <w:spacing w:after="0" w:line="117" w:lineRule="exact"/>
        <w:rPr>
          <w:sz w:val="20"/>
          <w:szCs w:val="20"/>
          <w:color w:val="auto"/>
        </w:rPr>
      </w:pPr>
    </w:p>
    <w:p>
      <w:pPr>
        <w:ind w:right="220" w:firstLine="378"/>
        <w:spacing w:after="0" w:line="258" w:lineRule="auto"/>
        <w:rPr>
          <w:sz w:val="20"/>
          <w:szCs w:val="20"/>
          <w:color w:val="auto"/>
        </w:rPr>
      </w:pPr>
      <w:r>
        <w:rPr>
          <w:rFonts w:ascii="Times New Roman" w:cs="Times New Roman" w:eastAsia="Times New Roman" w:hAnsi="Times New Roman"/>
          <w:sz w:val="18"/>
          <w:szCs w:val="18"/>
          <w:color w:val="auto"/>
        </w:rPr>
        <w:t>CVR's petroleum business includes a 115,000 barrels per calendar day ("bpcd") rated capacity complex full coking medium-sour crude oil refinery in Coffeyville, Kansas and a 70,000 bpcd rated capacity complex crude oil refinery in Wynnewood, Oklahoma . The combined crude capacity represents approximately 22% of the region's refining capacity. The Coffeyville refinery located in southeast Kansas is approximately 100 miles from Cushing, Oklahoma, a major crude oil trading and storage hub. The Wynnewood refinery is located approximately 65 miles south of Oklahoma City, Oklahoma and approximately 130 miles from Cushing, Oklahoma.</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petroleum business also includes the following auxiliary operating assets:</w:t>
      </w:r>
    </w:p>
    <w:p>
      <w:pPr>
        <w:spacing w:after="0" w:line="223" w:lineRule="exact"/>
        <w:rPr>
          <w:sz w:val="20"/>
          <w:szCs w:val="20"/>
          <w:color w:val="auto"/>
        </w:rPr>
      </w:pPr>
    </w:p>
    <w:p>
      <w:pPr>
        <w:ind w:left="980" w:hanging="486"/>
        <w:spacing w:after="0" w:line="257" w:lineRule="auto"/>
        <w:tabs>
          <w:tab w:leader="none" w:pos="98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Crude Oil Gathering System. </w:t>
      </w:r>
      <w:r>
        <w:rPr>
          <w:rFonts w:ascii="Times New Roman" w:cs="Times New Roman" w:eastAsia="Times New Roman" w:hAnsi="Times New Roman"/>
          <w:sz w:val="18"/>
          <w:szCs w:val="18"/>
          <w:color w:val="auto"/>
        </w:rPr>
        <w:t>The petroleum business owns and operates a crude oil gathering system serving Kansas, Nebraska, Oklahoma,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Missouri and Texas. The gathering system includes approximately 336 miles of owned and leased pipelines and approximately 150 crude oil transports and associated storage facilities, which allows it to gather crude oils from independent crude oil producers. The crude oil gathering system has a gathering capacity of approximately 60,000 barrels per day ("bpd"). Gathered crude oil provides an attractive and competitive base supply of crude oil for the Coffeyville and Wynnewood refineries. During 2014, the petroleum business gathered an average of approximately 59,000 bpd.</w:t>
      </w:r>
    </w:p>
    <w:p>
      <w:pPr>
        <w:spacing w:after="0" w:line="182" w:lineRule="exact"/>
        <w:rPr>
          <w:rFonts w:ascii="Times New Roman" w:cs="Times New Roman" w:eastAsia="Times New Roman" w:hAnsi="Times New Roman"/>
          <w:sz w:val="18"/>
          <w:szCs w:val="18"/>
          <w:i w:val="1"/>
          <w:iCs w:val="1"/>
          <w:color w:val="auto"/>
        </w:rPr>
      </w:pPr>
    </w:p>
    <w:p>
      <w:pPr>
        <w:ind w:left="980" w:hanging="486"/>
        <w:spacing w:after="0" w:line="256" w:lineRule="auto"/>
        <w:tabs>
          <w:tab w:leader="none" w:pos="98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Pipelines and Storage Tanks. </w:t>
      </w:r>
      <w:r>
        <w:rPr>
          <w:rFonts w:ascii="Times New Roman" w:cs="Times New Roman" w:eastAsia="Times New Roman" w:hAnsi="Times New Roman"/>
          <w:sz w:val="18"/>
          <w:szCs w:val="18"/>
          <w:color w:val="auto"/>
        </w:rPr>
        <w:t>The petroleum business owns a proprietary pipeline system capable of transporting approximately 170,000 bpd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crude oil from its Broome Station facility located near Caney, Kansas to its Coffeyville refinery. Crude oils sourced outside of the proprietary gathering system are delivered by common carrier pipelines into various terminals in Cushing, Oklahoma, where they are blended and then delivered to the Broome Station tank farm via a pipeline owned by Plains Pipeline L.P. ("Plains"). The petroleum business owns approximately</w:t>
      </w:r>
    </w:p>
    <w:p>
      <w:pPr>
        <w:spacing w:after="0" w:line="1" w:lineRule="exact"/>
        <w:rPr>
          <w:rFonts w:ascii="Times New Roman" w:cs="Times New Roman" w:eastAsia="Times New Roman" w:hAnsi="Times New Roman"/>
          <w:sz w:val="18"/>
          <w:szCs w:val="18"/>
          <w:i w:val="1"/>
          <w:iCs w:val="1"/>
          <w:color w:val="auto"/>
        </w:rPr>
      </w:pPr>
    </w:p>
    <w:p>
      <w:pPr>
        <w:ind w:left="980" w:right="200"/>
        <w:spacing w:after="0" w:line="25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 1.4 million barrels of crude oil storage capacity that supports the gathering system and the Coffeyville refinery, (ii) 0.9 million barrels of crude oil storage capacity at the Wynnewood refinery and (iii) 1.0 million barrels of crude oil storage capacity in Cushing, Oklahoma. The petroleum business also leases additional crude oil storage capacity of approximately 2.8 million barrels in Cushing and approximately 0.1 million barrels at the Wynnewood refinery. In addition to crude oil storage, the petroleum business owns approximately 4.5 million barrels of combined refinery related storage capacity.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and Feedstock Supply</w:t>
      </w:r>
    </w:p>
    <w:p>
      <w:pPr>
        <w:spacing w:after="0" w:line="121" w:lineRule="exact"/>
        <w:rPr>
          <w:sz w:val="20"/>
          <w:szCs w:val="20"/>
          <w:color w:val="auto"/>
        </w:rPr>
      </w:pPr>
    </w:p>
    <w:p>
      <w:pPr>
        <w:ind w:right="160" w:firstLine="378"/>
        <w:spacing w:after="0" w:line="258" w:lineRule="auto"/>
        <w:rPr>
          <w:sz w:val="20"/>
          <w:szCs w:val="20"/>
          <w:color w:val="auto"/>
        </w:rPr>
      </w:pPr>
      <w:r>
        <w:rPr>
          <w:rFonts w:ascii="Times New Roman" w:cs="Times New Roman" w:eastAsia="Times New Roman" w:hAnsi="Times New Roman"/>
          <w:sz w:val="18"/>
          <w:szCs w:val="18"/>
          <w:color w:val="auto"/>
        </w:rPr>
        <w:t>The Coffeyville refinery has the capability to process blends of a variety of crude oil ranging from heavy sour to light sweet crude oil. Currently, the Coffeyville refinery crude oil slate consists of a blend of mid-continent domestic grades and various Canadian medium and heavy sours, and it has recently introduced North Dakota Bakken and other similarly sourced crudes into its crude slate. While crude oil has historically constituted over 90% of the Coffeyville refinery's total throughput over the last five years, other feedstock inputs include normal butane, natural gasoline, alkylation feeds, naphtha, gas oil and vacuum tower bottoms.</w:t>
      </w:r>
    </w:p>
    <w:p>
      <w:pPr>
        <w:spacing w:after="0" w:line="76" w:lineRule="exact"/>
        <w:rPr>
          <w:sz w:val="20"/>
          <w:szCs w:val="20"/>
          <w:color w:val="auto"/>
        </w:rPr>
      </w:pPr>
    </w:p>
    <w:p>
      <w:pPr>
        <w:ind w:right="400" w:firstLine="378"/>
        <w:spacing w:after="0" w:line="266" w:lineRule="auto"/>
        <w:rPr>
          <w:sz w:val="20"/>
          <w:szCs w:val="20"/>
          <w:color w:val="auto"/>
        </w:rPr>
      </w:pPr>
      <w:r>
        <w:rPr>
          <w:rFonts w:ascii="Times New Roman" w:cs="Times New Roman" w:eastAsia="Times New Roman" w:hAnsi="Times New Roman"/>
          <w:sz w:val="18"/>
          <w:szCs w:val="18"/>
          <w:color w:val="auto"/>
        </w:rPr>
        <w:t>The Wynnewood refinery has the capability to process blends of a variety of crude oil ranging from medium sour to light sweet crude oil, although isobutane, gasoline components, and normal butane are also typically used. Historically most of the Wynnewood refinery's crude oil has been acquired domestically, mainly from Texas and Oklahoma, but the refinery can also access and process various light and medium Canadian grades.</w:t>
      </w:r>
    </w:p>
    <w:p>
      <w:pPr>
        <w:spacing w:after="0" w:line="68" w:lineRule="exact"/>
        <w:rPr>
          <w:sz w:val="20"/>
          <w:szCs w:val="20"/>
          <w:color w:val="auto"/>
        </w:rPr>
      </w:pPr>
    </w:p>
    <w:p>
      <w:pPr>
        <w:ind w:firstLine="378"/>
        <w:spacing w:after="0" w:line="261" w:lineRule="auto"/>
        <w:rPr>
          <w:sz w:val="20"/>
          <w:szCs w:val="20"/>
          <w:color w:val="auto"/>
        </w:rPr>
      </w:pPr>
      <w:r>
        <w:rPr>
          <w:rFonts w:ascii="Times New Roman" w:cs="Times New Roman" w:eastAsia="Times New Roman" w:hAnsi="Times New Roman"/>
          <w:sz w:val="18"/>
          <w:szCs w:val="18"/>
          <w:color w:val="auto"/>
        </w:rPr>
        <w:t>Crude oil is supplied to the Coffeyville and Wynnewood refineries through the wholly-owned gathering system and by pipeline. The petroleum business has continued to increase the number of barrels of crude oil supplied through its crude oil gathering system in 2014 and it now has the capacity of supplying approximately 60,000 barrels per day ("bpd") of crude oil to the refineries. For the year ended December 31, 2014, the gathering system supplied approximately 37% of the Coffeyville refinery's crude oil demand and 21% of the Wynnewood refinery's crude oil demand, respectively.</w:t>
      </w:r>
    </w:p>
    <w:p>
      <w:pPr>
        <w:spacing w:after="0" w:line="72" w:lineRule="exact"/>
        <w:rPr>
          <w:sz w:val="20"/>
          <w:szCs w:val="20"/>
          <w:color w:val="auto"/>
        </w:rPr>
      </w:pPr>
    </w:p>
    <w:p>
      <w:pPr>
        <w:ind w:right="20" w:firstLine="37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2014, the Coffeyville refinery's crude oil supply blend was comprised of approximately 86% light sweet crude oil, 13% heavy sour crude oil and 1% light/medium sour crude oil. For the year ended December 31, 2014, the Wynnewood refinery's crude oil supply blend was comprised of approximately 99% sweet crude oil and 1% light/medium sour crude oil.</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60"/>
          </w:cols>
          <w:pgMar w:left="240" w:top="472"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Supply Agreement</w:t>
      </w:r>
    </w:p>
    <w:p>
      <w:pPr>
        <w:spacing w:after="0" w:line="121"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August 2012, the petroleum business entered into a Crude Oil Supply Agreement (the "Vitol Agreement") with Vitol Inc. ("Vitol"). Under the Vitol Agreement, Vitol supplies the petroleum business with crude oil and intermediation logistics, which helps the petroleum business to reduce its inventory position and mitigate crude oil pricing risk. The Vitol Agreement had an initial term commencing August 31, 2012 through December 31, 2014 (the "Initial Term"). Following the Initial Term, the Vitol Agreement will automatically renew for successive one-year terms (each such term, a "Renewal Term") unless either party provides the other with notice of nonrenewal at least 180 days prior to expiration of the Initial Term or any Renewal Term. The Vitol Agreement was extended for a one-year Renewal Term through December 31, 2015.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Distribution</w:t>
      </w:r>
    </w:p>
    <w:p>
      <w:pPr>
        <w:spacing w:after="0" w:line="12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petroleum business focuses its Coffeyville petroleum product marketing efforts in the central mid-continent area, because of its relative proximity to the refinery and pipeline access. Coffeyville also has access to the Rocky Mountain area. Coffeyville engages in rack marketing, which is the supply of product through tanker trucks directly to customers located in close geographic proximity to the refinery and to customers at throughput terminals on the refined products distribution systems of Magellan and NuStar. Coffeyville also makes bulk sales (sales into third-party pipelines) into the mid-continent markets and other destinations utilizing the product pipeline networks owned by Magellan Midstream Partners, L.P. ("Magellan"), Enterprise Products Partners, L.P. and NuStar Energy, L.P. The outbound Enterprise Pipeline Red Line provides Coffeyville with access to the NuStar Refined Products Pipeline system. This allows gasoline and ULSD product sales from Kansas up into North Dakota.</w:t>
      </w:r>
    </w:p>
    <w:p>
      <w:pPr>
        <w:spacing w:after="0" w:line="8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Wynnewood refinery ships its finished product via pipeline, railcar, and truck. It focuses its efforts in the southern portion of the Magellan system which covers all of Oklahoma, parts of Arkansas as well as eastern Missouri, and all other Magellan terminals. The pipeline system is also able to flow in the opposite direction, providing access to Texas markets as well as some adjoining states with pipeline connections. Wynnewood also sells jet fuel to the U.S. Department of Defense via its segregated truck rack and can offer asphalts, solvents and other specialty products via both truck and rail.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12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Customers for the refined petroleum products primarily include retailers, railroads, and farm cooperatives and other refiners/marketers in Group 3 of the PADD II region because of their relative proximity to the refineries and pipeline access. The petroleum business sells bulk products to long-standing customers at spot market prices based on a Group 3 basis differential to prices quoted on the New York Mercantile Exchange ("NYMEX"), which are reported by industry market related indices such as Platts and Oil Price Information Service.</w:t>
      </w:r>
    </w:p>
    <w:p>
      <w:pPr>
        <w:spacing w:after="0" w:line="7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petroleum business also has a rack marketing business supplying product through tanker trucks directly to customers located in proximity to the Coffeyville and Wynnewood refineries, as well as to customers located at throughput terminals on refined products distribution systems run by Magellan and NuStar. Rack sales are at posted prices that are influenced by competitor pricing and Group 3 spot market differentials. Additionally, the Wynnewood refinery supplies jet fuel to the U.S. Department of Defense. For the year ended December 31, 2014, the two largest customers accounted for approximately 13% and 9% of the petroleum business net sales and approximately 48% of the petroleum business net sales were made to its ten largest customers.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petroleum business competes primarily on the basis of price, reliability of supply, availability of multiple grades of products and location. The principal competitive factors affecting its refining operations are cost of crude oil and other feedstock costs, refinery complexity, refinery efficiency, refinery product mix and product distribution and transportation costs. The location of the refineries provides the petroleum business with a reliable supply of crude oil and a transportation cost advantage over its competitors. The petroleum business primarily competes against five refineries operated in the mid-continent region. In addition to these refineries, the refineries compete against trading companies, as well as other refineries located outside the region that are linked to the mid-continent market through an extensive product pipeline system. These competitors include refineries located near the Gulf Coast and the Texas panhandle region. The petroleum business refinery competition also includes branded, integrated and independent oil refining companies, such as Phillips 66, HollyFrontier, NCRA, Valero and Flint Hills Resources.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petroleum business experiences seasonal effects as demand for gasoline products is generally higher during the summer months than during the winter months due to seasonal increases in highway traffic and road construction work. Demand for diesel fuel is higher during the planting and harvesting seasons. As a result, the petroleum business' results of operations for the first and fourth calendar quarters are generally lower compared to its results for the second and third calendar quarters. In addition, unseasonably cool weather in the summer months and/or unseasonably warm weather in the winter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68" w:right="259" w:bottom="1440" w:gutter="0" w:footer="0" w:header="0"/>
        </w:sectPr>
      </w:pPr>
    </w:p>
    <w:bookmarkStart w:id="13" w:name="page14"/>
    <w:bookmarkEnd w:id="13"/>
    <w:p>
      <w:pPr>
        <w:ind w:right="480"/>
        <w:spacing w:after="0" w:line="282" w:lineRule="auto"/>
        <w:rPr>
          <w:sz w:val="20"/>
          <w:szCs w:val="20"/>
          <w:color w:val="auto"/>
        </w:rPr>
      </w:pPr>
      <w:r>
        <w:rPr>
          <w:rFonts w:ascii="Times New Roman" w:cs="Times New Roman" w:eastAsia="Times New Roman" w:hAnsi="Times New Roman"/>
          <w:sz w:val="18"/>
          <w:szCs w:val="18"/>
          <w:color w:val="auto"/>
        </w:rPr>
        <w:t>months in the markets in which the petroleum business sells its petroleum products can impact the demand for gasoline and diesel fuel. The demand for asphalt is also seasonal and is generally higher during the months of March through October.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Nitrogen Fertilizer Business</w:t>
      </w:r>
    </w:p>
    <w:p>
      <w:pPr>
        <w:spacing w:after="0" w:line="121"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CVR owns its nitrogen fertilizer business through its interest in CVR Partners. The nitrogen fertilizer business is the only nitrogen fertilizer plant in North America that utilizes a pet coke gasification process to produce nitrogen fertilizer products, which are used primarily by farmers to improve the yield and quality of their crops. The nitrogen fertilizer business' principal products are UAN and ammonia which are manufactured at its facility in Coffeyville, Kansas. The nitrogen fertilizer business' product sales are heavily weighted toward UAN and all of its products are sold on a wholesale basis.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 Supply</w:t>
      </w:r>
    </w:p>
    <w:p>
      <w:pPr>
        <w:spacing w:after="0" w:line="121" w:lineRule="exact"/>
        <w:rPr>
          <w:sz w:val="20"/>
          <w:szCs w:val="20"/>
          <w:color w:val="auto"/>
        </w:rPr>
      </w:pPr>
    </w:p>
    <w:p>
      <w:pPr>
        <w:jc w:val="both"/>
        <w:ind w:right="160" w:firstLine="447"/>
        <w:spacing w:after="0" w:line="257" w:lineRule="auto"/>
        <w:rPr>
          <w:sz w:val="20"/>
          <w:szCs w:val="20"/>
          <w:color w:val="auto"/>
        </w:rPr>
      </w:pPr>
      <w:r>
        <w:rPr>
          <w:rFonts w:ascii="Times New Roman" w:cs="Times New Roman" w:eastAsia="Times New Roman" w:hAnsi="Times New Roman"/>
          <w:sz w:val="18"/>
          <w:szCs w:val="18"/>
          <w:color w:val="auto"/>
        </w:rPr>
        <w:t>The nitrogen fertilizer facility's primary input is pet coke. On average, during the past five years, over 70% of the nitrogen fertilizer business' pet coke requirements were supplied by CVR Refining's adjacent crude oil refinery pursuant to a renewable long-term agreement. Historically the nitrogen fertilizer business has obtained the remainder of its pet coke requirements from third parties such as other Midwestern refineries or pet coke brokers at spot-prices.</w:t>
      </w:r>
    </w:p>
    <w:p>
      <w:pPr>
        <w:spacing w:after="0" w:line="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During 2012, CVR Partners entered into a pet coke supply agreement with HollyFrontier Corporation. The term of this renewed agreement expires in December 2015 and may be renewed. If necessary, the gasification process can be modified to operate on coal as an alternative, which provides an additional raw material source. There are significant supplies of coal within a 60-mile radius of the nitrogen fertilizer plant.</w:t>
      </w:r>
    </w:p>
    <w:p>
      <w:pPr>
        <w:spacing w:after="0" w:line="7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Linde LLC ("Linde") owns, operates, and maintains the air separation plant that provides contract volumes of oxygen, nitrogen, and compressed dry air to the gasifiers for a monthly fee. The nitrogen fertilizer business provides and pays for all utilities required for operation of the air separation plant. The agreement with Linde expires in 2020.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Nitrogen Production Process</w:t>
      </w:r>
    </w:p>
    <w:p>
      <w:pPr>
        <w:spacing w:after="0" w:line="12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nitrogen fertilizer plant uses a gasification process to convert pet coke to high purity hydrogen for subsequent conversion to ammonia. The nitrogen fertilizer plant is capable of processing approximately 1,400 tons per day of pet coke from the Coffeyville crude oil refinery and third-party sources and converting it into approximately 1,225 tons per day of ammonia. Substantially all of the ammonia produced is converted to approximately 3,000 tons per day of UAN. The nitrogen fertilizer business completed a significant two-year plant expansion in February 2013, which increased UAN production capacity by 400,000 tons or approximately 50%, per year.</w:t>
      </w:r>
    </w:p>
    <w:p>
      <w:pPr>
        <w:spacing w:after="0" w:line="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nitrogen fertilizer business schedules and provides routine maintenance to its critical equipment using its own maintenance technicians. Pursuant to a Technical Services Agreement with an affiliate of the General Electric Company ("General Electric"), which licenses the gasification technology to the nitrogen fertilizer business, General Electric experts provide technical advice and technological updates from their ongoing research as well as other licensees' operating experiences. The pet coke gasification process is licensed from General Electric pursuant to a license agreement that is fully paid. The license grants the nitrogen fertilizer business perpetual rights to use the pet coke gasification process on specified terms and conditions.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Sales and Marketing</w:t>
      </w:r>
    </w:p>
    <w:p>
      <w:pPr>
        <w:spacing w:after="0" w:line="121"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The primary geographic markets for the nitrogen fertilizer business' fertilizer products are Kansas, Missouri, Nebraska, Iowa, Illinois, Colorado and Texas. The nitrogen fertilizer business markets the UAN products to agricultural customers and the ammonia products to industrial and agricultural customers.</w:t>
      </w:r>
    </w:p>
    <w:p>
      <w:pPr>
        <w:spacing w:after="0" w:line="176"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auto"/>
        </w:rPr>
        <w:t>UAN and ammonia are distributed by truck or by railcar. If delivered by truck, products are sold on a freight-on-board basis, and freight is normally arranged by the customer. The nitrogen fertilizer business leases and owns a fleet of railcars for use in product delivery. The nitrogen fertilizer business operates eight rail loading and two truck loading racks for UAN. It also operates four rail loading and two truck loading racks for ammonia.</w:t>
      </w:r>
    </w:p>
    <w:p>
      <w:pPr>
        <w:spacing w:after="0" w:line="68"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The nitrogen fertilizer business owns all of the truck and rail loading equipment at the nitrogen fertilizer facility. The nitrogen fertilizer business also utilizes two separate UAN storage tanks and related truck and railcar load-out facilities. Each of these facilities, located in Phillipsburg and Dartmouth, Kansas, has a UAN storage tank that has a capacity of two million gallons, or approximately 10,000 tons. The Phillipsburg property that the terminal was constructed on is owned by a subsidiary of CVR Refining, which operates the terminal. The Dartmouth terminal is located on leased property owned by the Pawnee County Cooperative Association, which operates the terminal. The purpose of the UAN terminals is to collectively distribute approximately 40,000 tons of UAN fertilizer annually. These UAN terminals are currently operational.</w:t>
      </w:r>
    </w:p>
    <w:p>
      <w:pPr>
        <w:spacing w:after="0" w:line="80"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nitrogen fertilizer business markets agricultural products to destinations that produce strong margins. The UAN market is primarily located near the Union Pacific Railroad lines or destinations that can be supplied by truck. The ammonia market 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72"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primarily located near the Burlington Northern Santa Fe or Kansas City Southern Railroad lines or destinations that can be supplied by truck.</w:t>
      </w:r>
    </w:p>
    <w:p>
      <w:pPr>
        <w:spacing w:after="0" w:line="11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nitrogen fertilizer business uses forward sales of fertilizer products to optimize its asset utilization, planning process and production scheduling. These sales are made by offering customers the opportunity to purchase product on a forward basis at prices and delivery dates that it proposes. The nitrogen fertilizer business uses this program to varying degrees during the year and between years depending on market conditions and has the flexibility to increase or decrease forward sales depending on management's view as to whether price environments will be increasing or decreasing. Fixing the selling prices of nitrogen fertilizer products months in advance of their ultimate delivery to customers typically causes the nitrogen fertilizer business reported selling prices and margins to differ from spot market prices and margins available at the time of shipment.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12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nitrogen fertilizer business sells UAN products to retailers and distributors. In addition, it sells ammonia to agricultural and industrial customers. Some of its larger customers include Gavilon Fertilizer, LLC, United Suppliers, Inc., Crop Production Services, Inc., J.R. Simplot, Inc., Interchem and MFA. Given the nature of its business, and consistent with industry practice, the nitrogen fertilizer business does not have long-term minimum purchase contracts with any of its UAN and ammonia customers.</w:t>
      </w:r>
    </w:p>
    <w:p>
      <w:pPr>
        <w:spacing w:after="0" w:line="72"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2014, the top five customers of the nitrogen fertilizer business in the aggregate represented 41% of the nitrogen fertilizer business' net sales. The nitrogen fertilizer business' top two customers accounted for approximately 17% and 10%, respectively, of the nitrogen fertilizer business' net sales.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Competition in the nitrogen fertilizer industry is dominated by price considerations. However, during the spring and fall application seasons, farming activities intensify and delivery capacity is a significant competitive factor. The nitrogen fertilizer business maintains a large fleet of leased and owned railcars and seasonally adjusts inventory to enhance its manufacturing and distribution operations.</w:t>
      </w:r>
    </w:p>
    <w:p>
      <w:pPr>
        <w:spacing w:after="0" w:line="68"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The nitrogen fertilizer business' major competitors include Agrium, Inc.; Koch Nitrogen Company, LLC; Potash Corporation of Saskatchewan, Inc.; CF Industries Holdings, Inc. and Terra Nitrogen Company, LP. Domestic competition is intense due to customers' sophisticated buying tendencies and competitor strategies that focus on cost and service. Also, foreign competition can exist from producers of fertilizer products manufactured in countries with lower cost natural gas supplies. In certain cases, foreign producers of fertilizer who export to the United States may be subsidized by their respective governments.</w:t>
      </w:r>
    </w:p>
    <w:p>
      <w:pPr>
        <w:spacing w:after="0" w:line="5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Based on third-party expert data regarding total United States demand for UAN and ammonia, our Energy segment estimates that the nitrogen fertilizer plant's UAN production in 2014 represented approximately 7% of total U.S. UAN use and that the net ammonia produced and marketed at Coffeyville represented less than 1% of total U.S. ammonia use.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4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Because the nitrogen fertilizer business primarily sells agricultural commodity products, its business is exposed to seasonal fluctuations in demand for nitrogen fertilizer products in the agricultural industry. As a result, the nitrogen fertilizer business typically generates greater net sales in the first half of each calendar year, which is referred to as the planting season, and its net sales tend to be lower during the second half of each calendar year, which is referred to as the fill season.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CVR's petroleum and nitrogen fertilizer businesses are subject to extensive and frequently changing federal, state and local, environmental and health and safety laws and regulations governing the emission and release of hazardous substances into the environment, the treatment and discharge of waste water, the storage, handling, use and transportation of petroleum and nitrogen products, and the characteristics and composition of gasoline and diesel fuels. These laws and regulations, their underlying regulatory requirements and the enforcement thereof impact the petroleum business and operations and the nitrogen fertilizer business and operations by imposing:</w:t>
      </w:r>
    </w:p>
    <w:p>
      <w:pPr>
        <w:spacing w:after="0" w:line="211" w:lineRule="exact"/>
        <w:rPr>
          <w:sz w:val="20"/>
          <w:szCs w:val="20"/>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operations or the need to install enhanced or additional controls;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obtain and comply with permits, licenses and authorizations;</w:t>
      </w:r>
    </w:p>
    <w:p>
      <w:pPr>
        <w:spacing w:after="0" w:line="117" w:lineRule="exact"/>
        <w:rPr>
          <w:rFonts w:ascii="Times New Roman" w:cs="Times New Roman" w:eastAsia="Times New Roman" w:hAnsi="Times New Roman"/>
          <w:sz w:val="18"/>
          <w:szCs w:val="18"/>
          <w:color w:val="auto"/>
        </w:rPr>
      </w:pPr>
    </w:p>
    <w:p>
      <w:pPr>
        <w:ind w:left="660" w:right="60" w:hanging="247"/>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for the investigation and remediation of contaminated soil and groundwater at current and former facilities (if any) and liability for off-site waste disposal locations; and</w:t>
      </w:r>
    </w:p>
    <w:p>
      <w:pPr>
        <w:spacing w:after="0" w:line="53" w:lineRule="exact"/>
        <w:rPr>
          <w:rFonts w:ascii="Times New Roman" w:cs="Times New Roman" w:eastAsia="Times New Roman" w:hAnsi="Times New Roman"/>
          <w:sz w:val="18"/>
          <w:szCs w:val="18"/>
          <w:color w:val="auto"/>
        </w:rPr>
      </w:pPr>
    </w:p>
    <w:p>
      <w:pPr>
        <w:ind w:left="660" w:right="400" w:hanging="247"/>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specifications for the products marketed by the petroleum business and the nitrogen fertilizer business, primarily gasoline, diesel fuel, UAN and ammonia.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72" w:right="239" w:bottom="1440" w:gutter="0" w:footer="0" w:header="0"/>
        </w:sectPr>
      </w:pPr>
    </w:p>
    <w:bookmarkStart w:id="15" w:name="page16"/>
    <w:bookmarkEnd w:id="15"/>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CVR's operations require numerous permits, licenses and authorizations. Failure to comply with these permits or environmental laws and regulations could result in fines, penalties or other sanctions or a revocation of CVR's permits. In addition, the laws and regulations to which CVR is subject are often evolving and many of them have become more stringent or have become subject to more stringent interpretation or enforcement by federal or state agencies. The ultimate impact on CVR's compliance with evolving laws and regulations is not always clearly known or determinable due in part to the fact that its operations may change over time and certain implementing regulations for laws, such as the federal Clean Air Act, have not yet been finalized, are under governmental or judicial review or are being revised. These laws and regulations could result in increased capital, operating and compliance costs.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Renewable Fuel Standards</w:t>
      </w:r>
    </w:p>
    <w:p>
      <w:pPr>
        <w:spacing w:after="0" w:line="121"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2007, the EPA promulgated the Renewable Fuel Standard ("RFS"), which requires refiners to either blend "renewable fuels" in with their transportation fuels or purchase renewable fuel credits, known as renewable identification numbers ("RINs") in lieu of blending. Due to mandates in the RFS requiring increasing volumes of renewable fuels to replace petroleum products in the U.S. motor fuel market, there may be a decrease in demand for petroleum products. The EPA is required to determine and publish the applicable annual renewable fuel percentage standards for each compliance year by November 30 of the prior year. The percentage standards represent the ratio of renewable fuel volume to gasoline and diesel volume. Beginning in 2011, the Coffeyville refinery was required to blend renewable fuels into its gasoline and diesel fuel or purchase RINs in lieu of blending. In 2013, the Wynnewood refinery was subject to the RFS for the first time.</w:t>
      </w:r>
    </w:p>
    <w:p>
      <w:pPr>
        <w:spacing w:after="0" w:line="8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During 2013, the cost of RINs became extremely volatile as the EPA's proposed renewable fuel volume mandates approached the "blend wall." The blend wall refers to the point at which refiners are required to blend more ethanol into the transportation fuel supply than can be supported by the demand for E10 gasoline (gasoline containing 10 percent ethanol by volume). In November 2013, the EPA published the annual renewable fuel percentage standards for 2014, which acknowledged the blend wall and were generally lower than the volumes for 2013 and lower than statutory mandates. The price of RINs decreased significantly after the 2014 proposed percentage standards were published; however, RIN prices remained volatile and increased subsequently in 2014. In May 2014, the EPA lowered the 2013 cellulosic biofuel standard to 0.0005%, and, in June 2014, the EPA extended the compliance demonstration deadline for the 2013 RFS to September 30, 2014. In August 2014, the EPA further extended the compliance demonstration deadline for the 2013 RFS to 30 days following the publication of the final 2014 annual renewable fuel percentage standards. In November 2014, the EPA announced that it would not finalize the 2014 annual renewable fuel percentage standards before the end of 2014, thereby extending the compliance deadline for the 2013 RFS as well.</w:t>
      </w:r>
    </w:p>
    <w:p>
      <w:pPr>
        <w:spacing w:after="0" w:line="81" w:lineRule="exact"/>
        <w:rPr>
          <w:sz w:val="20"/>
          <w:szCs w:val="20"/>
          <w:color w:val="auto"/>
        </w:rPr>
      </w:pPr>
    </w:p>
    <w:p>
      <w:pPr>
        <w:ind w:right="520" w:firstLine="324"/>
        <w:spacing w:after="0" w:line="258" w:lineRule="auto"/>
        <w:rPr>
          <w:sz w:val="20"/>
          <w:szCs w:val="20"/>
          <w:color w:val="auto"/>
        </w:rPr>
      </w:pPr>
      <w:r>
        <w:rPr>
          <w:rFonts w:ascii="Times New Roman" w:cs="Times New Roman" w:eastAsia="Times New Roman" w:hAnsi="Times New Roman"/>
          <w:sz w:val="18"/>
          <w:szCs w:val="18"/>
          <w:color w:val="auto"/>
        </w:rPr>
        <w:t>The future cost of RINs for the petroleum business going forward is difficult to estimate, particularly until such time that the 2014 renewable fuel percentage standards are finalized and the 2015 renewable fuel percentage standards are announced. Additionally, the cost of RINs is dependent upon a variety of factors, which include EPA regulations, the availability of RINs for purchase, the price at which RINs can be purchased, transportation fuel production levels, the mix of the petroleum business' petroleum products, as well as the fuel blending performed at the refineries, all of which can vary significantly from quarter to quarter.</w:t>
      </w:r>
    </w:p>
    <w:p>
      <w:pPr>
        <w:spacing w:after="0" w:line="7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For further discussion regarding the impact of RINs on our Energy segment's operations, refer to Part II, Item 7, "Management's Discussion and Analysis of Financial Condition and Results of Operations - Energy."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Health and Security Matters</w:t>
      </w:r>
    </w:p>
    <w:p>
      <w:pPr>
        <w:spacing w:after="0" w:line="12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CVR is subject to a number of federal and state laws and regulations related to safety, including the Occupational Safety and Health Act ("OSHA") and comparable state statutes, the purpose of which are to protect the health and safety of workers. CVR is subject to OSHA Process Safety Management regulations, which are designed to prevent or minimize the consequences of catastrophic releases of toxic, reactive, flammable or explosive chemicals.</w:t>
      </w:r>
    </w:p>
    <w:p>
      <w:pPr>
        <w:spacing w:after="0" w:line="6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CVR operates a comprehensive safety, health and security program, with participation by employees at all levels of the organization. CVR has developed comprehensive safety programs aimed at preventing OSHA recordable incidents. Despite CVR's efforts to achieve excellence in its safety and health performance, there can be no assurances that there will not be accidents resulting in injuries or even fatalities. CVR routinely audits its programs and consider improvements in its management systems.</w:t>
      </w:r>
    </w:p>
    <w:p>
      <w:pPr>
        <w:spacing w:after="0" w:line="7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Wynnewood refinery has been the subject of a number of OSHA inspections since 2006. As a result of these inspections, the Wynnewood refinery has entered into four OSHA settlement agreements in 2008, pursuant to which it has agreed to undertake certain studies, conduct abatement activities, and revise and enhance certain OSHA compliance programs. The remaining costs associated with implementing these studies, abatement activities and program revisions are not expected to exceed $1 million.</w:t>
      </w:r>
    </w:p>
    <w:p>
      <w:pPr>
        <w:spacing w:after="0" w:line="7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On September 28, 2012, the Wynnewood refinery experienced an explosion in a boiler unit during startup after a short outage as part of the turnaround process. Two employees were fatally injured. Damage at the refinery was limited to the boiler.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72" w:right="239" w:bottom="1440" w:gutter="0" w:footer="0" w:header="0"/>
        </w:sectPr>
      </w:pPr>
    </w:p>
    <w:bookmarkStart w:id="16" w:name="page17"/>
    <w:bookmarkEnd w:id="16"/>
    <w:p>
      <w:pPr>
        <w:ind w:right="40"/>
        <w:spacing w:after="0" w:line="254" w:lineRule="auto"/>
        <w:rPr>
          <w:sz w:val="20"/>
          <w:szCs w:val="20"/>
          <w:color w:val="auto"/>
        </w:rPr>
      </w:pPr>
      <w:r>
        <w:rPr>
          <w:rFonts w:ascii="Times New Roman" w:cs="Times New Roman" w:eastAsia="Times New Roman" w:hAnsi="Times New Roman"/>
          <w:sz w:val="18"/>
          <w:szCs w:val="18"/>
          <w:color w:val="auto"/>
        </w:rPr>
        <w:t>Additionally, there has been no evidence of environmental impact. The refinery was in the final stages of shutdown for turnaround maintenance at the time of the incident. The petroleum business completed an internal investigation of the incident and cooperated with OSHA in its investigation. OSHA also conducted a general inspection of the facility during the boiler incident investigation. In March 2013, OSHA completed its investigation and communicated its citations to WRC. OSHA also placed WRC in its Severe Violators Enforcement Program ("SVEP"). Wynnewood Refining Company, LLC ("WRC") is vigorously contesting the citations and OSHA's placement of WRC in the SVEP. Any penalties associated with OSHA's citations are not expected to have a material adverse effect on the consolidated financial statements. On September 25, 2013, WRC agreed to pay a small civil penalty to settle rather than defend claims alleged by the EPA under the Clean Air Act's general duty clause related to the boiler incident. In addition to the above, the spouses of the two employees fatally injured have filed a civil lawsuit against WRC, CVR Refining and CVR Energy in Fort Bend County, Texas. The civil suit is in discovery and the companies will vigorously defend the suit. It is currently too early to assess a potential outcome in the matter.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2014, 982 employees were employed by the petroleum business, 144 were employed by the nitrogen fertilizer business and 172 employees were employed by CVR in Sugar Land, Texas and Kansas City, Kansas.</w:t>
      </w:r>
    </w:p>
    <w:p>
      <w:pPr>
        <w:spacing w:after="0" w:line="5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2014, the Coffeyville refinery employed 662 of the petroleum business employees, about 51% of whom were covered by a collective bargaining agreement. These employees are affiliated with five unions of the Metal Trades Department of the AFL-CIO ("Metal Trade Unions") and the United Steel, Paper and Forestry, Rubber, Manufacturing, Energy, Allied Industrial and Service Workers International Union, AFL-CIO-CLC ("United Steelworkers"). The petroleum business is a party to a collective bargaining agreement with the Metal Trade Unions covering union members who work directly at the Coffeyville refinery. The agreement expires in March 2019. In addition, a collective bargaining agreement with the United Steelworkers, which covers the balance of the petroleum business' unionized employees who work in crude transportation and related operations, expires in March 2017 and automatically renews on an annual basis thereafter unless a written notice is received sixty days in advance of the relevant expiration date.</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2014, the Wynnewood refinery employed 320 people, about 59% of whom were represented by the International Union of Operating Engineers. The collective bargaining agreement with the International Union of Operating Engineers with respect to the Wynnewood refinery expires in June 2017.</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conduct our Metals segment through our indirect wholly owned subsidiary, PSC Metals, Inc. (“PSC Metals”).</w:t>
      </w:r>
    </w:p>
    <w:p>
      <w:pPr>
        <w:spacing w:after="0" w:line="117" w:lineRule="exact"/>
        <w:rPr>
          <w:sz w:val="20"/>
          <w:szCs w:val="20"/>
          <w:color w:val="auto"/>
        </w:rPr>
      </w:pPr>
    </w:p>
    <w:p>
      <w:pPr>
        <w:ind w:right="100" w:firstLine="378"/>
        <w:spacing w:after="0" w:line="256" w:lineRule="auto"/>
        <w:rPr>
          <w:sz w:val="20"/>
          <w:szCs w:val="20"/>
          <w:color w:val="auto"/>
        </w:rPr>
      </w:pPr>
      <w:r>
        <w:rPr>
          <w:rFonts w:ascii="Times New Roman" w:cs="Times New Roman" w:eastAsia="Times New Roman" w:hAnsi="Times New Roman"/>
          <w:sz w:val="18"/>
          <w:szCs w:val="18"/>
          <w:color w:val="auto"/>
        </w:rPr>
        <w:t>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 including electric-arc furnace mills, integrated steel mills, foundries, secondary smelters and metals brokers. These services are provided through PSC Metals' recycling facilities located in eight states. PSC Metals also operates a steel products business that includes the supply of secondary plate and structural grade pipe that is sold into niche markets for counterweights, piling and foundations, construction materials and infrastructure end-markets.</w:t>
      </w:r>
    </w:p>
    <w:p>
      <w:pPr>
        <w:spacing w:after="0" w:line="80"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The scrap market in which PSC Metals operates is highly dependent on overall economic conditions in the U.S. and other global markets. While economic conditions in the U.S. improved in 2014 as compared to 2013, deteriorating economic conditions outside the U.S. combined with a strong U.S. dollar to weaken an already depressed scrap export market, resulting in tons that would have previously been exported being offered to domestic consumers. The strong dollar also encouraged increased steel imports that put pressure on domestic steel mill capacity utilization and resulted in increasing domestic steel inventories in 2014. Also during 2014, iron ore prices dropped significantly, improving the economics of that alternative to processed scrap for steel producers. The combined effect of these events on the scrap market was increased competition for decreasing domestic demand, and scrap prices falling by end of 2014, to the lowest levels since 2012. On the supply side, competition for shredder feedstock remained intense and margins remained under pressure in 2014. Unstable, and decreasing market pricing throughout 2014, but primarily during the fourth quarter of 2014, had the effect of reducing flows from peddlers and dealers while at the same time reducing margins. We cannot predict whether, or how long, current market conditions will continue to persist.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Ferrous Scrap Metal Business</w:t>
      </w:r>
    </w:p>
    <w:p>
      <w:pPr>
        <w:spacing w:after="0" w:line="121" w:lineRule="exact"/>
        <w:rPr>
          <w:sz w:val="20"/>
          <w:szCs w:val="20"/>
          <w:color w:val="auto"/>
        </w:rPr>
      </w:pPr>
    </w:p>
    <w:p>
      <w:pPr>
        <w:ind w:firstLine="378"/>
        <w:spacing w:after="0" w:line="266" w:lineRule="auto"/>
        <w:rPr>
          <w:sz w:val="20"/>
          <w:szCs w:val="20"/>
          <w:color w:val="auto"/>
        </w:rPr>
      </w:pPr>
      <w:r>
        <w:rPr>
          <w:rFonts w:ascii="Times New Roman" w:cs="Times New Roman" w:eastAsia="Times New Roman" w:hAnsi="Times New Roman"/>
          <w:sz w:val="18"/>
          <w:szCs w:val="18"/>
          <w:color w:val="auto"/>
        </w:rPr>
        <w:t>PSC Metals' ferrous products include busheling, plate and structural, shredded, sheared and bundled scrap metal and other purchased scrap metal such as turnings (steel machining fragments), cast furnace iron and broken furnace iron. PSC Metals processes the scrap into a size, density and purity required by customers to meet their production needs.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72" w:right="259" w:bottom="1440" w:gutter="0" w:footer="0" w:header="0"/>
        </w:sectPr>
      </w:pPr>
    </w:p>
    <w:bookmarkStart w:id="17" w:name="page18"/>
    <w:bookmarkEnd w:id="17"/>
    <w:p>
      <w:pPr>
        <w:ind w:right="40" w:firstLine="378"/>
        <w:spacing w:after="0" w:line="254" w:lineRule="auto"/>
        <w:rPr>
          <w:sz w:val="20"/>
          <w:szCs w:val="20"/>
          <w:color w:val="auto"/>
        </w:rPr>
      </w:pPr>
      <w:r>
        <w:rPr>
          <w:rFonts w:ascii="Times New Roman" w:cs="Times New Roman" w:eastAsia="Times New Roman" w:hAnsi="Times New Roman"/>
          <w:sz w:val="18"/>
          <w:szCs w:val="18"/>
          <w:color w:val="auto"/>
        </w:rPr>
        <w:t>PSC Metals purchases processed and unprocessed ferrous scrap metal from various sources, including individuals and traditional scrap yards as well as industrial manufacturers who recycle the scrap from their metal-forming processes and steel mills who look to PSC Metals to remarket secondary product they would otherwise scrap. PSC Metals sets the price paid to its suppliers based on market factors such as the demand and price for processed material and the underlying metal content of the scrap material being purchased. Changes in scrap prices could cause the collection rates of scrap to increase (when prices are higher) or decrease (when prices are lower). The variation in prices and collection rates can have a significant effect on sales volumes through PSC Metals' scrap yards. Scrap material is processed in PSC Metals' recycling yards where it is shredded, cut, broken, sheared, sorted and classified for use as raw material in the steel-making process. PSC Metals then sells processed ferrous scrap to end-users such as steel producing mini-mills and integrated steel makers and foundries, as well as brokers who aggregate materials for other large users. Additionally, a significant amount of valuable, non-ferrous metal is also recovered as a by-product of the shredding process, which is sold separately as discussed below.</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Non-ferrous Scrap Metal Business</w:t>
      </w:r>
    </w:p>
    <w:p>
      <w:pPr>
        <w:spacing w:after="0" w:line="121" w:lineRule="exact"/>
        <w:rPr>
          <w:sz w:val="20"/>
          <w:szCs w:val="20"/>
          <w:color w:val="auto"/>
        </w:rPr>
      </w:pPr>
    </w:p>
    <w:p>
      <w:pPr>
        <w:ind w:right="40" w:firstLine="378"/>
        <w:spacing w:after="0" w:line="255" w:lineRule="auto"/>
        <w:rPr>
          <w:sz w:val="20"/>
          <w:szCs w:val="20"/>
          <w:color w:val="auto"/>
        </w:rPr>
      </w:pPr>
      <w:r>
        <w:rPr>
          <w:rFonts w:ascii="Times New Roman" w:cs="Times New Roman" w:eastAsia="Times New Roman" w:hAnsi="Times New Roman"/>
          <w:sz w:val="18"/>
          <w:szCs w:val="18"/>
          <w:color w:val="auto"/>
        </w:rPr>
        <w:t>The primary non-ferrous commodities that PSC Metals recycles are aluminum, copper, brass, stainless steel and other nickel-bearing metals. Non-ferrous products are a significant raw material in the production of aluminum and copper alloys used in manufacturing. The geographic markets for non-ferrous scrap tend to be larger than those for ferrous scrap due to the higher selling prices of non-ferrous metals relative to their weight, which justify the cost of shipping over greater distances. Non-ferrous scrap is typically sold on a spot basis, either directly or through brokers, to intermediate or end-users, which include smelters, foundries and aluminum sheet and ingot manufacturers. Prices for non-ferrous scrap are driven by demand for finished non-ferrous metal goods and by the general level of economic activity, with prices generally related to the price of the primary metal on the London Metals Exchange, Chicago Mercantile Exchange or the New York Commodity Exchange.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121" w:lineRule="exact"/>
        <w:rPr>
          <w:sz w:val="20"/>
          <w:szCs w:val="20"/>
          <w:color w:val="auto"/>
        </w:rPr>
      </w:pPr>
    </w:p>
    <w:p>
      <w:pPr>
        <w:ind w:right="320" w:firstLine="378"/>
        <w:spacing w:after="0" w:line="261" w:lineRule="auto"/>
        <w:rPr>
          <w:sz w:val="20"/>
          <w:szCs w:val="20"/>
          <w:color w:val="auto"/>
        </w:rPr>
      </w:pPr>
      <w:r>
        <w:rPr>
          <w:rFonts w:ascii="Times New Roman" w:cs="Times New Roman" w:eastAsia="Times New Roman" w:hAnsi="Times New Roman"/>
          <w:sz w:val="18"/>
          <w:szCs w:val="18"/>
          <w:color w:val="auto"/>
        </w:rPr>
        <w:t>PSC Metals is focused on growing and diversifying its core ferrous business by improving operating efficiencies through better use of its assets, lowering its cost structure and continuing to expand its non-ferrous business through both acquisitions and organic growth. PSC Metals seeks to acquire companies that will enable it to increase and maintain a consistent supply of scrap and capture efficiencies associated with an appropriate level of vertical integration.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Materials/Competition</w:t>
      </w:r>
    </w:p>
    <w:p>
      <w:pPr>
        <w:spacing w:after="0" w:line="121"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The scrap metal recycling industry is highly competitive, cyclical in nature, and commodity-based. Operating results tend to reflect and be amplified by changes in general global economic conditions, which in turn drive domestic and overseas manufacturing and the consumption of scrap in the production of steel and foundry products. The demand for product and production activity of PSC Metals' scrap consumers drives market pricing levels in PSC Metals' ferrous and non-ferrous scrap sales. Demand is driven by mill production schedules related to regional manufacturing requirements and service center stocking levels. Due to the lower selling prices of ferrous metals relative to their weight, raw ferrous scrap is generally purchased locally. Ferrous scrap prices are local and regional in nature. Where there are overlapping regional markets, however, prices do not tend to differ significantly between the regions due to the ability of companies to ship scrap metal from one region to another. The most significant limitation on the size of the geographic market for the procurement of ferrous scrap is transportation cost. This leads to significant fluctuations in demand and pricing for PSC Metals' products. The steel products business is less cyclical but is affected by the rate of secondary product generated by steel mills generating these products and the market demands in plate and pipe markets.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121" w:lineRule="exact"/>
        <w:rPr>
          <w:sz w:val="20"/>
          <w:szCs w:val="20"/>
          <w:color w:val="auto"/>
        </w:rPr>
      </w:pPr>
    </w:p>
    <w:p>
      <w:pPr>
        <w:ind w:right="760" w:firstLine="378"/>
        <w:spacing w:after="0" w:line="282" w:lineRule="auto"/>
        <w:rPr>
          <w:sz w:val="20"/>
          <w:szCs w:val="20"/>
          <w:color w:val="auto"/>
        </w:rPr>
      </w:pPr>
      <w:r>
        <w:rPr>
          <w:rFonts w:ascii="Times New Roman" w:cs="Times New Roman" w:eastAsia="Times New Roman" w:hAnsi="Times New Roman"/>
          <w:sz w:val="18"/>
          <w:szCs w:val="18"/>
          <w:color w:val="auto"/>
        </w:rPr>
        <w:t>Our Metals segment had three customers in 2014 that represented approximately 39% of its net sales, one of which individually accounted for approximately 24% of its net sales. No other customer accounted for more than 10% of our Metals segment's net sales in 2014.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2014, PSC Metals had 892 employees, of which 143 employees were covered by collective bargaining agreements.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Railcar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right="140" w:firstLine="378"/>
        <w:spacing w:after="0" w:line="282" w:lineRule="auto"/>
        <w:rPr>
          <w:sz w:val="20"/>
          <w:szCs w:val="20"/>
          <w:color w:val="auto"/>
        </w:rPr>
      </w:pPr>
      <w:r>
        <w:rPr>
          <w:rFonts w:ascii="Times New Roman" w:cs="Times New Roman" w:eastAsia="Times New Roman" w:hAnsi="Times New Roman"/>
          <w:sz w:val="18"/>
          <w:szCs w:val="18"/>
          <w:color w:val="auto"/>
        </w:rPr>
        <w:t>We conduct our Railcar segment through our majority ownership interests in American Railcar Industries, Inc. ("ARI") and American Railcar Leasing, LLC ("ARL").</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472" w:right="279" w:bottom="1440" w:gutter="0" w:footer="0" w:header="0"/>
        </w:sectPr>
      </w:pPr>
    </w:p>
    <w:bookmarkStart w:id="18" w:name="page19"/>
    <w:bookmarkEnd w:id="18"/>
    <w:p>
      <w:pPr>
        <w:ind w:right="60" w:firstLine="378"/>
        <w:spacing w:after="0" w:line="266" w:lineRule="auto"/>
        <w:rPr>
          <w:sz w:val="20"/>
          <w:szCs w:val="20"/>
          <w:color w:val="auto"/>
        </w:rPr>
      </w:pPr>
      <w:r>
        <w:rPr>
          <w:rFonts w:ascii="Times New Roman" w:cs="Times New Roman" w:eastAsia="Times New Roman" w:hAnsi="Times New Roman"/>
          <w:sz w:val="18"/>
          <w:szCs w:val="18"/>
          <w:color w:val="auto"/>
        </w:rPr>
        <w:t>On January 15, 2010, we acquired a 54.3% controlling interest in ARI from affiliates of Mr. Icahn. The acquisition of ARI has been treated as an acquisition of an entity under common control that requires us to consolidate the financial results of ARI on an as-if-pooling basis. During 2011, we acquired additional shares of ARI common stock. As of December 31, 2014, we owned approximately 55.6% of the total outstanding common stock of ARI.</w:t>
      </w:r>
    </w:p>
    <w:p>
      <w:pPr>
        <w:spacing w:after="0" w:line="6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As discussed further in Note 3, "Operating Units - Railcar," to the consolidated financial statements, pursuant to a contribution agreement (the "ARL Contribution Agreement") dated September 20, 2013 and with a closing date on October 2, 2013 among AEP Rail Corp. ("AEP"), IRL Holding LLC ("IRL"), ARL and IEP Energy Holding LLC, we acquired a 75% economic interest in the newly capitalized ARL. ARL is considered an entity under common control that requires us to consolidate the financial results of ARL on an as-if-pooling basis.</w:t>
      </w:r>
    </w:p>
    <w:p>
      <w:pPr>
        <w:spacing w:after="0" w:line="72" w:lineRule="exact"/>
        <w:rPr>
          <w:sz w:val="20"/>
          <w:szCs w:val="20"/>
          <w:color w:val="auto"/>
        </w:rPr>
      </w:pPr>
    </w:p>
    <w:p>
      <w:pPr>
        <w:ind w:right="500" w:firstLine="378"/>
        <w:spacing w:after="0" w:line="282" w:lineRule="auto"/>
        <w:rPr>
          <w:sz w:val="20"/>
          <w:szCs w:val="20"/>
          <w:color w:val="auto"/>
        </w:rPr>
      </w:pPr>
      <w:r>
        <w:rPr>
          <w:rFonts w:ascii="Times New Roman" w:cs="Times New Roman" w:eastAsia="Times New Roman" w:hAnsi="Times New Roman"/>
          <w:sz w:val="18"/>
          <w:szCs w:val="18"/>
          <w:color w:val="auto"/>
        </w:rPr>
        <w:t>On August 17, 2012, AEP Leasing LLC ("AEP Leasing"), a wholly owned subsidiary of Icahn Enterprises, was formed for the purpose of leasing railcars. Pursuant to the ARL Contribution Agreement, we contributed AEP Leasing, including its fleet of railcars, to ARL.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ind w:right="280" w:firstLine="378"/>
        <w:spacing w:after="0" w:line="261" w:lineRule="auto"/>
        <w:rPr>
          <w:sz w:val="20"/>
          <w:szCs w:val="20"/>
          <w:color w:val="auto"/>
        </w:rPr>
      </w:pPr>
      <w:r>
        <w:rPr>
          <w:rFonts w:ascii="Times New Roman" w:cs="Times New Roman" w:eastAsia="Times New Roman" w:hAnsi="Times New Roman"/>
          <w:sz w:val="18"/>
          <w:szCs w:val="18"/>
          <w:color w:val="auto"/>
        </w:rPr>
        <w:t>ARI is a leading North American designer and manufacturer of hopper and tank railcars. ARI provides its railcar customers with integrated solutions through a comprehensive set of high-quality products and related services through its manufacturing, leasing and railcar services operations. ARI's manufacturing consists of railcar manufacturing and railcar and industrial component manufacturing. ARI's Railcar services consist of railcar repair, engineering and field services.</w:t>
      </w:r>
    </w:p>
    <w:p>
      <w:pPr>
        <w:spacing w:after="0" w:line="72" w:lineRule="exact"/>
        <w:rPr>
          <w:sz w:val="20"/>
          <w:szCs w:val="20"/>
          <w:color w:val="auto"/>
        </w:rPr>
      </w:pPr>
    </w:p>
    <w:p>
      <w:pPr>
        <w:ind w:right="160" w:firstLine="378"/>
        <w:spacing w:after="0" w:line="266" w:lineRule="auto"/>
        <w:rPr>
          <w:sz w:val="20"/>
          <w:szCs w:val="20"/>
          <w:color w:val="auto"/>
        </w:rPr>
      </w:pPr>
      <w:r>
        <w:rPr>
          <w:rFonts w:ascii="Times New Roman" w:cs="Times New Roman" w:eastAsia="Times New Roman" w:hAnsi="Times New Roman"/>
          <w:sz w:val="18"/>
          <w:szCs w:val="18"/>
          <w:color w:val="auto"/>
        </w:rPr>
        <w:t>ARL is engaged in the business of leasing railcars to customers with specific requirements whose products require specialized railcars dedicated to transporting, storing, and preserving the integrity of their products. These products are primarily in the energy, food and agriculture, chemical, minerals and petrochemical industries.</w:t>
      </w:r>
    </w:p>
    <w:p>
      <w:pPr>
        <w:spacing w:after="0" w:line="68" w:lineRule="exact"/>
        <w:rPr>
          <w:sz w:val="20"/>
          <w:szCs w:val="20"/>
          <w:color w:val="auto"/>
        </w:rPr>
      </w:pPr>
    </w:p>
    <w:p>
      <w:pPr>
        <w:jc w:val="both"/>
        <w:ind w:right="260" w:firstLine="378"/>
        <w:spacing w:after="0" w:line="266" w:lineRule="auto"/>
        <w:rPr>
          <w:sz w:val="20"/>
          <w:szCs w:val="20"/>
          <w:color w:val="auto"/>
        </w:rPr>
      </w:pPr>
      <w:r>
        <w:rPr>
          <w:rFonts w:ascii="Times New Roman" w:cs="Times New Roman" w:eastAsia="Times New Roman" w:hAnsi="Times New Roman"/>
          <w:sz w:val="18"/>
          <w:szCs w:val="18"/>
          <w:color w:val="auto"/>
        </w:rPr>
        <w:t>ARI’s and ARL’s railcar leasing business consists of railcars manufactured primarily by ARI and leased to third parties under operating leases. ARI’s leasing business is operated under lease management agreements with ARL through which ARL markets ARI’s railcars for sale or lease and acts as ARI’s manager to lease railcars on ARI’s behalf for a fee.</w:t>
      </w:r>
    </w:p>
    <w:p>
      <w:pPr>
        <w:spacing w:after="0" w:line="68" w:lineRule="exact"/>
        <w:rPr>
          <w:sz w:val="20"/>
          <w:szCs w:val="20"/>
          <w:color w:val="auto"/>
        </w:rPr>
      </w:pPr>
    </w:p>
    <w:p>
      <w:pPr>
        <w:ind w:right="320" w:firstLine="378"/>
        <w:spacing w:after="0" w:line="282" w:lineRule="auto"/>
        <w:rPr>
          <w:sz w:val="20"/>
          <w:szCs w:val="20"/>
          <w:color w:val="auto"/>
        </w:rPr>
      </w:pPr>
      <w:r>
        <w:rPr>
          <w:rFonts w:ascii="Times New Roman" w:cs="Times New Roman" w:eastAsia="Times New Roman" w:hAnsi="Times New Roman"/>
          <w:sz w:val="18"/>
          <w:szCs w:val="18"/>
          <w:color w:val="auto"/>
        </w:rPr>
        <w:t>ARI is a reporting company under the Exchange Act and files annual, quarterly and current reports, proxy statements and other information with the SEC that is publicly available.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121" w:lineRule="exact"/>
        <w:rPr>
          <w:sz w:val="20"/>
          <w:szCs w:val="20"/>
          <w:color w:val="auto"/>
        </w:rPr>
      </w:pPr>
    </w:p>
    <w:p>
      <w:pPr>
        <w:ind w:right="160" w:firstLine="378"/>
        <w:spacing w:after="0" w:line="266" w:lineRule="auto"/>
        <w:rPr>
          <w:sz w:val="20"/>
          <w:szCs w:val="20"/>
          <w:color w:val="auto"/>
        </w:rPr>
      </w:pPr>
      <w:r>
        <w:rPr>
          <w:rFonts w:ascii="Times New Roman" w:cs="Times New Roman" w:eastAsia="Times New Roman" w:hAnsi="Times New Roman"/>
          <w:sz w:val="18"/>
          <w:szCs w:val="18"/>
          <w:color w:val="auto"/>
        </w:rPr>
        <w:t>Our Railcar segment’s primary customers include leasing companies, industrial companies and those that use railcars for freight transport, or shippers, and Class I railroads. In servicing this customer base our Railcar segment believes its comprehensive railcar services offerings and its railcar components manufacturing operations will help our Railcar segment to further penetrate the general railcar manufacturing and leasing market.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121" w:lineRule="exact"/>
        <w:rPr>
          <w:sz w:val="20"/>
          <w:szCs w:val="20"/>
          <w:color w:val="auto"/>
        </w:rPr>
      </w:pPr>
    </w:p>
    <w:p>
      <w:pPr>
        <w:ind w:right="20" w:firstLine="378"/>
        <w:spacing w:after="0" w:line="261" w:lineRule="auto"/>
        <w:rPr>
          <w:sz w:val="20"/>
          <w:szCs w:val="20"/>
          <w:color w:val="auto"/>
        </w:rPr>
      </w:pPr>
      <w:r>
        <w:rPr>
          <w:rFonts w:ascii="Times New Roman" w:cs="Times New Roman" w:eastAsia="Times New Roman" w:hAnsi="Times New Roman"/>
          <w:sz w:val="18"/>
          <w:szCs w:val="18"/>
          <w:color w:val="auto"/>
        </w:rPr>
        <w:t>ARI designs, manufactures and sells special, customized and general purpose railcars and a wide range of components primarily for the North American railcar and industrial markets. In addition, ARI offers these same railcars for lease. ARI also supports the railcar industry by offering a variety of comprehensive railcar repair services, ranging from full to light repair, engineering and on-site repairs and maintenance through its various repair facilities, including mobile units and mini shops.</w:t>
      </w:r>
    </w:p>
    <w:p>
      <w:pPr>
        <w:spacing w:after="0" w:line="72" w:lineRule="exact"/>
        <w:rPr>
          <w:sz w:val="20"/>
          <w:szCs w:val="20"/>
          <w:color w:val="auto"/>
        </w:rPr>
      </w:pPr>
    </w:p>
    <w:p>
      <w:pPr>
        <w:ind w:firstLine="378"/>
        <w:spacing w:after="0" w:line="282" w:lineRule="auto"/>
        <w:rPr>
          <w:sz w:val="20"/>
          <w:szCs w:val="20"/>
          <w:color w:val="auto"/>
        </w:rPr>
      </w:pPr>
      <w:r>
        <w:rPr>
          <w:rFonts w:ascii="Times New Roman" w:cs="Times New Roman" w:eastAsia="Times New Roman" w:hAnsi="Times New Roman"/>
          <w:sz w:val="18"/>
          <w:szCs w:val="18"/>
          <w:color w:val="auto"/>
        </w:rPr>
        <w:t>ARI primarily manufactures two types of railcars, hopper and tank railcars, but has the ability to produce additional railcar types. ARI also manufactures various components for railcar and industrial markets.</w:t>
      </w:r>
    </w:p>
    <w:p>
      <w:pPr>
        <w:spacing w:after="0" w:line="54" w:lineRule="exact"/>
        <w:rPr>
          <w:sz w:val="20"/>
          <w:szCs w:val="20"/>
          <w:color w:val="auto"/>
        </w:rPr>
      </w:pPr>
    </w:p>
    <w:p>
      <w:pPr>
        <w:ind w:right="240" w:firstLine="378"/>
        <w:spacing w:after="0" w:line="261" w:lineRule="auto"/>
        <w:rPr>
          <w:sz w:val="20"/>
          <w:szCs w:val="20"/>
          <w:color w:val="auto"/>
        </w:rPr>
      </w:pPr>
      <w:r>
        <w:rPr>
          <w:rFonts w:ascii="Times New Roman" w:cs="Times New Roman" w:eastAsia="Times New Roman" w:hAnsi="Times New Roman"/>
          <w:sz w:val="18"/>
          <w:szCs w:val="18"/>
          <w:color w:val="auto"/>
        </w:rPr>
        <w:t>ARI and ARL offer customers the option to lease their railcars through various leasing options, including full service leases. Maintenance of leased railcars can be provided, in part, through ARI's railcar repair and refurbishment facilities. The railcars in ARI's and ARL's lease fleet are leased to shippers with lease terms generally ranging from two to ten years. Our Railcar segment's combined railcar lease fleet consists of more than 39,700 railcars as of December 31, 2014.</w:t>
      </w:r>
    </w:p>
    <w:p>
      <w:pPr>
        <w:spacing w:after="0" w:line="72" w:lineRule="exact"/>
        <w:rPr>
          <w:sz w:val="20"/>
          <w:szCs w:val="20"/>
          <w:color w:val="auto"/>
        </w:rPr>
      </w:pPr>
    </w:p>
    <w:p>
      <w:pPr>
        <w:ind w:right="160" w:firstLine="378"/>
        <w:spacing w:after="0" w:line="266" w:lineRule="auto"/>
        <w:rPr>
          <w:sz w:val="20"/>
          <w:szCs w:val="20"/>
          <w:color w:val="auto"/>
        </w:rPr>
      </w:pPr>
      <w:r>
        <w:rPr>
          <w:rFonts w:ascii="Times New Roman" w:cs="Times New Roman" w:eastAsia="Times New Roman" w:hAnsi="Times New Roman"/>
          <w:sz w:val="18"/>
          <w:szCs w:val="18"/>
          <w:color w:val="auto"/>
        </w:rPr>
        <w:t>ARI's railcar services group focuses on railcar repair, engineering and field services. Its primary customers for services provided by this group are leasing companies and shippers of specialty hopper and tank railcars. ARI's railcar services provide it insight into its customers' railcar needs. ARI uses this knowledge to improve its service and product offerings.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firstLine="378"/>
        <w:spacing w:after="0" w:line="266" w:lineRule="auto"/>
        <w:rPr>
          <w:sz w:val="20"/>
          <w:szCs w:val="20"/>
          <w:color w:val="auto"/>
        </w:rPr>
      </w:pPr>
      <w:r>
        <w:rPr>
          <w:rFonts w:ascii="Times New Roman" w:cs="Times New Roman" w:eastAsia="Times New Roman" w:hAnsi="Times New Roman"/>
          <w:sz w:val="18"/>
          <w:szCs w:val="18"/>
          <w:color w:val="auto"/>
        </w:rPr>
        <w:t>The railcar manufacturing industry has historically been extremely competitive. ARI competes primarily with Trinity Industries, Inc. ("Trinity"), The Greenbrier Companies, Inc. ("Greenbrier"), Freight Car America Inc., National Steel Car Limited and Union Tank Car Company. Competitors have expanded and may continue to expand their capabilities in ARI's core railcar markets.</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472" w:right="279" w:bottom="1440" w:gutter="0" w:footer="0" w:header="0"/>
        </w:sectPr>
      </w:pPr>
    </w:p>
    <w:bookmarkStart w:id="19" w:name="page20"/>
    <w:bookmarkEnd w:id="19"/>
    <w:p>
      <w:pPr>
        <w:ind w:right="360" w:firstLine="378"/>
        <w:spacing w:after="0" w:line="282" w:lineRule="auto"/>
        <w:rPr>
          <w:sz w:val="20"/>
          <w:szCs w:val="20"/>
          <w:color w:val="auto"/>
        </w:rPr>
      </w:pPr>
      <w:r>
        <w:rPr>
          <w:rFonts w:ascii="Times New Roman" w:cs="Times New Roman" w:eastAsia="Times New Roman" w:hAnsi="Times New Roman"/>
          <w:sz w:val="18"/>
          <w:szCs w:val="18"/>
          <w:color w:val="auto"/>
        </w:rPr>
        <w:t>The railcar leasing industry has also been historically extremely competitive. Both ARI and ARL compete primarily with GE Rail Services, GATX Corp., CIT Group, Trinity and Union Tank Car Company in the railcar leasing market.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2014, ARI had 2,865 full-time employees in various locations throughout the United States and Canada, of which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were covered by domestic collective bargaining agreements at two of ARI's repair facilities and at its Texas manufacturing facility.</w:t>
      </w:r>
    </w:p>
    <w:p>
      <w:pPr>
        <w:spacing w:after="0" w:line="99" w:lineRule="exact"/>
        <w:rPr>
          <w:sz w:val="20"/>
          <w:szCs w:val="20"/>
          <w:color w:val="auto"/>
        </w:rPr>
      </w:pPr>
    </w:p>
    <w:p>
      <w:pPr>
        <w:ind w:right="500" w:firstLine="378"/>
        <w:spacing w:after="0" w:line="282" w:lineRule="auto"/>
        <w:rPr>
          <w:sz w:val="20"/>
          <w:szCs w:val="20"/>
          <w:color w:val="auto"/>
        </w:rPr>
      </w:pPr>
      <w:r>
        <w:rPr>
          <w:rFonts w:ascii="Times New Roman" w:cs="Times New Roman" w:eastAsia="Times New Roman" w:hAnsi="Times New Roman"/>
          <w:sz w:val="18"/>
          <w:szCs w:val="18"/>
          <w:color w:val="auto"/>
        </w:rPr>
        <w:t>As of December 31, 2014, ARL had 55 full-time employees, with the 44 of the employees located at ARL’s executive offices maintained at Saint Charles, Missouri, and the remaining 11 regional marketing employees located throughout the United States and Canada.</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Gaming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conduct our Gaming segment through our majority ownership in Tropicana Entertainment Inc. ("Tropicana").</w:t>
      </w:r>
    </w:p>
    <w:p>
      <w:pPr>
        <w:spacing w:after="0" w:line="117"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On March 8, 2010, (the ''Effective Date''), Tropicana completed the acquisition of certain assets of its predecessor, Tropicana Entertainment, LLC, and certain subsidiaries and affiliates thereof (together, the ''Predecessors'') and Tropicana Resort and Casino-Atlantic City (''Tropicana AC''). Such transactions, referred to as the ''Restructuring Transactions,'' were effected pursuant to the Joint Plan of Reorganization of Tropicana Entertainment, LLC (''Tropicana LLC'') and Certain of Its Debtor Affiliates Under Chapter 11 of the Bankruptcy Code, filed with the United States Bankruptcy Court for the District of Delaware on January 8, 2009, as amended (the ''Plan''). As a result of the Restructuring Transactions pursuant to the Plan, the Investment Funds received shares of Tropicana common stock.</w:t>
      </w:r>
    </w:p>
    <w:p>
      <w:pPr>
        <w:spacing w:after="0" w:line="80"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On November 15, 2010, the Investment Funds acquired 668,000 additional shares of Tropicana common stock. As a result of this purchase, the Investment Funds held, in the aggregate, 13,538,446 shares of Tropicana common stock, representing approximately 51.5% of the outstanding shares of Tropicana common stock. The additional purchase of shares of Tropicana common stock gave the Investment Funds a controlling interest and required us to consolidate Tropicana's financial results effective November 15, 2010.</w:t>
      </w:r>
    </w:p>
    <w:p>
      <w:pPr>
        <w:spacing w:after="0" w:line="7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On April 29, 2011, the Investment Funds made a distribution-in-kind of 13,538,446 shares of Tropicana common stock with a value of $216 million to us in redemption of $216 million of our limited and general partner interests in the Investment Funds. The distribution transferred the ownership of the Tropicana common stock held by the Investment Funds directly to us. As a result of this transaction, we directly owned 51.5% of Tropicana's outstanding common stock. During the year ended December 31, 2012, we acquired additional shares of Tropicana common stock.</w:t>
      </w:r>
    </w:p>
    <w:p>
      <w:pPr>
        <w:spacing w:after="0" w:line="72"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Tropicana is a reporting company under the Exchange Act and files annual, quarterly and current reports, proxy statements and other information with the SEC that are publicly available.</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2014, we owned approximately 67.9% of the total outstanding common stock of Tropicana.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Tropicana is an owner and operator of regional casino and entertainment properties located in the United States and one temporary casino resort development located on the island of Aruba. On April 1, 2014, Tropicana acquired an additional casino resort in Missouri. Tropicana primarily caters to local and regional guests to provide a fun and exciting gaming environment with high-quality and high-value lodging, dining, retail and entertainment amenities. Tropicana's properties offer a broad array of gaming options specifically tailored for its patrons in each market. Tropicana's U.S. properties include the following casinos:</w:t>
      </w:r>
    </w:p>
    <w:p>
      <w:pPr>
        <w:spacing w:after="0" w:line="74"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Tropicana Laughlin Hotel and Casino - Laughlin, Nevada;</w:t>
      </w:r>
    </w:p>
    <w:p>
      <w:pPr>
        <w:spacing w:after="0" w:line="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Lumiére Place Casino - </w:t>
      </w:r>
      <w:r>
        <w:rPr>
          <w:rFonts w:ascii="Times New Roman" w:cs="Times New Roman" w:eastAsia="Times New Roman" w:hAnsi="Times New Roman"/>
          <w:sz w:val="18"/>
          <w:szCs w:val="18"/>
          <w:color w:val="auto"/>
        </w:rPr>
        <w:t>St. Louis, Missouri;</w:t>
      </w:r>
    </w:p>
    <w:p>
      <w:pPr>
        <w:spacing w:after="0" w:line="9"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Montbleu Casino Resort &amp; Spa - </w:t>
      </w:r>
      <w:r>
        <w:rPr>
          <w:rFonts w:ascii="Times New Roman" w:cs="Times New Roman" w:eastAsia="Times New Roman" w:hAnsi="Times New Roman"/>
          <w:sz w:val="18"/>
          <w:szCs w:val="18"/>
          <w:color w:val="auto"/>
        </w:rPr>
        <w:t>South Lake Tahoe, Nevada;</w:t>
      </w:r>
    </w:p>
    <w:p>
      <w:pPr>
        <w:spacing w:after="0" w:line="9"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Tropicana AC - </w:t>
      </w:r>
      <w:r>
        <w:rPr>
          <w:rFonts w:ascii="Times New Roman" w:cs="Times New Roman" w:eastAsia="Times New Roman" w:hAnsi="Times New Roman"/>
          <w:sz w:val="18"/>
          <w:szCs w:val="18"/>
          <w:color w:val="auto"/>
        </w:rPr>
        <w:t>Atlantic City, New Jersey;</w:t>
      </w:r>
    </w:p>
    <w:p>
      <w:pPr>
        <w:spacing w:after="0" w:line="9"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Tropicana Evansville - </w:t>
      </w:r>
      <w:r>
        <w:rPr>
          <w:rFonts w:ascii="Times New Roman" w:cs="Times New Roman" w:eastAsia="Times New Roman" w:hAnsi="Times New Roman"/>
          <w:sz w:val="18"/>
          <w:szCs w:val="18"/>
          <w:color w:val="auto"/>
        </w:rPr>
        <w:t>Evansville, Indiana;</w:t>
      </w:r>
    </w:p>
    <w:p>
      <w:pPr>
        <w:spacing w:after="0" w:line="9"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Belle of Baton Rouge Casino and Hotel - </w:t>
      </w:r>
      <w:r>
        <w:rPr>
          <w:rFonts w:ascii="Times New Roman" w:cs="Times New Roman" w:eastAsia="Times New Roman" w:hAnsi="Times New Roman"/>
          <w:sz w:val="18"/>
          <w:szCs w:val="18"/>
          <w:color w:val="auto"/>
        </w:rPr>
        <w:t>Baton Rouge, Louisiana; and</w:t>
      </w:r>
    </w:p>
    <w:p>
      <w:pPr>
        <w:spacing w:after="0" w:line="9"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Tropicana Greenville - </w:t>
      </w:r>
      <w:r>
        <w:rPr>
          <w:rFonts w:ascii="Times New Roman" w:cs="Times New Roman" w:eastAsia="Times New Roman" w:hAnsi="Times New Roman"/>
          <w:sz w:val="18"/>
          <w:szCs w:val="18"/>
          <w:color w:val="auto"/>
        </w:rPr>
        <w:t>Greenville, Mississippi; and</w:t>
      </w:r>
    </w:p>
    <w:p>
      <w:pPr>
        <w:spacing w:after="0" w:line="9"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Tropicana Aruba - </w:t>
      </w:r>
      <w:r>
        <w:rPr>
          <w:rFonts w:ascii="Times New Roman" w:cs="Times New Roman" w:eastAsia="Times New Roman" w:hAnsi="Times New Roman"/>
          <w:sz w:val="18"/>
          <w:szCs w:val="18"/>
          <w:color w:val="auto"/>
        </w:rPr>
        <w:t>Noord, Aruba.</w:t>
      </w: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40"/>
          </w:cols>
          <w:pgMar w:left="240" w:top="472"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48"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Tropicana owns land-based and riverboat casino facilities in six states and one temporary casino resort development located on the island of Aruba. Tropicana competes with numerous casinos and casino hotels of varying quality and size in the markets in which its properties are located and with other forms of legalized gaming, including state-sponsored lotteries, racetracks, off-track wagering, video lottery, video poker terminals and card parlors. Tropicana also competes with other non-gaming resorts and vacation areas, and with various other entertainment businesses. The casino entertainment business is characterized by competitors that vary considerably by their size, quality of facilities, number of operations, brand identities, marketing and growth strategies, financial strength and capabilities, level of amenities, management talent and geographic diversity.</w:t>
      </w:r>
    </w:p>
    <w:p>
      <w:pPr>
        <w:spacing w:after="0" w:line="242"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In most markets, Tropicana competes directly with other casino facilities operating in the immediate and surrounding market areas, including casinos located on Native American reservations. In some markets, Tropicana faces competition from nearby markets in addition to direct competition within our market areas.</w:t>
      </w:r>
    </w:p>
    <w:p>
      <w:pPr>
        <w:spacing w:after="0" w:line="230"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Tropicana believes competition in existing markets has intensified over the last several years, due to new markets opening for development, overall challenging economic conditions and decreased spending on leisure activities. Many casino operators have invested in expanding existing facilities, developing new facilities, and acquiring established facilities in existing markets. The expansion of casino entertainment at existing properties, the increase in the number of properties and the aggressive marketing strategies of many of our competitors has increased competition in many markets in which Tropicana competes, and it expects this intense competition to continue.</w:t>
      </w:r>
    </w:p>
    <w:p>
      <w:pPr>
        <w:spacing w:after="0" w:line="238"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18"/>
          <w:szCs w:val="18"/>
          <w:color w:val="auto"/>
        </w:rPr>
        <w:t>Tropicana's operating results can be adversely affected by costs associated with advertising, promotions and complimentary services to patrons, the amount and timing of which may be affected by the advertising and complimentary policies and actions of its properties' competitors and its efforts to keep pace with them. If Tropicana's operating revenues are insufficient to allow it to match the promotions of competitors, the number of its casino patrons may decline, which may have a material adverse effect on our Gaming segment's financial performance. In addition, some of Tropicana's competitors have significantly greater financial resources than it does, and as a result Tropicana may not be able to successfully compete with them in the future.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4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Tropicana uses a variety of trade names, service marks and trademarks and has all the rights and licenses necessary to conduct its continuing operations. Tropicana has registered several service marks and trademarks with the United States Patent and Trademark Office or otherwise acquired the licenses to use those which are material to the conduct of its business. Tropicana owns the following federally registered trademarks or service marks that are material to its business: MontBleu, Aztar, Trop, Tropicana, Belle of Baton Rouge, Trop Advantage, the Quarter at Tropicana and Lumiére.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Tropicana Trademark</w:t>
      </w:r>
    </w:p>
    <w:p>
      <w:pPr>
        <w:spacing w:after="0" w:line="281"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Tropicana along with certain entities that own Tropicana Las Vegas (“Tropicana LV”) are parties to a trademark Settlement Agreement (the “Settlement Agreement”) governing the respective rights of the parties to the “Tropicana” trademark. Pursuant to the Settlement Agreement, which became effective on September 28, 2011, the Tropicana LV entities, subject to certain advertising exceptions and other terms and conditions set forth in the Settlement Agreement, have perpetual exclusive rights to use the names, trademarks, and/or service marks (the “Marks”) TROPICANA LAS VEGAS (or TROP LAS VEGAS) and TROPICANA LV (or TROP LV) (the “TLV Marks”, as defined in the Settlement Agreement) in conjunction with its services (“Services”, as defined in the Settlement Agreement) in the City of Las Vegas, Nevada and within a 50-mile radius of the front entrance of the Tropicana Las Vegas Hotel and Casino located at 3801 Las Vegas Boulevard South, Las Vegas, Nevada (the “TLV Territory”) along with certain rights to use the TLV Marks on the Internet without geographic limitation and to register the TLV Marks as domain names. Tropicana and its affiliates, subject to certain advertising exceptions and other terms and conditions set forth in the Settlement Agreement, have perpetual exclusive worldwide rights (excluding the TLV Territory) to use the TROPICANA and TROP Marks coupled with either a pre-existing identifier of its Services (such as "TROPICANA ENTERTAINMENT" or "TROP ADVANTAGE") or an accurate geographic identifier of the location of a Tropicana Entertainment property (other than LAS VEGAS or the name of any city within the TLV Territory) (the “TE Marks”) along with certain rights to use the TE Marks on the Internet without geographic limitation and to register the TE Marks as domain names.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Tropicana's cash flows from operating activities are seasonal in nature. Operating results are traditionally the strongest in the third quarter and traditionally the weakest during the fourth quarter. Any excess cash flows achieved from operations during the peak seasons are used to subsidize non-peak seasons. Performance in non-peak seasons is usually dependent on favorable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68" w:right="259" w:bottom="1440" w:gutter="0" w:footer="0" w:header="0"/>
        </w:sectPr>
      </w:pPr>
    </w:p>
    <w:bookmarkStart w:id="21" w:name="page22"/>
    <w:bookmarkEnd w:id="21"/>
    <w:p>
      <w:pPr>
        <w:spacing w:after="0" w:line="282" w:lineRule="auto"/>
        <w:rPr>
          <w:sz w:val="20"/>
          <w:szCs w:val="20"/>
          <w:color w:val="auto"/>
        </w:rPr>
      </w:pPr>
      <w:r>
        <w:rPr>
          <w:rFonts w:ascii="Times New Roman" w:cs="Times New Roman" w:eastAsia="Times New Roman" w:hAnsi="Times New Roman"/>
          <w:sz w:val="18"/>
          <w:szCs w:val="18"/>
          <w:color w:val="auto"/>
        </w:rPr>
        <w:t>weather and a long-weekend holiday calendar. In the event that Tropicana is not able to generate excess cash flows during the peak seasons, it may not be able to fully subsidize non-peak seasons.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Regulation</w:t>
      </w:r>
    </w:p>
    <w:p>
      <w:pPr>
        <w:spacing w:after="0" w:line="12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ownership and operation of Tropicana's gaming facilities are subject to pervasive regulation under the laws and regulations of each of the six states in which it operates as well as in Aruba where Tropicana operates a temporary casino. Gaming laws generally are based upon declarations of public policy designed to protect gaming consumers and the viability and integrity of the gaming industry. Gaming laws also may be designed to protect and maximize state and local revenues derived through taxes and licensing fees imposed on the gaming industry participants as well as to enhance economic development and tourism. To accomplish these public policy goals, gaming laws establish procedures to ensure that participants in the gaming industry meet certain standards of character and fitness.</w:t>
      </w:r>
    </w:p>
    <w:p>
      <w:pPr>
        <w:spacing w:after="0" w:line="80"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Typically, a jurisdiction's regulatory environment is established by statute and is administered by a regulatory agency with broad discretion to regulate, among other things, the affairs of owners, managers and persons with financial interests in gaming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w:t>
      </w:r>
    </w:p>
    <w:p>
      <w:pPr>
        <w:spacing w:after="0" w:line="119"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Gaming laws require Tropicana and certain of its subsidiaries, as well as its directors, officers (with respect to corporations), managers (with respect to limited liability companies), and certain other key employees and, in some cases, certain of its shareholders (with respect to corporations), members (with respect to limited liability companies), and holders of debt securities, to obtain licenses, findings of suitability or other approvals from gaming authorities. Licenses or findings of suitability typically require a determination that the applicant is suitable or otherwise qualified to hold the license or the finding of suitability necessary to hold equity, debt securities or position with the gaming licensee or its affiliated entities. Where not mandated by statute, rule or regulation, gaming authorities generally have broad discretion in determining who must come forward for suitability and whether an applicant qualifies for licensing or should be deemed suitable or otherwise qualified.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Regulations</w:t>
      </w:r>
    </w:p>
    <w:p>
      <w:pPr>
        <w:spacing w:after="0" w:line="119" w:lineRule="exact"/>
        <w:rPr>
          <w:sz w:val="20"/>
          <w:szCs w:val="20"/>
          <w:color w:val="auto"/>
        </w:rPr>
      </w:pPr>
    </w:p>
    <w:p>
      <w:pPr>
        <w:ind w:right="60" w:firstLine="378"/>
        <w:spacing w:after="0" w:line="258" w:lineRule="auto"/>
        <w:rPr>
          <w:sz w:val="20"/>
          <w:szCs w:val="20"/>
          <w:color w:val="auto"/>
        </w:rPr>
      </w:pPr>
      <w:r>
        <w:rPr>
          <w:rFonts w:ascii="Times New Roman" w:cs="Times New Roman" w:eastAsia="Times New Roman" w:hAnsi="Times New Roman"/>
          <w:sz w:val="18"/>
          <w:szCs w:val="18"/>
          <w:color w:val="auto"/>
        </w:rPr>
        <w:t>Tropicana is subject to various federal, state and local laws and regulations. These laws and regulations include, but are not limited to, restrictions and conditions concerning alcoholic beverages, environmental matters, currency transactions, employees, taxation, zoning and building codes, marketing and advertising, vessels and permanently moored craft.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Tropicana's business.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right="80" w:firstLine="378"/>
        <w:spacing w:after="0" w:line="256" w:lineRule="auto"/>
        <w:rPr>
          <w:sz w:val="20"/>
          <w:szCs w:val="20"/>
          <w:color w:val="auto"/>
        </w:rPr>
      </w:pPr>
      <w:r>
        <w:rPr>
          <w:rFonts w:ascii="Times New Roman" w:cs="Times New Roman" w:eastAsia="Times New Roman" w:hAnsi="Times New Roman"/>
          <w:sz w:val="18"/>
          <w:szCs w:val="18"/>
          <w:color w:val="auto"/>
        </w:rPr>
        <w:t>As of December 31, 2014, Tropicana had approximately 7,400 employees and had collective bargaining agreements with several unions covering approximately 2,700 of those employees, substantially all of whom are employed at Tropicana AC, Lumiére Place Casino, Belle of Baton Rouge and Tropicana Evansville. Tropicana periodically experiences challenges in negotiating collective bargaining agreements with certain unions. In September 2014, a collective bargaining agreement with UNITE HERE Local 54 covering approximately 1,000 employees at Tropicana AC expired and Tropicana AC is presently operating without an agreement with this union. In 2012 and 2014 there were certain labor disruptions at Tropicana AC related to several UNITE HERE Local 54 union protest rallies. Tropicana cannot assure that this situation will not result in additional labor disruptions at the property.</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Food Packaging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conduct our Food Packaging segment through our majority ownership in Viskase Companies, Inc. ("Viskase").</w:t>
      </w:r>
    </w:p>
    <w:p>
      <w:pPr>
        <w:spacing w:after="0" w:line="117" w:lineRule="exact"/>
        <w:rPr>
          <w:sz w:val="20"/>
          <w:szCs w:val="20"/>
          <w:color w:val="auto"/>
        </w:rPr>
      </w:pPr>
    </w:p>
    <w:p>
      <w:pPr>
        <w:ind w:right="100" w:firstLine="378"/>
        <w:spacing w:after="0" w:line="261" w:lineRule="auto"/>
        <w:rPr>
          <w:sz w:val="20"/>
          <w:szCs w:val="20"/>
          <w:color w:val="auto"/>
        </w:rPr>
      </w:pPr>
      <w:r>
        <w:rPr>
          <w:rFonts w:ascii="Times New Roman" w:cs="Times New Roman" w:eastAsia="Times New Roman" w:hAnsi="Times New Roman"/>
          <w:sz w:val="18"/>
          <w:szCs w:val="18"/>
          <w:color w:val="auto"/>
        </w:rPr>
        <w:t>On January 15, 2010, we acquired 71.4% of the total outstanding common stock of Viskase from affiliates of Mr. Icahn. The acquisition of Viskase has been treated as an acquisition of an entity under common control that requires us to consolidate the financial results of Viskase on an as-if-pooling basis. During 2013, we acquired additional shares of common stock of Viskase. As of December 31, 2014, we owned approximately 73.5% of the total outstanding common stock of Viskase.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ind w:right="240" w:firstLine="378"/>
        <w:spacing w:after="0" w:line="266" w:lineRule="auto"/>
        <w:rPr>
          <w:sz w:val="20"/>
          <w:szCs w:val="20"/>
          <w:color w:val="auto"/>
        </w:rPr>
      </w:pPr>
      <w:r>
        <w:rPr>
          <w:rFonts w:ascii="Times New Roman" w:cs="Times New Roman" w:eastAsia="Times New Roman" w:hAnsi="Times New Roman"/>
          <w:sz w:val="18"/>
          <w:szCs w:val="18"/>
          <w:color w:val="auto"/>
        </w:rPr>
        <w:t>Viskase is a worldwide leader in the production and sale of cellulosic, fibrous and plastic casings for the processed meat and poultry industry. Viskase operates nine manufacturing facilities and nine distribution centers throughout North America, Europe, South America and Asia. Viskase provides value-added support services relating to these products for some of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72" w:right="239" w:bottom="1440" w:gutter="0" w:footer="0" w:header="0"/>
        </w:sectPr>
      </w:pPr>
    </w:p>
    <w:bookmarkStart w:id="22" w:name="page23"/>
    <w:bookmarkEnd w:id="22"/>
    <w:p>
      <w:pPr>
        <w:ind w:right="260"/>
        <w:spacing w:after="0" w:line="282" w:lineRule="auto"/>
        <w:rPr>
          <w:sz w:val="20"/>
          <w:szCs w:val="20"/>
          <w:color w:val="auto"/>
        </w:rPr>
      </w:pPr>
      <w:r>
        <w:rPr>
          <w:rFonts w:ascii="Times New Roman" w:cs="Times New Roman" w:eastAsia="Times New Roman" w:hAnsi="Times New Roman"/>
          <w:sz w:val="18"/>
          <w:szCs w:val="18"/>
          <w:color w:val="auto"/>
        </w:rPr>
        <w:t>world's largest global consumer products companies. Viskase believes it is one of the two largest worldwide producers of non-edible cellulosic casings for processed meats and one of the three largest manufacturers of non-edible fibrous casings.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w:t>
      </w:r>
    </w:p>
    <w:p>
      <w:pPr>
        <w:spacing w:after="0" w:line="121" w:lineRule="exact"/>
        <w:rPr>
          <w:sz w:val="20"/>
          <w:szCs w:val="20"/>
          <w:color w:val="auto"/>
        </w:rPr>
      </w:pPr>
    </w:p>
    <w:p>
      <w:pPr>
        <w:ind w:right="60" w:firstLine="378"/>
        <w:spacing w:after="0" w:line="258" w:lineRule="auto"/>
        <w:rPr>
          <w:sz w:val="20"/>
          <w:szCs w:val="20"/>
          <w:color w:val="auto"/>
        </w:rPr>
      </w:pPr>
      <w:r>
        <w:rPr>
          <w:rFonts w:ascii="Times New Roman" w:cs="Times New Roman" w:eastAsia="Times New Roman" w:hAnsi="Times New Roman"/>
          <w:sz w:val="18"/>
          <w:szCs w:val="18"/>
          <w:color w:val="auto"/>
        </w:rPr>
        <w:t>Viskase's business strategy is to continue to improve operational efficiencies, product quality and throughput by upgrading existing production facilities and adding resources in high growth markets through new capital investments. Viskase has been successful in implementing production cost-savings initiatives and will continue to pursue similar opportunities that enhance its profitability and competitive positioning as a leader in the casing market. Opportunities to reduce extrusion, shirring and printing waste are also feasible at several of Viskase's facilities through upgraded equipment and an ongoing effort to redefine product mix.</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121" w:lineRule="exact"/>
        <w:rPr>
          <w:sz w:val="20"/>
          <w:szCs w:val="20"/>
          <w:color w:val="auto"/>
        </w:rPr>
      </w:pPr>
    </w:p>
    <w:p>
      <w:pPr>
        <w:ind w:right="80" w:firstLine="378"/>
        <w:spacing w:after="0" w:line="256" w:lineRule="auto"/>
        <w:rPr>
          <w:sz w:val="20"/>
          <w:szCs w:val="20"/>
          <w:color w:val="auto"/>
        </w:rPr>
      </w:pPr>
      <w:r>
        <w:rPr>
          <w:rFonts w:ascii="Times New Roman" w:cs="Times New Roman" w:eastAsia="Times New Roman" w:hAnsi="Times New Roman"/>
          <w:sz w:val="18"/>
          <w:szCs w:val="18"/>
          <w:color w:val="auto"/>
        </w:rPr>
        <w:t>Viskase has seven manufacturing or finishing facilities located outside the continental United States: Monterrey, Mexico; Beauvais, France; Thâon-les-Vosges, France; Caronno, Italy; Warsaw, Poland; Clark Freeport Zone, Philippines; and Atibaia, Brazil. Viskase continues to explore opportunities to expand in emerging markets. Net sales from customers located outside the United States represented approximately 72% of its total net sales in 2014. Viskase's operations in France are responsible for distributing products, directly or through distributors, in Europe, Africa, the Middle East and parts of Asia. While overall consumption of processed meat products in North America and Western Europe is stable, market growth is driven by increasing demand in Eastern Europe, South America and the Asia Pacific region.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2014, Viskase had 2,120 employees worldwide, including 516 employees covered under collective bargaining agreements.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Real Estate operations consist of rental real estate, property development and associated resort activities.</w:t>
      </w:r>
    </w:p>
    <w:p>
      <w:pPr>
        <w:spacing w:after="0" w:line="117" w:lineRule="exact"/>
        <w:rPr>
          <w:sz w:val="20"/>
          <w:szCs w:val="20"/>
          <w:color w:val="auto"/>
        </w:rPr>
      </w:pPr>
    </w:p>
    <w:p>
      <w:pPr>
        <w:ind w:right="80" w:firstLine="378"/>
        <w:spacing w:after="0" w:line="261" w:lineRule="auto"/>
        <w:rPr>
          <w:sz w:val="20"/>
          <w:szCs w:val="20"/>
          <w:color w:val="auto"/>
        </w:rPr>
      </w:pPr>
      <w:r>
        <w:rPr>
          <w:rFonts w:ascii="Times New Roman" w:cs="Times New Roman" w:eastAsia="Times New Roman" w:hAnsi="Times New Roman"/>
          <w:sz w:val="18"/>
          <w:szCs w:val="18"/>
          <w:color w:val="auto"/>
        </w:rPr>
        <w:t>Our rental real estate operations consist primarily of retail, office and industrial properties leased to single corporate tenants. As of December 31, 2014, we owned 29 commercial rental real estate properties. Historically, substantially all of our real estate assets leased to others have been net-leased under long-term leases. With certain exceptions, these tenants are required to pay all expenses relating to the leased property and, therefore, we are typically not responsible for payment of expenses, including maintenance, utilities, taxes, insurance or any capital items associated with such properties.</w:t>
      </w:r>
    </w:p>
    <w:p>
      <w:pPr>
        <w:spacing w:after="0" w:line="72"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Our property development operations are run primarily through Bayswater Development LLC, a real estate investment, management and development subsidiary that focuses primarily on the construction and sale of single-family and multi-family homes, lots in subdivisions and planned communities and raw land for residential development. Our New Seabury development property in Cape Cod, Massachusetts and our Grand Harbor and Oak Harbor development property in Vero Beach, Florida include land for future residential development of approximately 267 and 1,328 units of residential housing, respectively. Both developments operate golf and resort operations as well. Our long-term investment horizon and operational expertise allow us to acquire properties with limited current income and complex entitlement and development issues.</w:t>
      </w:r>
    </w:p>
    <w:p>
      <w:pPr>
        <w:spacing w:after="0" w:line="80" w:lineRule="exact"/>
        <w:rPr>
          <w:sz w:val="20"/>
          <w:szCs w:val="20"/>
          <w:color w:val="auto"/>
        </w:rPr>
      </w:pPr>
    </w:p>
    <w:p>
      <w:pPr>
        <w:ind w:right="200" w:firstLine="378"/>
        <w:spacing w:after="0" w:line="282" w:lineRule="auto"/>
        <w:rPr>
          <w:sz w:val="20"/>
          <w:szCs w:val="20"/>
          <w:color w:val="auto"/>
        </w:rPr>
      </w:pPr>
      <w:r>
        <w:rPr>
          <w:rFonts w:ascii="Times New Roman" w:cs="Times New Roman" w:eastAsia="Times New Roman" w:hAnsi="Times New Roman"/>
          <w:sz w:val="18"/>
          <w:szCs w:val="18"/>
          <w:color w:val="auto"/>
        </w:rPr>
        <w:t>In addition, our Real Estate segment owns an unfinished development property and a partially developed casino, located on approximately 23 acres in Las Vegas, Nevada.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121" w:lineRule="exact"/>
        <w:rPr>
          <w:sz w:val="20"/>
          <w:szCs w:val="20"/>
          <w:color w:val="auto"/>
        </w:rPr>
      </w:pPr>
    </w:p>
    <w:p>
      <w:pPr>
        <w:ind w:right="20" w:firstLine="378"/>
        <w:spacing w:after="0" w:line="261" w:lineRule="auto"/>
        <w:rPr>
          <w:sz w:val="20"/>
          <w:szCs w:val="20"/>
          <w:color w:val="auto"/>
        </w:rPr>
      </w:pPr>
      <w:r>
        <w:rPr>
          <w:rFonts w:ascii="Times New Roman" w:cs="Times New Roman" w:eastAsia="Times New Roman" w:hAnsi="Times New Roman"/>
          <w:sz w:val="18"/>
          <w:szCs w:val="18"/>
          <w:color w:val="auto"/>
        </w:rPr>
        <w:t>Our Real Estate business strategy is based on our long-term investment outlook. We maximize the value of our commercial lease portfolio through effective management of existing properties and disposal of assets on an opportunistic basis. We continue to market our remaining residential product and to build new homes as market conditions warrant. In keeping with the Real Estate business' strategy of investing capital to grow existing operations, we actively pursue prudent acquisitions of additional commercial and residential properties at favorable prospective returns.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firstLine="378"/>
        <w:spacing w:after="0" w:line="313" w:lineRule="auto"/>
        <w:rPr>
          <w:sz w:val="20"/>
          <w:szCs w:val="20"/>
          <w:color w:val="auto"/>
        </w:rPr>
      </w:pPr>
      <w:r>
        <w:rPr>
          <w:rFonts w:ascii="Times New Roman" w:cs="Times New Roman" w:eastAsia="Times New Roman" w:hAnsi="Times New Roman"/>
          <w:sz w:val="17"/>
          <w:szCs w:val="17"/>
          <w:color w:val="auto"/>
        </w:rPr>
        <w:t>Resort operations are highly seasonal with peak activity in Cape Cod from June to September and in Florida from November to March. Sales activity for our real estate developments in Cape Cod typically peak in late winter and early spring, while in Florida our peak selling season is during the winter months.</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472" w:right="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right="460" w:firstLine="378"/>
        <w:spacing w:after="0" w:line="282" w:lineRule="auto"/>
        <w:rPr>
          <w:sz w:val="20"/>
          <w:szCs w:val="20"/>
          <w:color w:val="auto"/>
        </w:rPr>
      </w:pPr>
      <w:r>
        <w:rPr>
          <w:rFonts w:ascii="Times New Roman" w:cs="Times New Roman" w:eastAsia="Times New Roman" w:hAnsi="Times New Roman"/>
          <w:sz w:val="18"/>
          <w:szCs w:val="18"/>
          <w:color w:val="auto"/>
        </w:rPr>
        <w:t>Our Real Estate segment had 201 employees as of December 31, 2014, which fluctuates due to the seasonal nature of certain of our businesses. No employees are covered by collective bargaining agreements.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Fashion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conduct our Home Fashion segment through our indirect wholly owned subsidiary, WestPoint Home LLC (“WPH”).</w:t>
      </w:r>
    </w:p>
    <w:p>
      <w:pPr>
        <w:spacing w:after="0" w:line="11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acquired a controlling interest in WestPoint International, Inc. ("WPI") out of bankruptcy on August 8, 2005. In addition, we acquired certain preferred shares in WPI (the "Preferred Shares") during 2006. During 2011, we acquired additional shares of WPI common stock. On December 22, 2011, two of our subsidiaries, which held WPI's common and Preferred Shares, merged with and into WPI with WPI surviving the merger. As a result of the merger, among other things, (i) we became the sole owner of WPI, (ii) the Preferred Shares ceased to exist, (iii) any subscription rights to purchase WPI common stock were cancelled and (iv) minority stockholders of WPI became entitled to receive $3.05 per share for their common stock of WPI.</w:t>
      </w:r>
    </w:p>
    <w:p>
      <w:pPr>
        <w:spacing w:after="0" w:line="76"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Effective as of March 1, 2012, pursuant to an internal reorganization, WestPoint Home, Inc. (a wholly owned indirect subsidiary of WPI, which had previously comprised our Home Fashion business) merged into our newly created wholly owned indirect subsidiary (which was formed as a Delaware limited liability company solely for the purposes of such merger) and continued its business as a limited liability company under the name WestPoint Home LLC. In referencing WPH, we refer to WestPoint Home Inc. and WestPoint Home LLC interchangeably because the business profile of our Home Fashion segment's business did not change as a result of this reorganization.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ind w:right="100" w:firstLine="378"/>
        <w:spacing w:after="0" w:line="258" w:lineRule="auto"/>
        <w:rPr>
          <w:sz w:val="20"/>
          <w:szCs w:val="20"/>
          <w:color w:val="auto"/>
        </w:rPr>
      </w:pPr>
      <w:r>
        <w:rPr>
          <w:rFonts w:ascii="Times New Roman" w:cs="Times New Roman" w:eastAsia="Times New Roman" w:hAnsi="Times New Roman"/>
          <w:sz w:val="18"/>
          <w:szCs w:val="18"/>
          <w:color w:val="auto"/>
        </w:rPr>
        <w:t>WPH's business consists of manufacturing, sourcing, marketing, distributing and selling home fashion consumer products. WPH differentiates itself in the home fashion textile industry based on its 200-year heritage of providing its customers with: (1) a full assortment of home fashion products; (2) good customer service; (3) a superior value proposition; and (4) branded and private label products with strong consumer recognition. WPH markets a broad range of manufactured and sourced bed, bath, basic bedding and other textile products, including sheets, pillowcases, bedspreads, quilts, comforters and duvet covers, featherbeds, bath and beach towels, bath accessories, bed skirts, bed pillows, flocked blankets, woven blankets and throws and mattress pads.</w:t>
      </w:r>
    </w:p>
    <w:p>
      <w:pPr>
        <w:spacing w:after="0" w:line="76" w:lineRule="exact"/>
        <w:rPr>
          <w:sz w:val="20"/>
          <w:szCs w:val="20"/>
          <w:color w:val="auto"/>
        </w:rPr>
      </w:pPr>
    </w:p>
    <w:p>
      <w:pPr>
        <w:ind w:right="80" w:firstLine="378"/>
        <w:spacing w:after="0" w:line="261" w:lineRule="auto"/>
        <w:rPr>
          <w:sz w:val="20"/>
          <w:szCs w:val="20"/>
          <w:color w:val="auto"/>
        </w:rPr>
      </w:pPr>
      <w:r>
        <w:rPr>
          <w:rFonts w:ascii="Times New Roman" w:cs="Times New Roman" w:eastAsia="Times New Roman" w:hAnsi="Times New Roman"/>
          <w:sz w:val="18"/>
          <w:szCs w:val="18"/>
          <w:color w:val="auto"/>
        </w:rPr>
        <w:t>WPH manufactures and sources its products in a wide assortment of colors and patterns from a variety of fabrics, including chambray, twill, sateen, and from a variety of fibers, including cotton, synthetics and cotton blends. WPH seeks to position its business as a single-source supplier to retailers of home fashion products, offering a broad assortment of products across multiple price points. WPH believes that product and price point breadth allows it to provide a comprehensive product offering for each major distribution channel.</w:t>
      </w:r>
    </w:p>
    <w:p>
      <w:pPr>
        <w:spacing w:after="0" w:line="68" w:lineRule="exact"/>
        <w:rPr>
          <w:sz w:val="20"/>
          <w:szCs w:val="20"/>
          <w:color w:val="auto"/>
        </w:rPr>
      </w:pPr>
    </w:p>
    <w:p>
      <w:pPr>
        <w:ind w:right="840" w:firstLine="378"/>
        <w:spacing w:after="0" w:line="286" w:lineRule="auto"/>
        <w:rPr>
          <w:sz w:val="20"/>
          <w:szCs w:val="20"/>
          <w:color w:val="auto"/>
        </w:rPr>
      </w:pPr>
      <w:r>
        <w:rPr>
          <w:rFonts w:ascii="Times New Roman" w:cs="Times New Roman" w:eastAsia="Times New Roman" w:hAnsi="Times New Roman"/>
          <w:sz w:val="18"/>
          <w:szCs w:val="18"/>
          <w:color w:val="auto"/>
        </w:rPr>
        <w:t>WPH transitioned the majority of its manufacturing to Bahrain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low-cost country, and continues to maintain its corporate offices and certain distribution operations in the United States.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121"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Beginning with its purchase of the assets of WPS in 2005, WPH has been focused on restructuring its business by reducing costs and improving profitability. WPH's restructuring process has taken several years and remains on-going. These actions have included moving manufacturing operations overseas, reducing labor costs, attempting to source goods at lower prices and addressing unfavorable licensing arrangements. WPH has also been focused on significant restructuring in the United States, which has included streamlining its merchandising, sales, customer service, finance divisions and its distribution process.</w:t>
      </w:r>
    </w:p>
    <w:p>
      <w:pPr>
        <w:spacing w:after="0" w:line="76" w:lineRule="exact"/>
        <w:rPr>
          <w:sz w:val="20"/>
          <w:szCs w:val="20"/>
          <w:color w:val="auto"/>
        </w:rPr>
      </w:pPr>
    </w:p>
    <w:p>
      <w:pPr>
        <w:ind w:right="40" w:firstLine="378"/>
        <w:spacing w:after="0" w:line="266" w:lineRule="auto"/>
        <w:rPr>
          <w:sz w:val="20"/>
          <w:szCs w:val="20"/>
          <w:color w:val="auto"/>
        </w:rPr>
      </w:pPr>
      <w:r>
        <w:rPr>
          <w:rFonts w:ascii="Times New Roman" w:cs="Times New Roman" w:eastAsia="Times New Roman" w:hAnsi="Times New Roman"/>
          <w:sz w:val="18"/>
          <w:szCs w:val="18"/>
          <w:color w:val="auto"/>
        </w:rPr>
        <w:t>WPH believes its principal manufacturing facility in Bahrain allows it to benefit from competitive labor rates, attractive incentives, low energy costs and a favorable tax treaty. WPH currently has one non-U.S. manufacturing plant and one manufacturing plant and one distribution center in the United States. WPH regularly reviews the possibility of implementing additional cost-saving measures.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Brands, Trademarks and Licenses</w:t>
      </w:r>
    </w:p>
    <w:p>
      <w:pPr>
        <w:spacing w:after="0" w:line="121" w:lineRule="exact"/>
        <w:rPr>
          <w:sz w:val="20"/>
          <w:szCs w:val="20"/>
          <w:color w:val="auto"/>
        </w:rPr>
      </w:pPr>
    </w:p>
    <w:p>
      <w:pPr>
        <w:ind w:right="40" w:firstLine="378"/>
        <w:spacing w:after="0" w:line="282" w:lineRule="auto"/>
        <w:rPr>
          <w:sz w:val="20"/>
          <w:szCs w:val="20"/>
          <w:color w:val="auto"/>
        </w:rPr>
      </w:pPr>
      <w:r>
        <w:rPr>
          <w:rFonts w:ascii="Times New Roman" w:cs="Times New Roman" w:eastAsia="Times New Roman" w:hAnsi="Times New Roman"/>
          <w:sz w:val="18"/>
          <w:szCs w:val="18"/>
          <w:color w:val="auto"/>
        </w:rPr>
        <w:t>WPH markets its products under trademarks, brand names and private labels, which it uses as merchandising tools to assist its customers in coordinating their product offerings and differentiating their products from those of their competitors.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68" w:right="239" w:bottom="1440" w:gutter="0" w:footer="0" w:header="0"/>
        </w:sectPr>
      </w:pPr>
    </w:p>
    <w:bookmarkStart w:id="24" w:name="page25"/>
    <w:bookmarkEnd w:id="24"/>
    <w:p>
      <w:pPr>
        <w:ind w:right="540" w:firstLine="378"/>
        <w:spacing w:after="0" w:line="282" w:lineRule="auto"/>
        <w:rPr>
          <w:sz w:val="20"/>
          <w:szCs w:val="20"/>
          <w:color w:val="auto"/>
        </w:rPr>
      </w:pPr>
      <w:r>
        <w:rPr>
          <w:rFonts w:ascii="Times New Roman" w:cs="Times New Roman" w:eastAsia="Times New Roman" w:hAnsi="Times New Roman"/>
          <w:sz w:val="18"/>
          <w:szCs w:val="18"/>
          <w:color w:val="auto"/>
        </w:rPr>
        <w:t>WPH manufactures and sells its own branded line of home fashion products consisting of merchandise bearing registered trademarks that include WestPoint Home, Grand Patrician, Martex, Luxor, Modern Living and Vellux.</w:t>
      </w:r>
    </w:p>
    <w:p>
      <w:pPr>
        <w:spacing w:after="0" w:line="54" w:lineRule="exact"/>
        <w:rPr>
          <w:sz w:val="20"/>
          <w:szCs w:val="20"/>
          <w:color w:val="auto"/>
        </w:rPr>
      </w:pPr>
    </w:p>
    <w:p>
      <w:pPr>
        <w:ind w:right="280" w:firstLine="378"/>
        <w:spacing w:after="0" w:line="282" w:lineRule="auto"/>
        <w:rPr>
          <w:sz w:val="20"/>
          <w:szCs w:val="20"/>
          <w:color w:val="auto"/>
        </w:rPr>
      </w:pPr>
      <w:r>
        <w:rPr>
          <w:rFonts w:ascii="Times New Roman" w:cs="Times New Roman" w:eastAsia="Times New Roman" w:hAnsi="Times New Roman"/>
          <w:sz w:val="18"/>
          <w:szCs w:val="18"/>
          <w:color w:val="auto"/>
        </w:rPr>
        <w:t>In addition, some of WPH's home fashion products are manufactured and sold pursuant to licensing agreements under designer and brand names that include, among others, IZOD, Southern Tide, Under the Canopy and Portico.</w:t>
      </w:r>
    </w:p>
    <w:p>
      <w:pPr>
        <w:spacing w:after="0" w:line="54" w:lineRule="exact"/>
        <w:rPr>
          <w:sz w:val="20"/>
          <w:szCs w:val="20"/>
          <w:color w:val="auto"/>
        </w:rPr>
      </w:pPr>
    </w:p>
    <w:p>
      <w:pPr>
        <w:ind w:right="40" w:firstLine="378"/>
        <w:spacing w:after="0" w:line="261" w:lineRule="auto"/>
        <w:rPr>
          <w:sz w:val="20"/>
          <w:szCs w:val="20"/>
          <w:color w:val="auto"/>
        </w:rPr>
      </w:pPr>
      <w:r>
        <w:rPr>
          <w:rFonts w:ascii="Times New Roman" w:cs="Times New Roman" w:eastAsia="Times New Roman" w:hAnsi="Times New Roman"/>
          <w:sz w:val="18"/>
          <w:szCs w:val="18"/>
          <w:color w:val="auto"/>
        </w:rPr>
        <w:t>Private label brands, also known as “store brands,” are controlled by individual retail customers through use of their own brands or through an exclusive license or other arrangement with brand owners. Private label brands provide retail customers with a way to promote consumer loyalty, as the brand is owned and controlled by WPH's retail customers and not by WPH. As WPH's customer base has experienced consolidation, there has been an increasing focus on proprietary branding strategies.</w:t>
      </w:r>
    </w:p>
    <w:p>
      <w:pPr>
        <w:spacing w:after="0" w:line="72" w:lineRule="exact"/>
        <w:rPr>
          <w:sz w:val="20"/>
          <w:szCs w:val="20"/>
          <w:color w:val="auto"/>
        </w:rPr>
      </w:pPr>
    </w:p>
    <w:p>
      <w:pPr>
        <w:jc w:val="both"/>
        <w:ind w:right="80" w:firstLine="378"/>
        <w:spacing w:after="0" w:line="266" w:lineRule="auto"/>
        <w:rPr>
          <w:sz w:val="20"/>
          <w:szCs w:val="20"/>
          <w:color w:val="auto"/>
        </w:rPr>
      </w:pPr>
      <w:r>
        <w:rPr>
          <w:rFonts w:ascii="Times New Roman" w:cs="Times New Roman" w:eastAsia="Times New Roman" w:hAnsi="Times New Roman"/>
          <w:sz w:val="18"/>
          <w:szCs w:val="18"/>
          <w:color w:val="auto"/>
        </w:rPr>
        <w:t>The percentage of WPH's net sales derived from the sale of private label branded and unbranded products for 2014 was approximately 44%. For 2014, the percentage of WPH net sales derived from sales under brands it owns and controls was approximately 33%, and the percentage of WPH net sales derived from sales under brands owned by third parties pursuant to licensing arrangements with WPH was approximately 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121" w:lineRule="exact"/>
        <w:rPr>
          <w:sz w:val="20"/>
          <w:szCs w:val="20"/>
          <w:color w:val="auto"/>
        </w:rPr>
      </w:pPr>
    </w:p>
    <w:p>
      <w:pPr>
        <w:ind w:right="280" w:firstLine="378"/>
        <w:spacing w:after="0" w:line="266" w:lineRule="auto"/>
        <w:rPr>
          <w:sz w:val="20"/>
          <w:szCs w:val="20"/>
          <w:color w:val="auto"/>
        </w:rPr>
      </w:pPr>
      <w:r>
        <w:rPr>
          <w:rFonts w:ascii="Times New Roman" w:cs="Times New Roman" w:eastAsia="Times New Roman" w:hAnsi="Times New Roman"/>
          <w:sz w:val="18"/>
          <w:szCs w:val="18"/>
          <w:color w:val="auto"/>
        </w:rPr>
        <w:t>WPH sells its home fashion products to catalog retailers, chain stores, mass merchants, department stores, specialty stores and warehouse clubs, both domestically and internationally. During 2014, WPH's top four customers accounted for approximately 67% of its net sales, one of which individually accounted for approximately 29% of its net sales.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right="140" w:firstLine="378"/>
        <w:spacing w:after="0" w:line="258" w:lineRule="auto"/>
        <w:rPr>
          <w:sz w:val="20"/>
          <w:szCs w:val="20"/>
          <w:color w:val="auto"/>
        </w:rPr>
      </w:pPr>
      <w:r>
        <w:rPr>
          <w:rFonts w:ascii="Times New Roman" w:cs="Times New Roman" w:eastAsia="Times New Roman" w:hAnsi="Times New Roman"/>
          <w:sz w:val="18"/>
          <w:szCs w:val="18"/>
          <w:color w:val="auto"/>
        </w:rPr>
        <w:t>The home fashion industry is fragmented and highly competitive. Future success will, to a large extent, depend on WPH's ability to be a competitive low-cost producer. WPH competes with both foreign and domestic companies on, among other factors, the basis of price, quality, design and customer service. WPH may also face competition in the future from companies that are currently third-party suppliers to WPH. Future success depends on the ability to remain competitive in the areas of marketing, product development, price, quality, brand names, manufacturing capabilities, distribution and order processing.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2014, WPH employed 374 employees in the United States and 1,751 employees abroad, for a total of 2,125 employees worldwide.</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w:t>
      </w:r>
    </w:p>
    <w:p>
      <w:pPr>
        <w:spacing w:after="0" w:line="121" w:lineRule="exact"/>
        <w:rPr>
          <w:sz w:val="20"/>
          <w:szCs w:val="20"/>
          <w:color w:val="auto"/>
        </w:rPr>
      </w:pPr>
    </w:p>
    <w:p>
      <w:pPr>
        <w:ind w:right="600" w:firstLine="378"/>
        <w:spacing w:after="0" w:line="282" w:lineRule="auto"/>
        <w:rPr>
          <w:sz w:val="20"/>
          <w:szCs w:val="20"/>
          <w:color w:val="auto"/>
        </w:rPr>
      </w:pPr>
      <w:r>
        <w:rPr>
          <w:rFonts w:ascii="Times New Roman" w:cs="Times New Roman" w:eastAsia="Times New Roman" w:hAnsi="Times New Roman"/>
          <w:sz w:val="18"/>
          <w:szCs w:val="18"/>
          <w:color w:val="auto"/>
        </w:rPr>
        <w:t>We seek to invest our available cash and cash equivalents in liquid investments with a view to enhancing returns as we continue to assess further acquisitions of, or investments in, operating businesses.</w:t>
      </w:r>
    </w:p>
    <w:p>
      <w:pPr>
        <w:spacing w:after="0" w:line="54" w:lineRule="exact"/>
        <w:rPr>
          <w:sz w:val="20"/>
          <w:szCs w:val="20"/>
          <w:color w:val="auto"/>
        </w:rPr>
      </w:pPr>
    </w:p>
    <w:p>
      <w:pPr>
        <w:ind w:right="420" w:firstLine="378"/>
        <w:spacing w:after="0" w:line="282" w:lineRule="auto"/>
        <w:rPr>
          <w:sz w:val="20"/>
          <w:szCs w:val="20"/>
          <w:color w:val="auto"/>
        </w:rPr>
      </w:pPr>
      <w:r>
        <w:rPr>
          <w:rFonts w:ascii="Times New Roman" w:cs="Times New Roman" w:eastAsia="Times New Roman" w:hAnsi="Times New Roman"/>
          <w:sz w:val="18"/>
          <w:szCs w:val="18"/>
          <w:color w:val="auto"/>
        </w:rPr>
        <w:t>As of December 31, 2014, we had investments with a fair market value of approximately $4.3 billion in the Investment Funds. We may redeem our direct investment in the Investment Funds upon notice.</w:t>
      </w:r>
    </w:p>
    <w:p>
      <w:pPr>
        <w:spacing w:after="0" w:line="54" w:lineRule="exact"/>
        <w:rPr>
          <w:sz w:val="20"/>
          <w:szCs w:val="20"/>
          <w:color w:val="auto"/>
        </w:rPr>
      </w:pPr>
    </w:p>
    <w:p>
      <w:pPr>
        <w:ind w:right="160" w:firstLine="378"/>
        <w:spacing w:after="0" w:line="258" w:lineRule="auto"/>
        <w:rPr>
          <w:sz w:val="20"/>
          <w:szCs w:val="20"/>
          <w:color w:val="auto"/>
        </w:rPr>
      </w:pPr>
      <w:r>
        <w:rPr>
          <w:rFonts w:ascii="Times New Roman" w:cs="Times New Roman" w:eastAsia="Times New Roman" w:hAnsi="Times New Roman"/>
          <w:sz w:val="18"/>
          <w:szCs w:val="18"/>
          <w:color w:val="auto"/>
        </w:rPr>
        <w:t>We conduct our activities in a manner so as not to be deemed an investment company under the Investment Company Act of 1940, as amended, or the Investment Company Act. Generally, this means that we do not invest or intend to invest in securities as our primary business and that no more than 40% of our total assets will be invested in investment securities as such term is defined in the Investment Company Act. In addition, we intend to structure our investments so as to continue to be taxed as a partnership rather than as a corporation under the applicable publicly traded partnership rules of the Internal Revenue Code of 1986, as amended, or the Code.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 xml:space="preserve">Icahn Enterprises maintains a website at </w:t>
      </w:r>
      <w:r>
        <w:rPr>
          <w:rFonts w:ascii="Times New Roman" w:cs="Times New Roman" w:eastAsia="Times New Roman" w:hAnsi="Times New Roman"/>
          <w:sz w:val="18"/>
          <w:szCs w:val="18"/>
          <w:i w:val="1"/>
          <w:iCs w:val="1"/>
          <w:color w:val="auto"/>
        </w:rPr>
        <w:t>www.ielp.com</w:t>
      </w:r>
      <w:r>
        <w:rPr>
          <w:rFonts w:ascii="Times New Roman" w:cs="Times New Roman" w:eastAsia="Times New Roman" w:hAnsi="Times New Roman"/>
          <w:sz w:val="18"/>
          <w:szCs w:val="18"/>
          <w:color w:val="auto"/>
        </w:rPr>
        <w:t xml:space="preserve">. We provide access to our annual reports on Form 10-K, quarterly reports on Form 10-Q, current reports on Form 8-K and all amendments to those reports free of charge through this website as soon as reasonably practicable after such material is electronically filed with the SEC. Paper copies of annual and periodic reports filed with the SEC may be obtained free of charge upon written request by contacting our headquarters at the address located on the front cover of this report or under Investor Relations on our website. In addition, our corporate governance guidelines, including Code of Business Conduct and Ethics and Audit Committee Charter, are available on our website (under Corporate Governance) and are available in print without charge to any stockholder requesting them. You may obtain and copy any document we furnish or file with the SEC at the SEC's public reference room at 100 F Street, NE, Room 1580, Washington, D.C. 20549. You may obtain information on the operation of the SEC's public reference facilities by calling the SEC at 1-800-SEC-0330. The SEC maintains a website that contains reports, information statements, and other information regarding issuers like us who file electronically with the SEC. The SEC's website is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72" w:right="2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Our Structure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 and its control person could exercise their influence over us to your detriment.</w:t>
      </w:r>
    </w:p>
    <w:p>
      <w:pPr>
        <w:spacing w:after="0" w:line="121" w:lineRule="exact"/>
        <w:rPr>
          <w:sz w:val="20"/>
          <w:szCs w:val="20"/>
          <w:color w:val="auto"/>
        </w:rPr>
      </w:pPr>
    </w:p>
    <w:p>
      <w:pPr>
        <w:ind w:right="120" w:firstLine="378"/>
        <w:spacing w:after="0" w:line="266" w:lineRule="auto"/>
        <w:rPr>
          <w:sz w:val="20"/>
          <w:szCs w:val="20"/>
          <w:color w:val="auto"/>
        </w:rPr>
      </w:pPr>
      <w:r>
        <w:rPr>
          <w:rFonts w:ascii="Times New Roman" w:cs="Times New Roman" w:eastAsia="Times New Roman" w:hAnsi="Times New Roman"/>
          <w:sz w:val="18"/>
          <w:szCs w:val="18"/>
          <w:color w:val="auto"/>
        </w:rPr>
        <w:t>Mr. Icahn, through affiliates, owns 100% of Icahn Enterprises GP, the general partner of Icahn Enterprises and Icahn Enterprises Holdings, and approximately 88.4% of Icahn Enterprises' outstanding depositary units as of February 26, 2015, and, as a result, has the ability to influence many aspects of our operations and affairs.</w:t>
      </w:r>
    </w:p>
    <w:p>
      <w:pPr>
        <w:spacing w:after="0" w:line="68" w:lineRule="exact"/>
        <w:rPr>
          <w:sz w:val="20"/>
          <w:szCs w:val="20"/>
          <w:color w:val="auto"/>
        </w:rPr>
      </w:pPr>
    </w:p>
    <w:p>
      <w:pPr>
        <w:ind w:right="60" w:firstLine="378"/>
        <w:spacing w:after="0" w:line="258" w:lineRule="auto"/>
        <w:rPr>
          <w:sz w:val="20"/>
          <w:szCs w:val="20"/>
          <w:color w:val="auto"/>
        </w:rPr>
      </w:pPr>
      <w:r>
        <w:rPr>
          <w:rFonts w:ascii="Times New Roman" w:cs="Times New Roman" w:eastAsia="Times New Roman" w:hAnsi="Times New Roman"/>
          <w:sz w:val="18"/>
          <w:szCs w:val="18"/>
          <w:color w:val="auto"/>
        </w:rPr>
        <w:t>In addition, if Mr. Icahn were to sell, or otherwise transfer, some or all of his interests in us to an unrelated party or group, a change of control could be deemed to have occurred under the terms of the indenture governing our senior notes, which would require us to offer to repurchase all outstanding senior notes at 101% of their principal amount plus accrued and unpaid interest and liquidated damages, if any, to the date of repurchase and (ii) our senior unsecured variable rate convertible notes whereby each holder would have the option to require all or a portion of their notes to be repurchased in cash by us. However, it is possible that we will not have sufficient funds at the time of the change of control to make the required repurchase of notes.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engaged, and in the future may engage, in transactions with our affiliates.</w:t>
      </w:r>
    </w:p>
    <w:p>
      <w:pPr>
        <w:spacing w:after="0" w:line="121"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We have invested and may in the future invest in entities in which Mr. Icahn also invests. We also have purchased and may in the future purchase entities or investments from him or his affiliates. Although Icahn Enterprises GP has never received fees in connection with our investments, our partnership agreement allows for the payment of these fees. Mr. Icahn may pursue other business opportunities in industries in which we compete and there is no requirement that any additional business opportunities be presented to us. We continuously identify, evaluate and engage in discussions concerning potential investments and acquisitions, including potential investments in and acquisitions of affiliates of Mr. Icahn. There cannot be any assurance that any potential transactions that we consider will be completed.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our securities may be volatile.</w:t>
      </w:r>
    </w:p>
    <w:p>
      <w:pPr>
        <w:spacing w:after="0" w:line="121" w:lineRule="exact"/>
        <w:rPr>
          <w:sz w:val="20"/>
          <w:szCs w:val="20"/>
          <w:color w:val="auto"/>
        </w:rPr>
      </w:pPr>
    </w:p>
    <w:p>
      <w:pPr>
        <w:jc w:val="both"/>
        <w:ind w:right="620" w:firstLine="378"/>
        <w:spacing w:after="0" w:line="266" w:lineRule="auto"/>
        <w:rPr>
          <w:sz w:val="20"/>
          <w:szCs w:val="20"/>
          <w:color w:val="auto"/>
        </w:rPr>
      </w:pPr>
      <w:r>
        <w:rPr>
          <w:rFonts w:ascii="Times New Roman" w:cs="Times New Roman" w:eastAsia="Times New Roman" w:hAnsi="Times New Roman"/>
          <w:sz w:val="18"/>
          <w:szCs w:val="18"/>
          <w:color w:val="auto"/>
        </w:rPr>
        <w:t>The market for Icahn Enterprises' equity securities may be subject to disruptions that could cause substantial volatility in their prices. In general, economic crises have caused substantial market volatility and unrest. Any such disruptions or future volatility may adversely affect the value of your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cash distributions to Icahn Enterprises' unitholders, if any, can be affected by numerous factors.</w:t>
      </w:r>
    </w:p>
    <w:p>
      <w:pPr>
        <w:spacing w:after="0" w:line="121"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On February 11, 2013, we announced that the board of directors of our general partner approved a modification to our distribution policy to provide for an increase in the annual distribution from $1.40, comprised of $0.40 in cash and $1.00 in depositary units, to $4.00 per depositary unit, payable in either cash or additional depositary units, at the election of each depositary unitholder. On May 29, 2013, the board of directors of our general partner further modified our distribution policy to increase our annual distribution from $4.00 per depositary unit to $5.00 per depositary unit. Further, on March 3, 2014, the board of directors of our general partner announced an increase in our annualized distribution from $5.00 per depositary unit to $6.00 per depositary unit.</w:t>
      </w:r>
    </w:p>
    <w:p>
      <w:pPr>
        <w:spacing w:after="0" w:line="76" w:lineRule="exact"/>
        <w:rPr>
          <w:sz w:val="20"/>
          <w:szCs w:val="20"/>
          <w:color w:val="auto"/>
        </w:rPr>
      </w:pPr>
    </w:p>
    <w:p>
      <w:pPr>
        <w:ind w:right="80" w:firstLine="378"/>
        <w:spacing w:after="0" w:line="261" w:lineRule="auto"/>
        <w:rPr>
          <w:sz w:val="20"/>
          <w:szCs w:val="20"/>
          <w:color w:val="auto"/>
        </w:rPr>
      </w:pPr>
      <w:r>
        <w:rPr>
          <w:rFonts w:ascii="Times New Roman" w:cs="Times New Roman" w:eastAsia="Times New Roman" w:hAnsi="Times New Roman"/>
          <w:sz w:val="18"/>
          <w:szCs w:val="18"/>
          <w:color w:val="auto"/>
        </w:rPr>
        <w:t>While we made cash distributions to Icahn Enterprises' unitholders in each of the four quarters of 2014, the payment of future distributions, including higher distribution amounts as discussed above, will be determined by the board of directors of Icahn Enterprises GP, our general partner, quarterly, based on a review of a number of factors, including those described below and other factors that it deems relevant at the time that declaration of a distribution is considered.</w:t>
      </w:r>
    </w:p>
    <w:p>
      <w:pPr>
        <w:spacing w:after="0" w:line="72" w:lineRule="exact"/>
        <w:rPr>
          <w:sz w:val="20"/>
          <w:szCs w:val="20"/>
          <w:color w:val="auto"/>
        </w:rPr>
      </w:pPr>
    </w:p>
    <w:p>
      <w:pPr>
        <w:ind w:right="20" w:firstLine="378"/>
        <w:spacing w:after="0" w:line="256" w:lineRule="auto"/>
        <w:rPr>
          <w:sz w:val="20"/>
          <w:szCs w:val="20"/>
          <w:color w:val="auto"/>
        </w:rPr>
      </w:pPr>
      <w:r>
        <w:rPr>
          <w:rFonts w:ascii="Times New Roman" w:cs="Times New Roman" w:eastAsia="Times New Roman" w:hAnsi="Times New Roman"/>
          <w:sz w:val="18"/>
          <w:szCs w:val="18"/>
          <w:color w:val="auto"/>
        </w:rPr>
        <w:t>Our ability to pay distributions will depend on numerous factors, including the availability of adequate cash flow from operations; the proceeds, if any, from divestitures; our capital requirements and other obligations; restrictions contained in our financing arrangements; and our issuances of additional equity and debt securities. The availability of cash flow in the future depends as well upon events and circumstances outside our control, including prevailing economic and industry conditions and financial, business and similar factors. No assurance can be given that we will be able to make distributions or as to the timing of any distribution. If distributions are made, there can be no assurance that holders of depositary units may not be required to recognize taxable income in excess of cash distributions made in respect of the period in which a distribution is made.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Icahn Enterprises' depositary units have limited voting rights, including rights to participate in our management.</w:t>
      </w:r>
    </w:p>
    <w:p>
      <w:pPr>
        <w:spacing w:after="0" w:line="121" w:lineRule="exact"/>
        <w:rPr>
          <w:sz w:val="20"/>
          <w:szCs w:val="20"/>
          <w:color w:val="auto"/>
        </w:rPr>
      </w:pPr>
    </w:p>
    <w:p>
      <w:pPr>
        <w:ind w:right="220" w:firstLine="378"/>
        <w:spacing w:after="0" w:line="261" w:lineRule="auto"/>
        <w:rPr>
          <w:sz w:val="20"/>
          <w:szCs w:val="20"/>
          <w:color w:val="auto"/>
        </w:rPr>
      </w:pPr>
      <w:r>
        <w:rPr>
          <w:rFonts w:ascii="Times New Roman" w:cs="Times New Roman" w:eastAsia="Times New Roman" w:hAnsi="Times New Roman"/>
          <w:sz w:val="18"/>
          <w:szCs w:val="18"/>
          <w:color w:val="auto"/>
        </w:rPr>
        <w:t>Our general partner manages and operates Icahn Enterprises. Unlike the holders of common stock in a corporation, holders of Icahn Enterprises' outstanding depositary units have only limited voting rights on matters affecting our business. Holders of depositary units have no right to elect the general partner on an annual or other continuing basis, and our general partner generally may not be removed except pursuant to the vote of the holders of not less than 75% of the outstanding depositary units. In addition, removal of the general partner may result in a default under our debt securities. As a result,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360" w:right="259" w:bottom="1440" w:gutter="0" w:footer="0" w:header="0"/>
        </w:sectPr>
      </w:pPr>
    </w:p>
    <w:bookmarkStart w:id="26" w:name="page27"/>
    <w:bookmarkEnd w:id="26"/>
    <w:p>
      <w:pPr>
        <w:ind w:right="440"/>
        <w:spacing w:after="0" w:line="282" w:lineRule="auto"/>
        <w:rPr>
          <w:sz w:val="20"/>
          <w:szCs w:val="20"/>
          <w:color w:val="auto"/>
        </w:rPr>
      </w:pPr>
      <w:r>
        <w:rPr>
          <w:rFonts w:ascii="Times New Roman" w:cs="Times New Roman" w:eastAsia="Times New Roman" w:hAnsi="Times New Roman"/>
          <w:sz w:val="18"/>
          <w:szCs w:val="18"/>
          <w:color w:val="auto"/>
        </w:rPr>
        <w:t>holders of depositary units have limited say in matters affecting our operations and others may find it difficult to attempt to gain control or influence our activities.</w:t>
      </w:r>
    </w:p>
    <w:p>
      <w:pPr>
        <w:spacing w:after="0" w:line="5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Icahn Enterprises' depositary units may not have limited liability in certain circumstances and may be personally liable for the return of distributions that cause our liabilities to exceed our assets.</w:t>
      </w:r>
    </w:p>
    <w:p>
      <w:pPr>
        <w:spacing w:after="0" w:line="51" w:lineRule="exact"/>
        <w:rPr>
          <w:sz w:val="20"/>
          <w:szCs w:val="20"/>
          <w:color w:val="auto"/>
        </w:rPr>
      </w:pPr>
    </w:p>
    <w:p>
      <w:pPr>
        <w:ind w:right="20" w:firstLine="378"/>
        <w:spacing w:after="0" w:line="254" w:lineRule="auto"/>
        <w:rPr>
          <w:sz w:val="20"/>
          <w:szCs w:val="20"/>
          <w:color w:val="auto"/>
        </w:rPr>
      </w:pPr>
      <w:r>
        <w:rPr>
          <w:rFonts w:ascii="Times New Roman" w:cs="Times New Roman" w:eastAsia="Times New Roman" w:hAnsi="Times New Roman"/>
          <w:sz w:val="18"/>
          <w:szCs w:val="18"/>
          <w:color w:val="auto"/>
        </w:rPr>
        <w:t>We conduct our businesses through Icahn Enterprises Holdings in several states. Maintenance of limited liability will require compliance with legal requirements of those states. We are the sole limited partner of Icahn Enterprises Holdings. Limitations on the liability of a limited partner for the obligations of a limited partnership have not clearly been established in several states. If it were determined that Icahn Enterprises Holdings has been conducting business in any state without compliance with the applicable limited partnership statute or the possession or exercise of the right by the partnership, as limited partner of Icahn Enterprises Holdings, to remove its general partner, to approve certain amendments to the Icahn Enterprises Holdings partnership agreement or to take other action pursuant to the Icahn Enterprises Holdings partnership agreement, constituted “control” of Icahn Enterprises Holdings' business for the purposes of the statutes of any relevant state, Icahn Enterprises and/or its unitholders, under certain circumstances, might be held personally liable for Icahn Enterprises Holdings' obligations to the same extent as our general partner. Further, under the laws of certain states, Icahn Enterprises might be liable for the amount of distributions made to Icahn Enterprises by Icahn Enterprises Holdings.</w:t>
      </w:r>
    </w:p>
    <w:p>
      <w:pPr>
        <w:spacing w:after="0" w:line="81" w:lineRule="exact"/>
        <w:rPr>
          <w:sz w:val="20"/>
          <w:szCs w:val="20"/>
          <w:color w:val="auto"/>
        </w:rPr>
      </w:pPr>
    </w:p>
    <w:p>
      <w:pPr>
        <w:ind w:right="40" w:firstLine="378"/>
        <w:spacing w:after="0" w:line="258" w:lineRule="auto"/>
        <w:rPr>
          <w:sz w:val="20"/>
          <w:szCs w:val="20"/>
          <w:color w:val="auto"/>
        </w:rPr>
      </w:pPr>
      <w:r>
        <w:rPr>
          <w:rFonts w:ascii="Times New Roman" w:cs="Times New Roman" w:eastAsia="Times New Roman" w:hAnsi="Times New Roman"/>
          <w:sz w:val="18"/>
          <w:szCs w:val="18"/>
          <w:color w:val="auto"/>
        </w:rPr>
        <w:t>Holders of Icahn Enterprises' depositary units may also be required to repay Icahn Enterprises amounts wrongfully distributed to them. Under Delaware law, we may not make a distribution to holders of our depositary units if the distribution causes our liabilities to exceed the fair value of our assets. Liabilities to partners on account of their partnership interests and nonrecourse liabilities are not counted for purposes of determining whether a distribution is permitted. Delaware law provides that a limited partner who receives such a distribution and knew at the time of the distribution that the distribution violated Delaware law will be liable to the limited partnership for the distribution amount for three years from the distribution date.</w:t>
      </w:r>
    </w:p>
    <w:p>
      <w:pPr>
        <w:spacing w:after="0" w:line="76" w:lineRule="exact"/>
        <w:rPr>
          <w:sz w:val="20"/>
          <w:szCs w:val="20"/>
          <w:color w:val="auto"/>
        </w:rPr>
      </w:pPr>
    </w:p>
    <w:p>
      <w:pPr>
        <w:jc w:val="both"/>
        <w:ind w:right="200" w:firstLine="378"/>
        <w:spacing w:after="0" w:line="266" w:lineRule="auto"/>
        <w:rPr>
          <w:sz w:val="20"/>
          <w:szCs w:val="20"/>
          <w:color w:val="auto"/>
        </w:rPr>
      </w:pPr>
      <w:r>
        <w:rPr>
          <w:rFonts w:ascii="Times New Roman" w:cs="Times New Roman" w:eastAsia="Times New Roman" w:hAnsi="Times New Roman"/>
          <w:sz w:val="18"/>
          <w:szCs w:val="18"/>
          <w:color w:val="auto"/>
        </w:rPr>
        <w:t>Additionally, under Delaware law an assignee who becomes a substituted limited partner of a limited partnership is liable for the obligations, if any, of the assignor to make contributions to the partnership. However, such an assignee is not obligated for liabilities unknown to him or her at the time he or she became a limited partner if the liabilities could not be determined from the partnership agreement.</w:t>
      </w:r>
    </w:p>
    <w:p>
      <w:pPr>
        <w:spacing w:after="0" w:line="6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service our indebtedness and pay distributions with respect to Icahn Enterprises' depositary units, we require a significant amount of cash. Our ability to maintain our current cash position or generate cash depends on many factors beyond our control.</w:t>
      </w:r>
    </w:p>
    <w:p>
      <w:pPr>
        <w:spacing w:after="0" w:line="51" w:lineRule="exact"/>
        <w:rPr>
          <w:sz w:val="20"/>
          <w:szCs w:val="20"/>
          <w:color w:val="auto"/>
        </w:rPr>
      </w:pPr>
    </w:p>
    <w:p>
      <w:pPr>
        <w:ind w:right="120" w:firstLine="378"/>
        <w:spacing w:after="0" w:line="266"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to pay distributions with respect to Icahn Enterprises' depositary units and to fund operations depends on existing cash balances and our ability to generate cash in the future. This, to a certain extent, is subject to general economic, financial, competitive, regulatory and other factors that are beyond our control.</w:t>
      </w:r>
    </w:p>
    <w:p>
      <w:pPr>
        <w:spacing w:after="0" w:line="68" w:lineRule="exact"/>
        <w:rPr>
          <w:sz w:val="20"/>
          <w:szCs w:val="20"/>
          <w:color w:val="auto"/>
        </w:rPr>
      </w:pPr>
    </w:p>
    <w:p>
      <w:pPr>
        <w:ind w:right="20" w:firstLine="378"/>
        <w:spacing w:after="0" w:line="256" w:lineRule="auto"/>
        <w:rPr>
          <w:sz w:val="20"/>
          <w:szCs w:val="20"/>
          <w:color w:val="auto"/>
        </w:rPr>
      </w:pPr>
      <w:r>
        <w:rPr>
          <w:rFonts w:ascii="Times New Roman" w:cs="Times New Roman" w:eastAsia="Times New Roman" w:hAnsi="Times New Roman"/>
          <w:sz w:val="18"/>
          <w:szCs w:val="18"/>
          <w:color w:val="auto"/>
        </w:rPr>
        <w:t>Our current businesses and businesses that we acquire may not generate sufficient cash to service our debt. In addition, we may not generate sufficient cash flow from operations or investments and future borrowings may not be available to us in an amount sufficient to enable us to service our indebtedness or to fund our other liquidity needs. As of December 31, 2014, approximately $2.0 billion of required payments will come due in the three-year period ending December 31, 2017, which includes interest on our senior notes as well as principal and interest on mortgages payable. We may need to refinance all or a portion of our indebtedness on or before maturity. We cannot assure you that we will be able to refinance any of our indebtedness on commercially reasonable terms or at all.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depend on the businesses of our subsidiaries to satisfy our obligations.</w:t>
      </w:r>
    </w:p>
    <w:p>
      <w:pPr>
        <w:spacing w:after="0" w:line="121" w:lineRule="exact"/>
        <w:rPr>
          <w:sz w:val="20"/>
          <w:szCs w:val="20"/>
          <w:color w:val="auto"/>
        </w:rPr>
      </w:pPr>
    </w:p>
    <w:p>
      <w:pPr>
        <w:ind w:right="20" w:firstLine="378"/>
        <w:spacing w:after="0" w:line="256" w:lineRule="auto"/>
        <w:rPr>
          <w:sz w:val="20"/>
          <w:szCs w:val="20"/>
          <w:color w:val="auto"/>
        </w:rPr>
      </w:pPr>
      <w:r>
        <w:rPr>
          <w:rFonts w:ascii="Times New Roman" w:cs="Times New Roman" w:eastAsia="Times New Roman" w:hAnsi="Times New Roman"/>
          <w:sz w:val="18"/>
          <w:szCs w:val="18"/>
          <w:color w:val="auto"/>
        </w:rPr>
        <w:t>We are a holding company. In addition to cash and cash equivalents, U.S. government and agency obligations and other short-term investments, our assets consist primarily of investments in our subsidiaries. Moreover, if we make significant investments in operating businesses, it is likely that we will reduce the liquid assets at Icahn Enterprises and Icahn Enterprises Holdings in order to fund those investments and the ongoing operations of our subsidiaries and in the Investment Funds. Consequently, our cash flow and our ability to meet our debt service obligations and make distributions with respect to depositary units likely will depend on the cash flow of our subsidiaries, returns on our interests in the Investment Funds and the payment of funds to us by our subsidiaries in the form of dividends, distributions, loans or otherwise.</w:t>
      </w:r>
    </w:p>
    <w:p>
      <w:pPr>
        <w:spacing w:after="0" w:line="80"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The operating results of our subsidiaries may not be sufficient to make distributions to us. In addition, our subsidiaries are not obligated to make funds available to us and distributions and intercompany transfers from our subsidiaries to us may be restricted by applicable law or covenants contained in debt agreements and other agreements to which these subsidiaries may be subject or enter into in the future. The terms of certain debt agreements of our subsidiaries, or other entities in which we own equity, restrict dividends, distributions or loans to us. To the degree any distributions and transfers are impaired or prohibited, our ability to make payments on our debt and to make distributions on our depositary units will be limited.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72"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We or our subsidiaries may be able to incur substantially more debt.</w:t>
      </w:r>
    </w:p>
    <w:p>
      <w:pPr>
        <w:spacing w:after="0" w:line="121" w:lineRule="exact"/>
        <w:rPr>
          <w:sz w:val="20"/>
          <w:szCs w:val="20"/>
          <w:color w:val="auto"/>
        </w:rPr>
      </w:pPr>
    </w:p>
    <w:p>
      <w:pPr>
        <w:ind w:right="620" w:firstLine="378"/>
        <w:spacing w:after="0" w:line="282" w:lineRule="auto"/>
        <w:rPr>
          <w:sz w:val="20"/>
          <w:szCs w:val="20"/>
          <w:color w:val="auto"/>
        </w:rPr>
      </w:pPr>
      <w:r>
        <w:rPr>
          <w:rFonts w:ascii="Times New Roman" w:cs="Times New Roman" w:eastAsia="Times New Roman" w:hAnsi="Times New Roman"/>
          <w:sz w:val="18"/>
          <w:szCs w:val="18"/>
          <w:color w:val="auto"/>
        </w:rPr>
        <w:t>As of December 31, 2014, we and our subsidiaries had debt of approximately $11.6 billion, of which approximately $5.5 billion pertained to our Holding Company.</w:t>
      </w:r>
    </w:p>
    <w:p>
      <w:pPr>
        <w:spacing w:after="0" w:line="54" w:lineRule="exact"/>
        <w:rPr>
          <w:sz w:val="20"/>
          <w:szCs w:val="20"/>
          <w:color w:val="auto"/>
        </w:rPr>
      </w:pPr>
    </w:p>
    <w:p>
      <w:pPr>
        <w:ind w:right="200" w:firstLine="378"/>
        <w:spacing w:after="0" w:line="258" w:lineRule="auto"/>
        <w:rPr>
          <w:sz w:val="20"/>
          <w:szCs w:val="20"/>
          <w:color w:val="auto"/>
        </w:rPr>
      </w:pPr>
      <w:r>
        <w:rPr>
          <w:rFonts w:ascii="Times New Roman" w:cs="Times New Roman" w:eastAsia="Times New Roman" w:hAnsi="Times New Roman"/>
          <w:sz w:val="18"/>
          <w:szCs w:val="18"/>
          <w:color w:val="auto"/>
        </w:rPr>
        <w:t>We and Icahn Enterprises Holdings may incur additional indebtedness if we comply with certain financial tests contained in the indentures that govern our senior notes. However, our subsidiaries other than Icahn Enterprises Holdings are not subject to any of the covenants contained in the indentures governing our senior notes. If new debt is added to our and our subsidiaries' current levels, the related risks that we, and they, now face could intensify. In addition, under the indenture governing our senior notes, certain important events, such as leveraged recapitalizations that would increase the level of our indebtedness, would not constitute a change of control.</w:t>
      </w:r>
    </w:p>
    <w:p>
      <w:pPr>
        <w:spacing w:after="0" w:line="76" w:lineRule="exact"/>
        <w:rPr>
          <w:sz w:val="20"/>
          <w:szCs w:val="20"/>
          <w:color w:val="auto"/>
        </w:rPr>
      </w:pPr>
    </w:p>
    <w:p>
      <w:pPr>
        <w:ind w:right="280" w:firstLine="378"/>
        <w:spacing w:after="0" w:line="282" w:lineRule="auto"/>
        <w:rPr>
          <w:sz w:val="20"/>
          <w:szCs w:val="20"/>
          <w:color w:val="auto"/>
        </w:rPr>
      </w:pPr>
      <w:r>
        <w:rPr>
          <w:rFonts w:ascii="Times New Roman" w:cs="Times New Roman" w:eastAsia="Times New Roman" w:hAnsi="Times New Roman"/>
          <w:sz w:val="18"/>
          <w:szCs w:val="18"/>
          <w:color w:val="auto"/>
        </w:rPr>
        <w:t>As of December 31, 2014, based on covenants in the indenture governing our senior notes, we were permitted to incur approximately $930 million in additional indebtedness.</w:t>
      </w:r>
    </w:p>
    <w:p>
      <w:pPr>
        <w:spacing w:after="0" w:line="5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covenants contained under any of our debt instruments, including the indentures governing our outstanding senior notes, including our failure as a result of events beyond our control, could result in an event of default which would materially and adversely affect our financial condition.</w:t>
      </w:r>
    </w:p>
    <w:p>
      <w:pPr>
        <w:spacing w:after="0" w:line="67" w:lineRule="exact"/>
        <w:rPr>
          <w:sz w:val="20"/>
          <w:szCs w:val="20"/>
          <w:color w:val="auto"/>
        </w:rPr>
      </w:pPr>
    </w:p>
    <w:p>
      <w:pPr>
        <w:ind w:right="40" w:firstLine="378"/>
        <w:spacing w:after="0" w:line="258" w:lineRule="auto"/>
        <w:rPr>
          <w:sz w:val="20"/>
          <w:szCs w:val="20"/>
          <w:color w:val="auto"/>
        </w:rPr>
      </w:pPr>
      <w:r>
        <w:rPr>
          <w:rFonts w:ascii="Times New Roman" w:cs="Times New Roman" w:eastAsia="Times New Roman" w:hAnsi="Times New Roman"/>
          <w:sz w:val="18"/>
          <w:szCs w:val="18"/>
          <w:color w:val="auto"/>
        </w:rPr>
        <w:t>If there were an event of default under one of our debt instruments, the holders of the defaulted debt could cause all amounts outstanding with respect to that debt to be due and payable immediately. In addition, any event of default or declaration of acceleration under one debt instrument could result in an event of default under one or more of our other debt instruments. It is possible that, if the defaulted debt is accelerated, our assets and cash flow may not be sufficient to fully repay borrowings under our outstanding debt instruments and we cannot assure you that we would be able to refinance or restructure the payments on those debt securities.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the pension liabilities of our affiliates.</w:t>
      </w:r>
    </w:p>
    <w:p>
      <w:pPr>
        <w:spacing w:after="0" w:line="121" w:lineRule="exact"/>
        <w:rPr>
          <w:sz w:val="20"/>
          <w:szCs w:val="20"/>
          <w:color w:val="auto"/>
        </w:rPr>
      </w:pPr>
    </w:p>
    <w:p>
      <w:pPr>
        <w:ind w:right="20" w:firstLine="378"/>
        <w:spacing w:after="0" w:line="256" w:lineRule="auto"/>
        <w:rPr>
          <w:sz w:val="20"/>
          <w:szCs w:val="20"/>
          <w:color w:val="auto"/>
        </w:rPr>
      </w:pPr>
      <w:r>
        <w:rPr>
          <w:rFonts w:ascii="Times New Roman" w:cs="Times New Roman" w:eastAsia="Times New Roman" w:hAnsi="Times New Roman"/>
          <w:sz w:val="18"/>
          <w:szCs w:val="18"/>
          <w:color w:val="auto"/>
        </w:rPr>
        <w:t>Mr. Icahn, through certain affiliates, owns 100% of Icahn Enterprises GP and approximately 88.4% of Icahn Enterprises' outstanding depositary units as of February 26, 2015.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80" w:lineRule="exact"/>
        <w:rPr>
          <w:sz w:val="20"/>
          <w:szCs w:val="20"/>
          <w:color w:val="auto"/>
        </w:rPr>
      </w:pPr>
    </w:p>
    <w:p>
      <w:pPr>
        <w:ind w:firstLine="378"/>
        <w:spacing w:after="0" w:line="253" w:lineRule="auto"/>
        <w:rPr>
          <w:sz w:val="20"/>
          <w:szCs w:val="20"/>
          <w:color w:val="auto"/>
        </w:rPr>
      </w:pPr>
      <w:r>
        <w:rPr>
          <w:rFonts w:ascii="Times New Roman" w:cs="Times New Roman" w:eastAsia="Times New Roman" w:hAnsi="Times New Roman"/>
          <w:sz w:val="18"/>
          <w:szCs w:val="18"/>
          <w:color w:val="auto"/>
        </w:rPr>
        <w:t>As a result of the more than 80% ownership interest in us by Mr. Icahn’s affiliates, we and our subsidiaries are subject to the pension liabilities of entities in which Mr. Icahn has a direct or indirect ownership interest of at least 80%. As a result of our ownership of more than 80% in our subsidiaries, we and our subsidiaries are subject to the pension liabilities of all entities in which Mr. Icahn has a direct or indirect ownership interest of at least 80%. ACF Industries LLC ("ACF") and Federal-Mogul, are the sponsors of several pension plans. All the minimum funding requirements of the Code and the Employee Retirement Income Security Act of 1974, as amended by the Pension Protection Act of 2006, for these plans have been met as of December 31, 2014 and 2013. If the plans were voluntarily terminated, they would be underfunded by approximately $474 million and $592 million as of December 31, 2014 and 2013,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83"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68" w:lineRule="exact"/>
        <w:rPr>
          <w:sz w:val="20"/>
          <w:szCs w:val="20"/>
          <w:color w:val="auto"/>
        </w:rPr>
      </w:pPr>
    </w:p>
    <w:p>
      <w:pPr>
        <w:ind w:right="20" w:firstLine="378"/>
        <w:spacing w:after="0" w:line="256" w:lineRule="auto"/>
        <w:rPr>
          <w:sz w:val="20"/>
          <w:szCs w:val="20"/>
          <w:color w:val="auto"/>
        </w:rPr>
      </w:pPr>
      <w:r>
        <w:rPr>
          <w:rFonts w:ascii="Times New Roman" w:cs="Times New Roman" w:eastAsia="Times New Roman" w:hAnsi="Times New Roman"/>
          <w:sz w:val="18"/>
          <w:szCs w:val="18"/>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68"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would reduce its net worth to below $250 million. Nonetheless, Starfire may not be able to fund its indemnification obligations to us.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 of becoming an investment company.</w:t>
      </w:r>
    </w:p>
    <w:p>
      <w:pPr>
        <w:spacing w:after="0" w:line="121" w:lineRule="exact"/>
        <w:rPr>
          <w:sz w:val="20"/>
          <w:szCs w:val="20"/>
          <w:color w:val="auto"/>
        </w:rPr>
      </w:pPr>
    </w:p>
    <w:p>
      <w:pPr>
        <w:ind w:right="20" w:firstLine="378"/>
        <w:spacing w:after="0" w:line="256" w:lineRule="auto"/>
        <w:rPr>
          <w:sz w:val="20"/>
          <w:szCs w:val="20"/>
          <w:color w:val="auto"/>
        </w:rPr>
      </w:pPr>
      <w:r>
        <w:rPr>
          <w:rFonts w:ascii="Times New Roman" w:cs="Times New Roman" w:eastAsia="Times New Roman" w:hAnsi="Times New Roman"/>
          <w:sz w:val="18"/>
          <w:szCs w:val="18"/>
          <w:color w:val="auto"/>
        </w:rPr>
        <w:t>Because we are a holding company and a significant portion of our assets may, from time to time, consist of investments in companies in which we own less than a 50% interest, we run the risk of inadvertently becoming an investment company that is required to register under the Investment Company Act. Registered investment companies are subject to extensive, restrictive and potentially adverse regulations relating to, among other things, operating methods, management, capital structure, dividends and transactions with affiliates. Registered investment companies are not permitted to operate their business in the manner in which we operate our business, nor are registered investment companies permitted to have many of the relationships that we have with our affiliated companies.</w:t>
      </w:r>
    </w:p>
    <w:p>
      <w:pPr>
        <w:spacing w:after="0" w:line="80" w:lineRule="exact"/>
        <w:rPr>
          <w:sz w:val="20"/>
          <w:szCs w:val="20"/>
          <w:color w:val="auto"/>
        </w:rPr>
      </w:pPr>
    </w:p>
    <w:p>
      <w:pPr>
        <w:ind w:right="40" w:firstLine="378"/>
        <w:spacing w:after="0" w:line="255" w:lineRule="auto"/>
        <w:rPr>
          <w:sz w:val="20"/>
          <w:szCs w:val="20"/>
          <w:color w:val="auto"/>
        </w:rPr>
      </w:pPr>
      <w:r>
        <w:rPr>
          <w:rFonts w:ascii="Times New Roman" w:cs="Times New Roman" w:eastAsia="Times New Roman" w:hAnsi="Times New Roman"/>
          <w:sz w:val="18"/>
          <w:szCs w:val="18"/>
          <w:color w:val="auto"/>
        </w:rPr>
        <w:t>In order not to become an investment company required to register under the Investment Company Act, we monitor the value of our investments and structure transactions with an eye toward the Investment Company Act. As a result, we may structure transactions in a less advantageous manner than if we did not have Investment Company Act concerns, or we may avoid otherwise economically desirable transactions due to those concerns. In addition, 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If it were established that we were an investment company, there would be a risk, among other material adverse consequences, that we could become subject to monetary penalties or injunctive relief, or both, in an action brought by the SEC, that we would be unable to enforce contracts with third parties or that third parties could seek to obtain rescission of transactions with us undertaken during the period it was established that we were an unregistered investment company.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taxable as a corporation.</w:t>
      </w:r>
    </w:p>
    <w:p>
      <w:pPr>
        <w:spacing w:after="0" w:line="121" w:lineRule="exact"/>
        <w:rPr>
          <w:sz w:val="20"/>
          <w:szCs w:val="20"/>
          <w:color w:val="auto"/>
        </w:rPr>
      </w:pPr>
    </w:p>
    <w:p>
      <w:pPr>
        <w:ind w:firstLine="378"/>
        <w:spacing w:after="0" w:line="252" w:lineRule="auto"/>
        <w:rPr>
          <w:sz w:val="20"/>
          <w:szCs w:val="20"/>
          <w:color w:val="auto"/>
        </w:rPr>
      </w:pPr>
      <w:r>
        <w:rPr>
          <w:rFonts w:ascii="Times New Roman" w:cs="Times New Roman" w:eastAsia="Times New Roman" w:hAnsi="Times New Roman"/>
          <w:sz w:val="18"/>
          <w:szCs w:val="18"/>
          <w:color w:val="auto"/>
        </w:rPr>
        <w:t>We believe that we have been and are properly treated as a partnership for federal income tax purposes. This allows us to pass through our income and deductions to our partners. However, the Internal Revenue Service ("IRS") could challenge our partnership status and we could fail to qualify as a partnership for past years as well as future years. Qualification as a partnership involves the application of highly technical and complex provisions of the Code. For example, a publicly traded partnership is generally taxable as a corporation unless 90% or more of its gross income is “qualifying” income, which includes interest, dividends, oil and gas revenues, real property rents, gains from the sale or other disposition of real property, gain from the sale or other disposition of capital assets held for the production of interest or dividends, and certain other items. We believe that in all prior years of our existence at least 90% of our gross income was qualifying income and we intend to structure our business in a manner such that at least 90% of our gross income will constitute qualifying income this year and in the future. However, there can be no assurance that such structuring will be effective in all events to avoid the receipt of more than 10% of non-qualifying income. If less than 90% of our gross income constitutes qualifying income, we may be subject to corporate tax on our net income, at a Federal rate of up to 35% plus possible state taxes. Further, if less than 90% of our gross income constituted qualifying income for past years, we may be subject to corporate level tax plus interest and possibly penalties. In addition, if we register under the Investment Company Act, it is likely that we would be treated as a corporation for U.S. federal income tax purposes. The cost of paying federal and possibly state income tax, either for past years or going forward could be a significant liability and would reduce our funds available to make distributions to holders of units, and to make interest and principal payments on our debt securities. To meet the qualifying income test we may structure transactions in a manner which is less advantageous than if this were not a consideration, or we may avoid otherwise economically desirable transactions.</w:t>
      </w:r>
    </w:p>
    <w:p>
      <w:pPr>
        <w:spacing w:after="0" w:line="89" w:lineRule="exact"/>
        <w:rPr>
          <w:sz w:val="20"/>
          <w:szCs w:val="20"/>
          <w:color w:val="auto"/>
        </w:rPr>
      </w:pPr>
    </w:p>
    <w:p>
      <w:pPr>
        <w:ind w:right="120" w:firstLine="378"/>
        <w:spacing w:after="0" w:line="255" w:lineRule="auto"/>
        <w:rPr>
          <w:sz w:val="20"/>
          <w:szCs w:val="20"/>
          <w:color w:val="auto"/>
        </w:rPr>
      </w:pPr>
      <w:r>
        <w:rPr>
          <w:rFonts w:ascii="Times New Roman" w:cs="Times New Roman" w:eastAsia="Times New Roman" w:hAnsi="Times New Roman"/>
          <w:sz w:val="18"/>
          <w:szCs w:val="18"/>
          <w:color w:val="auto"/>
        </w:rPr>
        <w:t>From time to time, legislative proposals have been introduced that, if enacted, could have a material and adverse effect on us. These proposals have included taxing publicly traded partnerships engaged in the Investment segment, such as us, as corporations and introducing substantive changes to the definition of qualifying income, which could make it more difficult or impossible to for us to meet the exception that allows publicly traded partnerships generating qualifying income to be treated as partnerships (rather than corporations) for U.S. federal income tax purposes. It is unclear when or if such legislation would be introduced, whether or not such legislation would be enacted, what specific provisions would be included or what the effective date would be, and as a result the ultimate impact on us of such legislation is uncertain. It is possible that if carried interest legislation were enacted we would be treated as an association, taxable as a corporation, which would materially increase our taxes. As an alternative, we might be required to restructure our operations, and possibly dispose of certain businesses, in order to avoid or mitigate the impact of any such legislation.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depositary units may be required to pay tax on their share of our income even if they did not receive cash distributions from us.</w:t>
      </w:r>
    </w:p>
    <w:p>
      <w:pPr>
        <w:spacing w:after="0" w:line="121" w:lineRule="exact"/>
        <w:rPr>
          <w:sz w:val="20"/>
          <w:szCs w:val="20"/>
          <w:color w:val="auto"/>
        </w:rPr>
      </w:pPr>
    </w:p>
    <w:p>
      <w:pPr>
        <w:ind w:right="180" w:firstLine="378"/>
        <w:spacing w:after="0" w:line="261" w:lineRule="auto"/>
        <w:rPr>
          <w:sz w:val="20"/>
          <w:szCs w:val="20"/>
          <w:color w:val="auto"/>
        </w:rPr>
      </w:pPr>
      <w:r>
        <w:rPr>
          <w:rFonts w:ascii="Times New Roman" w:cs="Times New Roman" w:eastAsia="Times New Roman" w:hAnsi="Times New Roman"/>
          <w:sz w:val="18"/>
          <w:szCs w:val="18"/>
          <w:color w:val="auto"/>
        </w:rPr>
        <w:t>Because we are treated as a partnership for income tax purposes, holders of units are generally required to pay federal income tax, and, in some cases, state or local income tax, on the portion of our taxable income allocated to them, whether or not such income is distributed. Accordingly, it is possible that holders of depositary units may not receive cash distributions from us equal to their share of our taxable income, or even equal to their tax liability on the portion of our income allocated to them.</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60"/>
          </w:cols>
          <w:pgMar w:left="240" w:top="472" w:right="299" w:bottom="1440" w:gutter="0" w:footer="0" w:header="0"/>
        </w:sectPr>
      </w:pPr>
    </w:p>
    <w:bookmarkStart w:id="29" w:name="page30"/>
    <w:bookmarkEnd w:id="2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discover significant deficiencies in our internal controls over financial reporting or at any recently acquired entity, it may adversely affect our ability to provide timely and reliable financial information and satisfy our reporting obligations under federal securities laws, which also could affect the market price of our depositary units or our ability to remain listed on the NASDAQ Global Select Market, or NASDAQ.</w:t>
      </w:r>
    </w:p>
    <w:p>
      <w:pPr>
        <w:spacing w:after="0" w:line="67" w:lineRule="exact"/>
        <w:rPr>
          <w:sz w:val="20"/>
          <w:szCs w:val="20"/>
          <w:color w:val="auto"/>
        </w:rPr>
      </w:pPr>
    </w:p>
    <w:p>
      <w:pPr>
        <w:ind w:right="20" w:firstLine="378"/>
        <w:spacing w:after="0" w:line="261" w:lineRule="auto"/>
        <w:rPr>
          <w:sz w:val="20"/>
          <w:szCs w:val="20"/>
          <w:color w:val="auto"/>
        </w:rPr>
      </w:pPr>
      <w:r>
        <w:rPr>
          <w:rFonts w:ascii="Times New Roman" w:cs="Times New Roman" w:eastAsia="Times New Roman" w:hAnsi="Times New Roman"/>
          <w:sz w:val="18"/>
          <w:szCs w:val="18"/>
          <w:color w:val="auto"/>
        </w:rPr>
        <w:t>Effective internal and disclosure controls are necessary for us to provide reliable financial reports and effectively prevent fraud and to operate successfully as a public company. If we cannot provide reliable financial reports or prevent fraud, our reputation and operating results would be harmed. A “significant deficiency” is a deficiency, or combination of deficiencies, in internal control over financial reporting that is less severe than a material weakness, yet important enough to merit attention of those responsible for oversight of our financial reporting.</w:t>
      </w:r>
    </w:p>
    <w:p>
      <w:pPr>
        <w:spacing w:after="0" w:line="72" w:lineRule="exact"/>
        <w:rPr>
          <w:sz w:val="20"/>
          <w:szCs w:val="20"/>
          <w:color w:val="auto"/>
        </w:rPr>
      </w:pPr>
    </w:p>
    <w:p>
      <w:pPr>
        <w:ind w:right="120" w:firstLine="378"/>
        <w:spacing w:after="0" w:line="258" w:lineRule="auto"/>
        <w:rPr>
          <w:sz w:val="20"/>
          <w:szCs w:val="20"/>
          <w:color w:val="auto"/>
        </w:rPr>
      </w:pPr>
      <w:r>
        <w:rPr>
          <w:rFonts w:ascii="Times New Roman" w:cs="Times New Roman" w:eastAsia="Times New Roman" w:hAnsi="Times New Roman"/>
          <w:sz w:val="18"/>
          <w:szCs w:val="18"/>
          <w:color w:val="auto"/>
        </w:rPr>
        <w:t>To the extent that any material weakness or significant deficiency exists in our consolidated subsidiaries' internal control over financial reporting, such material weakness or significant deficiency may adversely affect our ability to provide timely and reliable financial information necessary for the conduct of our business and satisfaction of our reporting obligations under federal securities laws, that could affect our ability to remain listed on NASDAQ. Ineffective internal and disclosure controls could cause investors to lose confidence in our reported financial information, which could have a negative effect on the trading price of our depositary units or the rating of our debt.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Since we are a limited partnership, you may not be able to pursue legal claims against us in U.S. federal courts.</w:t>
      </w:r>
    </w:p>
    <w:p>
      <w:pPr>
        <w:spacing w:after="0" w:line="121" w:lineRule="exact"/>
        <w:rPr>
          <w:sz w:val="20"/>
          <w:szCs w:val="20"/>
          <w:color w:val="auto"/>
        </w:rPr>
      </w:pPr>
    </w:p>
    <w:p>
      <w:pPr>
        <w:jc w:val="both"/>
        <w:ind w:right="100" w:firstLine="378"/>
        <w:spacing w:after="0" w:line="258" w:lineRule="auto"/>
        <w:rPr>
          <w:sz w:val="20"/>
          <w:szCs w:val="20"/>
          <w:color w:val="auto"/>
        </w:rPr>
      </w:pPr>
      <w:r>
        <w:rPr>
          <w:rFonts w:ascii="Times New Roman" w:cs="Times New Roman" w:eastAsia="Times New Roman" w:hAnsi="Times New Roman"/>
          <w:sz w:val="18"/>
          <w:szCs w:val="18"/>
          <w:color w:val="auto"/>
        </w:rPr>
        <w:t>We are a limited partnership organized under the laws of the state of Delaware. Under the federal rules of civil procedure, you may not be able to sue us in federal court on claims other than those based solely on federal law, because of lack of complete diversity. Case law applying diversity jurisdiction deems us to be a citizen of each of our limited partners. Because we are a publicly traded limited partnership, it may not be possible for you to attempt to sue us in a federal court because we have citizenship in all 50 U.S. states and operations in many states. Accordingly, you will be limited to bringing any claims in state court.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members of our management team may be involved in other business activities that may involve conflicts of interest.</w:t>
      </w:r>
    </w:p>
    <w:p>
      <w:pPr>
        <w:spacing w:after="0" w:line="121" w:lineRule="exact"/>
        <w:rPr>
          <w:sz w:val="20"/>
          <w:szCs w:val="20"/>
          <w:color w:val="auto"/>
        </w:rPr>
      </w:pPr>
    </w:p>
    <w:p>
      <w:pPr>
        <w:ind w:firstLine="378"/>
        <w:spacing w:after="0" w:line="261" w:lineRule="auto"/>
        <w:rPr>
          <w:sz w:val="20"/>
          <w:szCs w:val="20"/>
          <w:color w:val="auto"/>
        </w:rPr>
      </w:pPr>
      <w:r>
        <w:rPr>
          <w:rFonts w:ascii="Times New Roman" w:cs="Times New Roman" w:eastAsia="Times New Roman" w:hAnsi="Times New Roman"/>
          <w:sz w:val="18"/>
          <w:szCs w:val="18"/>
          <w:color w:val="auto"/>
        </w:rPr>
        <w:t>Certain individual members of our management team may, from time to time, be involved in the management of other businesses, including those owned or controlled by Mr. Icahn and his affiliates. Accordingly, these individuals may focus a portion of their time and attention on managing these other businesses. Conflicts may arise in the future between our interests and the interests of the other entities and business activities in which such individuals are involved.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potential benefits of our acquisitions.</w:t>
      </w:r>
    </w:p>
    <w:p>
      <w:pPr>
        <w:spacing w:after="0" w:line="121" w:lineRule="exact"/>
        <w:rPr>
          <w:sz w:val="20"/>
          <w:szCs w:val="20"/>
          <w:color w:val="auto"/>
        </w:rPr>
      </w:pPr>
    </w:p>
    <w:p>
      <w:pPr>
        <w:ind w:right="60" w:firstLine="378"/>
        <w:spacing w:after="0" w:line="266" w:lineRule="auto"/>
        <w:rPr>
          <w:sz w:val="20"/>
          <w:szCs w:val="20"/>
          <w:color w:val="auto"/>
        </w:rPr>
      </w:pPr>
      <w:r>
        <w:rPr>
          <w:rFonts w:ascii="Times New Roman" w:cs="Times New Roman" w:eastAsia="Times New Roman" w:hAnsi="Times New Roman"/>
          <w:sz w:val="18"/>
          <w:szCs w:val="18"/>
          <w:color w:val="auto"/>
        </w:rPr>
        <w:t>We may expand our existing businesses if appropriate opportunities are identified, as well as use our established businesses as a platform for additional acquisitions in the same or related areas. Any such acquisition, if consummated, could involve risks not presently faced by us. In addition, we may not realize the anticipated benefits of any such acquisition.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to the following risk factors specific to each of our businesses, all of our businesses are subject to the effects of the following:</w:t>
      </w:r>
    </w:p>
    <w:p>
      <w:pPr>
        <w:spacing w:after="0" w:line="117" w:lineRule="exact"/>
        <w:rPr>
          <w:sz w:val="20"/>
          <w:szCs w:val="20"/>
          <w:color w:val="auto"/>
        </w:rPr>
      </w:pPr>
    </w:p>
    <w:p>
      <w:pPr>
        <w:ind w:left="660" w:hanging="24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of terrorism or war;</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of our or our subsidiaries' key personnel;</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as needed, of additional financing; and</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insurance at acceptable rates.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may have adverse impacts on our businesses and financial condition.</w:t>
      </w:r>
    </w:p>
    <w:p>
      <w:pPr>
        <w:spacing w:after="0" w:line="121" w:lineRule="exact"/>
        <w:rPr>
          <w:sz w:val="20"/>
          <w:szCs w:val="20"/>
          <w:color w:val="auto"/>
        </w:rPr>
      </w:pPr>
    </w:p>
    <w:p>
      <w:pPr>
        <w:ind w:right="80" w:firstLine="378"/>
        <w:spacing w:after="0" w:line="255" w:lineRule="auto"/>
        <w:rPr>
          <w:sz w:val="20"/>
          <w:szCs w:val="20"/>
          <w:color w:val="auto"/>
        </w:rPr>
      </w:pPr>
      <w:r>
        <w:rPr>
          <w:rFonts w:ascii="Times New Roman" w:cs="Times New Roman" w:eastAsia="Times New Roman" w:hAnsi="Times New Roman"/>
          <w:sz w:val="18"/>
          <w:szCs w:val="18"/>
          <w:color w:val="auto"/>
        </w:rPr>
        <w:t>Changes in economic conditions could adversely affect our financial condition and results of operations. A number of economic factors, including, but not limited to, consumer interest rates, consumer confidence and debt levels, retail trends, housing starts, sales of existing homes, the level and availability of mortgage refinancing, and commodity prices, may generally adversely affect our businesses, financial condition and results of operations. Recessionary economic cycles, higher and protracted unemployment rates, increased fuel and other energy and commodity costs, rising costs of transportation</w:t>
      </w:r>
    </w:p>
    <w:p>
      <w:pPr>
        <w:spacing w:after="0" w:line="3"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and increased tax rates can have a material adverse impact on our businesses, and may adversely affect demand for sales of our businesses' products, or the costs of materials and services utilized in their operations. These factors could have a material adverse effect on our revenues, income from operations and our cash flows.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68"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Investment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 segment may be materially and negatively affected by adverse conditions in the global financial markets and the economy generally.</w:t>
      </w:r>
    </w:p>
    <w:p>
      <w:pPr>
        <w:spacing w:after="0" w:line="121" w:lineRule="exact"/>
        <w:rPr>
          <w:sz w:val="20"/>
          <w:szCs w:val="20"/>
          <w:color w:val="auto"/>
        </w:rPr>
      </w:pPr>
    </w:p>
    <w:p>
      <w:pPr>
        <w:ind w:right="100" w:firstLine="378"/>
        <w:spacing w:after="0" w:line="258" w:lineRule="auto"/>
        <w:rPr>
          <w:sz w:val="20"/>
          <w:szCs w:val="20"/>
          <w:color w:val="auto"/>
        </w:rPr>
      </w:pPr>
      <w:r>
        <w:rPr>
          <w:rFonts w:ascii="Times New Roman" w:cs="Times New Roman" w:eastAsia="Times New Roman" w:hAnsi="Times New Roman"/>
          <w:sz w:val="18"/>
          <w:szCs w:val="18"/>
          <w:color w:val="auto"/>
        </w:rPr>
        <w:t>There is significant risk that conditions in the global financial markets and the economy generally could deteriorate and experience volatility and illiquidity and these conditions could continue for a significant period of time. In the event that some or all of these conditions occur, the Investment Funds could be materially and adversely affected in many different ways. Furthermore, difficult market conditions may also increase the risk of default with respect to debt investments held by the Investment Funds. Many other factors beyond the control of our Investment segment may adversely affect the Investment Funds, including, without limitation, rising interest rates, inflation, terrorism or political uncertainty.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historical financial information for our Investment segment is not necessarily indicative of its future performance.</w:t>
      </w:r>
    </w:p>
    <w:p>
      <w:pPr>
        <w:spacing w:after="0" w:line="121" w:lineRule="exact"/>
        <w:rPr>
          <w:sz w:val="20"/>
          <w:szCs w:val="20"/>
          <w:color w:val="auto"/>
        </w:rPr>
      </w:pPr>
    </w:p>
    <w:p>
      <w:pPr>
        <w:jc w:val="both"/>
        <w:ind w:right="20" w:firstLine="378"/>
        <w:spacing w:after="0" w:line="266" w:lineRule="auto"/>
        <w:rPr>
          <w:sz w:val="20"/>
          <w:szCs w:val="20"/>
          <w:color w:val="auto"/>
        </w:rPr>
      </w:pPr>
      <w:r>
        <w:rPr>
          <w:rFonts w:ascii="Times New Roman" w:cs="Times New Roman" w:eastAsia="Times New Roman" w:hAnsi="Times New Roman"/>
          <w:sz w:val="18"/>
          <w:szCs w:val="18"/>
          <w:color w:val="auto"/>
        </w:rPr>
        <w:t>The financial results of our Investment segment are primarily driven by the performance of the Investment Funds and our interests therein. The historical consolidated financial information contained elsewhere in this Report is not indicative of the future financial results of our Investment segment. In particular, with respect to the historical returns of our Investment segment:</w:t>
      </w:r>
    </w:p>
    <w:p>
      <w:pPr>
        <w:spacing w:after="0" w:line="68" w:lineRule="exact"/>
        <w:rPr>
          <w:sz w:val="20"/>
          <w:szCs w:val="20"/>
          <w:color w:val="auto"/>
        </w:rPr>
      </w:pPr>
    </w:p>
    <w:p>
      <w:pPr>
        <w:ind w:left="660" w:hanging="24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favorable market conditions and profitable investment opportunities may not occur in the future; and</w:t>
      </w:r>
    </w:p>
    <w:p>
      <w:pPr>
        <w:spacing w:after="0" w:line="117" w:lineRule="exact"/>
        <w:rPr>
          <w:rFonts w:ascii="Times New Roman" w:cs="Times New Roman" w:eastAsia="Times New Roman" w:hAnsi="Times New Roman"/>
          <w:sz w:val="18"/>
          <w:szCs w:val="18"/>
          <w:color w:val="auto"/>
        </w:rPr>
      </w:pPr>
    </w:p>
    <w:p>
      <w:pPr>
        <w:ind w:left="660" w:right="200" w:hanging="247"/>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returns may be affected by the risks described elsewhere in this Report, including risks of the industries and businesses in which a particular fund invests.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execution of the Investment Funds' activist investment activities involves many risks, certain of which are outside of our control.</w:t>
      </w:r>
    </w:p>
    <w:p>
      <w:pPr>
        <w:spacing w:after="0" w:line="121"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The success of the Investment Funds' investment strategy may require, among other things: (i) that our Investment segment properly identify companies whose securities prices can be improved through corporate and/or strategic action or successful restructuring of their operations; (ii) that the Investment Funds acquire sufficient securities of such companies at a sufficiently attractive price; (iii) that the Investment Funds avoid triggering anti-takeover and regulatory obstacles while aggregating their positions; (iv) that management of portfolio companies and other security holders respond positively to our proposals; and</w:t>
      </w:r>
    </w:p>
    <w:p>
      <w:pPr>
        <w:spacing w:after="0" w:line="3" w:lineRule="exact"/>
        <w:rPr>
          <w:sz w:val="20"/>
          <w:szCs w:val="20"/>
          <w:color w:val="auto"/>
        </w:rPr>
      </w:pPr>
    </w:p>
    <w:p>
      <w:pPr>
        <w:ind w:right="240" w:firstLine="8"/>
        <w:spacing w:after="0" w:line="261"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market price of portfolio companies' securities increases in response to any actions taken by the portfolio companies. We cannot assure you that any of the foregoing will succeed.</w:t>
      </w:r>
    </w:p>
    <w:p>
      <w:pPr>
        <w:spacing w:after="0" w:line="6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p>
      <w:pPr>
        <w:spacing w:after="0" w:line="51" w:lineRule="exact"/>
        <w:rPr>
          <w:sz w:val="20"/>
          <w:szCs w:val="20"/>
          <w:color w:val="auto"/>
        </w:rPr>
      </w:pPr>
    </w:p>
    <w:p>
      <w:pPr>
        <w:ind w:right="80" w:firstLine="378"/>
        <w:spacing w:after="0" w:line="282" w:lineRule="auto"/>
        <w:rPr>
          <w:sz w:val="20"/>
          <w:szCs w:val="20"/>
          <w:color w:val="auto"/>
        </w:rPr>
      </w:pPr>
      <w:r>
        <w:rPr>
          <w:rFonts w:ascii="Times New Roman" w:cs="Times New Roman" w:eastAsia="Times New Roman" w:hAnsi="Times New Roman"/>
          <w:sz w:val="18"/>
          <w:szCs w:val="18"/>
          <w:color w:val="auto"/>
        </w:rPr>
        <w:t>Our Investment segment's revenue depends on the investments made by the Investment Funds. There are numerous and significant risks associated with these investments, certain of which are described in this risk factor and in other risk factors set forth herein.</w:t>
      </w:r>
    </w:p>
    <w:p>
      <w:pPr>
        <w:spacing w:after="0" w:line="54" w:lineRule="exact"/>
        <w:rPr>
          <w:sz w:val="20"/>
          <w:szCs w:val="20"/>
          <w:color w:val="auto"/>
        </w:rPr>
      </w:pPr>
    </w:p>
    <w:p>
      <w:pPr>
        <w:ind w:right="160" w:firstLine="378"/>
        <w:spacing w:after="0" w:line="266" w:lineRule="auto"/>
        <w:rPr>
          <w:sz w:val="20"/>
          <w:szCs w:val="20"/>
          <w:color w:val="auto"/>
        </w:rPr>
      </w:pPr>
      <w:r>
        <w:rPr>
          <w:rFonts w:ascii="Times New Roman" w:cs="Times New Roman" w:eastAsia="Times New Roman" w:hAnsi="Times New Roman"/>
          <w:sz w:val="18"/>
          <w:szCs w:val="18"/>
          <w:color w:val="auto"/>
        </w:rPr>
        <w:t>Certain investment positions held by the Investment Funds may be illiquid. The Investment Funds may own restricted or non-publicly traded securities and securities traded on foreign exchanges. These investments could prevent the Investment Funds from liquidating unfavorable positions promptly and subject the Investment Funds to substantial losses.</w:t>
      </w:r>
    </w:p>
    <w:p>
      <w:pPr>
        <w:spacing w:after="0" w:line="68" w:lineRule="exact"/>
        <w:rPr>
          <w:sz w:val="20"/>
          <w:szCs w:val="20"/>
          <w:color w:val="auto"/>
        </w:rPr>
      </w:pPr>
    </w:p>
    <w:p>
      <w:pPr>
        <w:ind w:right="160" w:firstLine="378"/>
        <w:spacing w:after="0" w:line="258" w:lineRule="auto"/>
        <w:rPr>
          <w:sz w:val="20"/>
          <w:szCs w:val="20"/>
          <w:color w:val="auto"/>
        </w:rPr>
      </w:pPr>
      <w:r>
        <w:rPr>
          <w:rFonts w:ascii="Times New Roman" w:cs="Times New Roman" w:eastAsia="Times New Roman" w:hAnsi="Times New Roman"/>
          <w:sz w:val="18"/>
          <w:szCs w:val="18"/>
          <w:color w:val="auto"/>
        </w:rPr>
        <w:t>At any given time, the Investment Funds' assets may become highly concentrated within a particular company, industry, asset category, trading style or financial or economic market. In that event, the Investment Fund's investment portfolio will be more susceptible to fluctuations in value resulting from adverse economic conditions affecting the performance of that particular company, industry, asset category, trading style or economic market than a less concentrated portfolio would be. As a result, the Investment Funds' investment portfolio could become concentrated and its aggregate return may be volatile and may be affected substantially by the performance of only one or a few holdings.</w:t>
      </w:r>
    </w:p>
    <w:p>
      <w:pPr>
        <w:spacing w:after="0" w:line="76" w:lineRule="exact"/>
        <w:rPr>
          <w:sz w:val="20"/>
          <w:szCs w:val="20"/>
          <w:color w:val="auto"/>
        </w:rPr>
      </w:pPr>
    </w:p>
    <w:p>
      <w:pPr>
        <w:ind w:right="320" w:firstLine="378"/>
        <w:spacing w:after="0" w:line="261" w:lineRule="auto"/>
        <w:rPr>
          <w:sz w:val="20"/>
          <w:szCs w:val="20"/>
          <w:color w:val="auto"/>
        </w:rPr>
      </w:pPr>
      <w:r>
        <w:rPr>
          <w:rFonts w:ascii="Times New Roman" w:cs="Times New Roman" w:eastAsia="Times New Roman" w:hAnsi="Times New Roman"/>
          <w:sz w:val="18"/>
          <w:szCs w:val="18"/>
          <w:color w:val="auto"/>
        </w:rPr>
        <w:t>The Investment Funds seek to invest in securities that are undervalued. The identification of investment opportunities in undervalued securities is a difficult task, and there are no assurances that such opportunities will be successfully recognized or acquired. While investments in undervalued securities offer the opportunity for above-average capital appreciation, these investments involve a high degree of financial risk and can result in substantial losses. Returns generated from the Investment Funds' investments may not adequately compensate for the business and financial risks assumed.</w:t>
      </w:r>
    </w:p>
    <w:p>
      <w:pPr>
        <w:spacing w:after="0" w:line="72" w:lineRule="exact"/>
        <w:rPr>
          <w:sz w:val="20"/>
          <w:szCs w:val="20"/>
          <w:color w:val="auto"/>
        </w:rPr>
      </w:pPr>
    </w:p>
    <w:p>
      <w:pPr>
        <w:ind w:right="460" w:firstLine="378"/>
        <w:spacing w:after="0" w:line="261" w:lineRule="auto"/>
        <w:rPr>
          <w:sz w:val="20"/>
          <w:szCs w:val="20"/>
          <w:color w:val="auto"/>
        </w:rPr>
      </w:pPr>
      <w:r>
        <w:rPr>
          <w:rFonts w:ascii="Times New Roman" w:cs="Times New Roman" w:eastAsia="Times New Roman" w:hAnsi="Times New Roman"/>
          <w:sz w:val="18"/>
          <w:szCs w:val="18"/>
          <w:color w:val="auto"/>
        </w:rPr>
        <w:t>From time to time, the Investment Funds may invest in bonds or other fixed income securities, such as commercial paper and higher yielding (and, therefore, higher risk) debt securities. It is likely that a major economic recession could severely disrupt the market for such securities and may have a material adverse impact on the value of such securities. In addition, it is likely that any such economic downturn could adversely affect the ability of the issuers of such securities to repay principal and pay interest thereon and increase the incidence of default for such securities.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68" w:right="239" w:bottom="1440" w:gutter="0" w:footer="0" w:header="0"/>
        </w:sectPr>
      </w:pPr>
    </w:p>
    <w:bookmarkStart w:id="31" w:name="page32"/>
    <w:bookmarkEnd w:id="31"/>
    <w:p>
      <w:pPr>
        <w:ind w:right="80" w:firstLine="378"/>
        <w:spacing w:after="0" w:line="266" w:lineRule="auto"/>
        <w:rPr>
          <w:sz w:val="20"/>
          <w:szCs w:val="20"/>
          <w:color w:val="auto"/>
        </w:rPr>
      </w:pPr>
      <w:r>
        <w:rPr>
          <w:rFonts w:ascii="Times New Roman" w:cs="Times New Roman" w:eastAsia="Times New Roman" w:hAnsi="Times New Roman"/>
          <w:sz w:val="18"/>
          <w:szCs w:val="18"/>
          <w:color w:val="auto"/>
        </w:rPr>
        <w:t>For reasons not necessarily attributable to any of the risks set forth in this Report (for example, supply/demand imbalances or other market forces), the prices of the securities in which the Investment Funds invest may decline substantially. In particular, purchasing assets at what may appear to be undervalued levels is no guarantee that these assets will not be trading at even more undervalued levels at a future time of valuation or at the time of sale.</w:t>
      </w:r>
    </w:p>
    <w:p>
      <w:pPr>
        <w:spacing w:after="0" w:line="68" w:lineRule="exact"/>
        <w:rPr>
          <w:sz w:val="20"/>
          <w:szCs w:val="20"/>
          <w:color w:val="auto"/>
        </w:rPr>
      </w:pPr>
    </w:p>
    <w:p>
      <w:pPr>
        <w:ind w:right="160" w:firstLine="378"/>
        <w:spacing w:after="0" w:line="261" w:lineRule="auto"/>
        <w:rPr>
          <w:sz w:val="20"/>
          <w:szCs w:val="20"/>
          <w:color w:val="auto"/>
        </w:rPr>
      </w:pPr>
      <w:r>
        <w:rPr>
          <w:rFonts w:ascii="Times New Roman" w:cs="Times New Roman" w:eastAsia="Times New Roman" w:hAnsi="Times New Roman"/>
          <w:sz w:val="18"/>
          <w:szCs w:val="18"/>
          <w:color w:val="auto"/>
        </w:rPr>
        <w:t>The prices of financial instruments in which the Investment Funds may invest can be highly volatile. Price movements of forward and other derivative contracts in which the Investment Funds' assets may be invested are influenced by, among other things, interest rates, changing supply and demand relationships, trade, fiscal, monetary and exchange control programs and policies of governments, and national and international political and economic events and policies. The Investment Funds are subject to the risk of failure of any of the exchanges on which their positions trade or of their clearinghouses.</w:t>
      </w:r>
    </w:p>
    <w:p>
      <w:pPr>
        <w:spacing w:after="0" w:line="6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leverage in investments by the Investment Funds may pose a significant degree of risk and may enhance the possibility of significant loss in the value of the investments in the Investment Funds.</w:t>
      </w:r>
    </w:p>
    <w:p>
      <w:pPr>
        <w:spacing w:after="0" w:line="51"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The Investment Funds may leverage their capital if their general partners believe that the use of leverage may enable the Investment Funds to achieve a higher rate of return. Accordingly, the Investment Funds may pledge its securities in order to borrow additional funds for investment purposes. The Investment Funds may also leverage its investment return with options, short sales, swaps, forwards and other derivative instruments. The amount of borrowings that the Investment Funds may have outstanding at any time may be substantial in relation to their capital. While leverage may present opportunities for increasing the Investment Funds' total return, leverage may increase losses as well. Accordingly, any event that adversely affects the value of an investment by the Investment Funds would be magnified to the extent such fund is leveraged. The cumulative effect of the use of leverage by the Investment Funds in a market that moves adversely to the Investment Funds' investments could result in a substantial loss to the Investment Funds that would be greater than if the Investment Funds were not leveraged. There is no assurance that leverage will be available on acceptable terms, if at all.</w:t>
      </w:r>
    </w:p>
    <w:p>
      <w:pPr>
        <w:spacing w:after="0" w:line="77" w:lineRule="exact"/>
        <w:rPr>
          <w:sz w:val="20"/>
          <w:szCs w:val="20"/>
          <w:color w:val="auto"/>
        </w:rPr>
      </w:pPr>
    </w:p>
    <w:p>
      <w:pPr>
        <w:ind w:right="120" w:firstLine="378"/>
        <w:spacing w:after="0" w:line="258" w:lineRule="auto"/>
        <w:rPr>
          <w:sz w:val="20"/>
          <w:szCs w:val="20"/>
          <w:color w:val="auto"/>
        </w:rPr>
      </w:pPr>
      <w:r>
        <w:rPr>
          <w:rFonts w:ascii="Times New Roman" w:cs="Times New Roman" w:eastAsia="Times New Roman" w:hAnsi="Times New Roman"/>
          <w:sz w:val="18"/>
          <w:szCs w:val="18"/>
          <w:color w:val="auto"/>
        </w:rPr>
        <w:t>In general, the use of short-term margin borrowings results in certain additional risks to the Investment Funds. For example, should the securities pledged to brokers to secure any Investment Fund's margin accounts decline in value, the Investment Funds could be subject to a “margin call,” pursuant to which it must either deposit additional funds or securities with the broker, or suffer mandatory liquidation of the pledged securities to compensate for the decline in value. In the event of a sudden drop in the value of any of the Investment Funds' assets, the Investment Funds might not be able to liquidate assets quickly enough to satisfy its margin requirements.</w:t>
      </w:r>
    </w:p>
    <w:p>
      <w:pPr>
        <w:spacing w:after="0" w:line="76" w:lineRule="exact"/>
        <w:rPr>
          <w:sz w:val="20"/>
          <w:szCs w:val="20"/>
          <w:color w:val="auto"/>
        </w:rPr>
      </w:pPr>
    </w:p>
    <w:p>
      <w:pPr>
        <w:ind w:right="80" w:firstLine="378"/>
        <w:spacing w:after="0" w:line="253" w:lineRule="auto"/>
        <w:rPr>
          <w:sz w:val="20"/>
          <w:szCs w:val="20"/>
          <w:color w:val="auto"/>
        </w:rPr>
      </w:pPr>
      <w:r>
        <w:rPr>
          <w:rFonts w:ascii="Times New Roman" w:cs="Times New Roman" w:eastAsia="Times New Roman" w:hAnsi="Times New Roman"/>
          <w:sz w:val="18"/>
          <w:szCs w:val="18"/>
          <w:color w:val="auto"/>
        </w:rPr>
        <w:t>Any of the Investment Funds may enter into repurchase and reverse repurchase agreements. When the Investment Funds enters into a repurchase agreement, it “sells” securities issued by the U.S. or a non-U.S. government, or agencies thereof, to a broker-dealer or financial institution, and agrees to repurchase such securities for the price paid by the broker-dealer or financial institution, plus interest at a negotiated rate. In a reverse repurchase transaction, the Investment Fund “buys” securities issued by the U.S. or a non-U.S. government, or agencies thereof, from a broker-dealer or financial institution, subject to the obligation of the broker-dealer or financial institution to repurchase such securities at the price paid by the Investment Funds, plus interest at a negotiated rate. The use of repurchase and reverse repurchase agreements by any of the Investment Funds involves certain risks. For example, if the seller of securities to the Investment Funds under a reverse repurchase agreement defaults on its obligation to repurchase the underlying securities, as a result of its bankruptcy or otherwise, the Investment Funds will seek to dispose of such securities, which action could involve costs or delays. If the seller becomes insolvent and subject to liquidation or reorganization under applicable bankruptcy or other laws, the Investment Funds' ability to dispose of the underlying securities may be restricted. Finally, if a seller defaults on its obligation to repurchase securities under a reverse repurchase agreement, the Investment Funds may suffer a loss to the extent it is forced to liquidate its position in the market, and proceeds from the sale of the underlying securities are less than the repurchase price agreed to by the defaulting seller.</w:t>
      </w:r>
    </w:p>
    <w:p>
      <w:pPr>
        <w:spacing w:after="0" w:line="83"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The financing used by the Investment Funds to leverage its portfolio will be extended by securities brokers and dealers in the marketplace in which the Investment Funds invest. While the Investment Funds will attempt to negotiate the terms of these financing arrangements with such brokers and dealers, its ability to do so will be limited. The Investment Funds are therefore subject to changes in the value that the broker-dealer ascribes to a given security or position, the amount of margin required to support such security or position, the borrowing rate to finance such security or position and/or such broker-dealer's willingness to continue to provide any such credit to the Investment Funds. Because the Investment Funds currently have no alternative credit facility which could be used to finance its portfolio in the absence of financing from broker-dealers, it could be forced to liquidate its portfolio on short notice to meet its financing obligations. The forced liquidation of all or a portion of the Investment Funds' portfolios at distressed prices could result in significant losses to the Investment Funds.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possibility of increased regulation could result in additional burdens on our Investment segment. Changes in tax law could adversely affect us.</w:t>
      </w:r>
    </w:p>
    <w:p>
      <w:pPr>
        <w:spacing w:after="0" w:line="121" w:lineRule="exact"/>
        <w:rPr>
          <w:sz w:val="20"/>
          <w:szCs w:val="20"/>
          <w:color w:val="auto"/>
        </w:rPr>
      </w:pPr>
    </w:p>
    <w:p>
      <w:pPr>
        <w:ind w:right="220" w:firstLine="378"/>
        <w:spacing w:after="0" w:line="282"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or the Reform Act, was enacted into law in July 2010, resulted in new regulations affecting almost every part of the financial services industry.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72" w:right="259" w:bottom="1440" w:gutter="0" w:footer="0" w:header="0"/>
        </w:sectPr>
      </w:pPr>
    </w:p>
    <w:bookmarkStart w:id="32" w:name="page33"/>
    <w:bookmarkEnd w:id="32"/>
    <w:p>
      <w:pPr>
        <w:ind w:right="120" w:firstLine="378"/>
        <w:spacing w:after="0" w:line="254" w:lineRule="auto"/>
        <w:rPr>
          <w:sz w:val="20"/>
          <w:szCs w:val="20"/>
          <w:color w:val="auto"/>
        </w:rPr>
      </w:pPr>
      <w:r>
        <w:rPr>
          <w:rFonts w:ascii="Times New Roman" w:cs="Times New Roman" w:eastAsia="Times New Roman" w:hAnsi="Times New Roman"/>
          <w:sz w:val="18"/>
          <w:szCs w:val="18"/>
          <w:color w:val="auto"/>
        </w:rPr>
        <w:t>The regulatory environment in which our Investment segment operates is subject to further regulation in addition to the rules already promulgated. Our Investment segment may be adversely affected by the enactment of new or revised regulations, or changes in the interpretation or enforcement of rules and regulations imposed by the SEC, other U.S. or foreign governmental regulatory authorities or self-regulatory organizations that supervise the financial markets. Such changes may limit the scope of investment activities that may be undertaken by the Investment Funds' managers. Any such changes could increase the cost of our Investment segment's doing business and/or materially adversely impact our profitability. Additionally, the securities and futures markets are subject to comprehensive statutes, regulations and margin requirements. The SEC, other regulators and self-regulatory organizations and exchanges have taken and are authorized to take extraordinary actions in the event of market emergencies. The regulation of derivatives transactions and funds that engage in such transactions is an evolving area of law and is subject to modification by government and judicial action. The effect of any future regulatory change on the Investment Funds and the Investment segment could be substantial and adverse.</w:t>
      </w:r>
    </w:p>
    <w:p>
      <w:pPr>
        <w:spacing w:after="0" w:line="81" w:lineRule="exact"/>
        <w:rPr>
          <w:sz w:val="20"/>
          <w:szCs w:val="20"/>
          <w:color w:val="auto"/>
        </w:rPr>
      </w:pPr>
    </w:p>
    <w:p>
      <w:pPr>
        <w:ind w:right="120" w:firstLine="378"/>
        <w:spacing w:after="0" w:line="254" w:lineRule="auto"/>
        <w:rPr>
          <w:sz w:val="20"/>
          <w:szCs w:val="20"/>
          <w:color w:val="auto"/>
        </w:rPr>
      </w:pPr>
      <w:r>
        <w:rPr>
          <w:rFonts w:ascii="Times New Roman" w:cs="Times New Roman" w:eastAsia="Times New Roman" w:hAnsi="Times New Roman"/>
          <w:sz w:val="18"/>
          <w:szCs w:val="18"/>
          <w:color w:val="auto"/>
        </w:rPr>
        <w:t>In addition, legislative proposals have been introduced that, if enacted, could have a material and adverse effect on us. These proposals have included taxing publicly traded partnerships engaged in the Investment segment, such as us, as corporations and introducing substantive changes to the definition of qualifying income, which could make it more difficult or impossible to for us to meet the exception that allows publicly traded partnerships generating qualifying income to be treated as partnerships (rather than corporations) of U.S. federal income tax purposes. It is unclear when or if such legislation would be introduced, whether or not such legislation would be enacted, what specific provisions would be included or what the effective date would be, and as a result the ultimate impact on us of any such legislation is uncertain. It is possible that if carried interest legislation were enacted we would be treated as an association, taxable as a corporation, which would materially increase our taxes. As an alternative, we might be required to restructure our operations, and possibly dispose of certain businesses, in order to avoid or mitigate the impact of any such legislation. We currently cannot predict the outcome of such legislative proposals, including, if enacted, their impact on our operations and financial position.</w:t>
      </w:r>
    </w:p>
    <w:p>
      <w:pPr>
        <w:spacing w:after="0" w:line="7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Mr. Icahn to participate in the management of the Investment Funds could have a material adverse effect on the Investment Funds and on us.</w:t>
      </w:r>
    </w:p>
    <w:p>
      <w:pPr>
        <w:spacing w:after="0" w:line="51" w:lineRule="exact"/>
        <w:rPr>
          <w:sz w:val="20"/>
          <w:szCs w:val="20"/>
          <w:color w:val="auto"/>
        </w:rPr>
      </w:pPr>
    </w:p>
    <w:p>
      <w:pPr>
        <w:ind w:right="60" w:firstLine="378"/>
        <w:spacing w:after="0" w:line="256" w:lineRule="auto"/>
        <w:rPr>
          <w:sz w:val="20"/>
          <w:szCs w:val="20"/>
          <w:color w:val="auto"/>
        </w:rPr>
      </w:pPr>
      <w:r>
        <w:rPr>
          <w:rFonts w:ascii="Times New Roman" w:cs="Times New Roman" w:eastAsia="Times New Roman" w:hAnsi="Times New Roman"/>
          <w:sz w:val="18"/>
          <w:szCs w:val="18"/>
          <w:color w:val="auto"/>
        </w:rPr>
        <w:t>The success of the Investment Funds depends upon the ability of our Investment segment to develop and implement investment strategies that achieve the Investment Funds' investment objectives. Subjective decisions made by employees of our Investment segment may cause the Investment Funds to incur losses or to miss profit opportunities on which the Investment Funds would otherwise have capitalized. In the event that Mr. Icahn ceases to participate in the management of the Investment Funds, the consequences to the Investment Funds and our interest in them could be material and adverse and could lead to the premature termination of the Investment Funds. The loss of Mr. Icahn could, therefore, ultimately result in a loss of substantially all of the earnings of our Investment segment.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Investment Funds make investments in companies we do not control.</w:t>
      </w:r>
    </w:p>
    <w:p>
      <w:pPr>
        <w:spacing w:after="0" w:line="121"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Investments by the Investment Funds include investments in debt or equity securities of publicly traded companies that we do not control. Such investments may be acquired by the Investment Funds through open market trading activities or through purchases of securities from the issuer. These investments will be subject to the risk that the company in which the investment is made may make business, financial or management decisions with which our Investment segment disagree or that the majority of stakeholders or the management of the company may take risks or otherwise act in a manner that does not serve the best interests of the Investment Funds. In addition, the Investment Funds may make investments in which it shares control over the investment with co-investors, which may make it more difficult for it to implement its investment approach or exit the investment when it otherwise would. If any of the foregoing were to occur, the values of the investments by the Investment Funds could decrease and our Investment segment revenues could suffer as a result.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ability to hedge investments successfully is subject to numerous risks.</w:t>
      </w:r>
    </w:p>
    <w:p>
      <w:pPr>
        <w:spacing w:after="0" w:line="121" w:lineRule="exact"/>
        <w:rPr>
          <w:sz w:val="20"/>
          <w:szCs w:val="20"/>
          <w:color w:val="auto"/>
        </w:rPr>
      </w:pPr>
    </w:p>
    <w:p>
      <w:pPr>
        <w:ind w:right="100" w:firstLine="378"/>
        <w:spacing w:after="0" w:line="256" w:lineRule="auto"/>
        <w:rPr>
          <w:sz w:val="20"/>
          <w:szCs w:val="20"/>
          <w:color w:val="auto"/>
        </w:rPr>
      </w:pPr>
      <w:r>
        <w:rPr>
          <w:rFonts w:ascii="Times New Roman" w:cs="Times New Roman" w:eastAsia="Times New Roman" w:hAnsi="Times New Roman"/>
          <w:sz w:val="18"/>
          <w:szCs w:val="18"/>
          <w:color w:val="auto"/>
        </w:rPr>
        <w:t>The Investment Funds may utilize financial instruments, both for investment purposes and for risk management purposes in order to (i) protect against possible changes in the market value of the Investment Funds' investment portfolios resulting from fluctuations in the securities markets and changes in interest rates; (ii) protect the Investment Funds' unrealized gains in the value of its investment portfolios; (iii) facilitate the sale of any such investments; (iv) enhance or preserve returns, spreads or gains on any investment in the Investment Funds' portfolio; (v) hedge the interest rate or currency exchange rate on any of the Investment Funds' liabilities or assets; (vi) protect against any increase in the price of any securities our Investment segment anticipate purchasing at a later date; or (vii) for any other reason that our Investment segment deems appropriate.</w:t>
      </w:r>
    </w:p>
    <w:p>
      <w:pPr>
        <w:spacing w:after="0" w:line="80" w:lineRule="exact"/>
        <w:rPr>
          <w:sz w:val="20"/>
          <w:szCs w:val="20"/>
          <w:color w:val="auto"/>
        </w:rPr>
      </w:pPr>
    </w:p>
    <w:p>
      <w:pPr>
        <w:ind w:right="100" w:firstLine="378"/>
        <w:spacing w:after="0" w:line="261" w:lineRule="auto"/>
        <w:rPr>
          <w:sz w:val="20"/>
          <w:szCs w:val="20"/>
          <w:color w:val="auto"/>
        </w:rPr>
      </w:pPr>
      <w:r>
        <w:rPr>
          <w:rFonts w:ascii="Times New Roman" w:cs="Times New Roman" w:eastAsia="Times New Roman" w:hAnsi="Times New Roman"/>
          <w:sz w:val="18"/>
          <w:szCs w:val="18"/>
          <w:color w:val="auto"/>
        </w:rPr>
        <w:t>The success of any hedging activities will depend, in part, upon the degree of correlation between the performance of the instruments used in the hedging strategy and the performance of the portfolio investments being hedged. However, hedging techniques may not always be possible or effective in limiting potential risks of loss. Since the characteristics of many securities change as markets change or time passes, the success of our Investment segment's hedging strategy will also be subject to the ability of our Investment segment to continually recalculate, readjust and execute hedges in an efficient and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72" w:right="259" w:bottom="1440" w:gutter="0" w:footer="0" w:header="0"/>
        </w:sectPr>
      </w:pPr>
    </w:p>
    <w:bookmarkStart w:id="33" w:name="page34"/>
    <w:bookmarkEnd w:id="33"/>
    <w:p>
      <w:pPr>
        <w:ind w:right="40"/>
        <w:spacing w:after="0" w:line="255" w:lineRule="auto"/>
        <w:rPr>
          <w:sz w:val="20"/>
          <w:szCs w:val="20"/>
          <w:color w:val="auto"/>
        </w:rPr>
      </w:pPr>
      <w:r>
        <w:rPr>
          <w:rFonts w:ascii="Times New Roman" w:cs="Times New Roman" w:eastAsia="Times New Roman" w:hAnsi="Times New Roman"/>
          <w:sz w:val="18"/>
          <w:szCs w:val="18"/>
          <w:color w:val="auto"/>
        </w:rPr>
        <w:t>timely manner. While the Investment Funds may enter into hedging transactions to seek to reduce risk, such transactions may result in a poorer overall performance for the Investment Funds than if it had not engaged in such hedging transactions. For a variety of reasons, the Investment Funds may not seek to establish a perfect correlation between the hedging instruments utilized and the portfolio holdings being hedged. Such an imperfect correlation may prevent the Investment Funds from achieving the intended hedge or expose the Investment Funds to risk of loss. The Investment Funds do not intend to seek to hedge every position and may determine not to hedge against a particular risk for various reasons, including, but not limited to, because they do not regard the probability of the risk occurring to be sufficiently high as to justify the cost of the hedge. Our Investment segment may not foresee the occurrence of the risk and therefore may not hedge against all risks.</w:t>
      </w:r>
    </w:p>
    <w:p>
      <w:pPr>
        <w:spacing w:after="0" w:line="7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third-party litigation risks attributable to our Investment segment that could result in significant liabilities that could adversely affect our Investment operations.</w:t>
      </w:r>
    </w:p>
    <w:p>
      <w:pPr>
        <w:spacing w:after="0" w:line="51" w:lineRule="exact"/>
        <w:rPr>
          <w:sz w:val="20"/>
          <w:szCs w:val="20"/>
          <w:color w:val="auto"/>
        </w:rPr>
      </w:pPr>
    </w:p>
    <w:p>
      <w:pPr>
        <w:ind w:right="100" w:firstLine="378"/>
        <w:spacing w:after="0" w:line="266" w:lineRule="auto"/>
        <w:rPr>
          <w:sz w:val="20"/>
          <w:szCs w:val="20"/>
          <w:color w:val="auto"/>
        </w:rPr>
      </w:pPr>
      <w:r>
        <w:rPr>
          <w:rFonts w:ascii="Times New Roman" w:cs="Times New Roman" w:eastAsia="Times New Roman" w:hAnsi="Times New Roman"/>
          <w:sz w:val="18"/>
          <w:szCs w:val="18"/>
          <w:color w:val="auto"/>
        </w:rPr>
        <w:t>Some of the tactics that the Investment Funds may use involve litigation. The Investment Funds could be a party to lawsuits that they initiate or that are initiated by a company in which the Investment Funds invest, other shareholders, or state and federal governmental bodies. There can be no assurance that litigation, once begun, would be resolved in favor of the Investment Funds.</w:t>
      </w:r>
    </w:p>
    <w:p>
      <w:pPr>
        <w:spacing w:after="0" w:line="68" w:lineRule="exact"/>
        <w:rPr>
          <w:sz w:val="20"/>
          <w:szCs w:val="20"/>
          <w:color w:val="auto"/>
        </w:rPr>
      </w:pPr>
    </w:p>
    <w:p>
      <w:pPr>
        <w:ind w:right="60" w:firstLine="378"/>
        <w:spacing w:after="0" w:line="261" w:lineRule="auto"/>
        <w:rPr>
          <w:sz w:val="20"/>
          <w:szCs w:val="20"/>
          <w:color w:val="auto"/>
        </w:rPr>
      </w:pPr>
      <w:r>
        <w:rPr>
          <w:rFonts w:ascii="Times New Roman" w:cs="Times New Roman" w:eastAsia="Times New Roman" w:hAnsi="Times New Roman"/>
          <w:sz w:val="18"/>
          <w:szCs w:val="18"/>
          <w:color w:val="auto"/>
        </w:rPr>
        <w:t>In addition, we will be exposed to risk of litigation by third parties or government regulators if our Investment segment's management of the Investment Funds is alleged to constitute gross negligence, willful misconduct or dishonesty or breach of contract or organizational documents or to violate applicable law. In such actions, we would be obligated to bear legal, settlement and other costs (which may exceed our available insurance coverage). In addition, our rights to indemnification from the applicable Investment Funds may be challenged.</w:t>
      </w:r>
    </w:p>
    <w:p>
      <w:pPr>
        <w:spacing w:after="0" w:line="6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Investment Funds may invest in companies that are based outside of the United States, which may expose the Investment Funds to additional risks not typically associated with investing in companies that are based in the United States.</w:t>
      </w:r>
    </w:p>
    <w:p>
      <w:pPr>
        <w:spacing w:after="0" w:line="51" w:lineRule="exact"/>
        <w:rPr>
          <w:sz w:val="20"/>
          <w:szCs w:val="20"/>
          <w:color w:val="auto"/>
        </w:rPr>
      </w:pPr>
    </w:p>
    <w:p>
      <w:pPr>
        <w:ind w:firstLine="378"/>
        <w:spacing w:after="0" w:line="253" w:lineRule="auto"/>
        <w:rPr>
          <w:sz w:val="20"/>
          <w:szCs w:val="20"/>
          <w:color w:val="auto"/>
        </w:rPr>
      </w:pPr>
      <w:r>
        <w:rPr>
          <w:rFonts w:ascii="Times New Roman" w:cs="Times New Roman" w:eastAsia="Times New Roman" w:hAnsi="Times New Roman"/>
          <w:sz w:val="18"/>
          <w:szCs w:val="18"/>
          <w:color w:val="auto"/>
        </w:rPr>
        <w:t>Investments in securities of non-U.S. issuers (including non-U.S. governments) and securities denominated or whose prices are quoted in non-U.S. currencies pose, to the extent not successfully hedged, currency exchange risks (including blockage, devaluation and non-exchangeability), as well as a range of other potential risks, which could include expropriation, confiscatory taxation, imposition of withholding or other taxes on dividends, interest, capital gains or other income, political or social instability, illiquidity, price volatility and market manipulation. In addition, less information may be available regarding securities of non-U.S. issuers, and non-U.S. issuers may not be subject to accounting, auditing and financial reporting standards and requirements comparable to, or as uniform as, those of U.S. issuers. Transaction costs of investing in non-U.S. securities markets are generally higher than in the United States. There is generally less government supervision and regulation of exchanges, brokers and issuers than there is in the United States. The Investment Funds may have greater difficulty taking appropriate legal action in non-U.S. courts. Non-U.S. markets also have different clearance and settlement procedures which in some markets have at times failed to keep pace with the volume of transactions, thereby creating substantial delays and settlement failures that could adversely affect the Investment Funds' performance. Investments in non-U.S. markets may result in imposition of non-U.S. taxes or withholding on income and gains recognized with respect to such securities. There can be no assurance that adverse developments with respect to such risks will not materially adversely affect the Investment Funds' investments that are held in certain countries or the returns from these investments.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Investment Funds invest in distressed securities, as well as bank loans, asset backed securities and mortgage backed securities.</w:t>
      </w:r>
    </w:p>
    <w:p>
      <w:pPr>
        <w:spacing w:after="0" w:line="121" w:lineRule="exact"/>
        <w:rPr>
          <w:sz w:val="20"/>
          <w:szCs w:val="20"/>
          <w:color w:val="auto"/>
        </w:rPr>
      </w:pPr>
    </w:p>
    <w:p>
      <w:pPr>
        <w:ind w:right="20" w:firstLine="378"/>
        <w:spacing w:after="0" w:line="254" w:lineRule="auto"/>
        <w:rPr>
          <w:sz w:val="20"/>
          <w:szCs w:val="20"/>
          <w:color w:val="auto"/>
        </w:rPr>
      </w:pPr>
      <w:r>
        <w:rPr>
          <w:rFonts w:ascii="Times New Roman" w:cs="Times New Roman" w:eastAsia="Times New Roman" w:hAnsi="Times New Roman"/>
          <w:sz w:val="18"/>
          <w:szCs w:val="18"/>
          <w:color w:val="auto"/>
        </w:rPr>
        <w:t>The Investment Funds may invest in securities of U.S. and non-U.S. issuers in weak financial condition, experiencing poor operating results, having substantial capital needs or negative net worth, facing special competitive or product obsolescence problems, or that are involved in bankruptcy or reorganization proceedings. Investments of this type may involve substantial financial, legal and business risks that can result in substantial, or at times even total, losses. The market prices of such securities are subject to abrupt and erratic market movements and above-average price volatility. It may take a number of years for the market price of such securities to reflect their intrinsic value. In liquidation (both in and out of bankruptcy) and other forms of corporate insolvency and reorganization, there exists the risk that the reorganization either will be unsuccessful (due to, for example, failure to obtain requisite approvals), will be delayed (for example, until various liabilities, actual or contingent, have been satisfied) or will result in a distribution of cash, assets or a new security the value of which will be less than the purchase price to the Investment Funds of the security in respect to which such distribution was made and the terms of which may render such security illiquid.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Investment Funds' investments are subject to numerous additional risks including those described below.</w:t>
      </w:r>
    </w:p>
    <w:p>
      <w:pPr>
        <w:spacing w:after="0" w:line="121" w:lineRule="exact"/>
        <w:rPr>
          <w:sz w:val="20"/>
          <w:szCs w:val="20"/>
          <w:color w:val="auto"/>
        </w:rPr>
      </w:pPr>
    </w:p>
    <w:p>
      <w:pPr>
        <w:ind w:left="660" w:right="340" w:hanging="247"/>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there are few limitations set forth in the governing documents of the Investment Funds on the execution of their investment activities, which are subject to the sole discretion of our Investment segment.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72" w:right="259" w:bottom="1440" w:gutter="0" w:footer="0" w:header="0"/>
        </w:sectPr>
      </w:pPr>
    </w:p>
    <w:bookmarkStart w:id="34" w:name="page35"/>
    <w:bookmarkEnd w:id="34"/>
    <w:p>
      <w:pPr>
        <w:ind w:left="247" w:hanging="247"/>
        <w:spacing w:after="0" w:line="255" w:lineRule="auto"/>
        <w:tabs>
          <w:tab w:leader="none" w:pos="2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may buy or sell (or write) both call options and put options, and when it writes options, it may do so on a covered or an uncovered basis. When the Investment Funds sell (or write) an option, the risk can be substantially greater than when it buys an option. The seller of an uncovered call option bears the risk of an increase in the market price of the underlying security above the exercise price. The risk is theoretically unlimited unless the option is covered. If it is covered, the Investment Funds would forego the opportunity for profit on the underlying security should the market price of the security rise above the exercise price. Swaps and certain options and other custom instruments are subject to the risk of non-performance by the swap counterparty, including risks relating to the creditworthiness of the swap counterparty, market risk, liquidity risk and operations risk.</w:t>
      </w:r>
    </w:p>
    <w:p>
      <w:pPr>
        <w:spacing w:after="0" w:line="81" w:lineRule="exact"/>
        <w:rPr>
          <w:rFonts w:ascii="Times New Roman" w:cs="Times New Roman" w:eastAsia="Times New Roman" w:hAnsi="Times New Roman"/>
          <w:sz w:val="18"/>
          <w:szCs w:val="18"/>
          <w:color w:val="auto"/>
        </w:rPr>
      </w:pPr>
    </w:p>
    <w:p>
      <w:pPr>
        <w:ind w:left="247" w:right="20" w:hanging="247"/>
        <w:spacing w:after="0" w:line="256" w:lineRule="auto"/>
        <w:tabs>
          <w:tab w:leader="none" w:pos="2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may engage in short-selling, which is subject to a theoretically unlimited risk of loss because there is no limit on how much the price of a security may appreciate before the short position is closed out. The Investment Funds may be subject to losses if a security lender demands return of the borrowed securities and an alternative lending source cannot be found or if the Investment Funds are otherwise unable to borrow securities that are necessary to hedge its positions. There can be no assurance that the Investment Funds will be able to maintain the ability to borrow securities sold short. There also can be no assurance that the securities necessary to cover a short position will be available for purchase at or near prices quoted in the market.</w:t>
      </w:r>
    </w:p>
    <w:p>
      <w:pPr>
        <w:spacing w:after="0" w:line="79" w:lineRule="exact"/>
        <w:rPr>
          <w:rFonts w:ascii="Times New Roman" w:cs="Times New Roman" w:eastAsia="Times New Roman" w:hAnsi="Times New Roman"/>
          <w:sz w:val="18"/>
          <w:szCs w:val="18"/>
          <w:color w:val="auto"/>
        </w:rPr>
      </w:pPr>
    </w:p>
    <w:p>
      <w:pPr>
        <w:ind w:left="247" w:right="300" w:hanging="247"/>
        <w:spacing w:after="0" w:line="258" w:lineRule="auto"/>
        <w:tabs>
          <w:tab w:leader="none" w:pos="2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Investment Funds to execute a short selling strategy may be materially adversely impacted by temporary and/or new permanent rules, interpretations, prohibitions and restrictions adopted in response to adverse market events. Regulatory authorities may from time-to-time impose restrictions that adversely affect the Investment Funds' ability to borrow certain securities in connection with short sale transactions. In addition, traditional lenders of securities might be less likely to lend securities under certain market conditions. As a result, the Investment Funds may not be able to effectively pursue a short selling strategy due to a limited supply of securities available for borrowing.</w:t>
      </w:r>
    </w:p>
    <w:p>
      <w:pPr>
        <w:spacing w:after="0" w:line="75" w:lineRule="exact"/>
        <w:rPr>
          <w:rFonts w:ascii="Times New Roman" w:cs="Times New Roman" w:eastAsia="Times New Roman" w:hAnsi="Times New Roman"/>
          <w:sz w:val="18"/>
          <w:szCs w:val="18"/>
          <w:color w:val="auto"/>
        </w:rPr>
      </w:pPr>
    </w:p>
    <w:p>
      <w:pPr>
        <w:ind w:left="247"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may effect transactions through over-the-counter or interdealer markets. The participants in such markets are typically not subject to credit evaluation and regulatory oversight as are members of exchange-based markets. This exposes the Investment Funds to the risk that a counterparty will not settle a transaction in accordance with its terms and conditions because of a dispute over the terms of the contract (whether or not bona fide) or because of a credit or liquidity problem, thus causing the Investment Fund to suffer a loss. Such “counterparty risk” is accentuated for contracts with longer maturities where events may intervene to prevent settlement, or where the Investment Funds have concentrated its transactions with a single or small group of its counterparties. The Investment Funds are not restricted from dealing with any particular counterparty or from concentrating any or all of the Investment Funds' transactions with one counterparty.</w:t>
      </w:r>
    </w:p>
    <w:p>
      <w:pPr>
        <w:spacing w:after="0" w:line="81" w:lineRule="exact"/>
        <w:rPr>
          <w:rFonts w:ascii="Times New Roman" w:cs="Times New Roman" w:eastAsia="Times New Roman" w:hAnsi="Times New Roman"/>
          <w:sz w:val="18"/>
          <w:szCs w:val="18"/>
          <w:color w:val="auto"/>
        </w:rPr>
      </w:pPr>
    </w:p>
    <w:p>
      <w:pPr>
        <w:ind w:left="247" w:right="20" w:hanging="247"/>
        <w:spacing w:after="0" w:line="261" w:lineRule="auto"/>
        <w:tabs>
          <w:tab w:leader="none" w:pos="2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may arise through a default by one of several large institutions that are dependent on one another to meet their liquidity or operational needs, so that a default by one institution causes a series of defaults by other institutions. This systemic risk may materially adversely affect the financial intermediaries (such as prime brokers, clearing agencies, clearing houses, banks, securities firms and exchanges) with which the Investment Funds interact on a daily basis.</w:t>
      </w:r>
    </w:p>
    <w:p>
      <w:pPr>
        <w:spacing w:after="0" w:line="71" w:lineRule="exact"/>
        <w:rPr>
          <w:rFonts w:ascii="Times New Roman" w:cs="Times New Roman" w:eastAsia="Times New Roman" w:hAnsi="Times New Roman"/>
          <w:sz w:val="18"/>
          <w:szCs w:val="18"/>
          <w:color w:val="auto"/>
        </w:rPr>
      </w:pPr>
    </w:p>
    <w:p>
      <w:pPr>
        <w:ind w:left="247" w:right="60" w:hanging="247"/>
        <w:spacing w:after="0" w:line="256" w:lineRule="auto"/>
        <w:tabs>
          <w:tab w:leader="none" w:pos="2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investment and trading strategies depends largely on the ability to establish and maintain an overall market position in a combination of financial instruments. The Investment Funds' trading orders may not be executed in a timely and efficient manner due to various circumstances, including systems failures or human error. In such event, the Investment Funds might only be able to acquire some but not all of the components of the position, or if the overall positions were to need adjustment, the Investment Funds might not be able to make such adjustment. As a result, the Investment Funds may not be able to achieve the market position selected by our Investment segment and might incur a loss in liquidating their position.</w:t>
      </w:r>
    </w:p>
    <w:p>
      <w:pPr>
        <w:spacing w:after="0" w:line="79" w:lineRule="exact"/>
        <w:rPr>
          <w:rFonts w:ascii="Times New Roman" w:cs="Times New Roman" w:eastAsia="Times New Roman" w:hAnsi="Times New Roman"/>
          <w:sz w:val="18"/>
          <w:szCs w:val="18"/>
          <w:color w:val="auto"/>
        </w:rPr>
      </w:pPr>
    </w:p>
    <w:p>
      <w:pPr>
        <w:ind w:left="247" w:right="60" w:hanging="247"/>
        <w:spacing w:after="0" w:line="256" w:lineRule="auto"/>
        <w:tabs>
          <w:tab w:leader="none" w:pos="2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assets may be held in one or more accounts maintained for the Investment Fund by its prime broker or at other brokers or custodian banks, which may be located in various jurisdictions. The prime broker, other brokers (including those acting as sub-custodians)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local brokers, custodian banks or clearing corporations may result in the loss of all or a substantial portion of the Investment Funds' assets or in a significant delay in the Investment Funds having access to those assets.</w:t>
      </w:r>
    </w:p>
    <w:p>
      <w:pPr>
        <w:spacing w:after="0" w:line="79" w:lineRule="exact"/>
        <w:rPr>
          <w:rFonts w:ascii="Times New Roman" w:cs="Times New Roman" w:eastAsia="Times New Roman" w:hAnsi="Times New Roman"/>
          <w:sz w:val="18"/>
          <w:szCs w:val="18"/>
          <w:color w:val="auto"/>
        </w:rPr>
      </w:pPr>
    </w:p>
    <w:p>
      <w:pPr>
        <w:ind w:left="247" w:right="80" w:hanging="247"/>
        <w:spacing w:after="0" w:line="258" w:lineRule="auto"/>
        <w:tabs>
          <w:tab w:leader="none" w:pos="2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may invest in synthetic instruments with various counterparties. In the event of the insolvency of any counterparty, the Investment Funds' recourse will be limited to the collateral, if any, posted by the counterparty and, in the absence of collateral, the Investment Funds will be treated as a general creditor of the counterparty. While the Investment Funds expect that returns on a synthetic financial instrument may reflect those of each related reference security, as a result of the terms of the synthetic financial instrument and the assumption of the credit risk of the</w:t>
      </w:r>
    </w:p>
    <w:p>
      <w:pPr>
        <w:spacing w:after="0" w:line="200" w:lineRule="exact"/>
        <w:rPr>
          <w:sz w:val="20"/>
          <w:szCs w:val="20"/>
          <w:color w:val="auto"/>
        </w:rPr>
      </w:pPr>
    </w:p>
    <w:p>
      <w:pPr>
        <w:spacing w:after="0" w:line="227" w:lineRule="exact"/>
        <w:rPr>
          <w:sz w:val="20"/>
          <w:szCs w:val="20"/>
          <w:color w:val="auto"/>
        </w:rPr>
      </w:pPr>
    </w:p>
    <w:p>
      <w:pPr>
        <w:jc w:val="center"/>
        <w:ind w:right="39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7"/>
          </w:cols>
          <w:pgMar w:left="653" w:top="472" w:right="2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counterparty, a synthetic financial instrument may have a different expected return. The Investment Funds may also invest in credit default swaps.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Automotive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separation of Federal-Mogul's Powertrain and Motorparts businesses into two independent, publicly traded companies may not be completed on the terms or timeline currently contemplated, if at all. Further, the separation will require significant time, resources and attention from management, which may distract Federal-Mogul's management from the operation of its business and the execution of its other initiatives.</w:t>
      </w:r>
    </w:p>
    <w:p>
      <w:pPr>
        <w:spacing w:after="0" w:line="67"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On September 3, 2014, Federal-Mogul announced its intention to pursue the separation of its Powertrain and Motorparts divisions into two independent, publicly traded companies (the “Separation Transaction”). Unanticipated developments could delay or negatively impact the Separation Transaction or increase Federal-Mogul's expenses relating to the transaction. Federal-Mogul cannot assure that it will be able to complete the Separation Transaction on the terms that were announced or on the anticipated timeline, if at all. If Federal-Mogul is unable to consummate the Separation Transaction, it will have incurred costs without realizing the benefits of such transaction. Further, the Separation Transaction will require significant time, resources and attention from Federal-Mogul's management, which may distract its management from the operation of its business and the execution of its other initiatives. Federal-Mogul's employees may also be distracted due to uncertainty about their future roles pending the completion of the Separation Transaction. If the Separation Transaction is completed, such transaction may not achieve the intended results. Any such difficulties could have a material adverse effect on our Automotive segment's financial condition, results of operations or cash flows.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Federal-Mogul’s liquidity may be impacted in the short term from its growth activities and strategic initiatives:</w:t>
      </w:r>
    </w:p>
    <w:p>
      <w:pPr>
        <w:spacing w:after="0" w:line="162" w:lineRule="exact"/>
        <w:rPr>
          <w:sz w:val="20"/>
          <w:szCs w:val="20"/>
          <w:color w:val="auto"/>
        </w:rPr>
      </w:pPr>
    </w:p>
    <w:p>
      <w:pPr>
        <w:ind w:right="200" w:firstLine="378"/>
        <w:spacing w:after="0" w:line="261" w:lineRule="auto"/>
        <w:rPr>
          <w:sz w:val="20"/>
          <w:szCs w:val="20"/>
          <w:color w:val="auto"/>
        </w:rPr>
      </w:pPr>
      <w:r>
        <w:rPr>
          <w:rFonts w:ascii="Times New Roman" w:cs="Times New Roman" w:eastAsia="Times New Roman" w:hAnsi="Times New Roman"/>
          <w:sz w:val="18"/>
          <w:szCs w:val="18"/>
          <w:color w:val="auto"/>
        </w:rPr>
        <w:t>Federal-Mogul is pursuing a number of organic and inorganic growth activities, restructuring plans and strategic initiatives to increase and improve its business and profitability. Federal-Mogul's management believes these activities will enhance its long term shareholder value; however, the investment to effectuate these activities may have an impact on Federal-Mogul’s short term liquidity and may create the need for additional borrowing which may be at higher interest rates given its current level of indebtedness.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Federal-Mogul has substantial indebtedness, which could restrict its business activities and could subject Federal-Mogul to significant interest rate risk.</w:t>
      </w:r>
    </w:p>
    <w:p>
      <w:pPr>
        <w:spacing w:after="0" w:line="121" w:lineRule="exact"/>
        <w:rPr>
          <w:sz w:val="20"/>
          <w:szCs w:val="20"/>
          <w:color w:val="auto"/>
        </w:rPr>
      </w:pPr>
    </w:p>
    <w:p>
      <w:pPr>
        <w:ind w:right="120" w:firstLine="378"/>
        <w:spacing w:after="0" w:line="258" w:lineRule="auto"/>
        <w:rPr>
          <w:sz w:val="20"/>
          <w:szCs w:val="20"/>
          <w:color w:val="auto"/>
        </w:rPr>
      </w:pPr>
      <w:r>
        <w:rPr>
          <w:rFonts w:ascii="Times New Roman" w:cs="Times New Roman" w:eastAsia="Times New Roman" w:hAnsi="Times New Roman"/>
          <w:sz w:val="18"/>
          <w:szCs w:val="18"/>
          <w:color w:val="auto"/>
        </w:rPr>
        <w:t>As of December 31, 2014, our Automotive segment had approximately $2.7 billion of outstanding indebtedness. Federal-Mogul is permitted by the terms of its debt instruments to incur additional indebtedness, subject to the restrictions therein. Federal-Mogul’s inability to generate sufficient cash flow to satisfy its debt obligations, or to refinance its debt obligations on commercially reasonable terms, would have a material adverse effect on our Automotive segment’s business, financial condition and results of operations. In addition, covenants in Federal-Mogul’s debt agreements could limit its ability to engage in certain transactions and pursue its business strategies, which could adversely affect its liquidity.</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Federal-Mogul's indebtedness could:</w:t>
      </w:r>
    </w:p>
    <w:p>
      <w:pPr>
        <w:spacing w:after="0" w:line="117" w:lineRule="exact"/>
        <w:rPr>
          <w:sz w:val="20"/>
          <w:szCs w:val="20"/>
          <w:color w:val="auto"/>
        </w:rPr>
      </w:pPr>
    </w:p>
    <w:p>
      <w:pPr>
        <w:ind w:left="660" w:right="420" w:hanging="247"/>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Federal-Mogul’s ability to borrow money for working capital, capital expenditures, debt service requirements or other corporate purposes, guarantee additional debt or issue redeemable, convertible of preferred equity;</w:t>
      </w:r>
    </w:p>
    <w:p>
      <w:pPr>
        <w:spacing w:after="0" w:line="53" w:lineRule="exact"/>
        <w:rPr>
          <w:rFonts w:ascii="Times New Roman" w:cs="Times New Roman" w:eastAsia="Times New Roman" w:hAnsi="Times New Roman"/>
          <w:sz w:val="18"/>
          <w:szCs w:val="18"/>
          <w:color w:val="auto"/>
        </w:rPr>
      </w:pPr>
    </w:p>
    <w:p>
      <w:pPr>
        <w:ind w:left="660" w:right="40" w:hanging="247"/>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Federal-Mogul’s ability to make distributions or prepay its debt, incur liens, enter into agreements that restrict distributions from restricted subsidiaries, sell or otherwise dispose of assets (including capital stock of subsidiaries), enter into transactions with affiliates and merger, consolidate or sell substantially all of its assets;</w:t>
      </w:r>
    </w:p>
    <w:p>
      <w:pPr>
        <w:spacing w:after="0" w:line="68" w:lineRule="exact"/>
        <w:rPr>
          <w:rFonts w:ascii="Times New Roman" w:cs="Times New Roman" w:eastAsia="Times New Roman" w:hAnsi="Times New Roman"/>
          <w:sz w:val="18"/>
          <w:szCs w:val="18"/>
          <w:color w:val="auto"/>
        </w:rPr>
      </w:pPr>
    </w:p>
    <w:p>
      <w:pPr>
        <w:ind w:left="660" w:right="200" w:hanging="247"/>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Federal-Mogul to dedicate a substantial portion of its cash flow to payments on indebtedness, which would reduce the amount of cash flow available to fund working capital, capital expenditures, product development and other corporate requirements;</w:t>
      </w:r>
    </w:p>
    <w:p>
      <w:pPr>
        <w:spacing w:after="0" w:line="5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Federal-Mogul’s vulnerability to general adverse economic and industry conditions; and</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Federal-Mogul’s ability to respond to business opportunities.</w:t>
      </w:r>
    </w:p>
    <w:p>
      <w:pPr>
        <w:spacing w:after="0" w:line="117" w:lineRule="exact"/>
        <w:rPr>
          <w:sz w:val="20"/>
          <w:szCs w:val="20"/>
          <w:color w:val="auto"/>
        </w:rPr>
      </w:pPr>
    </w:p>
    <w:p>
      <w:pPr>
        <w:ind w:right="480" w:firstLine="378"/>
        <w:spacing w:after="0" w:line="282" w:lineRule="auto"/>
        <w:rPr>
          <w:sz w:val="20"/>
          <w:szCs w:val="20"/>
          <w:color w:val="auto"/>
        </w:rPr>
      </w:pPr>
      <w:r>
        <w:rPr>
          <w:rFonts w:ascii="Times New Roman" w:cs="Times New Roman" w:eastAsia="Times New Roman" w:hAnsi="Times New Roman"/>
          <w:sz w:val="18"/>
          <w:szCs w:val="18"/>
          <w:color w:val="auto"/>
        </w:rPr>
        <w:t>A significant portion of Federal-Mogul's indebtedness accrues interest at variable rates. To the extent market interest rates rise, the cost of Federal-Mogul's debt would increase, thereby adversely affecting our Automotive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Federal-Mogul's restructuring activities may not result in the anticipated synergies and cost savings.</w:t>
      </w:r>
    </w:p>
    <w:p>
      <w:pPr>
        <w:spacing w:after="0" w:line="121" w:lineRule="exact"/>
        <w:rPr>
          <w:sz w:val="20"/>
          <w:szCs w:val="20"/>
          <w:color w:val="auto"/>
        </w:rPr>
      </w:pPr>
    </w:p>
    <w:p>
      <w:pPr>
        <w:jc w:val="both"/>
        <w:ind w:right="40" w:firstLine="378"/>
        <w:spacing w:after="0" w:line="266" w:lineRule="auto"/>
        <w:rPr>
          <w:sz w:val="20"/>
          <w:szCs w:val="20"/>
          <w:color w:val="auto"/>
        </w:rPr>
      </w:pPr>
      <w:r>
        <w:rPr>
          <w:rFonts w:ascii="Times New Roman" w:cs="Times New Roman" w:eastAsia="Times New Roman" w:hAnsi="Times New Roman"/>
          <w:sz w:val="18"/>
          <w:szCs w:val="18"/>
          <w:color w:val="auto"/>
        </w:rPr>
        <w:t>It is possible that the achievement of expected synergies and cost savings associated with restructuring activities will require additional costs or charges to earnings in future periods. It is also possible that the expected synergies may not be achieved. Any costs or charges could adversely impact our Automotive operations.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99" w:right="239" w:bottom="1440" w:gutter="0" w:footer="0" w:header="0"/>
        </w:sectPr>
      </w:pPr>
    </w:p>
    <w:bookmarkStart w:id="36" w:name="page37"/>
    <w:bookmarkEnd w:id="3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Federal-Mogul may pursue acquisitions or other affiliations that involve inherent risks, any of which may cause it not to realize anticipated benefits, and it may have difficulty integrating the operations of any companies that may be acquired, which may adversely affect our Automotive segment’s operations:</w:t>
      </w:r>
    </w:p>
    <w:p>
      <w:pPr>
        <w:spacing w:after="0" w:line="67" w:lineRule="exact"/>
        <w:rPr>
          <w:sz w:val="20"/>
          <w:szCs w:val="20"/>
          <w:color w:val="auto"/>
        </w:rPr>
      </w:pPr>
    </w:p>
    <w:p>
      <w:pPr>
        <w:ind w:right="100" w:firstLine="378"/>
        <w:spacing w:after="0" w:line="261" w:lineRule="auto"/>
        <w:rPr>
          <w:sz w:val="20"/>
          <w:szCs w:val="20"/>
          <w:color w:val="auto"/>
        </w:rPr>
      </w:pPr>
      <w:r>
        <w:rPr>
          <w:rFonts w:ascii="Times New Roman" w:cs="Times New Roman" w:eastAsia="Times New Roman" w:hAnsi="Times New Roman"/>
          <w:sz w:val="18"/>
          <w:szCs w:val="18"/>
          <w:color w:val="auto"/>
        </w:rPr>
        <w:t>In the past, Federal-Mogul has grown through acquisitions, and may engage in acquisitions in the future as part of its sustainable global profitable growth strategy. The full benefits of these acquisitions, however, require integration of manufacturing, administrative, financial, sales, and marketing approaches and personnel. If Federal-Mogul is unable to successfully integrate its acquisitions, it may not realize the benefits of the acquisitions, its financial results may be negatively affected, or additional cash may be required to integrate such operations.</w:t>
      </w:r>
    </w:p>
    <w:p>
      <w:pPr>
        <w:spacing w:after="0" w:line="72" w:lineRule="exact"/>
        <w:rPr>
          <w:sz w:val="20"/>
          <w:szCs w:val="20"/>
          <w:color w:val="auto"/>
        </w:rPr>
      </w:pPr>
    </w:p>
    <w:p>
      <w:pPr>
        <w:ind w:right="60" w:firstLine="378"/>
        <w:spacing w:after="0" w:line="256" w:lineRule="auto"/>
        <w:rPr>
          <w:sz w:val="20"/>
          <w:szCs w:val="20"/>
          <w:color w:val="auto"/>
        </w:rPr>
      </w:pPr>
      <w:r>
        <w:rPr>
          <w:rFonts w:ascii="Times New Roman" w:cs="Times New Roman" w:eastAsia="Times New Roman" w:hAnsi="Times New Roman"/>
          <w:sz w:val="18"/>
          <w:szCs w:val="18"/>
          <w:color w:val="auto"/>
        </w:rPr>
        <w:t>In the future, Federal-Mogul may not be able to successfully identify suitable acquisition or affiliation opportunities or complete any particular acquisition, combination, affiliation or other transaction on acceptable terms. Federal-Mogul’s identification of suitable acquisition candidates and affiliation opportunities and the integration of acquired business operations involve risks inherent in assessing the values, strengths, weaknesses, risks and profitability of these opportunities. Such risks include the effects on Federal-Mogul’s business, diversion of management’s attention and risks associated with unanticipated problems or unforeseen liabilities, and may require significant financial resources that would otherwise be used for the ongoing development of Federal-Mogul's business.</w:t>
      </w:r>
    </w:p>
    <w:p>
      <w:pPr>
        <w:spacing w:after="0" w:line="80" w:lineRule="exact"/>
        <w:rPr>
          <w:sz w:val="20"/>
          <w:szCs w:val="20"/>
          <w:color w:val="auto"/>
        </w:rPr>
      </w:pPr>
    </w:p>
    <w:p>
      <w:pPr>
        <w:ind w:right="20" w:firstLine="378"/>
        <w:spacing w:after="0" w:line="256" w:lineRule="auto"/>
        <w:rPr>
          <w:sz w:val="20"/>
          <w:szCs w:val="20"/>
          <w:color w:val="auto"/>
        </w:rPr>
      </w:pPr>
      <w:r>
        <w:rPr>
          <w:rFonts w:ascii="Times New Roman" w:cs="Times New Roman" w:eastAsia="Times New Roman" w:hAnsi="Times New Roman"/>
          <w:sz w:val="18"/>
          <w:szCs w:val="18"/>
          <w:color w:val="auto"/>
        </w:rPr>
        <w:t>The difficulties of integration may be increased by the necessity of coordinating geographically dispersed organizations, integrating personnel with disparate business backgrounds and combining different corporate cultures. These difficulties could be further increased to the extent Federal-Mogul pursues acquisition or affiliation opportunities internationally. Federal-Mogul may not be effective in retaining key employees or customers of the combined businesses. Federal-Mogul may face integration issues pertaining to the internal controls and operations functions of the acquired companies and also may not realize cost efficiencies or synergies that were anticipated when selecting the acquisition candidates. Federal-Mogul may experience managerial or other conflicts with its affiliation partners. Any of these items could adversely affect our Automotive segment’s results of operations.</w:t>
      </w:r>
    </w:p>
    <w:p>
      <w:pPr>
        <w:spacing w:after="0" w:line="80" w:lineRule="exact"/>
        <w:rPr>
          <w:sz w:val="20"/>
          <w:szCs w:val="20"/>
          <w:color w:val="auto"/>
        </w:rPr>
      </w:pPr>
    </w:p>
    <w:p>
      <w:pPr>
        <w:ind w:right="180" w:firstLine="378"/>
        <w:spacing w:after="0" w:line="258" w:lineRule="auto"/>
        <w:rPr>
          <w:sz w:val="20"/>
          <w:szCs w:val="20"/>
          <w:color w:val="auto"/>
        </w:rPr>
      </w:pPr>
      <w:r>
        <w:rPr>
          <w:rFonts w:ascii="Times New Roman" w:cs="Times New Roman" w:eastAsia="Times New Roman" w:hAnsi="Times New Roman"/>
          <w:sz w:val="18"/>
          <w:szCs w:val="18"/>
          <w:color w:val="auto"/>
        </w:rPr>
        <w:t>Federal-Mogul’s failure to identify suitable acquisition or affiliation opportunities may restrict its ability to grow its business. If Federal-Mogul is successful in pursuing future acquisitions or affiliations, it may be required to expend significant funds, incur additional debt and/or issue additional securities, which may materially adversely affect results of operations. If Federal-Mogul spends significant funds or incurs additional debt, Federal-Mogul’s ability to obtain financing for working capital or other purposes could decline and it may be more vulnerable to economic downturns and competitive pressures.</w:t>
      </w:r>
    </w:p>
    <w:p>
      <w:pPr>
        <w:spacing w:after="0" w:line="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conditions in the automotive market adversely affect demand for Federal-Mogul's products and expose Federal-Mogul to credit risks of its customers.</w:t>
      </w:r>
    </w:p>
    <w:p>
      <w:pPr>
        <w:spacing w:after="0" w:line="51" w:lineRule="exact"/>
        <w:rPr>
          <w:sz w:val="20"/>
          <w:szCs w:val="20"/>
          <w:color w:val="auto"/>
        </w:rPr>
      </w:pPr>
    </w:p>
    <w:p>
      <w:pPr>
        <w:ind w:right="80" w:firstLine="378"/>
        <w:spacing w:after="0" w:line="255" w:lineRule="auto"/>
        <w:rPr>
          <w:sz w:val="20"/>
          <w:szCs w:val="20"/>
          <w:color w:val="auto"/>
        </w:rPr>
      </w:pPr>
      <w:r>
        <w:rPr>
          <w:rFonts w:ascii="Times New Roman" w:cs="Times New Roman" w:eastAsia="Times New Roman" w:hAnsi="Times New Roman"/>
          <w:sz w:val="18"/>
          <w:szCs w:val="18"/>
          <w:color w:val="auto"/>
        </w:rPr>
        <w:t>Federal-Mogul's revenues are closely tied to global OE automobile sales, production levels and independent aftermarket parts replacement activity. The OE market is characterized by short-term volatility, with overall expected long-term growth in global vehicle sales and production. Automotive production in the local markets served by Federal-Mogul can be affected by macro-economic factors such as interest rates, fuel prices, consumer confidence, employment trends, regulatory and legislative oversight requirements and trade agreements. A variation in the level of automobile production would affect not only sales to OE customers but, depending on the reasons for the change, could impact demand from aftermarket customers. In addition, the aftermarket has become increasingly competitive. Our Automotive operations could be adversely affected if Federal-Mogul fails to respond in a timely and appropriate manner to changes in the demand for its products.</w:t>
      </w:r>
    </w:p>
    <w:p>
      <w:pPr>
        <w:spacing w:after="0" w:line="81" w:lineRule="exact"/>
        <w:rPr>
          <w:sz w:val="20"/>
          <w:szCs w:val="20"/>
          <w:color w:val="auto"/>
        </w:rPr>
      </w:pPr>
    </w:p>
    <w:p>
      <w:pPr>
        <w:ind w:right="80" w:firstLine="378"/>
        <w:spacing w:after="0" w:line="266" w:lineRule="auto"/>
        <w:rPr>
          <w:sz w:val="20"/>
          <w:szCs w:val="20"/>
          <w:color w:val="auto"/>
        </w:rPr>
      </w:pPr>
      <w:r>
        <w:rPr>
          <w:rFonts w:ascii="Times New Roman" w:cs="Times New Roman" w:eastAsia="Times New Roman" w:hAnsi="Times New Roman"/>
          <w:sz w:val="18"/>
          <w:szCs w:val="18"/>
          <w:color w:val="auto"/>
        </w:rPr>
        <w:t>Accounts receivable potentially subject Federal-Mogul to concentrations of credit risk. Federal-Mogul's customer base includes virtually every significant global automotive manufacturer, numerous Tier 1 automotive suppliers and a large number of distributors and installers of automotive aftermarket parts.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and increased market power of Federal-Mogul’s independent aftermarket customers could negatively affect its financial performance.</w:t>
      </w:r>
    </w:p>
    <w:p>
      <w:pPr>
        <w:spacing w:after="0" w:line="121" w:lineRule="exact"/>
        <w:rPr>
          <w:sz w:val="20"/>
          <w:szCs w:val="20"/>
          <w:color w:val="auto"/>
        </w:rPr>
      </w:pPr>
    </w:p>
    <w:p>
      <w:pPr>
        <w:jc w:val="both"/>
        <w:ind w:right="580" w:firstLine="378"/>
        <w:spacing w:after="0" w:line="266" w:lineRule="auto"/>
        <w:rPr>
          <w:sz w:val="20"/>
          <w:szCs w:val="20"/>
          <w:color w:val="auto"/>
        </w:rPr>
      </w:pPr>
      <w:r>
        <w:rPr>
          <w:rFonts w:ascii="Times New Roman" w:cs="Times New Roman" w:eastAsia="Times New Roman" w:hAnsi="Times New Roman"/>
          <w:sz w:val="18"/>
          <w:szCs w:val="18"/>
          <w:color w:val="auto"/>
        </w:rPr>
        <w:t>Federal-Mogul’s independent aftermarket customers are continuing to consolidate and gain purchasing power and the ability to demand extended payment terms and other pricing concessions. If these trends, continue the financial results of Federal-Mogul’s Motorparts business segment could be negatively impacted.</w:t>
      </w:r>
    </w:p>
    <w:p>
      <w:pPr>
        <w:spacing w:after="0" w:line="64"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Federal-Mogul's operations in foreign countries exposes our Automotive segment to risks related to economic and political conditions, currency fluctuations and import/export restrictions.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Federal-Mogul has manufacturing and distribution facilities in many countries. International operations are subject to certain risks including:</w:t>
      </w:r>
    </w:p>
    <w:p>
      <w:pPr>
        <w:spacing w:after="0" w:line="117" w:lineRule="exact"/>
        <w:rPr>
          <w:sz w:val="20"/>
          <w:szCs w:val="20"/>
          <w:color w:val="auto"/>
        </w:rPr>
      </w:pPr>
    </w:p>
    <w:p>
      <w:pPr>
        <w:ind w:left="660" w:hanging="24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local economic conditions;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local political conditions (including the risk of seizure of assets by foreign governments);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522" w:right="239" w:bottom="1440" w:gutter="0" w:footer="0" w:header="0"/>
        </w:sectPr>
      </w:pPr>
    </w:p>
    <w:bookmarkStart w:id="37" w:name="page38"/>
    <w:bookmarkEnd w:id="37"/>
    <w:p>
      <w:pPr>
        <w:ind w:left="660" w:hanging="24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(including, but not limited to, material exchange rate fluctuations, such as devaluations) and currency controls;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and import restrictions; and</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laws such as the Foreign Corrupt Practices Act, and local laws prohibiting inappropriate payments.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likelihood of such occurrences and their potential effect on our Federal-Mogul are unpredictable and vary from country to country.</w:t>
      </w:r>
    </w:p>
    <w:p>
      <w:pPr>
        <w:spacing w:after="0" w:line="117" w:lineRule="exact"/>
        <w:rPr>
          <w:sz w:val="20"/>
          <w:szCs w:val="20"/>
          <w:color w:val="auto"/>
        </w:rPr>
      </w:pPr>
    </w:p>
    <w:p>
      <w:pPr>
        <w:ind w:right="40" w:firstLine="378"/>
        <w:spacing w:after="0" w:line="258" w:lineRule="auto"/>
        <w:rPr>
          <w:sz w:val="20"/>
          <w:szCs w:val="20"/>
          <w:color w:val="auto"/>
        </w:rPr>
      </w:pPr>
      <w:r>
        <w:rPr>
          <w:rFonts w:ascii="Times New Roman" w:cs="Times New Roman" w:eastAsia="Times New Roman" w:hAnsi="Times New Roman"/>
          <w:sz w:val="18"/>
          <w:szCs w:val="18"/>
          <w:color w:val="auto"/>
        </w:rPr>
        <w:t>Certain of Federal-Mogul's operating entities report their financial condition and results of operations in currencies other than the U.S. dollar (including, but not limited to Brazilian real, British pound, Chinese yuan renminbi, Czech crown, euro, Indian rupee, Mexican peso, Polish zloty, Russian ruble, South Korean won and Swedish krona). In reporting its consolidated statements of operations, Federal-Mogul translates the reported results of these entities into U.S. dollars at the applicable exchange rates. As a result, fluctuations in the dollar against foreign currencies will affect the value at which the results of these entities are included within Federal-Mogul's consolidated results.</w:t>
      </w:r>
    </w:p>
    <w:p>
      <w:pPr>
        <w:spacing w:after="0" w:line="76" w:lineRule="exact"/>
        <w:rPr>
          <w:sz w:val="20"/>
          <w:szCs w:val="20"/>
          <w:color w:val="auto"/>
        </w:rPr>
      </w:pPr>
    </w:p>
    <w:p>
      <w:pPr>
        <w:ind w:right="240" w:firstLine="378"/>
        <w:spacing w:after="0" w:line="266" w:lineRule="auto"/>
        <w:rPr>
          <w:sz w:val="20"/>
          <w:szCs w:val="20"/>
          <w:color w:val="auto"/>
        </w:rPr>
      </w:pPr>
      <w:r>
        <w:rPr>
          <w:rFonts w:ascii="Times New Roman" w:cs="Times New Roman" w:eastAsia="Times New Roman" w:hAnsi="Times New Roman"/>
          <w:sz w:val="18"/>
          <w:szCs w:val="18"/>
          <w:color w:val="auto"/>
        </w:rPr>
        <w:t>Federal-Mogul is exposed to a risk of gain or loss from changes in foreign exchange rates whenever Federal-Mogul, or one of its foreign subsidiaries, enters into a purchase or sales agreement in a currency other than its functional currency. While Federal-Mogul reduces such exposure by matching most revenues and costs within the same currency, changes in exchange rates could impact our Automotive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Federal-Mogul is subject to possible insolvency of financial counterparties.</w:t>
      </w:r>
    </w:p>
    <w:p>
      <w:pPr>
        <w:spacing w:after="0" w:line="121" w:lineRule="exact"/>
        <w:rPr>
          <w:sz w:val="20"/>
          <w:szCs w:val="20"/>
          <w:color w:val="auto"/>
        </w:rPr>
      </w:pPr>
    </w:p>
    <w:p>
      <w:pPr>
        <w:ind w:right="20" w:firstLine="378"/>
        <w:spacing w:after="0" w:line="266" w:lineRule="auto"/>
        <w:rPr>
          <w:sz w:val="20"/>
          <w:szCs w:val="20"/>
          <w:color w:val="auto"/>
        </w:rPr>
      </w:pPr>
      <w:r>
        <w:rPr>
          <w:rFonts w:ascii="Times New Roman" w:cs="Times New Roman" w:eastAsia="Times New Roman" w:hAnsi="Times New Roman"/>
          <w:sz w:val="18"/>
          <w:szCs w:val="18"/>
          <w:color w:val="auto"/>
        </w:rPr>
        <w:t>Federal-Mogul engages in numerous financial transactions and contracts including insurance policies, letters of credit, credit line agreements, financial derivatives (including interest rate swaps), and investment management agreements involving various counterparties. Federal-Mogul is subject to the risk that one or more of these counterparties may become insolvent and therefore be unable to discharge its obligations under such contracts.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automotive industry is highly competitive and Federal-Mogul's success depends upon its ability to compete effectively in the market.</w:t>
      </w:r>
    </w:p>
    <w:p>
      <w:pPr>
        <w:spacing w:after="0" w:line="121"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Federal-Mogul operates in an extremely competitive industry, driven by global vehicle production volumes and part replacement trends. Business is typically awarded to the supplier offering the most favorable combination of cost, quality, technology and service. In addition, customers continue to require periodic price reductions that require Federal-Mogul to continually assess, redefine and improve its operations, products and manufacturing capabilities to maintain and improve profitability. Federal-Mogul's management continues to develop and execute initiatives to meet the challenges of the industry and to achieve its strategy; however, there can be no assurance that Federal-Mogul will be able to compete effectively in the automotive market.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Federal-Mogul's pension obligations and other post-employment benefits could adversely impact its operating margins and cash flows.</w:t>
      </w:r>
    </w:p>
    <w:p>
      <w:pPr>
        <w:spacing w:after="0" w:line="121" w:lineRule="exact"/>
        <w:rPr>
          <w:sz w:val="20"/>
          <w:szCs w:val="20"/>
          <w:color w:val="auto"/>
        </w:rPr>
      </w:pPr>
    </w:p>
    <w:p>
      <w:pPr>
        <w:ind w:right="20" w:firstLine="378"/>
        <w:spacing w:after="0" w:line="261" w:lineRule="auto"/>
        <w:rPr>
          <w:sz w:val="20"/>
          <w:szCs w:val="20"/>
          <w:color w:val="auto"/>
        </w:rPr>
      </w:pPr>
      <w:r>
        <w:rPr>
          <w:rFonts w:ascii="Times New Roman" w:cs="Times New Roman" w:eastAsia="Times New Roman" w:hAnsi="Times New Roman"/>
          <w:sz w:val="18"/>
          <w:szCs w:val="18"/>
          <w:color w:val="auto"/>
        </w:rPr>
        <w:t>The automotive industry, like other industries, continues to be impacted by the rising cost of providing pension and other post-employment benefits. In addition, Federal-Mogul sponsors certain defined benefit plans worldwide that are underfunded and will require cash payments. If the performance of the assets in the pension plans does not meet our expectations, or other actuarial assumptions are modified, Federal-Mogul's required contributions may be higher than it expects.</w:t>
      </w:r>
    </w:p>
    <w:p>
      <w:pPr>
        <w:spacing w:after="0" w:line="6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disruptions in supply of and changes in the competitive environment for raw materials could adversely affect Federal-Mogul's operating margins and cash flows.</w:t>
      </w:r>
    </w:p>
    <w:p>
      <w:pPr>
        <w:spacing w:after="0" w:line="51"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Federal-Mogul purchases a broad range of materials, components and finished parts. Federal-Mogul also uses a significant amount of energy, both electricity and natural gas, in the production of its products. A significant disruption in the supply of these materials, supplies and energy or the failure of a supplier with whom Federal-Mogul has established a single source supply relationship could decrease production and shipping levels, materially increase operating costs and materially adversely affect profit margins. Shortages of materials or interruptions in transportation systems, labor strikes, work stoppages or other interruptions to or difficulties in the employment of labor or transportation in the markets where Federal-Mogul purchases material, components and supplies for the production of products or where the products are produced, distributed or sold, whether as a result of labor strife, war, further acts of terrorism or otherwise, in each case may adversely affect profitability.</w:t>
      </w:r>
    </w:p>
    <w:p>
      <w:pPr>
        <w:spacing w:after="0" w:line="81" w:lineRule="exact"/>
        <w:rPr>
          <w:sz w:val="20"/>
          <w:szCs w:val="20"/>
          <w:color w:val="auto"/>
        </w:rPr>
      </w:pPr>
    </w:p>
    <w:p>
      <w:pPr>
        <w:ind w:right="100" w:firstLine="378"/>
        <w:spacing w:after="0" w:line="261" w:lineRule="auto"/>
        <w:rPr>
          <w:sz w:val="20"/>
          <w:szCs w:val="20"/>
          <w:color w:val="auto"/>
        </w:rPr>
      </w:pPr>
      <w:r>
        <w:rPr>
          <w:rFonts w:ascii="Times New Roman" w:cs="Times New Roman" w:eastAsia="Times New Roman" w:hAnsi="Times New Roman"/>
          <w:sz w:val="18"/>
          <w:szCs w:val="18"/>
          <w:color w:val="auto"/>
        </w:rPr>
        <w:t>In recent periods there have been significant fluctuations in the prices of aluminum, copper, lead, nickel, platinum, resins, steel, other base metals and energy that have had and may continue to have an unfavorable impact on Federal-Mogul's business. Any continued fluctuations in the price or availability of energy and materials may have an adverse effect on our Automotive operations. To address increased costs associated with these market forces, a number of Federal-Mogul's suppliers have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72" w:right="259" w:bottom="1440" w:gutter="0" w:footer="0" w:header="0"/>
        </w:sectPr>
      </w:pPr>
    </w:p>
    <w:bookmarkStart w:id="38" w:name="page39"/>
    <w:bookmarkEnd w:id="38"/>
    <w:p>
      <w:pPr>
        <w:spacing w:after="0" w:line="258" w:lineRule="auto"/>
        <w:rPr>
          <w:sz w:val="20"/>
          <w:szCs w:val="20"/>
          <w:color w:val="auto"/>
        </w:rPr>
      </w:pPr>
      <w:r>
        <w:rPr>
          <w:rFonts w:ascii="Times New Roman" w:cs="Times New Roman" w:eastAsia="Times New Roman" w:hAnsi="Times New Roman"/>
          <w:sz w:val="18"/>
          <w:szCs w:val="18"/>
          <w:color w:val="auto"/>
        </w:rPr>
        <w:t>implemented surcharges on existing fixed price contracts. Without the surcharge, some suppliers claim they will be unable to provide adequate supply. Competitive and marketing pressures may limit Federal-Mogul's ability to pass some of the supply and material cost increases onto its customers and may prevent Federal-Mogul from doing so in the future. Furthermore, Federal-Mogul's customers are generally not obligated to accept price increases that Federal-Mogul may desire to pass along to them. This inability to pass on price increases to customers when material prices increase rapidly or to significantly higher than historic levels could adversely affect its operating margins and cash flow, possibly resulting in lower operating income and profitability.</w:t>
      </w:r>
    </w:p>
    <w:p>
      <w:pPr>
        <w:spacing w:after="0" w:line="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Federal-Mogul's hedging activities to address commodity price fluctuations may not be successful in offsetting future increases in those costs or may reduce or eliminate the benefits of any decreases in those costs.</w:t>
      </w:r>
    </w:p>
    <w:p>
      <w:pPr>
        <w:spacing w:after="0" w:line="51" w:lineRule="exact"/>
        <w:rPr>
          <w:sz w:val="20"/>
          <w:szCs w:val="20"/>
          <w:color w:val="auto"/>
        </w:rPr>
      </w:pPr>
    </w:p>
    <w:p>
      <w:pPr>
        <w:ind w:right="40" w:firstLine="378"/>
        <w:spacing w:after="0" w:line="261" w:lineRule="auto"/>
        <w:rPr>
          <w:sz w:val="20"/>
          <w:szCs w:val="20"/>
          <w:color w:val="auto"/>
        </w:rPr>
      </w:pPr>
      <w:r>
        <w:rPr>
          <w:rFonts w:ascii="Times New Roman" w:cs="Times New Roman" w:eastAsia="Times New Roman" w:hAnsi="Times New Roman"/>
          <w:sz w:val="18"/>
          <w:szCs w:val="18"/>
          <w:color w:val="auto"/>
        </w:rPr>
        <w:t>In order to mitigate short-term variation in operating results due to the aforementioned commodity price fluctuations, Federal-Mogul hedges a portion of near-term exposure to certain raw materials used in production processes, primarily natural gas, copper, nickel, tin, zinc, high-grade aluminum and aluminum alloy. The results of Federal-Mogul's hedging practice could be positive, neutral or negative in any period depending on price changes in the hedged exposures.</w:t>
      </w:r>
    </w:p>
    <w:p>
      <w:pPr>
        <w:spacing w:after="0" w:line="72" w:lineRule="exact"/>
        <w:rPr>
          <w:sz w:val="20"/>
          <w:szCs w:val="20"/>
          <w:color w:val="auto"/>
        </w:rPr>
      </w:pPr>
    </w:p>
    <w:p>
      <w:pPr>
        <w:ind w:right="180" w:firstLine="378"/>
        <w:spacing w:after="0" w:line="266" w:lineRule="auto"/>
        <w:rPr>
          <w:sz w:val="20"/>
          <w:szCs w:val="20"/>
          <w:color w:val="auto"/>
        </w:rPr>
      </w:pPr>
      <w:r>
        <w:rPr>
          <w:rFonts w:ascii="Times New Roman" w:cs="Times New Roman" w:eastAsia="Times New Roman" w:hAnsi="Times New Roman"/>
          <w:sz w:val="18"/>
          <w:szCs w:val="18"/>
          <w:color w:val="auto"/>
        </w:rPr>
        <w:t>Federal-Mogul's hedging activities are not designed to mitigate long-term commodity price fluctuations and, therefore, will not protect from long-term commodity price increases. Federal-Mogul's future hedging positions may not correlate to actual energy or raw materials costs, which would cause acceleration in the recognition of unrealized gains and losses on hedging positions in operating results.</w:t>
      </w:r>
    </w:p>
    <w:p>
      <w:pPr>
        <w:spacing w:after="0" w:line="6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Federal-Mogul is subject to a variety of environmental, health and safety laws and regulations and the cost of complying, or Federal-Mogul's failure to comply, with such requirements may have a material adverse effect on our Automotive operations.</w:t>
      </w:r>
    </w:p>
    <w:p>
      <w:pPr>
        <w:spacing w:after="0" w:line="51" w:lineRule="exact"/>
        <w:rPr>
          <w:sz w:val="20"/>
          <w:szCs w:val="20"/>
          <w:color w:val="auto"/>
        </w:rPr>
      </w:pPr>
    </w:p>
    <w:p>
      <w:pPr>
        <w:ind w:right="40" w:firstLine="378"/>
        <w:spacing w:after="0" w:line="254" w:lineRule="auto"/>
        <w:rPr>
          <w:sz w:val="20"/>
          <w:szCs w:val="20"/>
          <w:color w:val="auto"/>
        </w:rPr>
      </w:pPr>
      <w:r>
        <w:rPr>
          <w:rFonts w:ascii="Times New Roman" w:cs="Times New Roman" w:eastAsia="Times New Roman" w:hAnsi="Times New Roman"/>
          <w:sz w:val="18"/>
          <w:szCs w:val="18"/>
          <w:color w:val="auto"/>
        </w:rPr>
        <w:t>Federal-Mogul is subject to a variety of federal, state and local environmental laws and regulations relating to the release or discharge of materials into the environment, the management, use, processing, handling, storage, transport or disposal of hazardous waste materials, or otherwise relating to the protection of public and employee health, safety and the environment. These laws and regulations expose Federal-Mogul to liability for the environmental condition of its current facilities, and also may expose Federal-Mogul to liability for the conduct of others or for Federal-Mogul's actions that were in compliance with all applicable laws at the time these actions were taken. These laws and regulations also may expose Federal-Mogul to liability for claims of personal injury or property damage related to alleged exposure to hazardous or toxic materials in foreign countries. Despite Federal-Mogul's intention to be in compliance with all such laws and regulations, Federal-Mogul cannot guarantee that it will at all times be in compliance with all such requirements. The cost of complying with these requirements may also increase substantially in future years. If Federal-Mogul violates or fails to comply with these requirements, Federal-Mogul could be fined or otherwise sanctioned by regulators. These requirements are complex, change frequently and may become more stringent over time, which could have a material adverse effect on its business.</w:t>
      </w:r>
    </w:p>
    <w:p>
      <w:pPr>
        <w:spacing w:after="0" w:line="78" w:lineRule="exact"/>
        <w:rPr>
          <w:sz w:val="20"/>
          <w:szCs w:val="20"/>
          <w:color w:val="auto"/>
        </w:rPr>
      </w:pPr>
    </w:p>
    <w:p>
      <w:pPr>
        <w:ind w:right="220" w:firstLine="378"/>
        <w:spacing w:after="0" w:line="258" w:lineRule="auto"/>
        <w:rPr>
          <w:sz w:val="20"/>
          <w:szCs w:val="20"/>
          <w:color w:val="auto"/>
        </w:rPr>
      </w:pPr>
      <w:r>
        <w:rPr>
          <w:rFonts w:ascii="Times New Roman" w:cs="Times New Roman" w:eastAsia="Times New Roman" w:hAnsi="Times New Roman"/>
          <w:sz w:val="18"/>
          <w:szCs w:val="18"/>
          <w:color w:val="auto"/>
        </w:rPr>
        <w:t>Federal-Mogul's failure to maintain and comply with environmental permits that it is required to maintain could result in fines or penalties or other sanctions and have a material adverse effect on its operations or results. Future events, such as new environmental regulations or changes in or modified interpretations of existing laws and regulations or enforcement policies, newly discovered information or further investigation or evaluation of the potential health hazards of products or business activities, may give rise to additional compliance and other costs that could have a material adverse effect on our Automotive operations.</w:t>
      </w:r>
    </w:p>
    <w:p>
      <w:pPr>
        <w:spacing w:after="0" w:line="76" w:lineRule="exact"/>
        <w:rPr>
          <w:sz w:val="20"/>
          <w:szCs w:val="20"/>
          <w:color w:val="auto"/>
        </w:rPr>
      </w:pPr>
    </w:p>
    <w:p>
      <w:pPr>
        <w:ind w:right="20" w:firstLine="378"/>
        <w:spacing w:after="0" w:line="256" w:lineRule="auto"/>
        <w:rPr>
          <w:sz w:val="20"/>
          <w:szCs w:val="20"/>
          <w:color w:val="auto"/>
        </w:rPr>
      </w:pPr>
      <w:r>
        <w:rPr>
          <w:rFonts w:ascii="Times New Roman" w:cs="Times New Roman" w:eastAsia="Times New Roman" w:hAnsi="Times New Roman"/>
          <w:sz w:val="18"/>
          <w:szCs w:val="18"/>
          <w:color w:val="auto"/>
        </w:rPr>
        <w:t>New regulations related to “conflict minerals” may force us to incur additional expenses and may make Federal-Mogul’s supply chain more complex. In August 2012 the SEC adopted annual disclosure and reporting requirements for those companies who use certain minerals known as “conflict minerals” mined from the Democratic Republic of Congo and adjoining countries in their products. These new requirements required due diligence efforts in 2013, with initial disclosure requirements beginning in 2014. There will be significant costs associated with complying with these disclosure requirements, including for diligence to determine the sources of conflict minerals used in Federal-Mogul’s products and other potential changes to products, processes or sources of supply as a consequence of such verification activities.</w:t>
      </w:r>
    </w:p>
    <w:p>
      <w:pPr>
        <w:spacing w:after="0" w:line="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Federal-Mogul is involved from time to time in legal proceedings and commercial or contractual disputes, which could have an adverse impact on its profitability and consolidated financial position.</w:t>
      </w:r>
    </w:p>
    <w:p>
      <w:pPr>
        <w:spacing w:after="0" w:line="51" w:lineRule="exact"/>
        <w:rPr>
          <w:sz w:val="20"/>
          <w:szCs w:val="20"/>
          <w:color w:val="auto"/>
        </w:rPr>
      </w:pPr>
    </w:p>
    <w:p>
      <w:pPr>
        <w:ind w:right="500" w:firstLine="378"/>
        <w:spacing w:after="0" w:line="261" w:lineRule="auto"/>
        <w:rPr>
          <w:sz w:val="20"/>
          <w:szCs w:val="20"/>
          <w:color w:val="auto"/>
        </w:rPr>
      </w:pPr>
      <w:r>
        <w:rPr>
          <w:rFonts w:ascii="Times New Roman" w:cs="Times New Roman" w:eastAsia="Times New Roman" w:hAnsi="Times New Roman"/>
          <w:sz w:val="18"/>
          <w:szCs w:val="18"/>
          <w:color w:val="auto"/>
        </w:rPr>
        <w:t>Federal-Mogul is involved in legal proceedings and commercial or contractual disputes that, from time to time, are significant. These are typically claims that arise in the normal course of business including, without limitation, commercial or contractual disputes, including disputes with suppliers, intellectual property matters, personal injury claims, environmental issues, tax matters and employment matters. No assurances can be given that such proceedings and claims will not have a material adverse impact on our Automotive operations.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72" w:right="239" w:bottom="1440" w:gutter="0" w:footer="0" w:header="0"/>
        </w:sectPr>
      </w:pPr>
    </w:p>
    <w:bookmarkStart w:id="39" w:name="page40"/>
    <w:bookmarkEnd w:id="39"/>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Federal-Mogul is unable to protect its intellectual property and prevent its improper use by third parties, its ability to compete in the market may be harmed.</w:t>
      </w:r>
    </w:p>
    <w:p>
      <w:pPr>
        <w:spacing w:after="0" w:line="51" w:lineRule="exact"/>
        <w:rPr>
          <w:sz w:val="20"/>
          <w:szCs w:val="20"/>
          <w:color w:val="auto"/>
        </w:rPr>
      </w:pPr>
    </w:p>
    <w:p>
      <w:pPr>
        <w:ind w:right="120" w:firstLine="378"/>
        <w:spacing w:after="0" w:line="266" w:lineRule="auto"/>
        <w:rPr>
          <w:sz w:val="20"/>
          <w:szCs w:val="20"/>
          <w:color w:val="auto"/>
        </w:rPr>
      </w:pPr>
      <w:r>
        <w:rPr>
          <w:rFonts w:ascii="Times New Roman" w:cs="Times New Roman" w:eastAsia="Times New Roman" w:hAnsi="Times New Roman"/>
          <w:sz w:val="18"/>
          <w:szCs w:val="18"/>
          <w:color w:val="auto"/>
        </w:rPr>
        <w:t>Various patent, copyright, trade secret and trademark laws afford only limited protection and may not prevent Federal-Mogul's competitors from duplicating its products or gaining access to its proprietary information and technology. These means also may not permit Federal-Mogul to gain or maintain a competitive advantage.</w:t>
      </w:r>
    </w:p>
    <w:p>
      <w:pPr>
        <w:spacing w:after="0" w:line="68"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Any of Federal-Mogul's patents may be challenged, invalidated, circumvented or rendered unenforceable. Federal-Mogul cannot guarantee that it will be successful should one or more of its patents be challenged for any reason and countries outside the United States may diminish the protection of its patents. If Federal-Mogul's patent claims are rendered invalid or unenforceable, or narrowed in scope, the patent coverage afforded to Federal-Mogul's products could be impaired, which could significantly impede Federal-Mogul's ability to market its products, negatively affect its competitive position and materially adversely affect our Automotive operations.</w:t>
      </w:r>
    </w:p>
    <w:p>
      <w:pPr>
        <w:spacing w:after="0" w:line="76" w:lineRule="exact"/>
        <w:rPr>
          <w:sz w:val="20"/>
          <w:szCs w:val="20"/>
          <w:color w:val="auto"/>
        </w:rPr>
      </w:pPr>
    </w:p>
    <w:p>
      <w:pPr>
        <w:ind w:right="60" w:firstLine="378"/>
        <w:spacing w:after="0" w:line="255" w:lineRule="auto"/>
        <w:rPr>
          <w:sz w:val="20"/>
          <w:szCs w:val="20"/>
          <w:color w:val="auto"/>
        </w:rPr>
      </w:pPr>
      <w:r>
        <w:rPr>
          <w:rFonts w:ascii="Times New Roman" w:cs="Times New Roman" w:eastAsia="Times New Roman" w:hAnsi="Times New Roman"/>
          <w:sz w:val="18"/>
          <w:szCs w:val="18"/>
          <w:color w:val="auto"/>
        </w:rPr>
        <w:t>Federal-Mogul's pending or future patent applications may not result in an issued patent. Additionally, newly issued patents may not provide Federal-Mogul with meaningful protection against competitors or against competitive technologies. Courts in the United States and in other countries may invalidate Federal-Mogul's patents or find them unenforceable. Competitors may also be able to design around Federal-Mogul's patents. Other parties may develop and obtain patent protection for more effective technologies, designs or methods. If these developments were to occur, it could have an adverse effect on its sales. If Federal-Mogul's intellectual property rights are not adequately protected, it may not be able to commercialize its technologies, products or services and its competitors could commercialize its technologies, which could result in a decrease in Federal-Mogul's sales and market share, and could materially adversely affect our Automotive operations.</w:t>
      </w:r>
    </w:p>
    <w:p>
      <w:pPr>
        <w:spacing w:after="0" w:line="7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Federal-Mogul's products could infringe the intellectual property rights of others, which may lead to litigation that could itself be costly, could result in the payment of substantial damages or royalties, and could prevent Federal-Mogul from using technology that is essential to its products.</w:t>
      </w:r>
    </w:p>
    <w:p>
      <w:pPr>
        <w:spacing w:after="0" w:line="51" w:lineRule="exact"/>
        <w:rPr>
          <w:sz w:val="20"/>
          <w:szCs w:val="20"/>
          <w:color w:val="auto"/>
        </w:rPr>
      </w:pPr>
    </w:p>
    <w:p>
      <w:pPr>
        <w:ind w:right="200" w:firstLine="378"/>
        <w:spacing w:after="0" w:line="261" w:lineRule="auto"/>
        <w:rPr>
          <w:sz w:val="20"/>
          <w:szCs w:val="20"/>
          <w:color w:val="auto"/>
        </w:rPr>
      </w:pPr>
      <w:r>
        <w:rPr>
          <w:rFonts w:ascii="Times New Roman" w:cs="Times New Roman" w:eastAsia="Times New Roman" w:hAnsi="Times New Roman"/>
          <w:sz w:val="18"/>
          <w:szCs w:val="18"/>
          <w:color w:val="auto"/>
        </w:rPr>
        <w:t>Federal-Mogul cannot guarantee that its products, manufacturing processes or other methods do not infringe the patents or other intellectual property rights of third parties. Infringement and other intellectual property claims and proceedings brought against Federal-Mogul, whether successful or not, could result in substantial costs and harm its reputation. Such claims and proceedings can also distract and divert management and key personnel from other tasks important to the success of its business. In addition, intellectual property litigation or claims could force Federal-Mogul to do one or more of the following:</w:t>
      </w:r>
    </w:p>
    <w:p>
      <w:pPr>
        <w:spacing w:after="0" w:line="72" w:lineRule="exact"/>
        <w:rPr>
          <w:sz w:val="20"/>
          <w:szCs w:val="20"/>
          <w:color w:val="auto"/>
        </w:rPr>
      </w:pPr>
    </w:p>
    <w:p>
      <w:pPr>
        <w:ind w:left="660" w:hanging="24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any of products that incorporate the asserted intellectual property, which would adversely affect Federal-Mogul's revenue;</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117" w:lineRule="exact"/>
        <w:rPr>
          <w:rFonts w:ascii="Times New Roman" w:cs="Times New Roman" w:eastAsia="Times New Roman" w:hAnsi="Times New Roman"/>
          <w:sz w:val="18"/>
          <w:szCs w:val="18"/>
          <w:color w:val="auto"/>
        </w:rPr>
      </w:pPr>
    </w:p>
    <w:p>
      <w:pPr>
        <w:ind w:left="660" w:right="240" w:hanging="247"/>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or rename, in the case of trademark claims, products to avoid infringing the intellectual property rights of third parties, which may not be possible and could be costly and time-consuming if it is possible to do.</w:t>
      </w:r>
    </w:p>
    <w:p>
      <w:pPr>
        <w:spacing w:after="0" w:line="54" w:lineRule="exact"/>
        <w:rPr>
          <w:sz w:val="20"/>
          <w:szCs w:val="20"/>
          <w:color w:val="auto"/>
        </w:rPr>
      </w:pPr>
    </w:p>
    <w:p>
      <w:pPr>
        <w:ind w:right="640" w:firstLine="378"/>
        <w:spacing w:after="0" w:line="282" w:lineRule="auto"/>
        <w:rPr>
          <w:sz w:val="20"/>
          <w:szCs w:val="20"/>
          <w:color w:val="auto"/>
        </w:rPr>
      </w:pPr>
      <w:r>
        <w:rPr>
          <w:rFonts w:ascii="Times New Roman" w:cs="Times New Roman" w:eastAsia="Times New Roman" w:hAnsi="Times New Roman"/>
          <w:sz w:val="18"/>
          <w:szCs w:val="18"/>
          <w:color w:val="auto"/>
        </w:rPr>
        <w:t>In the event of an adverse determination in an intellectual property suit or proceeding, or Federal-Mogul's failure to license essential technology, Federal-Mogul's sales could be harmed and its costs could increase, which could materially adversely affect our Automotive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Federal-Mogul may be exposed to certain regulatory and financial risks related to climate change.</w:t>
      </w:r>
    </w:p>
    <w:p>
      <w:pPr>
        <w:spacing w:after="0" w:line="121" w:lineRule="exact"/>
        <w:rPr>
          <w:sz w:val="20"/>
          <w:szCs w:val="20"/>
          <w:color w:val="auto"/>
        </w:rPr>
      </w:pPr>
    </w:p>
    <w:p>
      <w:pPr>
        <w:ind w:right="40" w:firstLine="378"/>
        <w:spacing w:after="0" w:line="258" w:lineRule="auto"/>
        <w:rPr>
          <w:sz w:val="20"/>
          <w:szCs w:val="20"/>
          <w:color w:val="auto"/>
        </w:rPr>
      </w:pPr>
      <w:r>
        <w:rPr>
          <w:rFonts w:ascii="Times New Roman" w:cs="Times New Roman" w:eastAsia="Times New Roman" w:hAnsi="Times New Roman"/>
          <w:sz w:val="18"/>
          <w:szCs w:val="18"/>
          <w:color w:val="auto"/>
        </w:rPr>
        <w:t>Climate change is continuing to receive ever increasing attention worldwide. Many scientists, legislators and others attribute climate change to increased levels of greenhouse gases, including carbon dioxide, which could lead to additional legislative and regulatory efforts to limit greenhouse gas emissions. The focus on emissions could increase costs associated with Federal-Mogul's operations, including costs for raw materials and transportation. Because the scope of future laws in this area is uncertain, we cannot predict the potential impact of such laws on our operations' future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68"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Energy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Energy Segment as a Whole</w:t>
      </w:r>
    </w:p>
    <w:p>
      <w:pPr>
        <w:spacing w:after="0" w:line="200" w:lineRule="exact"/>
        <w:rPr>
          <w:sz w:val="20"/>
          <w:szCs w:val="20"/>
          <w:color w:val="auto"/>
        </w:rPr>
      </w:pPr>
    </w:p>
    <w:p>
      <w:pPr>
        <w:spacing w:after="0" w:line="24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Instability and volatility in the capital, credit and commodity markets in the global economy could negatively impact our Energy segment's business, financial condition, results of operations and cash flows.</w:t>
      </w:r>
    </w:p>
    <w:p>
      <w:pPr>
        <w:spacing w:after="0" w:line="51" w:lineRule="exact"/>
        <w:rPr>
          <w:sz w:val="20"/>
          <w:szCs w:val="20"/>
          <w:color w:val="auto"/>
        </w:rPr>
      </w:pPr>
    </w:p>
    <w:p>
      <w:pPr>
        <w:ind w:right="280" w:firstLine="378"/>
        <w:spacing w:after="0" w:line="282" w:lineRule="auto"/>
        <w:rPr>
          <w:sz w:val="20"/>
          <w:szCs w:val="20"/>
          <w:color w:val="auto"/>
        </w:rPr>
      </w:pPr>
      <w:r>
        <w:rPr>
          <w:rFonts w:ascii="Times New Roman" w:cs="Times New Roman" w:eastAsia="Times New Roman" w:hAnsi="Times New Roman"/>
          <w:sz w:val="18"/>
          <w:szCs w:val="18"/>
          <w:color w:val="auto"/>
        </w:rPr>
        <w:t>Our Energy segment's business, financial condition and results of operations could be negatively impacted by difficult conditions and volatility in the capital, credit and commodities markets and in the global economy. For example:</w:t>
      </w:r>
    </w:p>
    <w:p>
      <w:pPr>
        <w:spacing w:after="0" w:line="54" w:lineRule="exact"/>
        <w:rPr>
          <w:sz w:val="20"/>
          <w:szCs w:val="20"/>
          <w:color w:val="auto"/>
        </w:rPr>
      </w:pPr>
    </w:p>
    <w:p>
      <w:pPr>
        <w:ind w:left="660" w:right="60" w:hanging="247"/>
        <w:spacing w:after="0" w:line="25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CVR believes the petroleum business has sufficient liquidity under its ABL credit facility and the intercompany credit facility to operate both the Coffeyville and Wynnewood refineries, and that the nitrogen fertilizer business has sufficient liquidity under its revolving credit facility to run the nitrogen fertilizer business, under extreme market conditions there can be no assurance that such funds would be available or sufficient, and in such a case, CVR may not be able to successfully obtain additional financing on favorable terms, or at all. Furthermore, the nitrogen fertilizer business' credit facility matures in April 2016 and there can be no assurance that it will be able to refinance its $125 million of outstanding term loan debt or obtain a new revolving credit facility on similar terms or at all.</w:t>
      </w:r>
    </w:p>
    <w:p>
      <w:pPr>
        <w:spacing w:after="0" w:line="79" w:lineRule="exact"/>
        <w:rPr>
          <w:rFonts w:ascii="Times New Roman" w:cs="Times New Roman" w:eastAsia="Times New Roman" w:hAnsi="Times New Roman"/>
          <w:sz w:val="18"/>
          <w:szCs w:val="18"/>
          <w:color w:val="auto"/>
        </w:rPr>
      </w:pPr>
    </w:p>
    <w:p>
      <w:pPr>
        <w:ind w:left="660" w:hanging="247"/>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volatility could exert downward pressure on the price of CVR Refining's and CVR Partners' common units, which may make it more difficult for either or both of them to raise additional capital and thereby limit their ability to grow, which could in turn cause CVR's stock price to drop;</w:t>
      </w:r>
    </w:p>
    <w:p>
      <w:pPr>
        <w:spacing w:after="0" w:line="53" w:lineRule="exact"/>
        <w:rPr>
          <w:rFonts w:ascii="Times New Roman" w:cs="Times New Roman" w:eastAsia="Times New Roman" w:hAnsi="Times New Roman"/>
          <w:sz w:val="18"/>
          <w:szCs w:val="18"/>
          <w:color w:val="auto"/>
        </w:rPr>
      </w:pPr>
    </w:p>
    <w:p>
      <w:pPr>
        <w:ind w:left="660" w:right="60" w:hanging="247"/>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petroleum business' and nitrogen fertilizer business' credit facilities contain various covenants that must be complied with, and if either business is not in compliance, there can be no assurance that either business would be able to successfully amend the agreement in the future. Further, any such amendment may be expensive. In addition, any new credit facility the petroleum business or nitrogen fertilizer business may enter into may require them to agree to additional covenants; and</w:t>
      </w:r>
    </w:p>
    <w:p>
      <w:pPr>
        <w:spacing w:after="0" w:line="71" w:lineRule="exact"/>
        <w:rPr>
          <w:rFonts w:ascii="Times New Roman" w:cs="Times New Roman" w:eastAsia="Times New Roman" w:hAnsi="Times New Roman"/>
          <w:sz w:val="18"/>
          <w:szCs w:val="18"/>
          <w:color w:val="auto"/>
        </w:rPr>
      </w:pPr>
    </w:p>
    <w:p>
      <w:pPr>
        <w:ind w:left="660" w:right="140" w:hanging="247"/>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could result in significant customers experiencing financial difficulties. CVR is exposed to the credit risk of its customers, and their failure to meet their financial obligations when due because of bankruptcy, lack of liquidity, operational failure or other reasons could result in decreased sales and earnings for CVR.</w:t>
      </w:r>
    </w:p>
    <w:p>
      <w:pPr>
        <w:spacing w:after="0" w:line="9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refineries and nitrogen fertilizer facility face significant risks due to physical damage hazards, environmental liability risk exposure, and unplanned or emergency partial or total plant shutdowns resulting in business interruptions. CVR could incur potentially significant costs to the extent there are unforeseen events which cause property damage and potentially a significant reduction in revenues from a material decline in production which are not fully insured. The commercial insurance industry engaged in underwriting energy industry risk is specialized and there is finite capacity; therefore, the industry may limit or curtail coverage, may modify the coverage provided or may substantially increase premiums in the future.</w:t>
      </w:r>
    </w:p>
    <w:p>
      <w:pPr>
        <w:spacing w:after="0" w:line="211" w:lineRule="exact"/>
        <w:rPr>
          <w:sz w:val="20"/>
          <w:szCs w:val="20"/>
          <w:color w:val="auto"/>
        </w:rPr>
      </w:pPr>
    </w:p>
    <w:p>
      <w:pPr>
        <w:ind w:right="60" w:firstLine="378"/>
        <w:spacing w:after="0" w:line="256" w:lineRule="auto"/>
        <w:rPr>
          <w:sz w:val="20"/>
          <w:szCs w:val="20"/>
          <w:color w:val="auto"/>
        </w:rPr>
      </w:pPr>
      <w:r>
        <w:rPr>
          <w:rFonts w:ascii="Times New Roman" w:cs="Times New Roman" w:eastAsia="Times New Roman" w:hAnsi="Times New Roman"/>
          <w:sz w:val="18"/>
          <w:szCs w:val="18"/>
          <w:color w:val="auto"/>
        </w:rPr>
        <w:t>If any of CVR’s production plants, logistics assets, key pipeline operations serving its plants, or key suppliers sustains a catastrophic loss and operations are shut down or significantly impaired, it would have a material adverse impact on our Energy segment’s operations, financial condition and cash flows. In addition, the risk exposures CVR has at the Coffeyville, Kansas plant complex are greater due to production facilities for refinery and fertilizer production, distribution and storage being in relatively close proximity and potentially exposed to damage from one incident, such as resulting damages from the perils of explosion, windstorm, fire, or flood. Operations at either or both of the refineries and the nitrogen fertilizer plant could be curtailed, limited or completely shut down for an extended period of time as the result of one or more unforeseen events and circumstances, which may not be within our control, including:</w:t>
      </w:r>
    </w:p>
    <w:p>
      <w:pPr>
        <w:spacing w:after="0" w:line="80" w:lineRule="exact"/>
        <w:rPr>
          <w:sz w:val="20"/>
          <w:szCs w:val="20"/>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unplanned maintenance requirements;</w:t>
      </w:r>
    </w:p>
    <w:p>
      <w:pPr>
        <w:spacing w:after="0" w:line="117" w:lineRule="exact"/>
        <w:rPr>
          <w:rFonts w:ascii="Times New Roman" w:cs="Times New Roman" w:eastAsia="Times New Roman" w:hAnsi="Times New Roman"/>
          <w:sz w:val="18"/>
          <w:szCs w:val="18"/>
          <w:color w:val="auto"/>
        </w:rPr>
      </w:pPr>
    </w:p>
    <w:p>
      <w:pPr>
        <w:ind w:left="660" w:right="220" w:hanging="247"/>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caused by mechanical breakdown, electrical injury, pressure vessel rupture, explosion, contamination, fire, or natural disasters, including, floods, windstorms and other similar events;</w:t>
      </w:r>
    </w:p>
    <w:p>
      <w:pPr>
        <w:spacing w:after="0" w:line="5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supply shortages, or labor contract disputes that result in a work stoppage or slowdown;</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cessation or suspension of a plant or specific operations dictated by environmental authorities; and</w:t>
      </w:r>
    </w:p>
    <w:p>
      <w:pPr>
        <w:spacing w:after="0" w:line="117" w:lineRule="exact"/>
        <w:rPr>
          <w:rFonts w:ascii="Times New Roman" w:cs="Times New Roman" w:eastAsia="Times New Roman" w:hAnsi="Times New Roman"/>
          <w:sz w:val="18"/>
          <w:szCs w:val="18"/>
          <w:color w:val="auto"/>
        </w:rPr>
      </w:pPr>
    </w:p>
    <w:p>
      <w:pPr>
        <w:ind w:left="660" w:right="560" w:hanging="247"/>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or incident involving a large clean-up, decontamination, or the imposition of laws and ordinances regulating the cost and schedule of demolition or reconstruction, which can cause significant delays in restoring property to its pre-loss condition.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360" w:right="239" w:bottom="1440" w:gutter="0" w:footer="0" w:header="0"/>
        </w:sectPr>
      </w:pPr>
    </w:p>
    <w:bookmarkStart w:id="41" w:name="page42"/>
    <w:bookmarkEnd w:id="41"/>
    <w:p>
      <w:pPr>
        <w:ind w:right="300" w:firstLine="378"/>
        <w:spacing w:after="0" w:line="282" w:lineRule="auto"/>
        <w:rPr>
          <w:sz w:val="20"/>
          <w:szCs w:val="20"/>
          <w:color w:val="auto"/>
        </w:rPr>
      </w:pPr>
      <w:r>
        <w:rPr>
          <w:rFonts w:ascii="Times New Roman" w:cs="Times New Roman" w:eastAsia="Times New Roman" w:hAnsi="Times New Roman"/>
          <w:sz w:val="18"/>
          <w:szCs w:val="18"/>
          <w:color w:val="auto"/>
        </w:rPr>
        <w:t>CVR has sustained losses over the past ten-year period at its plants, which are illustrative of the types of risks and hazards that exist. These losses or events resulted in costs assumed by us that were not fully insured due to policy retentions or applicable exclusions. These events were as follows:</w:t>
      </w:r>
    </w:p>
    <w:p>
      <w:pPr>
        <w:spacing w:after="0" w:line="54" w:lineRule="exact"/>
        <w:rPr>
          <w:sz w:val="20"/>
          <w:szCs w:val="20"/>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2007: Coffeyville refinery and nitrogen fertilizer plant; flood;</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2010: Nitrogen fertilizer plant; secondary urea reactor rupture;</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2010: Coffeyville refinery; FCCU fire;</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2010: Wynnewood refinery; hydrocracker unit fire;</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2012: Wynnewood refinery boiler explosion;</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July/August 2013: Coffeyville refinery; FCCU outage; and</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2014: Coffeyville refinery; isomerization unit fire.</w:t>
      </w:r>
    </w:p>
    <w:p>
      <w:pPr>
        <w:spacing w:after="0" w:line="117"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Currently, CVR is insured under casualty, environmental, property and business interruption insurance policies. The property and business interruption coverage has a combined policy limit of $1.0 billion. The property and business interruption insurance policies contain limits and sub-limits which insure all of CVR's assets. There is potential for a common occurrence to impact both the nitrogen fertilizer plant and Coffeyville refinery in which case the insurance limitations would apply to all damages combined. Under this insurance program, there is a $10.0 million property damage retention for all properties ($2.5 million in respect of the nitrogen fertilizer plant). For business interruption losses, the insurance program has a 45-day waiting period retention for any one occurrence. In addition, the insurance policies contain a schedule of sub-limits which apply to certain specific perils or areas of coverage. Sub-limits which may be of importance depending on the nature and extent of a particular insured occurrence are: flood, earthquake, contingent business interruption insuring key suppliers, pipelines and customers, debris removal, decontamination, demolition and increased cost of construction due to law and ordinance, and others. Such conditions, limits and sub-limits could materially impact insurance recoveries and potentially cause CVR to assume losses which could impair earnings.</w:t>
      </w:r>
    </w:p>
    <w:p>
      <w:pPr>
        <w:spacing w:after="0" w:line="81" w:lineRule="exact"/>
        <w:rPr>
          <w:sz w:val="20"/>
          <w:szCs w:val="20"/>
          <w:color w:val="auto"/>
        </w:rPr>
      </w:pPr>
    </w:p>
    <w:p>
      <w:pPr>
        <w:ind w:right="240" w:firstLine="378"/>
        <w:spacing w:after="0" w:line="256" w:lineRule="auto"/>
        <w:rPr>
          <w:sz w:val="20"/>
          <w:szCs w:val="20"/>
          <w:color w:val="auto"/>
        </w:rPr>
      </w:pPr>
      <w:r>
        <w:rPr>
          <w:rFonts w:ascii="Times New Roman" w:cs="Times New Roman" w:eastAsia="Times New Roman" w:hAnsi="Times New Roman"/>
          <w:sz w:val="18"/>
          <w:szCs w:val="18"/>
          <w:color w:val="auto"/>
        </w:rPr>
        <w:t>There is finite capacity in the commercial insurance industry engaged in underwriting energy industry risk, and there are risks associated with the commercial insurance industry reducing capacity, changing the scope of insurance coverage offered, and substantially increasing premiums due to adverse loss experience or other financial circumstances. Factors that impact insurance cost and availability include, but are not limited to: industry wide losses, natural disasters, specific losses incurred by CVR and the investment returns earned by the insurance industry. If the supply of commercial insurance is curtailed due to highly adverse financial results, CVR may not be able to continue our present limits of insurance coverage or obtain sufficient insurance capacity to adequately insure our risks for property damage or business interruption.</w:t>
      </w:r>
    </w:p>
    <w:p>
      <w:pPr>
        <w:spacing w:after="0" w:line="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laws and regulations could require CVR to make substantial capital expenditures to remain in compliance or to remediate current or future contamination that could give rise to material liabilities.</w:t>
      </w:r>
    </w:p>
    <w:p>
      <w:pPr>
        <w:spacing w:after="0" w:line="51" w:lineRule="exact"/>
        <w:rPr>
          <w:sz w:val="20"/>
          <w:szCs w:val="20"/>
          <w:color w:val="auto"/>
        </w:rPr>
      </w:pPr>
    </w:p>
    <w:p>
      <w:pPr>
        <w:ind w:right="60" w:firstLine="378"/>
        <w:spacing w:after="0" w:line="281" w:lineRule="auto"/>
        <w:rPr>
          <w:sz w:val="20"/>
          <w:szCs w:val="20"/>
          <w:color w:val="auto"/>
        </w:rPr>
      </w:pPr>
      <w:r>
        <w:rPr>
          <w:rFonts w:ascii="Times New Roman" w:cs="Times New Roman" w:eastAsia="Times New Roman" w:hAnsi="Times New Roman"/>
          <w:sz w:val="17"/>
          <w:szCs w:val="17"/>
          <w:color w:val="auto"/>
        </w:rPr>
        <w:t>CVR's operations are subject to a variety of federal, state and local environmental laws and regulations relating to the protection of the environment, including those governing the emission or discharge of pollutants into the environment, product specifications and the generation, treatment, storage, transportation, disposal and remediation of solid and hazardous wastes. Violations of these laws and regulations or permit conditions can result in substantial penalties, injunctive orders compelling installation of additional controls, civil and criminal sanctions, permit revocations and/or facility shutdowns.</w:t>
      </w:r>
    </w:p>
    <w:p>
      <w:pPr>
        <w:spacing w:after="0" w:line="57" w:lineRule="exact"/>
        <w:rPr>
          <w:sz w:val="20"/>
          <w:szCs w:val="20"/>
          <w:color w:val="auto"/>
        </w:rPr>
      </w:pPr>
    </w:p>
    <w:p>
      <w:pPr>
        <w:ind w:right="60" w:firstLine="378"/>
        <w:spacing w:after="0" w:line="258" w:lineRule="auto"/>
        <w:rPr>
          <w:sz w:val="20"/>
          <w:szCs w:val="20"/>
          <w:color w:val="auto"/>
        </w:rPr>
      </w:pPr>
      <w:r>
        <w:rPr>
          <w:rFonts w:ascii="Times New Roman" w:cs="Times New Roman" w:eastAsia="Times New Roman" w:hAnsi="Times New Roman"/>
          <w:sz w:val="18"/>
          <w:szCs w:val="18"/>
          <w:color w:val="auto"/>
        </w:rPr>
        <w:t>In addition, new environmental laws and regulations, new interpretations of existing laws and regulations, increased governmental enforcement of laws and regulations or other developments could require CVR to make additional unforeseen expenditures. Many of these laws and regulations are becoming increasingly stringent, and the cost of compliance with these requirements can be expected to increase over time. The requirements to be met, as well as the technology and length of time available to meet those requirements, continue to develop and change. These expenditures or costs for environmental compliance could have a material adverse effect on our Energy segment's results of operations, financial condition and profitability.</w:t>
      </w:r>
    </w:p>
    <w:p>
      <w:pPr>
        <w:spacing w:after="0" w:line="76"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CVR's facilities operate under a number of federal and state permits, licenses and approvals with terms and conditions containing a significant number of prescriptive limits and performance standards in order to operate. All of these permits, licenses, approval limits and standards require a significant amount of monitoring, record-keeping and reporting in order to demonstrate compliance with the underlying permit, license, approval or standard. Noncompliance or incomplete documentation of CVR's compliance status may result in the imposition of fines, penalties and injunctive relief. Additionally, due to the nature of CVR's manufacturing and refining processes, there may be times when CVR is unable to meet the standards and terms and conditions of these permits, licenses and approvals due to operational upsets or malfunctions, which may lead to the imposition of fines and penalties or operating restrictions that may have a material adverse effect on CVR's ability to operate its facilities and accordingly its financial performance.</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60"/>
          </w:cols>
          <w:pgMar w:left="240" w:top="472"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CVR could incur significant cost in cleaning up contamination at its refineries, terminals, fertilizer plant and off-site locations.</w:t>
      </w:r>
    </w:p>
    <w:p>
      <w:pPr>
        <w:spacing w:after="0" w:line="121"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CVR’s businesses are subject to the occurrence of accidental spills, discharges or other releases of petroleum or hazardous substances into the environment. Past or future spills related to any of our current or former operations, including the refineries, pipelines, product terminals, fertilizer plant or transportation of products or hazardous substances from those facilities, may give rise to liability (including strict liability, or liability without fault, and potential clean-up responsibility) to governmental entities or private parties under federal, state or local environmental laws, as well as under common law. For example, CVR could be held strictly liable under CERCLA, and similar state statutes for past or future spills without regard to fault or whether our actions were in compliance with the law at the time of the spills. Pursuant to CERCLA and similar state statutes, CVR could be held liable for contamination associated with facilities it currently owns or operates (whether or not such contamination occurred prior to our acquisition thereof), facilities it formerly owned or operated (if any) and facilities to which it transported or arranged for the transportation of wastes or byproducts containing hazardous substances for treatment, storage, or disposal.</w:t>
      </w:r>
    </w:p>
    <w:p>
      <w:pPr>
        <w:spacing w:after="0" w:line="81" w:lineRule="exact"/>
        <w:rPr>
          <w:sz w:val="20"/>
          <w:szCs w:val="20"/>
          <w:color w:val="auto"/>
        </w:rPr>
      </w:pPr>
    </w:p>
    <w:p>
      <w:pPr>
        <w:ind w:right="20" w:firstLine="378"/>
        <w:spacing w:after="0" w:line="256" w:lineRule="auto"/>
        <w:rPr>
          <w:sz w:val="20"/>
          <w:szCs w:val="20"/>
          <w:color w:val="auto"/>
        </w:rPr>
      </w:pPr>
      <w:r>
        <w:rPr>
          <w:rFonts w:ascii="Times New Roman" w:cs="Times New Roman" w:eastAsia="Times New Roman" w:hAnsi="Times New Roman"/>
          <w:sz w:val="18"/>
          <w:szCs w:val="18"/>
          <w:color w:val="auto"/>
        </w:rPr>
        <w:t>The potential penalties and clean-up costs for past or future releases or spills, liability to third parties for damage to their property or exposure to hazardous substances, or the need to address newly discovered information or conditions that may require response actions could be significant and could have a material adverse effect on our results of operations, financial condition and cash flows. In addition, CVR may incur liability for alleged personal injury or property damage due to exposure to chemicals or other hazardous substances located at or released from our facilities. CVR may also face liability for personal injury, property damage, natural resource damage or for clean-up costs for the alleged migration of contamination or other hazardous substances from its facilities to adjacent and other nearby properties.</w:t>
      </w:r>
    </w:p>
    <w:p>
      <w:pPr>
        <w:spacing w:after="0" w:line="80"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Four of our facilities, including the Coffeyville refinery, the now-closed Phillipsburg terminal (which operated as a refinery until 1991), the Wynnewood refinery and the nitrogen fertilizer plant, have environmental contamination. CVR has assumed Farmland's responsibilities under certain administrative orders under the RCRA related to contamination at or that originated from the Coffeyville refinery and the Phillipsburg terminal. The Coffeyville refinery has agreed to assume liability for contamination that migrated from the refinery onto the nitrogen fertilizer plant property while Farmland owned and operated the properties. The Wynnewood refinery is required to conduct investigations to address potential off-site migration of contaminants from the west side of the property. Other known areas of contamination at the Wynnewood refinery have been partially addressed but corrective action has not been completed, and some portions of the Wynnewood refinery have not yet been investigated to determine whether corrective action is necessary. If significant unknown liabilities are identified at or migrating from any of our facilities, that liability could have a material adverse effect on our results of operations, financial condition and cash flows and may not be covered by insurance.</w:t>
      </w:r>
    </w:p>
    <w:p>
      <w:pPr>
        <w:spacing w:after="0" w:line="81" w:lineRule="exact"/>
        <w:rPr>
          <w:sz w:val="20"/>
          <w:szCs w:val="20"/>
          <w:color w:val="auto"/>
        </w:rPr>
      </w:pPr>
    </w:p>
    <w:p>
      <w:pPr>
        <w:ind w:right="120" w:firstLine="378"/>
        <w:spacing w:after="0" w:line="261" w:lineRule="auto"/>
        <w:rPr>
          <w:sz w:val="20"/>
          <w:szCs w:val="20"/>
          <w:color w:val="auto"/>
        </w:rPr>
      </w:pPr>
      <w:r>
        <w:rPr>
          <w:rFonts w:ascii="Times New Roman" w:cs="Times New Roman" w:eastAsia="Times New Roman" w:hAnsi="Times New Roman"/>
          <w:sz w:val="18"/>
          <w:szCs w:val="18"/>
          <w:color w:val="auto"/>
        </w:rPr>
        <w:t>CVR may incur future liability relating to the off-site disposal of hazardous wastes. Companies that dispose of, or arrange for the treatment, transportation or disposal of, hazardous substances at off-site locations may be held jointly and severally liable for the costs of investigation and remediation of contamination at those off-site locations, regardless of fault. CVR could become involved in litigation or other proceedings involving off-site waste disposal and the damages or costs in any such proceedings could be material.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CVR may be unable to obtain or renew permits necessary for our Energy segment's operations, which could inhibit its ability to do business.</w:t>
      </w:r>
    </w:p>
    <w:p>
      <w:pPr>
        <w:spacing w:after="0" w:line="121"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CVR holds numerous environmental and other governmental permits and approvals authorizing operations at its facilities. Future expansion of CVR's operations is also predicated upon securing the necessary environmental or other permits or approvals. A decision by a government agency to deny or delay issuing a new or renewed material permit or approval, or to revoke or substantially modify an existing permit or approval, could have a material adverse effect on its ability to continue operations and on our Energy segment's financial condition, results of operations and cash flows. For example, WRC's OPDES permit has expired and is in the renewal process. At this time the Wynnewood refinery is operating under expired permit terms and conditions (called a permit shield) until the state regulatory agency renews the permit. The renewal permit may contain different terms and conditions that would require unplanned or unanticipated costs.</w:t>
      </w:r>
    </w:p>
    <w:p>
      <w:pPr>
        <w:spacing w:after="0" w:line="7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laws and regulations could have a material adverse effect on our Energy segment's results of operations, financial condition, and cash flows.</w:t>
      </w:r>
    </w:p>
    <w:p>
      <w:pPr>
        <w:spacing w:after="0" w:line="51" w:lineRule="exact"/>
        <w:rPr>
          <w:sz w:val="20"/>
          <w:szCs w:val="20"/>
          <w:color w:val="auto"/>
        </w:rPr>
      </w:pPr>
    </w:p>
    <w:p>
      <w:pPr>
        <w:ind w:right="240" w:firstLine="378"/>
        <w:spacing w:after="0" w:line="266" w:lineRule="auto"/>
        <w:rPr>
          <w:sz w:val="20"/>
          <w:szCs w:val="20"/>
          <w:color w:val="auto"/>
        </w:rPr>
      </w:pPr>
      <w:r>
        <w:rPr>
          <w:rFonts w:ascii="Times New Roman" w:cs="Times New Roman" w:eastAsia="Times New Roman" w:hAnsi="Times New Roman"/>
          <w:sz w:val="18"/>
          <w:szCs w:val="18"/>
          <w:color w:val="auto"/>
        </w:rPr>
        <w:t>Various regulatory and legislative measures to address GHG emissions (including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methane and nitrous oxides) are in different phases of implementation or discussion. In the aftermath of its 2009 "endangerment finding" that GHG emissions pose a threat to public health and welfare, the EPA has begun to regulate GHG emissions under the Clean Air Act.</w:t>
      </w:r>
    </w:p>
    <w:p>
      <w:pPr>
        <w:spacing w:after="0" w:line="68" w:lineRule="exact"/>
        <w:rPr>
          <w:sz w:val="20"/>
          <w:szCs w:val="20"/>
          <w:color w:val="auto"/>
        </w:rPr>
      </w:pPr>
    </w:p>
    <w:p>
      <w:pPr>
        <w:ind w:right="300" w:firstLine="378"/>
        <w:spacing w:after="0" w:line="266" w:lineRule="auto"/>
        <w:rPr>
          <w:sz w:val="20"/>
          <w:szCs w:val="20"/>
          <w:color w:val="auto"/>
        </w:rPr>
      </w:pPr>
      <w:r>
        <w:rPr>
          <w:rFonts w:ascii="Times New Roman" w:cs="Times New Roman" w:eastAsia="Times New Roman" w:hAnsi="Times New Roman"/>
          <w:sz w:val="18"/>
          <w:szCs w:val="18"/>
          <w:color w:val="auto"/>
        </w:rPr>
        <w:t>In October 2009, the EPA finalized a rule requiring certain large emitters of GHGs to inventory and report their GHG emissions to the EPA. In accordance with the rule, CVR has begun monitoring and reporting our GHG emissions to the EPA. In May 2010, the EPA finalized the "Greenhouse Gas Tailoring Rule," which established new GHG emissions thresholds that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68" w:right="259" w:bottom="1440" w:gutter="0" w:footer="0" w:header="0"/>
        </w:sectPr>
      </w:pPr>
    </w:p>
    <w:bookmarkStart w:id="43" w:name="page44"/>
    <w:bookmarkEnd w:id="43"/>
    <w:p>
      <w:pPr>
        <w:ind w:right="60"/>
        <w:spacing w:after="0" w:line="258" w:lineRule="auto"/>
        <w:rPr>
          <w:sz w:val="20"/>
          <w:szCs w:val="20"/>
          <w:color w:val="auto"/>
        </w:rPr>
      </w:pPr>
      <w:r>
        <w:rPr>
          <w:rFonts w:ascii="Times New Roman" w:cs="Times New Roman" w:eastAsia="Times New Roman" w:hAnsi="Times New Roman"/>
          <w:sz w:val="18"/>
          <w:szCs w:val="18"/>
          <w:color w:val="auto"/>
        </w:rPr>
        <w:t>determine when stationary sources, such as the refineries and the nitrogen fertilizer plant, must obtain permits under NSR and Title V programs of the federal Clean Air Act. The significance of the permitting requirement is that, in cases where a new source is constructed or an existing major source undergoes a major modification, facilities are required to undergo NSR review and evaluate and install air pollution controls to reduce GHG emissions. A major modification resulting in a significant increase in GHG emissions at the nitrogen fertilizer plant or the refineries may require the installation of air pollution controls as part of the permitting process.</w:t>
      </w:r>
    </w:p>
    <w:p>
      <w:pPr>
        <w:spacing w:after="0" w:line="76"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In the meantime, in December 2010, the EPA reached a settlement agreement with numerous parties under which it agreed to promulgate NSPS to regulate GHG emissions from petroleum refineries and electric utilities by November 2012. Although the EPA has proposed standards for electric utilities, it has not yet proposed NSPS standards to regulate GHG emissions from petroleum refineries. In September 2014, the EPA indicated that the petroleum refining sector risk rule, proposed in June 2014 to address air toxics and volatile organic compounds from refineries, may make it unnecessary for the EPA to regulate GHG emissions from petroleum refineries at this time. The proposed sector risk rule would place additional emission control requirements on storage tanks, flares and coking units at petroleum refineries. Therefore, CVR expects that the EPA will not be issuing NSPS standards to regulate GHG from the refineries at this time but that it may do so in the future.</w:t>
      </w:r>
    </w:p>
    <w:p>
      <w:pPr>
        <w:spacing w:after="0" w:line="81" w:lineRule="exact"/>
        <w:rPr>
          <w:sz w:val="20"/>
          <w:szCs w:val="20"/>
          <w:color w:val="auto"/>
        </w:rPr>
      </w:pPr>
    </w:p>
    <w:p>
      <w:pPr>
        <w:ind w:right="80" w:firstLine="378"/>
        <w:spacing w:after="0" w:line="261" w:lineRule="auto"/>
        <w:rPr>
          <w:sz w:val="20"/>
          <w:szCs w:val="20"/>
          <w:color w:val="auto"/>
        </w:rPr>
      </w:pPr>
      <w:r>
        <w:rPr>
          <w:rFonts w:ascii="Times New Roman" w:cs="Times New Roman" w:eastAsia="Times New Roman" w:hAnsi="Times New Roman"/>
          <w:sz w:val="18"/>
          <w:szCs w:val="18"/>
          <w:color w:val="auto"/>
        </w:rPr>
        <w:t>During a State of the Union address in January 2014 and again in January 2015, President Obama indicated that the United States should take action to address climate change. At the federal legislative level, this could mean Congressional passage of legislation adopting some form of federal mandatory GHG emission reduction, such as a nationwide cap-and-trade program. It is also possible that Congress may pass alternative climate change bills that do not mandate a nationwide cap-and-trade program and instead focus on promoting renewable energy and energy efficiency.</w:t>
      </w:r>
    </w:p>
    <w:p>
      <w:pPr>
        <w:spacing w:after="0" w:line="72" w:lineRule="exact"/>
        <w:rPr>
          <w:sz w:val="20"/>
          <w:szCs w:val="20"/>
          <w:color w:val="auto"/>
        </w:rPr>
      </w:pPr>
    </w:p>
    <w:p>
      <w:pPr>
        <w:ind w:right="60" w:firstLine="378"/>
        <w:spacing w:after="0" w:line="258" w:lineRule="auto"/>
        <w:rPr>
          <w:sz w:val="20"/>
          <w:szCs w:val="20"/>
          <w:color w:val="auto"/>
        </w:rPr>
      </w:pPr>
      <w:r>
        <w:rPr>
          <w:rFonts w:ascii="Times New Roman" w:cs="Times New Roman" w:eastAsia="Times New Roman" w:hAnsi="Times New Roman"/>
          <w:sz w:val="18"/>
          <w:szCs w:val="18"/>
          <w:color w:val="auto"/>
        </w:rPr>
        <w:t>In addition to potential federal legislation, a number of states have adopted regional greenhouse gas initiatives to reduce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and other GHG emissions. In 2007, a group of Midwest states, including Kansas (where the Coffeyville refinery and the nitrogen fertilizer facility are located), formed the Midwestern Greenhouse Gas Reduction Accord, which calls for the development of a cap-and-trade system to control GHG emissions and for the inventory of such emissions. However, the individual states that have signed on to the accord must adopt laws or regulations implementing the trading scheme before it becomes effective, and it is unclear whether Kansas intends to do so.</w:t>
      </w:r>
    </w:p>
    <w:p>
      <w:pPr>
        <w:spacing w:after="0" w:line="76" w:lineRule="exact"/>
        <w:rPr>
          <w:sz w:val="20"/>
          <w:szCs w:val="20"/>
          <w:color w:val="auto"/>
        </w:rPr>
      </w:pPr>
    </w:p>
    <w:p>
      <w:pPr>
        <w:ind w:right="120" w:firstLine="378"/>
        <w:spacing w:after="0" w:line="261" w:lineRule="auto"/>
        <w:rPr>
          <w:sz w:val="20"/>
          <w:szCs w:val="20"/>
          <w:color w:val="auto"/>
        </w:rPr>
      </w:pPr>
      <w:r>
        <w:rPr>
          <w:rFonts w:ascii="Times New Roman" w:cs="Times New Roman" w:eastAsia="Times New Roman" w:hAnsi="Times New Roman"/>
          <w:sz w:val="18"/>
          <w:szCs w:val="18"/>
          <w:color w:val="auto"/>
        </w:rPr>
        <w:t>Alternatively, the EPA may take further steps to regulate GHG emissions. The implementation of EPA regulations and/or the passage of federal or state climate change legislation may result in increased costs to (i) operate and maintain our facilities, (ii) install new emission controls on our facilities and</w:t>
      </w:r>
    </w:p>
    <w:p>
      <w:pPr>
        <w:ind w:right="200" w:firstLine="8"/>
        <w:spacing w:after="0" w:line="261" w:lineRule="auto"/>
        <w:tabs>
          <w:tab w:leader="none" w:pos="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and manage any GHG emissions program. Increased costs associated with compliance with any current or future legislation or regulation of GHG emissions, if it occurs, may have a material adverse effect on our Energy segment's results of operations, financial condition and cash flows.</w:t>
      </w:r>
    </w:p>
    <w:p>
      <w:pPr>
        <w:spacing w:after="0" w:line="72" w:lineRule="exact"/>
        <w:rPr>
          <w:sz w:val="20"/>
          <w:szCs w:val="20"/>
          <w:color w:val="auto"/>
        </w:rPr>
      </w:pPr>
    </w:p>
    <w:p>
      <w:pPr>
        <w:ind w:right="140" w:firstLine="378"/>
        <w:spacing w:after="0" w:line="266" w:lineRule="auto"/>
        <w:rPr>
          <w:sz w:val="20"/>
          <w:szCs w:val="20"/>
          <w:color w:val="auto"/>
        </w:rPr>
      </w:pPr>
      <w:r>
        <w:rPr>
          <w:rFonts w:ascii="Times New Roman" w:cs="Times New Roman" w:eastAsia="Times New Roman" w:hAnsi="Times New Roman"/>
          <w:sz w:val="18"/>
          <w:szCs w:val="18"/>
          <w:color w:val="auto"/>
        </w:rPr>
        <w:t>In addition, climate change legislation and regulations may result in increased costs not only for our business but also users of our refined and fertilizer products, thereby potentially decreasing demand for our products. Decreased demand for our products may have a material adverse effect on our Energy segment's results of operations, financial condition and cash flows.</w:t>
      </w:r>
    </w:p>
    <w:p>
      <w:pPr>
        <w:spacing w:after="0" w:line="6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CVR is subject to strict laws and regulations regarding employee and process safety, and failure to comply with these laws and regulations could have a material adverse effect on our results of Energy segment's operations, financial condition and profitability.</w:t>
      </w:r>
    </w:p>
    <w:p>
      <w:pPr>
        <w:spacing w:after="0" w:line="51" w:lineRule="exact"/>
        <w:rPr>
          <w:sz w:val="20"/>
          <w:szCs w:val="20"/>
          <w:color w:val="auto"/>
        </w:rPr>
      </w:pPr>
    </w:p>
    <w:p>
      <w:pPr>
        <w:ind w:right="40" w:firstLine="378"/>
        <w:spacing w:after="0" w:line="256" w:lineRule="auto"/>
        <w:rPr>
          <w:sz w:val="20"/>
          <w:szCs w:val="20"/>
          <w:color w:val="auto"/>
        </w:rPr>
      </w:pPr>
      <w:r>
        <w:rPr>
          <w:rFonts w:ascii="Times New Roman" w:cs="Times New Roman" w:eastAsia="Times New Roman" w:hAnsi="Times New Roman"/>
          <w:sz w:val="18"/>
          <w:szCs w:val="18"/>
          <w:color w:val="auto"/>
        </w:rPr>
        <w:t>CVR is subject to the requirements of OSHA and comparable state statutes that regulate the protection of the health and safety of workers, and the proper design, operation and maintenance of our equipment. In addition, OSHA and certain environmental regulations require that we maintain information about hazardous materials used or produced in our operations and that we provide this information to employees and state and local governmental authorities. Failure to comply with these requirements, including general industry standards, record keeping requirements and monitoring and control of occupational exposure to regulated substances, may result in significant fines or compliance costs, which could have a material adverse effect on our Energy segment's results of operations, financial condition and cash flows.</w:t>
      </w:r>
    </w:p>
    <w:p>
      <w:pPr>
        <w:spacing w:after="0" w:line="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could compromise CVR's information and expose it to liability, which would cause Energy operations' business and reputation to suffer.</w:t>
      </w:r>
    </w:p>
    <w:p>
      <w:pPr>
        <w:spacing w:after="0" w:line="51"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In the ordinary course of its business, CVR collects and stores sensitive data, including intellectual property, CVR's proprietary business information and that of its customers and suppliers, and personally identifiable information of its employees, in its facilities and on its networks. The secure processing, maintenance and transmission of this information is critical to CVR's operations. Despite CVR's security measures, its information technology and infrastructure may be vulnerable to attacks by hackers or breached due to employee error, malfeasance or other disruptions. Any such breach could compromise CVR's networks and the information stored there could be accessed, publicly disclosed, lost or stolen. Any such access, disclosure or other loss of information could result in legal claims or proceedings, disrupt our Energy segment's operations, damage CVR's reputation, and cause a loss of confidence, which could adversely affect its business.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72" w:right="259" w:bottom="1440" w:gutter="0" w:footer="0" w:header="0"/>
        </w:sectPr>
      </w:pPr>
    </w:p>
    <w:bookmarkStart w:id="44" w:name="page45"/>
    <w:bookmarkEnd w:id="44"/>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Deliberate, malicious acts, including terrorism, could damage CVR's facilities, disrupt its operations or injure employees, contractors, customers or the public and result in liability to our Energy operations.</w:t>
      </w:r>
    </w:p>
    <w:p>
      <w:pPr>
        <w:spacing w:after="0" w:line="51" w:lineRule="exact"/>
        <w:rPr>
          <w:sz w:val="20"/>
          <w:szCs w:val="20"/>
          <w:color w:val="auto"/>
        </w:rPr>
      </w:pPr>
    </w:p>
    <w:p>
      <w:pPr>
        <w:ind w:right="40" w:firstLine="378"/>
        <w:spacing w:after="0" w:line="258" w:lineRule="auto"/>
        <w:rPr>
          <w:sz w:val="20"/>
          <w:szCs w:val="20"/>
          <w:color w:val="auto"/>
        </w:rPr>
      </w:pPr>
      <w:r>
        <w:rPr>
          <w:rFonts w:ascii="Times New Roman" w:cs="Times New Roman" w:eastAsia="Times New Roman" w:hAnsi="Times New Roman"/>
          <w:sz w:val="18"/>
          <w:szCs w:val="18"/>
          <w:color w:val="auto"/>
        </w:rPr>
        <w:t>Intentional acts of destruction could hinder CVR's sales or production and disrupt its supply chain. CVR's facilities could be damaged or destroyed, reducing its operational production capacity and requiring it to repair or replace its facilities at substantial cost. Employees, contractors and the public could suffer substantial physical injury for which CVR could be liable. Governmental authorities may impose security or other requirements that could make CVR's operations more difficult or costly. The consequences of any such actions could adversely affect our Energy segment's operating results, financial condition and cash flows.</w:t>
      </w:r>
    </w:p>
    <w:p>
      <w:pPr>
        <w:spacing w:after="0" w:line="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Both the petroleum and nitrogen fertilizer businesses depend on significant customers and the loss of one or several significant customers may have a material adverse impact on our Energy segment's results of operations, financial condition and cash flows.</w:t>
      </w:r>
    </w:p>
    <w:p>
      <w:pPr>
        <w:spacing w:after="0" w:line="51"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The petroleum and nitrogen fertilizer businesses both have a significant concentration of customers. The five largest customers of the petroleum business represented 35% of its petroleum net sales for the year ended December 31, 2014. The five largest customers of the nitrogen fertilizer business represented approximately 41% of its net sales for the year ended December 31, 2014. One significant petroleum customer and two significant nitrogen fertilizer customers each account for more than 10% of petroleum and nitrogen fertilizer net sales. Given the nature of our businesses, and consistent with industry practice, we do not have long-term minimum purchase contracts with any of our customers. The loss of several of these significant customers, or a significant reduction in purchase volume by several of them, could have a material adverse effect on our Energy segment's results of operations, financial condition and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acquisition and expansion strategy of CVR's petroleum business and the nitrogen fertilizer business involves significant risks.</w:t>
      </w:r>
    </w:p>
    <w:p>
      <w:pPr>
        <w:spacing w:after="0" w:line="121" w:lineRule="exact"/>
        <w:rPr>
          <w:sz w:val="20"/>
          <w:szCs w:val="20"/>
          <w:color w:val="auto"/>
        </w:rPr>
      </w:pPr>
    </w:p>
    <w:p>
      <w:pPr>
        <w:ind w:right="60" w:firstLine="378"/>
        <w:spacing w:after="0" w:line="256" w:lineRule="auto"/>
        <w:rPr>
          <w:sz w:val="20"/>
          <w:szCs w:val="20"/>
          <w:color w:val="auto"/>
        </w:rPr>
      </w:pPr>
      <w:r>
        <w:rPr>
          <w:rFonts w:ascii="Times New Roman" w:cs="Times New Roman" w:eastAsia="Times New Roman" w:hAnsi="Times New Roman"/>
          <w:sz w:val="18"/>
          <w:szCs w:val="18"/>
          <w:color w:val="auto"/>
        </w:rPr>
        <w:t>Both CVR's petroleum business and the nitrogen fertilizer business will consider pursuing acquisitions and expansion projects in order to continue to grow and increase profitability. However, CVR may not be able to consummate such acquisitions or expansions, due to intense competition for suitable acquisition targets, the potential unavailability of financial resources necessary to consummate acquisitions and expansions, difficulties in identifying suitable acquisition targets and expansion projects or in completing any transactions identified on sufficiently favorable terms and the failure to obtain requisite regulatory or other governmental approvals. In addition, any future acquisitions and expansions may entail significant transaction costs and risks associated with entry into new markets and lines of business.</w:t>
      </w:r>
    </w:p>
    <w:p>
      <w:pPr>
        <w:spacing w:after="0" w:line="80" w:lineRule="exact"/>
        <w:rPr>
          <w:sz w:val="20"/>
          <w:szCs w:val="20"/>
          <w:color w:val="auto"/>
        </w:rPr>
      </w:pPr>
    </w:p>
    <w:p>
      <w:pPr>
        <w:jc w:val="both"/>
        <w:ind w:right="80" w:firstLine="378"/>
        <w:spacing w:after="0" w:line="261" w:lineRule="auto"/>
        <w:rPr>
          <w:sz w:val="20"/>
          <w:szCs w:val="20"/>
          <w:color w:val="auto"/>
        </w:rPr>
      </w:pPr>
      <w:r>
        <w:rPr>
          <w:rFonts w:ascii="Times New Roman" w:cs="Times New Roman" w:eastAsia="Times New Roman" w:hAnsi="Times New Roman"/>
          <w:sz w:val="18"/>
          <w:szCs w:val="18"/>
          <w:color w:val="auto"/>
        </w:rPr>
        <w:t>In February 2013, the nitrogen fertilizer business completed a significant two-year plant expansion designed to increase its UAN production capacity by 400,000 tons, or approximately 50% per year. The UAN expansion provides the nitrogen fertilizer business with the ability to upgrade substantially all of our ammonia production to UAN. If the premium that UAN currently earns over ammonia decreases, this expansion project may not yield the economic benefits and accretive effects that the nitrogen fertilizer business currently anticipates.</w:t>
      </w:r>
    </w:p>
    <w:p>
      <w:pPr>
        <w:spacing w:after="0" w:line="72" w:lineRule="exact"/>
        <w:rPr>
          <w:sz w:val="20"/>
          <w:szCs w:val="20"/>
          <w:color w:val="auto"/>
        </w:rPr>
      </w:pPr>
    </w:p>
    <w:p>
      <w:pPr>
        <w:ind w:right="560" w:firstLine="378"/>
        <w:spacing w:after="0" w:line="282" w:lineRule="auto"/>
        <w:rPr>
          <w:sz w:val="20"/>
          <w:szCs w:val="20"/>
          <w:color w:val="auto"/>
        </w:rPr>
      </w:pPr>
      <w:r>
        <w:rPr>
          <w:rFonts w:ascii="Times New Roman" w:cs="Times New Roman" w:eastAsia="Times New Roman" w:hAnsi="Times New Roman"/>
          <w:sz w:val="18"/>
          <w:szCs w:val="18"/>
          <w:color w:val="auto"/>
        </w:rPr>
        <w:t>In addition to the risks involved in identifying and completing acquisitions described above, even when acquisitions are completed, integration of acquired entities can involve significant difficulties, such as:</w:t>
      </w:r>
    </w:p>
    <w:p>
      <w:pPr>
        <w:spacing w:after="0" w:line="135" w:lineRule="exact"/>
        <w:rPr>
          <w:sz w:val="20"/>
          <w:szCs w:val="20"/>
          <w:color w:val="auto"/>
        </w:rPr>
      </w:pPr>
    </w:p>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in the integration of the acquired operations and disruption of the ongoing operations of CVR's business;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cost savings or other financial or operating objectives contributing to the accretive nature of an acquisition;</w:t>
      </w:r>
    </w:p>
    <w:p>
      <w:pPr>
        <w:spacing w:after="0" w:line="117" w:lineRule="exact"/>
        <w:rPr>
          <w:rFonts w:ascii="Times New Roman" w:cs="Times New Roman" w:eastAsia="Times New Roman" w:hAnsi="Times New Roman"/>
          <w:sz w:val="18"/>
          <w:szCs w:val="18"/>
          <w:color w:val="auto"/>
        </w:rPr>
      </w:pPr>
    </w:p>
    <w:p>
      <w:pPr>
        <w:ind w:left="660" w:right="500" w:hanging="247"/>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strain on the operational and managerial controls and procedures of the petroleum business and the nitrogen fertilizer business, and the need to modify systems or to add management resources;</w:t>
      </w:r>
    </w:p>
    <w:p>
      <w:pPr>
        <w:spacing w:after="0" w:line="5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and retention of customers or personnel and the integration and effective deployment of operations or technologies;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unknown material liabilities or regulatory non-compliance issues;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assets, which would reduce future reported earnings;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short-term effects on our Energy segment's cash flows or operating results; and</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the ongoing operations of our Energy segment's business.</w:t>
      </w:r>
    </w:p>
    <w:p>
      <w:pPr>
        <w:spacing w:after="0" w:line="198" w:lineRule="exact"/>
        <w:rPr>
          <w:sz w:val="20"/>
          <w:szCs w:val="20"/>
          <w:color w:val="auto"/>
        </w:rPr>
      </w:pPr>
    </w:p>
    <w:p>
      <w:pPr>
        <w:ind w:right="300" w:firstLine="378"/>
        <w:spacing w:after="0" w:line="266" w:lineRule="auto"/>
        <w:rPr>
          <w:sz w:val="20"/>
          <w:szCs w:val="20"/>
          <w:color w:val="auto"/>
        </w:rPr>
      </w:pPr>
      <w:r>
        <w:rPr>
          <w:rFonts w:ascii="Times New Roman" w:cs="Times New Roman" w:eastAsia="Times New Roman" w:hAnsi="Times New Roman"/>
          <w:sz w:val="18"/>
          <w:szCs w:val="18"/>
          <w:color w:val="auto"/>
        </w:rPr>
        <w:t>In addition, in connection with any potential acquisition or expansion project, CVR Refining or CVR Partners (as applicable) will need to consider whether a business they intend to acquire or expansion project they intend to pursue could affect their tax treatment as a partnership for federal income tax purposes. If the petroleum business or the nitrogen fertilizer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68" w:right="239" w:bottom="1440" w:gutter="0" w:footer="0" w:header="0"/>
        </w:sectPr>
      </w:pPr>
    </w:p>
    <w:bookmarkStart w:id="45" w:name="page46"/>
    <w:bookmarkEnd w:id="45"/>
    <w:p>
      <w:pPr>
        <w:ind w:right="80"/>
        <w:spacing w:after="0" w:line="255" w:lineRule="auto"/>
        <w:rPr>
          <w:sz w:val="20"/>
          <w:szCs w:val="20"/>
          <w:color w:val="auto"/>
        </w:rPr>
      </w:pPr>
      <w:r>
        <w:rPr>
          <w:rFonts w:ascii="Times New Roman" w:cs="Times New Roman" w:eastAsia="Times New Roman" w:hAnsi="Times New Roman"/>
          <w:sz w:val="18"/>
          <w:szCs w:val="18"/>
          <w:color w:val="auto"/>
        </w:rPr>
        <w:t>business is otherwise unable to conclude that the activities of the business being acquired or the expansion project would not affect its treatment as a partnership for federal income tax purposes, it may elect to seek a ruling from the IRS. Seeking such a ruling could be costly or, in the case of competitive acquisitions, place the business in a competitive disadvantage compared to other potential acquirers who do not seek such a ruling. If the petroleum business or the nitrogen fertilizer business is unable to conclude that an activity would not affect its treatment as a partnership for federal income tax purposes, and is unable or unwilling to obtain an IRS ruling, the petroleum business or the nitrogen fertilizer business may choose to acquire such business or develop such expansion project in a corporate subsidiary, which would subject the income related to such activity to entity-level taxation, which would reduce the amount of cash available for distribution to the unitholders and would likely cause a substantial reduction in the value of its common units.</w:t>
      </w:r>
    </w:p>
    <w:p>
      <w:pPr>
        <w:spacing w:after="0" w:line="81" w:lineRule="exact"/>
        <w:rPr>
          <w:sz w:val="20"/>
          <w:szCs w:val="20"/>
          <w:color w:val="auto"/>
        </w:rPr>
      </w:pPr>
    </w:p>
    <w:p>
      <w:pPr>
        <w:ind w:right="240" w:firstLine="378"/>
        <w:spacing w:after="0" w:line="266" w:lineRule="auto"/>
        <w:rPr>
          <w:sz w:val="20"/>
          <w:szCs w:val="20"/>
          <w:color w:val="auto"/>
        </w:rPr>
      </w:pPr>
      <w:r>
        <w:rPr>
          <w:rFonts w:ascii="Times New Roman" w:cs="Times New Roman" w:eastAsia="Times New Roman" w:hAnsi="Times New Roman"/>
          <w:sz w:val="18"/>
          <w:szCs w:val="18"/>
          <w:color w:val="auto"/>
        </w:rPr>
        <w:t>Failure to manage these acquisition and expansion growth risks could have a material adverse effect on our Energy segment's results of operations, financial condition and cash flows. There can be no assurance that CVR will be able to consummate any acquisitions or expansions, successfully integrate acquired entities, or generate positive cash flow at any acquired company or expansion project.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Internally generated cash flows and other sources of liquidity may not be adequate for the capital needs of CVR's businesses.</w:t>
      </w:r>
    </w:p>
    <w:p>
      <w:pPr>
        <w:spacing w:after="0" w:line="121" w:lineRule="exact"/>
        <w:rPr>
          <w:sz w:val="20"/>
          <w:szCs w:val="20"/>
          <w:color w:val="auto"/>
        </w:rPr>
      </w:pPr>
    </w:p>
    <w:p>
      <w:pPr>
        <w:ind w:right="60" w:firstLine="378"/>
        <w:spacing w:after="0" w:line="258" w:lineRule="auto"/>
        <w:rPr>
          <w:sz w:val="20"/>
          <w:szCs w:val="20"/>
          <w:color w:val="auto"/>
        </w:rPr>
      </w:pPr>
      <w:r>
        <w:rPr>
          <w:rFonts w:ascii="Times New Roman" w:cs="Times New Roman" w:eastAsia="Times New Roman" w:hAnsi="Times New Roman"/>
          <w:sz w:val="18"/>
          <w:szCs w:val="18"/>
          <w:color w:val="auto"/>
        </w:rPr>
        <w:t>CVR's businesses are capital intensive, and working capital needs may vary significantly over relatively short periods of time. For instance, crude oil price volatility can significantly impact working capital on a week-to-week and month-to-month basis. If CVR cannot generate adequate cash flow or otherwise secure sufficient liquidity to meet our Energy segment's working capital needs or support its short-term and long-term capital requirements, it may be unable to meet its debt obligations, pursue its business strategies or comply with certain environmental standards, which would have a material adverse effect on our Energy segment's business and results of operations.</w:t>
      </w:r>
    </w:p>
    <w:p>
      <w:pPr>
        <w:spacing w:after="0" w:line="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CVR's workforce is unionized and it is subject to the risk of labor disputes and adverse employee relations, which may disrupt its business and increase its costs.</w:t>
      </w:r>
    </w:p>
    <w:p>
      <w:pPr>
        <w:spacing w:after="0" w:line="51" w:lineRule="exact"/>
        <w:rPr>
          <w:sz w:val="20"/>
          <w:szCs w:val="20"/>
          <w:color w:val="auto"/>
        </w:rPr>
      </w:pPr>
    </w:p>
    <w:p>
      <w:pPr>
        <w:ind w:right="20" w:firstLine="378"/>
        <w:spacing w:after="0" w:line="254" w:lineRule="auto"/>
        <w:rPr>
          <w:sz w:val="20"/>
          <w:szCs w:val="20"/>
          <w:color w:val="auto"/>
        </w:rPr>
      </w:pPr>
      <w:r>
        <w:rPr>
          <w:rFonts w:ascii="Times New Roman" w:cs="Times New Roman" w:eastAsia="Times New Roman" w:hAnsi="Times New Roman"/>
          <w:sz w:val="18"/>
          <w:szCs w:val="18"/>
          <w:color w:val="auto"/>
        </w:rPr>
        <w:t>As of December 31, 2014, approximately 51% of the employees at the Coffeyville refinery and 59% of the employees at the Wynnewood refinery were represented by labor unions under collective bargaining agreements. At Coffeyville, the collective bargaining agreement with five Metal Trades Unions (which covers union represented employees who work directly at the Coffeyville refinery) expires in March 2019. The collective bargaining agreement with the United Steelworkers (which covers the balance of the petroleum business' unionized employees, who work in crude transportation and related operations) expires in March 2017, and automatically renews on an annual basis thereafter unless a written notice is received sixty days in advance of the relevant expiration date. The collective bargaining agreement with the International Union of Operating Engineers with respect to the Wynnewood refinery expires in June 2017. We may not be able to renegotiate our collective bargaining agreements when they expire on satisfactory terms or at all. A failure to do so may increase our costs. In addition, our existing labor agreements may not prevent a strike or work stoppage at any of our facilities in the future, and any work stoppage could negatively affect our Energy segment's results of operations, financial condition and cash flows.</w:t>
      </w:r>
    </w:p>
    <w:p>
      <w:pPr>
        <w:spacing w:after="0" w:line="7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regulations concerning the transportation of hazardous chemicals, risks of terrorism and the security of chemical manufacturing facilities could result in higher operating costs.</w:t>
      </w:r>
    </w:p>
    <w:p>
      <w:pPr>
        <w:spacing w:after="0" w:line="51"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The costs of complying with future regulations relating to the transportation, storage and handling of hazardous chemicals and security associated with the refining and nitrogen fertilizer facilities may have a material adverse effect on our Energy segment's results of operations, financial condition and cash flows. Targets such as refining and chemical manufacturing facilities may be at greater risk of future terrorist attacks than other targets in the United States. As a result, the petroleum and chemical industries have responded to the issues that arose due to the terrorist attacks on September 11, 2001 by starting new initiatives relating to the security of petroleum and chemical industry facilities and the transportation of hazardous chemicals in the United States. Future terrorist attacks could lead to even stronger, more costly initiatives that could result in a material adverse effect on our Energy segment's results of operations, financial condition and cash flows. The 2013 fertilizer plant explosion in West, Texas has generated consideration of more restrictive measures in storage, handling and transportation of crop production materials, including fertilizers.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and changes in the tax laws could adversely affect CVR's performance.</w:t>
      </w:r>
    </w:p>
    <w:p>
      <w:pPr>
        <w:spacing w:after="0" w:line="121" w:lineRule="exact"/>
        <w:rPr>
          <w:sz w:val="20"/>
          <w:szCs w:val="20"/>
          <w:color w:val="auto"/>
        </w:rPr>
      </w:pPr>
    </w:p>
    <w:p>
      <w:pPr>
        <w:ind w:right="60" w:firstLine="378"/>
        <w:spacing w:after="0" w:line="266" w:lineRule="auto"/>
        <w:rPr>
          <w:sz w:val="20"/>
          <w:szCs w:val="20"/>
          <w:color w:val="auto"/>
        </w:rPr>
      </w:pPr>
      <w:r>
        <w:rPr>
          <w:rFonts w:ascii="Times New Roman" w:cs="Times New Roman" w:eastAsia="Times New Roman" w:hAnsi="Times New Roman"/>
          <w:sz w:val="18"/>
          <w:szCs w:val="18"/>
          <w:color w:val="auto"/>
        </w:rPr>
        <w:t>CVR is subject to extensive tax liabilities, including United States and state income taxes and transactional taxes such as excise, sales/use, payroll, franchise and withholding taxes. New tax laws and regulations are continuously being enacted or proposed that could result in increased expenditures for tax liabilities in the future.</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60"/>
          </w:cols>
          <w:pgMar w:left="240" w:top="472" w:right="299" w:bottom="1440" w:gutter="0" w:footer="0" w:header="0"/>
        </w:sectPr>
      </w:pPr>
    </w:p>
    <w:bookmarkStart w:id="46" w:name="page47"/>
    <w:bookmarkEnd w:id="46"/>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CVR Refining's and CVR Partners' level of indebtedness may increase, which would reduce their financial flexibility and the distributions they make on their common units.</w:t>
      </w:r>
    </w:p>
    <w:p>
      <w:pPr>
        <w:spacing w:after="0" w:line="51" w:lineRule="exact"/>
        <w:rPr>
          <w:sz w:val="20"/>
          <w:szCs w:val="20"/>
          <w:color w:val="auto"/>
        </w:rPr>
      </w:pPr>
    </w:p>
    <w:p>
      <w:pPr>
        <w:ind w:right="240" w:firstLine="378"/>
        <w:spacing w:after="0" w:line="256" w:lineRule="auto"/>
        <w:rPr>
          <w:sz w:val="20"/>
          <w:szCs w:val="20"/>
          <w:color w:val="auto"/>
        </w:rPr>
      </w:pPr>
      <w:r>
        <w:rPr>
          <w:rFonts w:ascii="Times New Roman" w:cs="Times New Roman" w:eastAsia="Times New Roman" w:hAnsi="Times New Roman"/>
          <w:sz w:val="18"/>
          <w:szCs w:val="18"/>
          <w:color w:val="auto"/>
        </w:rPr>
        <w:t>As of the date of this Report, CVR Refining had (i) $500.0 million aggregate principal amount of 6.5% senior notes due 2022 outstanding, (ii) availability under the Amended and Restated ABL Credit Facility of $372 million, with letters of credit outstanding of approximately $28 million and (iii) $32 million borrowed under an intercompany credit facility with availability under the intercompany credit facility of $218 million, and CVR Partners had $125 million of outstanding term loan borrowings, with availability of up to $25 million under its revolving credit facility. In the future, CVR Refining and CVR Partners may incur additional significant indebtedness in order to make future acquisitions, expand their businesses or develop their properties. Their level of indebtedness could affect their operations in several ways, including the following:</w:t>
      </w:r>
    </w:p>
    <w:p>
      <w:pPr>
        <w:spacing w:after="0" w:line="161" w:lineRule="exact"/>
        <w:rPr>
          <w:sz w:val="20"/>
          <w:szCs w:val="20"/>
          <w:color w:val="auto"/>
        </w:rPr>
      </w:pPr>
    </w:p>
    <w:p>
      <w:pPr>
        <w:ind w:left="660" w:right="60" w:hanging="247"/>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their cash flows could be used to service their indebtedness, reducing available cash and their ability to make distributions on their common units (including distributions to CVR);</w:t>
      </w:r>
    </w:p>
    <w:p>
      <w:pPr>
        <w:spacing w:after="0" w:line="5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 level of debt would increase their vulnerability to general adverse economic and industry conditions;</w:t>
      </w:r>
    </w:p>
    <w:p>
      <w:pPr>
        <w:spacing w:after="0" w:line="117" w:lineRule="exact"/>
        <w:rPr>
          <w:rFonts w:ascii="Times New Roman" w:cs="Times New Roman" w:eastAsia="Times New Roman" w:hAnsi="Times New Roman"/>
          <w:sz w:val="18"/>
          <w:szCs w:val="18"/>
          <w:color w:val="auto"/>
        </w:rPr>
      </w:pPr>
    </w:p>
    <w:p>
      <w:pPr>
        <w:ind w:left="660" w:right="380" w:hanging="247"/>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contained in their debt agreements will limit their ability to borrow additional funds, dispose of assets, pay distributions and make certain investments;</w:t>
      </w:r>
    </w:p>
    <w:p>
      <w:pPr>
        <w:spacing w:after="0" w:line="53" w:lineRule="exact"/>
        <w:rPr>
          <w:rFonts w:ascii="Times New Roman" w:cs="Times New Roman" w:eastAsia="Times New Roman" w:hAnsi="Times New Roman"/>
          <w:sz w:val="18"/>
          <w:szCs w:val="18"/>
          <w:color w:val="auto"/>
        </w:rPr>
      </w:pPr>
    </w:p>
    <w:p>
      <w:pPr>
        <w:ind w:left="660" w:right="40" w:hanging="247"/>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 level of debt may place them at a competitive disadvantage compared to competitors that are less leveraged, and therefore may be able to take advantage of opportunities that their indebtedness would prevent them from pursuing;</w:t>
      </w:r>
    </w:p>
    <w:p>
      <w:pPr>
        <w:spacing w:after="0" w:line="5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debt covenants may also affect flexibility in planning for, and reacting to, changes in the economy and in their industries;</w:t>
      </w:r>
    </w:p>
    <w:p>
      <w:pPr>
        <w:spacing w:after="0" w:line="117" w:lineRule="exact"/>
        <w:rPr>
          <w:rFonts w:ascii="Times New Roman" w:cs="Times New Roman" w:eastAsia="Times New Roman" w:hAnsi="Times New Roman"/>
          <w:sz w:val="18"/>
          <w:szCs w:val="18"/>
          <w:color w:val="auto"/>
        </w:rPr>
      </w:pPr>
    </w:p>
    <w:p>
      <w:pPr>
        <w:ind w:left="660" w:right="200" w:hanging="247"/>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 level of debt may make it more likely that a reduction in the petroleum business' borrowing base following a periodic redetermination could require CVR Refining to repay a portion of its then-outstanding bank borrowings under its ABL credit facility; and</w:t>
      </w:r>
    </w:p>
    <w:p>
      <w:pPr>
        <w:spacing w:after="0" w:line="53" w:lineRule="exact"/>
        <w:rPr>
          <w:rFonts w:ascii="Times New Roman" w:cs="Times New Roman" w:eastAsia="Times New Roman" w:hAnsi="Times New Roman"/>
          <w:sz w:val="18"/>
          <w:szCs w:val="18"/>
          <w:color w:val="auto"/>
        </w:rPr>
      </w:pPr>
    </w:p>
    <w:p>
      <w:pPr>
        <w:ind w:left="660" w:right="620" w:hanging="247"/>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 level of debt may impair their ability to obtain additional financing in the future for working capital, capital expenditures, debt service requirements, acquisitions, general corporate or other purposes.</w:t>
      </w:r>
    </w:p>
    <w:p>
      <w:pPr>
        <w:spacing w:after="0" w:line="270"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In addition, borrowings under their respective credit facilities and other credit facilities they may enter into in the future will bear interest at variable rates. If market interest rates increase, such variable-rate debt will create higher debt service requirements, which could adversely affect their ability to make distributions to common unitholders (including CVR).</w:t>
      </w:r>
    </w:p>
    <w:p>
      <w:pPr>
        <w:spacing w:after="0" w:line="68"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In addition to debt service obligations, their operations require substantial investments on a continuing basis. Their ability to make scheduled debt payments, to refinance debt obligations and to fund capital and non-capital expenditures necessary to maintain the condition of operating assets, properties and systems software, as well as to provide capacity for the growth of their businesses, depends on their respective financial and operating performance. General economic conditions and financial, business and other factors affect their operations and their future performance. Many of these factors are beyond their control. They may not be able to generate sufficient cash flows to pay the interest on their debt, and future working capital, borrowings or equity financing may not be available to pay or refinance such debt.</w:t>
      </w:r>
    </w:p>
    <w:p>
      <w:pPr>
        <w:spacing w:after="0" w:line="8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addition, the bank borrowing base under CVR Refining's ABL credit facility will be subject to periodic redeterminations. It could be forced to repay a portion of its bank borrowings due to redeterminations of its borrowing base. If it is forced to do so, it may not have sufficient funds to make such repayments. If CVR Refining does not have sufficient funds and is otherwise unable to negotiate renewals of its borrowings or arrange new financing, it may have to sell significant assets. Any such sale could have a material adverse effect on CVR Refining's business and financial condition and, as a result, its ability to make distributions to common unitholders (including CVR).</w:t>
      </w:r>
    </w:p>
    <w:p>
      <w:pPr>
        <w:spacing w:after="0" w:line="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CVR Refining and CVR Partners may not be able to generate sufficient cash to service all of their indebtedness and may be forced to take other actions to satisfy their debt obligations that may not be successful.</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CVR Refining's and CVR Partners' ability to satisfy their debt obligations will depend upon, among other things:</w:t>
      </w:r>
    </w:p>
    <w:p>
      <w:pPr>
        <w:spacing w:after="0" w:line="117" w:lineRule="exact"/>
        <w:rPr>
          <w:sz w:val="20"/>
          <w:szCs w:val="20"/>
          <w:color w:val="auto"/>
        </w:rPr>
      </w:pPr>
    </w:p>
    <w:p>
      <w:pPr>
        <w:ind w:left="660" w:right="260" w:hanging="247"/>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future financial and operating performance, which will be affected by prevailing economic conditions and financial, business, regulatory and other factors, many of which are beyond CVR's control; and</w:t>
      </w:r>
    </w:p>
    <w:p>
      <w:pPr>
        <w:spacing w:after="0" w:line="53" w:lineRule="exact"/>
        <w:rPr>
          <w:rFonts w:ascii="Times New Roman" w:cs="Times New Roman" w:eastAsia="Times New Roman" w:hAnsi="Times New Roman"/>
          <w:sz w:val="18"/>
          <w:szCs w:val="18"/>
          <w:color w:val="auto"/>
        </w:rPr>
      </w:pPr>
    </w:p>
    <w:p>
      <w:pPr>
        <w:ind w:left="660" w:right="580" w:hanging="247"/>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CVR Refining's ability to borrow under its ABL Credit Facility and the intercompany credit facility between CVR Refining and us, and CVR Partner's ability to borrow under its revolving credit facility, the availability of which depends on, among other things, compliance with their respective covenants.</w:t>
      </w:r>
    </w:p>
    <w:p>
      <w:pPr>
        <w:spacing w:after="0" w:line="6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CVR cannot offer any assurance that its businesses will generate sufficient cash flow from operations, or that CVR Refining will be able to draw under its ABL credit facility or the intercompany credit facility, or that CVR Partners will be 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68"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to draw under its revolving credit facility, or from other sources of financing, in an amount sufficient to fund their respective liquidity needs.</w:t>
      </w:r>
    </w:p>
    <w:p>
      <w:pPr>
        <w:spacing w:after="0" w:line="11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cash flows and capital resources are insufficient to service their indebtedness, CVR Refining or CVR Partners may be forced to reduce or delay capital expenditures, sell assets, seek additional capital or restructure or refinance their indebtedness. These alternative measures may not be successful and may not permit them to meet their scheduled debt service obligations. Their ability to restructure or refinance debt will depend on the condition of the capital markets and their financial condition at such time. Any refinancing of their debt could be at higher interest rates and may require them to comply with more onerous covenants, which could further restrict their business operations, and the terms of existing or future debt agreements may restrict us from adopting some of these alternatives. In addition, in the absence of adequate cash flows or capital resources, they could face substantial liquidity problems and might be required to dispose of material assets or operations, or sell equity, in order to meet their debt service and other obligations. They may not be able to consummate those dispositions for fair market value or at all. CVR Refining's Amended and Restated ABL Credit Facility and the indenture governing its 6.5% senior notes and CVR Partners' credit facility may restrict, or market or business conditions may limit, their ability to avail themselves of some or all of these options. Furthermore, any proceeds that CVR realizes from any such dispositions may not be adequate to meet their debt service obligations when due. None of CVR's stockholders or any of their respective affiliates has any continuing obligation to provide CVR with debt or equity financing.</w:t>
      </w:r>
    </w:p>
    <w:p>
      <w:pPr>
        <w:spacing w:after="0" w:line="8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borrowings under CVR Refining's Amended and Restated ABL Credit Facility and intercompany credit facility and CVR Partners' revolving credit facility bear interest at variable rates and other debt CVR or they incur could likewise be variable-rate debt. If market interest rates increase, variable-rate debt will create higher debt service requirements, which could adversely affect their respective distributions to us. CVR Refining or CVR Partners may enter into agreements limiting their exposure to higher interest rates, but any such agreements may not offer complete protection from this risk.</w:t>
      </w:r>
    </w:p>
    <w:p>
      <w:pPr>
        <w:spacing w:after="0" w:line="6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Covenants in CVR's debt instruments could limit its ability to incur additional indebtedness and engage in certain transactions, which could adversely affect our Energy segment's liquidity and its ability to pursue its business strategies.</w:t>
      </w:r>
    </w:p>
    <w:p>
      <w:pPr>
        <w:spacing w:after="0" w:line="5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indenture governing CVR Refining's notes and the ABL credit facility and CVR Partners' credit facility contain a number of restrictive covenants that will impose significant operating and financial restrictions on them and their subsidiaries and may limit their ability to engage in acts that may be in their long-term best interest, including restrictions on their ability, among other things, to:</w:t>
      </w:r>
    </w:p>
    <w:p>
      <w:pPr>
        <w:spacing w:after="0" w:line="68" w:lineRule="exact"/>
        <w:rPr>
          <w:sz w:val="20"/>
          <w:szCs w:val="20"/>
          <w:color w:val="auto"/>
        </w:rPr>
      </w:pPr>
    </w:p>
    <w:p>
      <w:pPr>
        <w:ind w:left="660" w:hanging="24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guarantee additional debt or issue redeemable or preferred units;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or prepay, redeem, or repurchase certain debt;</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distributions from restricted subsidiaries;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 including capital stock of subsidiaries;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sell substantially all of their assets.</w:t>
      </w:r>
    </w:p>
    <w:p>
      <w:pPr>
        <w:spacing w:after="0" w:line="26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particular, the indenture governing CVR Refining's 6.5% senior notes prohibits it from making distributions to unitholders (including us) if any default or event of default (as defined in the indenture) exists. In addition, the indenture governing CVR Refining's 6.5% senior notes contains covenants limiting CVR Refining's ability to pay distributions to unitholders. The covenants will apply differently depending on CVR Refining's fixed charge coverage ratio (as defined in the indenture). If the fixed charge coverage ratio is not less than 2.5 to 1.0, CVR Refining will generally be permitted to make restricted payments, including distributions to its unitholders, without substantive restriction. If the fixed charge coverage ratio is less than 2.5 to 1.0, CVR Refining will generally be permitted to make restricted payments, including distributions to its unitholders, up to an aggregate $100.0 million basket plus certain other amounts referred to as "incremental funds" under the indenture. In addition, CVR Refining's Amended and Restated ABL Credit Facility requires it to maintain a minimum excess availability under the facility as a condition to the payment of distributions to its unitholders. CVR Partners' credit facility requires that, before CVR Partners can make distributions to CVR, it must be in compliance with leverage ratio and interest coverage ratio tests. Any new indebtedness could have similar or greater restrictions.</w:t>
      </w:r>
    </w:p>
    <w:p>
      <w:pPr>
        <w:spacing w:after="0" w:line="7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 breach of the covenants under the foregoing debt instruments could result in an event of default. Upon a default, unless waived, the holders of CVR Refining's 6.5% senior notes and lenders under CVR Refining's Amended and Restated ABL Credit Facility and CVR Partners' credit facility would have all remedies available to a secured lender, and could elect to terminate their commitments, cease making further loans, institute foreclosure proceedings against CVR Refining or CVR Partners (as applicable) or its respective subsidiaries' assets, and force it and its subsidiaries into bankruptcy or liquidation,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72" w:right="239" w:bottom="1440" w:gutter="0" w:footer="0" w:header="0"/>
        </w:sectPr>
      </w:pPr>
    </w:p>
    <w:bookmarkStart w:id="48" w:name="page49"/>
    <w:bookmarkEnd w:id="48"/>
    <w:p>
      <w:pPr>
        <w:spacing w:after="0" w:line="258" w:lineRule="auto"/>
        <w:rPr>
          <w:sz w:val="20"/>
          <w:szCs w:val="20"/>
          <w:color w:val="auto"/>
        </w:rPr>
      </w:pPr>
      <w:r>
        <w:rPr>
          <w:rFonts w:ascii="Times New Roman" w:cs="Times New Roman" w:eastAsia="Times New Roman" w:hAnsi="Times New Roman"/>
          <w:sz w:val="18"/>
          <w:szCs w:val="18"/>
          <w:color w:val="auto"/>
        </w:rPr>
        <w:t>subject to intercreditor agreements. In addition, any defaults could trigger cross defaults under other or future credit agreements or indentures. CVR Refining's or CVR Partners' operating results may not be sufficient to service their indebtedness or to fund CVR's other expenditures and they may not be able to obtain financing to meet these requirements. As a result of these restrictions, they may be limited in how they conduct their respective businesses, unable to raise additional debt or equity financing to operate during general economic or business downturns or unable to compete effectively or to take advantage of new business opportunities.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Despite their significant indebtedness, CVR Refining and CVR Partners may still be able to incur significantly more debt, including secured indebtedness.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This could intensify the risks described above.</w:t>
      </w:r>
    </w:p>
    <w:p>
      <w:pPr>
        <w:spacing w:after="0" w:line="9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CVR Refining and CVR Partners may be able to incur substantially more debt in the future, including secured indebtedness. Although CVR Refining's ABL credit facility and the notes and CVR Partners' credit facility contain restrictions on the incurrence of additional indebtedness, these restrictions are subject to a number of qualifications and exceptions and, under certain circumstances, indebtedness incurred in compliance with these restrictions could be substantial. Also, these restrictions may not prevent them from incurring obligations that do not constitute indebtedness. To the extent such new debt or new obligations are added to their existing indebtedness, the risks described above could substantially increase.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Limited Partnership Structures Through Which</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CVR Currently Hold its Interests in the Refinery Business and the Nitrogen Fertilizer Business</w:t>
      </w:r>
    </w:p>
    <w:p>
      <w:pPr>
        <w:spacing w:after="0" w:line="31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Both CVR Refining and CVR Partners currently have in place a policy to distribute all of the “available cash” each generates on a quarterly basis, which could limit their ability to grow and make acquisitions</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current policies of both the board of directors of CVR Refining's general partner and CVR Partners' general partner is to distribute an amount equal to the available cash generated by each partnership each quarter to their respective unitholders. As a result of their respective cash distribution policies, CVR Refining and CVR Partners will rely primarily upon external financing sources, including commercial bank borrowings and the issuance of debt and equity securities, to fund acquisitions and expansion capital expenditures. As such, to the extent they are unable to finance growth externally, their respective cash distribution policies will significantly impair their ability to grow. The board of directors of the general partner of either CVR Refining or CVR Partners may modify or revoke its cash distribution policy at any time at its discretion, including in such a manner that would result in an elimination of cash distributions regardless of the amount of available cash they generate. Each board of directors will determine the cash distribution policy it deems advisable for them on an independent basis.</w:t>
      </w:r>
    </w:p>
    <w:p>
      <w:pPr>
        <w:spacing w:after="0" w:line="7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addition, because of their respective distribution policies, their growth, if any, may not be as robust as that of businesses that reinvest their available cash to expand ongoing operations. To the extent either issues additional units in connection with any acquisitions or expansion capital expenditures or as in-kind distributions, current unitholders will experience dilution and the payment of distributions on those additional units will decrease the amount each distributes in respect of each of its outstanding units. There are no limitations in their respective partnership agreements on either CVR Refining's or CVR Partners' ability to issue additional units, including units ranking senior to the outstanding common units. The incurrence of additional commercial borrowings or other debt to finance their growth strategy would result in increased interest expense, which, in turn, would reduce the available cash they have to distribute to unitholders (including CVR and us).</w:t>
      </w:r>
    </w:p>
    <w:p>
      <w:pPr>
        <w:spacing w:after="0" w:line="7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Each of CVR Refining and CVR Partners may not have sufficient available cash to pay any quarterly distribution on their respective common units. Furthermore, neither is required to make distributions to holders of its common units on a quarterly basis or otherwise, and both may elect to distribute less than all of their respective available cash.</w:t>
      </w:r>
    </w:p>
    <w:p>
      <w:pPr>
        <w:spacing w:after="0" w:line="6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Either or both of CVR Refining or CVR Partners may not have sufficient available cash each quarter to enable the payment of distributions to common unitholders. CVR Refining and CVR Partners are separate public companies, and available cash generated by one of them will not be used to make distributions to common unitholders of the other. Furthermore, their respective partnership agreements do not require either to pay distributions on a quarterly basis or otherwise. The board of directors of the general partner of either CVR Refining or CVR Partners may at any time, for any reason, change its cash distribution policy or decide not to make any distribution. The amount of cash they will be able to distribute in respect of their common units principally depends on the amount of cash they generate from operations, which is directly dependent upon the margins each business generates. Please see "- Risks Related to CVR's Petroleum Business - The price volatility of crude oil and other feedstocks, refined products and utility services may have a material adverse effect on our profitability and our ability to pay distributions to unitholders" and "- Risks Related to CVR's Nitrogen Fertilizer Business - The nitrogen fertilizer business is, and nitrogen fertilizer prices are, cyclical and highly volatile, and the nitrogen fertilizer business has experienced substantial downturns in the past. Cycles in demand and pricing could potentially expose the nitrogen fertilizer business to significant fluctuations in its operating and financial results and have a material adverse effect on our results of operations, financial condition and cash flows."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72" w:right="239" w:bottom="1440" w:gutter="0" w:footer="0" w:header="0"/>
        </w:sectPr>
      </w:pPr>
    </w:p>
    <w:bookmarkStart w:id="49" w:name="page50"/>
    <w:bookmarkEnd w:id="49"/>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either of CVR Refining or CVR Partners were to be treated as a corporation, rather than as a partnership, for U.S. federal income tax purposes or if either Partnership were otherwise subject to entity-level taxation, such entity's cash available for distribution to its common unitholders, including to us, would be reduced, likely causing a substantial reduction in the value of such its common units, including the common units held by CVR and us.</w:t>
      </w:r>
    </w:p>
    <w:p>
      <w:pPr>
        <w:spacing w:after="0" w:line="6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Current law requires CVR Refining and CVR Partners to derive at least 90% of their respective annual gross income from certain specified activities in order to continue to be treated as a partnership, rather than as a corporation, for U.S. federal income tax purposes. One or both of them may not find it possible to meet this qualifying income requirement, or may inadvertently fail to meet this qualifying income requirement. If either CVR Refining or CVR Partners were to be treated as a corporation for U.S. federal income tax purposes, they would pay U.S. federal income tax on all of their taxable income at the corporate tax rate, which is currently a maximum of 35%, they would likely pay additional state and local income taxes at varying rates, and distributions to their common unitholders, including to us, would generally be taxed as corporate distributions.</w:t>
      </w:r>
    </w:p>
    <w:p>
      <w:pPr>
        <w:spacing w:after="0" w:line="80"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If CVR Refining and CVR Partners were to be treated as corporations, rather than as partnerships, for U.S. federal income tax purposes or if they were otherwise subject to entity-level taxation, their cash available for distribution to its common unitholders, including to CVR, and the value of their common units, including the common units held by CVR, could be substantially reduced.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CVR may have liability to repay distributions that are wrongfully distributed to it.</w:t>
      </w:r>
    </w:p>
    <w:p>
      <w:pPr>
        <w:spacing w:after="0" w:line="121"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Under certain circumstances, CVR may, as a holder of common units in CVR Refining and CVR Partners, have to repay amounts wrongfully returned or distributed to us. Under the Delaware Revised Uniform Limited Partnership Act, a partnership may not make distributions to its unitholders if the distribution would cause its liabilities to exceed the fair value of its assets. Delaware law provides that for a period of three years from the date of an impermissible distribution, limited partners who received the distribution and who knew at the time of the distribution that it violated Delaware law will be liable to the company for the distribution amount.</w:t>
      </w:r>
    </w:p>
    <w:p>
      <w:pPr>
        <w:spacing w:after="0" w:line="72"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Public investors own approximately 47% of the nitrogen fertilizer business through CVR Partners and approximately 34% of the petroleum business through CVR Refining. Although CVR owns the majority of the common units and the general partner of both CVR Refining and CVR Partners, the general partners owe a duty of good faith to public unitholders, which could cause them to manage their respective businesses differently than if there were no public unitholders.</w:t>
      </w:r>
    </w:p>
    <w:p>
      <w:pPr>
        <w:spacing w:after="0" w:line="7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Public investors own approximately 47% of CVR Partners' common units and approximately 34% of CVR Refining's common units. CVR is not entitled to receive all of the cash generated by the nitrogen fertilizer business or the petroleum business or freely transfer money from the nitrogen fertilizer business to finance operations at the petroleum business or vice versa. Furthermore, although we continue to own the majority of the common units and the general partner of both CVR Refining and CVR Partners, the general partners are subject to certain fiduciary duties, which may require the general partners to manage their respective businesses in a way that may differ from CVR's best interests.</w:t>
      </w:r>
    </w:p>
    <w:p>
      <w:pPr>
        <w:spacing w:after="0" w:line="72" w:lineRule="exact"/>
        <w:rPr>
          <w:sz w:val="20"/>
          <w:szCs w:val="20"/>
          <w:color w:val="auto"/>
        </w:rPr>
      </w:pPr>
    </w:p>
    <w:p>
      <w:pPr>
        <w:jc w:val="both"/>
        <w:ind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general partners of CVR Refining and CVR Partners have limited their liability, replaced default fiduciary duties and restricted the remedies available to common unitholders, including CVR, for actions that, without these limitations and reductions might otherwise constitute breaches of fiduciary duty.</w:t>
      </w:r>
    </w:p>
    <w:p>
      <w:pPr>
        <w:spacing w:after="0" w:line="67"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respective partnership agreements of CVR Refining and CVR Partners limit the liability and replace the fiduciary duties of their respective general partner, while also restricting the remedies available to each partnership's common unitholders, including CVR, for actions that, without these limitations and reductions, might constitute breaches of fiduciary duty. Delaware partnership law permits such contractual reductions of fiduciary duty. The partnership agreements contain provisions that replace the standards to which each general partner would otherwise be held by state fiduciary duty law. For example, the partnership agreements:</w:t>
      </w:r>
    </w:p>
    <w:p>
      <w:pPr>
        <w:spacing w:after="0" w:line="76" w:lineRule="exact"/>
        <w:rPr>
          <w:sz w:val="20"/>
          <w:szCs w:val="20"/>
          <w:color w:val="auto"/>
        </w:rPr>
      </w:pPr>
    </w:p>
    <w:p>
      <w:pPr>
        <w:ind w:left="660" w:right="100" w:hanging="247"/>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each partnership's general partner to make a number of decisions in its individual capacity, as opposed to its capacity as general partner. This entitles its general partner to consider only the interests and factors that it desires, and means that it has no duty or obligation to give any consideration to any interest of, or factors affecting, any limited partner.</w:t>
      </w:r>
    </w:p>
    <w:p>
      <w:pPr>
        <w:spacing w:after="0" w:line="68" w:lineRule="exact"/>
        <w:rPr>
          <w:rFonts w:ascii="Times New Roman" w:cs="Times New Roman" w:eastAsia="Times New Roman" w:hAnsi="Times New Roman"/>
          <w:sz w:val="18"/>
          <w:szCs w:val="18"/>
          <w:color w:val="auto"/>
        </w:rPr>
      </w:pPr>
    </w:p>
    <w:p>
      <w:pPr>
        <w:ind w:left="660" w:right="60" w:hanging="247"/>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each partnership's general partner will not have any liability to unitholders for decisions made in its capacity as general partner so long as (i) in the case of CVR Partners, it acted in good faith, meaning it believed that the decision was in the best interest of CVR Partners and (ii) in the case of CVR Refining, it did not make such decisions in bad faith, meaning it believed that the decisions were adverse to CVR Refining's interests.</w:t>
      </w:r>
    </w:p>
    <w:p>
      <w:pPr>
        <w:spacing w:after="0" w:line="68" w:lineRule="exact"/>
        <w:rPr>
          <w:rFonts w:ascii="Times New Roman" w:cs="Times New Roman" w:eastAsia="Times New Roman" w:hAnsi="Times New Roman"/>
          <w:sz w:val="18"/>
          <w:szCs w:val="18"/>
          <w:color w:val="auto"/>
        </w:rPr>
      </w:pPr>
    </w:p>
    <w:p>
      <w:pPr>
        <w:ind w:left="660" w:right="400" w:hanging="247"/>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each partnership's general partner and the officers and directors of its general partner will not be liable for monetary damages to common unitholders, including CVR, for any acts or omissions unless there has been a final and non-appealable judgment entered by a court of competent jurisdiction determining that (i) in the case of CVR Partners,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468" w:right="259" w:bottom="1440" w:gutter="0" w:footer="0" w:header="0"/>
        </w:sectPr>
      </w:pPr>
    </w:p>
    <w:bookmarkStart w:id="50" w:name="page51"/>
    <w:bookmarkEnd w:id="50"/>
    <w:p>
      <w:pPr>
        <w:ind w:left="660" w:right="160"/>
        <w:spacing w:after="0" w:line="308" w:lineRule="auto"/>
        <w:rPr>
          <w:sz w:val="20"/>
          <w:szCs w:val="20"/>
          <w:color w:val="auto"/>
        </w:rPr>
      </w:pPr>
      <w:r>
        <w:rPr>
          <w:rFonts w:ascii="Times New Roman" w:cs="Times New Roman" w:eastAsia="Times New Roman" w:hAnsi="Times New Roman"/>
          <w:sz w:val="18"/>
          <w:szCs w:val="18"/>
          <w:color w:val="auto"/>
        </w:rPr>
        <w:t>the general partner or its officers or directors acted in bad faith or engaged in fraud or willful misconduct, or in, the case of a criminal matter, acted with knowledge that the conduct was criminal and (ii) in the case of CVR Refining, such losses or liabilities were the result of the conduct of its general partner or such officer or director engaged in by it in bad faith or with respect to any criminal conduct, with the knowledge that its conduct was unlawful.</w:t>
      </w:r>
    </w:p>
    <w:p>
      <w:pPr>
        <w:spacing w:after="0" w:line="45"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In addition, CVR Refining's partnership agreement provides that its general partner will not be in breach of its obligations thereunder or its duties to CVR Refining or its limited partners if a transaction with an affiliate or the resolution of a conflict of interest is either (i) approved by the conflicts committee of its board of directors of the general partner, although the general partner is not obligated to seek such approval; or (ii) approved by the vote of a majority of the outstanding units, excluding any units owned by the general partner and its affiliates. In addition, CVR Partners' partnership agreement (i) generally provides that affiliated transactions and resolutions of conflicts of interest not approved by the conflicts committee of the board of directors of its general partner and not involving a vote of unitholders must be on terms no less favorable to CVR Partners than those generally being provided to or available from unrelated third parties or be “fair and reasonable” to CVR Partners, as determined by its general partner in good faith, and that, in determining whether a transaction or resolution is “fair and reasonable,” the general partner may consider the totality of the relationships between the parties involved, including other transactions that may be particularly advantageous or beneficial to affiliated parties, including CVR and (ii) provides that in resolving conflicts of interest, it will be presumed that in making its decision, the general partner or its conflicts committee acted in good faith, and in any proceeding brought by or on behalf of any holder of common units, the person bringing or prosecuting such proceeding will have the burden of overcoming such presumption.</w:t>
      </w:r>
    </w:p>
    <w:p>
      <w:pPr>
        <w:spacing w:after="0" w:line="85"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With respect to the common units that CVR owns, it has agreed to be bound by the provisions set forth in each partnership agreement, including the provisions described above.</w:t>
      </w:r>
    </w:p>
    <w:p>
      <w:pPr>
        <w:spacing w:after="0" w:line="5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CVR Refining and CVR Partners are managed by the executive officers of their general partners, some of whom are employed by and serve as part of the senior management team of CVR and its affiliates. Conflicts of interest could arise as a result of this arrangement.</w:t>
      </w:r>
    </w:p>
    <w:p>
      <w:pPr>
        <w:spacing w:after="0" w:line="51" w:lineRule="exact"/>
        <w:rPr>
          <w:sz w:val="20"/>
          <w:szCs w:val="20"/>
          <w:color w:val="auto"/>
        </w:rPr>
      </w:pPr>
    </w:p>
    <w:p>
      <w:pPr>
        <w:ind w:firstLine="392"/>
        <w:spacing w:after="0" w:line="255" w:lineRule="auto"/>
        <w:rPr>
          <w:sz w:val="20"/>
          <w:szCs w:val="20"/>
          <w:color w:val="auto"/>
        </w:rPr>
      </w:pPr>
      <w:r>
        <w:rPr>
          <w:rFonts w:ascii="Times New Roman" w:cs="Times New Roman" w:eastAsia="Times New Roman" w:hAnsi="Times New Roman"/>
          <w:sz w:val="18"/>
          <w:szCs w:val="18"/>
          <w:color w:val="auto"/>
        </w:rPr>
        <w:t>CVR Refining and CVR Partners are each managed by the executive officers of their general partners, some of whom are employed by and serve as part of the senior management team of CVR. Furthermore, although both CVR Refining and CVR Partners have entered into services agreements with CVR under which they compensate CVR for the services of its management, CVR's management is not required to devote any specific amount of time to the petroleum business or the nitrogen fertilizer business and may devote a substantial majority of their time to the business of CVR. Moreover CVR may terminate the services agreement with CVR Refining or CVR Partners at any time, in each case subject to a 180-day notice period. In addition, key executive officers of CVR, including its president and chief executive officer, chief financial officer and general counsel, will face conflicts of interest if decisions arise in which CVR Refining, CVR Partners and CVR has conflicting points of view or interests.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CVR's Petroleum Business</w:t>
      </w:r>
    </w:p>
    <w:p>
      <w:pPr>
        <w:spacing w:after="0" w:line="33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volatility of crude oil and other feedstocks, refined products and utility services may have a material adverse effect on our Energy segment's earnings, profitability and cash flows.</w:t>
      </w:r>
    </w:p>
    <w:p>
      <w:pPr>
        <w:spacing w:after="0" w:line="51" w:lineRule="exact"/>
        <w:rPr>
          <w:sz w:val="20"/>
          <w:szCs w:val="20"/>
          <w:color w:val="auto"/>
        </w:rPr>
      </w:pPr>
    </w:p>
    <w:p>
      <w:pPr>
        <w:ind w:right="100" w:firstLine="378"/>
        <w:spacing w:after="0" w:line="270" w:lineRule="auto"/>
        <w:rPr>
          <w:sz w:val="20"/>
          <w:szCs w:val="20"/>
          <w:color w:val="auto"/>
        </w:rPr>
      </w:pPr>
      <w:r>
        <w:rPr>
          <w:rFonts w:ascii="Times New Roman" w:cs="Times New Roman" w:eastAsia="Times New Roman" w:hAnsi="Times New Roman"/>
          <w:sz w:val="17"/>
          <w:szCs w:val="17"/>
          <w:color w:val="auto"/>
        </w:rPr>
        <w:t>Our Energy segment's petroleum business' financial results are primarily affected by the relationship, or margin, between refined product prices and the prices for crude oil and other feedstocks. When the margin between refined product prices and crude oil and other feedstock prices tightens, the petroleum business' earnings, profitability and cash flows are negatively affected. Refining margins historically have been volatile and are likely to continue to be volatile, as a result of a variety of factors including fluctuations in prices of crude oil, other feedstocks and refined products. Continued future volatility in refining industry margins may cause a decline in the petroleum business' results of operations, since the margin between refined product prices and crude oil and other feedstock prices may decrease below the amount needed for the petroleum business to generate net cash flow sufficient for its needs. Although an increase or decrease in the price for crude oil generally results in a similar increase or decrease in prices for refined products, there is normally a time lag in the realization of the similar increase or decrease in prices for refined products. The effect of changes in crude oil prices on the petroleum business' results of operations therefore depends in part on how quickly and how fully refined product prices adjust to reflect these changes. A substantial or prolonged increase in crude oil prices without a corresponding increase in refined product prices, or a substantial or prolonged decrease in refined product prices without a corresponding decrease in crude oil prices, could have a significant negative impact on our Energy segment's earnings, results of operations and cash flows.</w:t>
      </w:r>
    </w:p>
    <w:p>
      <w:pPr>
        <w:spacing w:after="0" w:line="66" w:lineRule="exact"/>
        <w:rPr>
          <w:sz w:val="20"/>
          <w:szCs w:val="20"/>
          <w:color w:val="auto"/>
        </w:rPr>
      </w:pPr>
    </w:p>
    <w:p>
      <w:pPr>
        <w:ind w:right="80" w:firstLine="378"/>
        <w:spacing w:after="0" w:line="261" w:lineRule="auto"/>
        <w:rPr>
          <w:sz w:val="20"/>
          <w:szCs w:val="20"/>
          <w:color w:val="auto"/>
        </w:rPr>
      </w:pPr>
      <w:r>
        <w:rPr>
          <w:rFonts w:ascii="Times New Roman" w:cs="Times New Roman" w:eastAsia="Times New Roman" w:hAnsi="Times New Roman"/>
          <w:sz w:val="18"/>
          <w:szCs w:val="18"/>
          <w:color w:val="auto"/>
        </w:rPr>
        <w:t>Profitability is also impacted by the ability to purchase crude oil at a discount to benchmark crude oils, such as WTI, as the petroleum business does not produce any crude oil and must purchase all of the crude oil it refines. Crude oil differentials can fluctuate significantly based upon overall economic and crude oil market conditions. Declines in crude oil differentials can adversely impact refining margins, earnings and cash flows. In addition, the petroleum business' purchases of crude oil,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99" w:right="259" w:bottom="1440" w:gutter="0" w:footer="0" w:header="0"/>
        </w:sectPr>
      </w:pPr>
    </w:p>
    <w:bookmarkStart w:id="51" w:name="page52"/>
    <w:bookmarkEnd w:id="51"/>
    <w:p>
      <w:pPr>
        <w:ind w:right="80"/>
        <w:spacing w:after="0" w:line="266" w:lineRule="auto"/>
        <w:rPr>
          <w:sz w:val="20"/>
          <w:szCs w:val="20"/>
          <w:color w:val="auto"/>
        </w:rPr>
      </w:pPr>
      <w:r>
        <w:rPr>
          <w:rFonts w:ascii="Times New Roman" w:cs="Times New Roman" w:eastAsia="Times New Roman" w:hAnsi="Times New Roman"/>
          <w:sz w:val="18"/>
          <w:szCs w:val="18"/>
          <w:color w:val="auto"/>
        </w:rPr>
        <w:t>although based on WTI prices, have historically been at a discount to WTI because of the proximity of the refineries to the sources, existing logistics infrastructure and quality differences. Any change in the sources of crude oil, infrastructure or logistical improvements or quality differences could result in a reduction of the petroleum business' historical discount to WTI and may result in a reduction of our Energy segment's cost advantage.</w:t>
      </w:r>
    </w:p>
    <w:p>
      <w:pPr>
        <w:spacing w:after="0" w:line="68" w:lineRule="exact"/>
        <w:rPr>
          <w:sz w:val="20"/>
          <w:szCs w:val="20"/>
          <w:color w:val="auto"/>
        </w:rPr>
      </w:pPr>
    </w:p>
    <w:p>
      <w:pPr>
        <w:ind w:right="320" w:firstLine="378"/>
        <w:spacing w:after="0" w:line="266" w:lineRule="auto"/>
        <w:rPr>
          <w:sz w:val="20"/>
          <w:szCs w:val="20"/>
          <w:color w:val="auto"/>
        </w:rPr>
      </w:pPr>
      <w:r>
        <w:rPr>
          <w:rFonts w:ascii="Times New Roman" w:cs="Times New Roman" w:eastAsia="Times New Roman" w:hAnsi="Times New Roman"/>
          <w:sz w:val="18"/>
          <w:szCs w:val="18"/>
          <w:color w:val="auto"/>
        </w:rPr>
        <w:t>Refining margins are also impacted by domestic and global refining capacity. Downturns in the economy reduce the demand for refined fuels and, in turn, generate excess capacity. In addition, the expansion and construction of refineries domestically and globally can increase refined fuel production capacity. Excess capacity can adversely impact refining margins, earnings and cash flows.</w:t>
      </w:r>
    </w:p>
    <w:p>
      <w:pPr>
        <w:spacing w:after="0" w:line="68" w:lineRule="exact"/>
        <w:rPr>
          <w:sz w:val="20"/>
          <w:szCs w:val="20"/>
          <w:color w:val="auto"/>
        </w:rPr>
      </w:pPr>
    </w:p>
    <w:p>
      <w:pPr>
        <w:jc w:val="both"/>
        <w:ind w:right="100" w:firstLine="378"/>
        <w:spacing w:after="0" w:line="255" w:lineRule="auto"/>
        <w:rPr>
          <w:sz w:val="20"/>
          <w:szCs w:val="20"/>
          <w:color w:val="auto"/>
        </w:rPr>
      </w:pPr>
      <w:r>
        <w:rPr>
          <w:rFonts w:ascii="Times New Roman" w:cs="Times New Roman" w:eastAsia="Times New Roman" w:hAnsi="Times New Roman"/>
          <w:sz w:val="18"/>
          <w:szCs w:val="18"/>
          <w:color w:val="auto"/>
        </w:rPr>
        <w:t>The petroleum business is significantly affected by developments in the markets in which it operates. For example, numerous pipeline projects in 2014 expanded the connectivity of the Cushing and Permian Basin markets to the gulf coast, resulting in a decrease in the domestic crude advantage. Additionally, in late 2014, market factors resulted in a rapid downward price adjustment in the oil and gas industry. The resultant spike in volatility continuing in 2015 has caused major adjustments in oil debt markets as well as announced and expected cuts in 2015 budgets in both North American shale and Canadian projects.</w:t>
      </w:r>
    </w:p>
    <w:p>
      <w:pPr>
        <w:spacing w:after="0" w:line="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refining industry is directly impacted by these events and has seen a downward movement in refining margins as a result. A significant and/or prolonged deterioration in market conditions would have a material adverse effect on our Energy segment's earnings, results of operations and cash flows.</w:t>
      </w:r>
    </w:p>
    <w:p>
      <w:pPr>
        <w:spacing w:after="0" w:line="72" w:lineRule="exact"/>
        <w:rPr>
          <w:sz w:val="20"/>
          <w:szCs w:val="20"/>
          <w:color w:val="auto"/>
        </w:rPr>
      </w:pPr>
    </w:p>
    <w:p>
      <w:pPr>
        <w:ind w:right="340" w:firstLine="378"/>
        <w:spacing w:after="0" w:line="282" w:lineRule="auto"/>
        <w:rPr>
          <w:sz w:val="20"/>
          <w:szCs w:val="20"/>
          <w:color w:val="auto"/>
        </w:rPr>
      </w:pPr>
      <w:r>
        <w:rPr>
          <w:rFonts w:ascii="Times New Roman" w:cs="Times New Roman" w:eastAsia="Times New Roman" w:hAnsi="Times New Roman"/>
          <w:sz w:val="18"/>
          <w:szCs w:val="18"/>
          <w:color w:val="auto"/>
        </w:rPr>
        <w:t>Volatile prices for natural gas and electricity also affect the petroleum business' manufacturing and operating costs. Natural gas and electricity prices have been, and will continue to be, affected by supply and demand for fuel and utility services in both local and regional markets.</w:t>
      </w:r>
    </w:p>
    <w:p>
      <w:pPr>
        <w:spacing w:after="0" w:line="5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CVR is required to obtain its crude oil supply without the benefit of a crude oil supply agreement, its exposure to the risks associated with volatile crude oil prices may increase and our Energy segment's liquidity may be reduced</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Since December 31, 2009, the petroleum business has obtained substantially all of its crude oil supply for the Coffeyville refinery, other than the crude oil it gathers, through the Vitol Agreement. The Vitol Agreement was amended and restated on August 31, 2012 to include the provision of crude oil intermediation services to the Wynnewood refinery. The agreement, which currently extends through December 31, 2015, minimizes the amount of in-transit inventory and mitigates crude oil pricing risk by ensuring pricing takes place close to the time the crude oil is refined and the yielded products are sold. If the petroleum business were required to obtain its crude oil supply without the benefit of a supply intermediation agreement, its exposure to crude oil pricing risk may increase, despite any hedging activity in which it may engage, and its liquidity would be negatively impacted due to increased inventory and the negative impact of market volatility. There is no assurance that the petroleum business will be able to renew or extend the Vitol Agreement beyond December 31, 2015.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 of the petroleum business' ability to obtain an adequate supply of crude oil could reduce its liquidity and increase its costs.</w:t>
      </w:r>
    </w:p>
    <w:p>
      <w:pPr>
        <w:spacing w:after="0" w:line="121" w:lineRule="exact"/>
        <w:rPr>
          <w:sz w:val="20"/>
          <w:szCs w:val="20"/>
          <w:color w:val="auto"/>
        </w:rPr>
      </w:pPr>
    </w:p>
    <w:p>
      <w:pPr>
        <w:ind w:firstLine="378"/>
        <w:spacing w:after="0" w:line="253" w:lineRule="auto"/>
        <w:rPr>
          <w:sz w:val="20"/>
          <w:szCs w:val="20"/>
          <w:color w:val="auto"/>
        </w:rPr>
      </w:pPr>
      <w:r>
        <w:rPr>
          <w:rFonts w:ascii="Times New Roman" w:cs="Times New Roman" w:eastAsia="Times New Roman" w:hAnsi="Times New Roman"/>
          <w:sz w:val="18"/>
          <w:szCs w:val="18"/>
          <w:color w:val="auto"/>
        </w:rPr>
        <w:t>In addition to the crude oil the petroleum business gathers locally in Kansas, Oklahoma, Missouri, Nebraska and Texas, it also purchased additional crude oil to be refined into liquid fuels in 2014. In 2014, the Coffeyville refinery purchased an additional 75,000 to 80,000 bpd of crude oil while the Wynnewood refinery purchased approximately 55,000 to 60,000 bpd of crude oil. The Wynnewood refinery has historically acquired most of its crude oil from Texas and Oklahoma with smaller amounts purchased from other regions. The Coffeyville refinery obtained a portion of its non-gathered crude oil, approximately 22% in 2014, from foreign sources, and the Wynnewood refinery obtained approximately 1% of its non-gathered crude oil from foreign sources as well. The majority of these foreign sourced crude oil barrels were derived from Canada. The actual amount of foreign crude oil the petroleum business purchases is dependent on market conditions and will vary from year to year. The petroleum business is subject to the political, geographic, and economic risks attendant to doing business with foreign suppliers. Disruption of production in any of these regions for any reason could have a material impact on other regions and the petroleum business. In the event that one or more of its traditional suppliers becomes unavailable, the petroleum business may be unable to obtain an adequate supply of crude oil, or it may only be able to obtain crude oil at unfavorable prices. As a result, the petroleum business may experience a reduction in its liquidity and its results of operations could be materially adversely affected.</w:t>
      </w:r>
    </w:p>
    <w:p>
      <w:pPr>
        <w:spacing w:after="0" w:line="8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CVR's access to the pipelines on which the petroleum business relies for the supply of its crude oil and the distribution of its products is interrupted, its inventory and costs may increase and it may be unable to efficiently distribute its products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If one of the pipelines on which either of the Coffeyville or Wynnewood refineries relies for supply of crude oil becomes inoperative, the petroleum business would be required to obtain crude oil through alternative pipelines or from additional tanker trucks, which could increase its costs and result in lower production levels and profitability. Similarly, if a major refined fuels pipeline becomes inoperative, the petroleum business would be required to keep refined fuels in inventory or supply refined fuels to its customers through an alternative pipeline or by additional tanker trucks, which could increase our Energy segment's business costs and result in a decline in profitability.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72" w:right="239" w:bottom="1440" w:gutter="0" w:footer="0" w:header="0"/>
        </w:sectPr>
      </w:pPr>
    </w:p>
    <w:bookmarkStart w:id="52" w:name="page53"/>
    <w:bookmarkEnd w:id="52"/>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geographic concentration of the petroleum business' refineries and related assets creates an exposure to the risks of the local economy and other local adverse conditions. The location of its refineries also creates the risk of increased transportation costs should the supply/demand balance change in its region such that regional supply exceeds regional demand for refined products.</w:t>
      </w:r>
    </w:p>
    <w:p>
      <w:pPr>
        <w:spacing w:after="0" w:line="67"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As the refineries are both located in the southern portion of Group 3 of the PADD II region, the petroleum business primarily markets its refined products in a relatively limited geographic area. As a result, it is more susceptible to regional economic conditions than the operations of more geographically diversified competitors, and any unforeseen events or circumstances that affect its operating area could also materially adversely affect its revenues and cash flows. These factors include, among other things, changes in the economy, weather conditions, demographics and population, increased supply of refined products from competitors and reductions in the supply of crude oil.</w:t>
      </w:r>
    </w:p>
    <w:p>
      <w:pPr>
        <w:spacing w:after="0" w:line="76" w:lineRule="exact"/>
        <w:rPr>
          <w:sz w:val="20"/>
          <w:szCs w:val="20"/>
          <w:color w:val="auto"/>
        </w:rPr>
      </w:pPr>
    </w:p>
    <w:p>
      <w:pPr>
        <w:ind w:right="140" w:firstLine="378"/>
        <w:spacing w:after="0" w:line="266" w:lineRule="auto"/>
        <w:rPr>
          <w:sz w:val="20"/>
          <w:szCs w:val="20"/>
          <w:color w:val="auto"/>
        </w:rPr>
      </w:pPr>
      <w:r>
        <w:rPr>
          <w:rFonts w:ascii="Times New Roman" w:cs="Times New Roman" w:eastAsia="Times New Roman" w:hAnsi="Times New Roman"/>
          <w:sz w:val="18"/>
          <w:szCs w:val="18"/>
          <w:color w:val="auto"/>
        </w:rPr>
        <w:t>Should the supply/demand balance shift in its region as a result of changes in the local economy, an increase in refining capacity or other reasons, resulting in supply in the region exceeding demand, the petroleum business may have to deliver refined products to customers outside of the region and thus incur considerably higher transportation costs, resulting in lower refining margins, if any.</w:t>
      </w:r>
    </w:p>
    <w:p>
      <w:pPr>
        <w:spacing w:after="0" w:line="6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sufficient Renewable Identification Numbers (RINs) are unavailable for purchase or if the petroleum business has to pay a significantly higher price for RINs, or if the petroleum business is otherwise unable to meet the EPA's Renewable Fuels Standard mandates, the petroleum business' financial condition and results of operations could be materially adversely affected.</w:t>
      </w:r>
    </w:p>
    <w:p>
      <w:pPr>
        <w:spacing w:after="0" w:line="67" w:lineRule="exact"/>
        <w:rPr>
          <w:sz w:val="20"/>
          <w:szCs w:val="20"/>
          <w:color w:val="auto"/>
        </w:rPr>
      </w:pPr>
    </w:p>
    <w:p>
      <w:pPr>
        <w:ind w:right="20" w:firstLine="378"/>
        <w:spacing w:after="0" w:line="252" w:lineRule="auto"/>
        <w:rPr>
          <w:sz w:val="20"/>
          <w:szCs w:val="20"/>
          <w:color w:val="auto"/>
        </w:rPr>
      </w:pPr>
      <w:r>
        <w:rPr>
          <w:rFonts w:ascii="Times New Roman" w:cs="Times New Roman" w:eastAsia="Times New Roman" w:hAnsi="Times New Roman"/>
          <w:sz w:val="18"/>
          <w:szCs w:val="18"/>
          <w:color w:val="auto"/>
        </w:rPr>
        <w:t>Pursuant to the Energy Independence and Security Act of 2007, the EPA has promulgated the RFS, which requires refiners to either blend "renewable fuels," such as ethanol, into their petroleum fuels or purchase renewable fuel credits, known as RINs, in lieu of blending. Under the RFS, the volume of renewable fuels refineries like Coffeyville and Wynnewood are obligated to blend into their finished petroleum products is adjusted annually. The petroleum business currently purchases RINs for some fuel categories on the open market, as well as waiver credits for cellulosic biofuels from the EPA, in order to comply with the RFS. Existing laws or regulations could change, and the minimum volumes of renewable fuels that must be blended with refined petroleum products may increase. In the future, the petroleum business may be required to purchase additional RINs on the open market and waiver credits from the EPA in order to comply with the RFS. During 2013, the price of RINs was extremely volatile as the EPA’s proposed renewable fuel volume mandates approached the "blend wall." The blend wall refers to the point at which refiners are required to blend more ethanol into the transportation fuel supply than can be supported by the demand for E10 gasoline (gasoline containing 10 percent ethanol by volume). In November 2013, the EPA published the annual renewable fuel percentage standards for 2014, which acknowledged the blend wall and were generally lower than the volumes for 2013 and lower than statutory mandates. The price of RINs decreased significantly after the 2014 percentage standards were published; however, RIN prices remained volatile and increased subsequently in 2014. In May 2014, the EPA lowered the 2013 cellulosic biofuel standard to 0.0005%, and, in June 2014, the EPA extended the compliance demonstration deadline for the 2013 RFS to September 30, 2014. In August 2014, the EPA further extended the compliance demonstration deadline for the 2013 RFS to 30 days following the publication of the final 2014 annual renewable fuel percentage standards. In November 2014, the EPA announced that it would not finalize the 2014 annual renewable fuel percentage standards before the end of 2014 thereby extending the compliance deadlines for the 2013 RFS as well.</w:t>
      </w:r>
    </w:p>
    <w:p>
      <w:pPr>
        <w:spacing w:after="0" w:line="88" w:lineRule="exact"/>
        <w:rPr>
          <w:sz w:val="20"/>
          <w:szCs w:val="20"/>
          <w:color w:val="auto"/>
        </w:rPr>
      </w:pPr>
    </w:p>
    <w:p>
      <w:pPr>
        <w:ind w:right="20" w:firstLine="378"/>
        <w:spacing w:after="0" w:line="254" w:lineRule="auto"/>
        <w:rPr>
          <w:sz w:val="20"/>
          <w:szCs w:val="20"/>
          <w:color w:val="auto"/>
        </w:rPr>
      </w:pPr>
      <w:r>
        <w:rPr>
          <w:rFonts w:ascii="Times New Roman" w:cs="Times New Roman" w:eastAsia="Times New Roman" w:hAnsi="Times New Roman"/>
          <w:sz w:val="18"/>
          <w:szCs w:val="18"/>
          <w:color w:val="auto"/>
        </w:rPr>
        <w:t>The petroleum business cannot predict the future prices of RINs or waiver credits, particularly until such time that the 2014 renewable fuel percentage standards are finalized and the 2015 renewable fuel percentage standards are announced. Additionally, as the cost of RINs is dependent upon a variety of factors, which include EPA regulations, the availability of RINs for purchase, the price at which RINs can be purchased, transportation fuel production levels, the mix of the petroleum business' petroleum products, as well as the fuel blending performed at the refineries, all of which can vary significantly from quarter to quarter. However, the costs to obtain the necessary number of RINs and waiver credits could be material. Additionally, because the petroleum business does not produce renewable fuels, increasing the volume of renewable fuels that must be blended into its products displaces an increasing volume of the refineries' product pool, potentially resulting in lower earnings and materially adversely affecting the petroleum business' cash flows. If sufficient RINs are unavailable for purchase, if the petroleum business has to pay a significantly higher price for RINs or if the petroleum business is otherwise unable to meet the EPA's RFS mandates, our Energy segment's business, financial condition and results of operations could be materially adversely affected.</w:t>
      </w:r>
    </w:p>
    <w:p>
      <w:pPr>
        <w:spacing w:after="0" w:line="7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CVR's petroleum business faces significant competition, both within and outside of its industry. Competitors who produce their own supply of crude oil or other feedstocks, have extensive retail outlets, make alternative fuels or have greater financial resources than it does may have a competitive advantage.</w:t>
      </w:r>
    </w:p>
    <w:p>
      <w:pPr>
        <w:spacing w:after="0" w:line="51" w:lineRule="exact"/>
        <w:rPr>
          <w:sz w:val="20"/>
          <w:szCs w:val="20"/>
          <w:color w:val="auto"/>
        </w:rPr>
      </w:pPr>
    </w:p>
    <w:p>
      <w:pPr>
        <w:ind w:right="60" w:firstLine="378"/>
        <w:spacing w:after="0" w:line="266" w:lineRule="auto"/>
        <w:rPr>
          <w:sz w:val="20"/>
          <w:szCs w:val="20"/>
          <w:color w:val="auto"/>
        </w:rPr>
      </w:pPr>
      <w:r>
        <w:rPr>
          <w:rFonts w:ascii="Times New Roman" w:cs="Times New Roman" w:eastAsia="Times New Roman" w:hAnsi="Times New Roman"/>
          <w:sz w:val="18"/>
          <w:szCs w:val="18"/>
          <w:color w:val="auto"/>
        </w:rPr>
        <w:t>The refining industry is highly competitive with respect to both crude oil and other feedstock supply and refined product markets. The petroleum business may be unable to compete effectively with competitors within and outside of the industry, which could result in reduced profitability. The petroleum business competes with numerous other companies for available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468" w:right="259" w:bottom="1440" w:gutter="0" w:footer="0" w:header="0"/>
        </w:sectPr>
      </w:pPr>
    </w:p>
    <w:bookmarkStart w:id="53" w:name="page54"/>
    <w:bookmarkEnd w:id="53"/>
    <w:p>
      <w:pPr>
        <w:ind w:right="100"/>
        <w:spacing w:after="0" w:line="274" w:lineRule="auto"/>
        <w:rPr>
          <w:sz w:val="20"/>
          <w:szCs w:val="20"/>
          <w:color w:val="auto"/>
        </w:rPr>
      </w:pPr>
      <w:r>
        <w:rPr>
          <w:rFonts w:ascii="Times New Roman" w:cs="Times New Roman" w:eastAsia="Times New Roman" w:hAnsi="Times New Roman"/>
          <w:sz w:val="17"/>
          <w:szCs w:val="17"/>
          <w:color w:val="auto"/>
        </w:rPr>
        <w:t>supplies of crude oil and other feedstocks and for outlets for its refined products. The petroleum business is not engaged in the petroleum exploration and production business and therefore it does not produce any of its crude oil feedstocks. It does not have a retail business and therefore is dependent upon others for outlets for its refined products. It does not have any long-term arrangements (those exceeding more than a twelve-month period) for much of its output. Many of its competitors obtain significant portions of their crude oil and other feedstocks from company-owned production and have extensive retail outlets. Competitors that have their own production or extensive retail outlets with brand-name recognition are at times able to offset losses from refining operations with profits from producing or retailing operations, and may be better positioned to withstand periods of depressed refining margins or feedstock shortages.</w:t>
      </w:r>
    </w:p>
    <w:p>
      <w:pPr>
        <w:spacing w:after="0" w:line="65" w:lineRule="exact"/>
        <w:rPr>
          <w:sz w:val="20"/>
          <w:szCs w:val="20"/>
          <w:color w:val="auto"/>
        </w:rPr>
      </w:pPr>
    </w:p>
    <w:p>
      <w:pPr>
        <w:ind w:right="80" w:firstLine="378"/>
        <w:spacing w:after="0" w:line="261" w:lineRule="auto"/>
        <w:rPr>
          <w:sz w:val="20"/>
          <w:szCs w:val="20"/>
          <w:color w:val="auto"/>
        </w:rPr>
      </w:pPr>
      <w:r>
        <w:rPr>
          <w:rFonts w:ascii="Times New Roman" w:cs="Times New Roman" w:eastAsia="Times New Roman" w:hAnsi="Times New Roman"/>
          <w:sz w:val="18"/>
          <w:szCs w:val="18"/>
          <w:color w:val="auto"/>
        </w:rPr>
        <w:t>A number of the petroleum business' competitors also have materially greater financial and other resources than it does. These competitors may have a greater ability to bear the economic risks inherent in all aspects of the refining industry. An expansion or upgrade of its competitors' facilities, price volatility, international political and economic developments and other factors are likely to continue to play an important role in refining industry economics and may add additional competitive pressure.</w:t>
      </w:r>
    </w:p>
    <w:p>
      <w:pPr>
        <w:spacing w:after="0" w:line="72" w:lineRule="exact"/>
        <w:rPr>
          <w:sz w:val="20"/>
          <w:szCs w:val="20"/>
          <w:color w:val="auto"/>
        </w:rPr>
      </w:pPr>
    </w:p>
    <w:p>
      <w:pPr>
        <w:jc w:val="both"/>
        <w:ind w:right="440" w:firstLine="378"/>
        <w:spacing w:after="0" w:line="258" w:lineRule="auto"/>
        <w:rPr>
          <w:sz w:val="20"/>
          <w:szCs w:val="20"/>
          <w:color w:val="auto"/>
        </w:rPr>
      </w:pPr>
      <w:r>
        <w:rPr>
          <w:rFonts w:ascii="Times New Roman" w:cs="Times New Roman" w:eastAsia="Times New Roman" w:hAnsi="Times New Roman"/>
          <w:sz w:val="18"/>
          <w:szCs w:val="18"/>
          <w:color w:val="auto"/>
        </w:rPr>
        <w:t>In addition, the petroleum business competes with other industries that provide alternative means to satisfy the energy and fuel requirements of its industrial, commercial and individual customers. There are presently significant governmental incentives and consumer pressures to increase the use of alternative fuels in the United States. The more successful these alternatives become as a result of governmental incentives or regulations, technological advances, consumer demand, improved pricing or otherwise, the greater the negative impact on pricing and demand for our Energy segment's petroleum business' products and profitability.</w:t>
      </w:r>
    </w:p>
    <w:p>
      <w:pPr>
        <w:spacing w:after="0" w:line="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petroleum business' credit profile may affect its relationship with its suppliers, which could have a material adverse effect on its liquidity and its ability to operate the refineries at full capacity.</w:t>
      </w:r>
    </w:p>
    <w:p>
      <w:pPr>
        <w:spacing w:after="0" w:line="51" w:lineRule="exact"/>
        <w:rPr>
          <w:sz w:val="20"/>
          <w:szCs w:val="20"/>
          <w:color w:val="auto"/>
        </w:rPr>
      </w:pPr>
    </w:p>
    <w:p>
      <w:pPr>
        <w:ind w:right="80" w:firstLine="378"/>
        <w:spacing w:after="0" w:line="258" w:lineRule="auto"/>
        <w:rPr>
          <w:sz w:val="20"/>
          <w:szCs w:val="20"/>
          <w:color w:val="auto"/>
        </w:rPr>
      </w:pPr>
      <w:r>
        <w:rPr>
          <w:rFonts w:ascii="Times New Roman" w:cs="Times New Roman" w:eastAsia="Times New Roman" w:hAnsi="Times New Roman"/>
          <w:sz w:val="18"/>
          <w:szCs w:val="18"/>
          <w:color w:val="auto"/>
        </w:rPr>
        <w:t>Changes in the petroleum business' credit profile may affect the way crude oil suppliers view its ability to make payments and may induce them to shorten the payment terms for purchases or require it to post security prior to payment. Given the large dollar amounts and volume of the petroleum business' crude oil and other feedstock purchases, a burdensome change in payment terms may have a material adverse effect on the petroleum business' liquidity and its ability to make payments to its suppliers. This, in turn, could cause it to be unable to operate the refineries at full capacity. A failure to operate the refineries at full capacity could adversely affect the petroleum business' profitability and cash flows.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CVR's commodity derivative contracts may limit our Energy segment's potential gains, exacerbate potential losses and involve other risks.</w:t>
      </w:r>
    </w:p>
    <w:p>
      <w:pPr>
        <w:spacing w:after="0" w:line="121" w:lineRule="exact"/>
        <w:rPr>
          <w:sz w:val="20"/>
          <w:szCs w:val="20"/>
          <w:color w:val="auto"/>
        </w:rPr>
      </w:pPr>
    </w:p>
    <w:p>
      <w:pPr>
        <w:ind w:right="80" w:firstLine="378"/>
        <w:spacing w:after="0" w:line="256" w:lineRule="auto"/>
        <w:rPr>
          <w:sz w:val="20"/>
          <w:szCs w:val="20"/>
          <w:color w:val="auto"/>
        </w:rPr>
      </w:pPr>
      <w:r>
        <w:rPr>
          <w:rFonts w:ascii="Times New Roman" w:cs="Times New Roman" w:eastAsia="Times New Roman" w:hAnsi="Times New Roman"/>
          <w:sz w:val="18"/>
          <w:szCs w:val="18"/>
          <w:color w:val="auto"/>
        </w:rPr>
        <w:t>The petroleum business enters into commodity derivatives contracts to mitigate crack spread risk with respect to a portion of its expected refined products production. However, its hedging arrangements may fail to fully achieve these objectives for a variety of reasons, including its failure to have adequate hedging contracts, if any, in effect at any particular time and the failure of its hedging arrangements to produce the anticipated results. The petroleum business may not be able to procure adequate hedging arrangements due to a variety of factors. Moreover, such transactions may limit its ability to benefit from favorable changes in margins. In addition, the petroleum business' hedging activities may expose it to the risk of financial loss in certain circumstances, including instances in which:</w:t>
      </w:r>
    </w:p>
    <w:p>
      <w:pPr>
        <w:spacing w:after="0" w:line="161" w:lineRule="exact"/>
        <w:rPr>
          <w:sz w:val="20"/>
          <w:szCs w:val="20"/>
          <w:color w:val="auto"/>
        </w:rPr>
      </w:pPr>
    </w:p>
    <w:p>
      <w:pPr>
        <w:ind w:left="660" w:right="980" w:hanging="247"/>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volumes of its actual use of crude oil or production of the applicable refined products is less than the volumes subject to the hedging arrangement;</w:t>
      </w:r>
    </w:p>
    <w:p>
      <w:pPr>
        <w:spacing w:after="0" w:line="53" w:lineRule="exact"/>
        <w:rPr>
          <w:rFonts w:ascii="Times New Roman" w:cs="Times New Roman" w:eastAsia="Times New Roman" w:hAnsi="Times New Roman"/>
          <w:sz w:val="18"/>
          <w:szCs w:val="18"/>
          <w:color w:val="auto"/>
        </w:rPr>
      </w:pPr>
    </w:p>
    <w:p>
      <w:pPr>
        <w:ind w:left="660" w:right="160" w:hanging="247"/>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interruptions in transportation, inclement weather or other events cause unscheduled shutdowns or otherwise adversely affect its refinery or suppliers or customers;</w:t>
      </w:r>
    </w:p>
    <w:p>
      <w:pPr>
        <w:spacing w:after="0" w:line="5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counterparties to its futures contracts fail to perform under the contracts; or</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sudden, unexpected event materially impacts the commodity or crack spread subject to the hedging arrangement.</w:t>
      </w:r>
    </w:p>
    <w:p>
      <w:pPr>
        <w:spacing w:after="0" w:line="117" w:lineRule="exact"/>
        <w:rPr>
          <w:sz w:val="20"/>
          <w:szCs w:val="20"/>
          <w:color w:val="auto"/>
        </w:rPr>
      </w:pPr>
    </w:p>
    <w:p>
      <w:pPr>
        <w:ind w:right="140" w:firstLine="378"/>
        <w:spacing w:after="0" w:line="282" w:lineRule="auto"/>
        <w:rPr>
          <w:sz w:val="20"/>
          <w:szCs w:val="20"/>
          <w:color w:val="auto"/>
        </w:rPr>
      </w:pPr>
      <w:r>
        <w:rPr>
          <w:rFonts w:ascii="Times New Roman" w:cs="Times New Roman" w:eastAsia="Times New Roman" w:hAnsi="Times New Roman"/>
          <w:sz w:val="18"/>
          <w:szCs w:val="18"/>
          <w:color w:val="auto"/>
        </w:rPr>
        <w:t>As a result, the effectiveness of CVR's risk mitigation strategy could have a material adverse impact on our Energy segment's financial results and cash flows.</w:t>
      </w:r>
    </w:p>
    <w:p>
      <w:pPr>
        <w:spacing w:after="0" w:line="5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adoption of derivatives legislation by the U.S. Congress could have an adverse effect on CVR's ability to hedge risks associated with our Energy segment's petroleum business.</w:t>
      </w:r>
    </w:p>
    <w:p>
      <w:pPr>
        <w:spacing w:after="0" w:line="51"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The U.S. Congress has adopted the Dodd-Frank Act, comprehensive financial reform legislation that establishes federal oversight and regulation of the over-the-counter derivatives market and entities, such as the petroleum business, that participate in that market, and requires the Commodities Futures Trading Commission ("CFTC") to institute broad new position limits for futures and options traded on regulated exchanges. The Dodd-Frank Act requires the CFTC, the SEC and other regulators to promulgate rules and regulations implementing the new legislation. The Dodd-Frank Act and implementing rules and regulations also require certain swap participants to comply with, among other things, certain margin requirements and clearing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72" w:right="239" w:bottom="1440" w:gutter="0" w:footer="0" w:header="0"/>
        </w:sectPr>
      </w:pPr>
    </w:p>
    <w:bookmarkStart w:id="54" w:name="page55"/>
    <w:bookmarkEnd w:id="54"/>
    <w:p>
      <w:pPr>
        <w:ind w:right="100"/>
        <w:spacing w:after="0" w:line="266" w:lineRule="auto"/>
        <w:rPr>
          <w:sz w:val="20"/>
          <w:szCs w:val="20"/>
          <w:color w:val="auto"/>
        </w:rPr>
      </w:pPr>
      <w:r>
        <w:rPr>
          <w:rFonts w:ascii="Times New Roman" w:cs="Times New Roman" w:eastAsia="Times New Roman" w:hAnsi="Times New Roman"/>
          <w:sz w:val="18"/>
          <w:szCs w:val="18"/>
          <w:color w:val="auto"/>
        </w:rPr>
        <w:t>and trade-execution requirements in connection with certain derivative activities. The rulemaking process is still ongoing, and the petroleum business cannot predict the ultimate outcome of the rulemakings. New regulations in this area may result in increased costs and cash collateral requirements for derivative instruments the petroleum business may use to hedge and otherwise manage its financial risks related to volatility in oil and gas commodity prices.</w:t>
      </w:r>
    </w:p>
    <w:p>
      <w:pPr>
        <w:spacing w:after="0" w:line="68"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If the petroleum business reduces its use of derivatives as a result of the Dodd-Frank Act and any new rules and regulations, its results of operations may become more volatile and its cash flows may be less predictable, which could adversely affect its ability to satisfy its debt obligations or plan for and fund capital expenditures. Increased volatility may make the petroleum business less attractive to certain types of investors. Finally, the Dodd-Frank Act was intended, in part, to reduce the volatility of oil and natural gas prices. If the Dodd-Frank Act and any new regulations result in lower commodity prices, the petroleum business' revenues could be adversely affected. Any of these consequences could adversely affect our Energy segment's financial condition and results of operations and therefore could have an adverse effect on its ability to satisfy its debt obligations.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Energy segment's petroleum business' commodity derivative activities could result in period-to-period volatility.</w:t>
      </w:r>
    </w:p>
    <w:p>
      <w:pPr>
        <w:spacing w:after="0" w:line="121" w:lineRule="exact"/>
        <w:rPr>
          <w:sz w:val="20"/>
          <w:szCs w:val="20"/>
          <w:color w:val="auto"/>
        </w:rPr>
      </w:pPr>
    </w:p>
    <w:p>
      <w:pPr>
        <w:ind w:right="140" w:firstLine="378"/>
        <w:spacing w:after="0" w:line="261" w:lineRule="auto"/>
        <w:rPr>
          <w:sz w:val="20"/>
          <w:szCs w:val="20"/>
          <w:color w:val="auto"/>
        </w:rPr>
      </w:pPr>
      <w:r>
        <w:rPr>
          <w:rFonts w:ascii="Times New Roman" w:cs="Times New Roman" w:eastAsia="Times New Roman" w:hAnsi="Times New Roman"/>
          <w:sz w:val="18"/>
          <w:szCs w:val="18"/>
          <w:color w:val="auto"/>
        </w:rPr>
        <w:t>The petroleum business does not apply hedge accounting to its commodity derivative contracts and, as a result, unrealized gains and losses are charged to its earnings based on the increase or decrease in the market value of the unsettled position. Such gains and losses are reflected in its income statement in periods that differ from when the underlying hedged items (i.e., gross margins) are reflected in its income statement. Such derivative gains or losses in earnings may produce significant period-to-period earnings volatility that is not necessarily reflective of our Energy segment's operational performance.</w:t>
      </w:r>
    </w:p>
    <w:p>
      <w:pPr>
        <w:spacing w:after="0" w:line="6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CVR must make substantial capital expenditures on its refineries and other facilities to maintain their reliability and efficiency. If CVR is unable to complete capital projects at their expected costs and/or in a timely manner, or if the market conditions assumed in its project economics deteriorate, our Energy segment's financial condition, results of operations or cash flows could be adversely affected.</w:t>
      </w:r>
    </w:p>
    <w:p>
      <w:pPr>
        <w:spacing w:after="0" w:line="67" w:lineRule="exact"/>
        <w:rPr>
          <w:sz w:val="20"/>
          <w:szCs w:val="20"/>
          <w:color w:val="auto"/>
        </w:rPr>
      </w:pPr>
    </w:p>
    <w:p>
      <w:pPr>
        <w:ind w:right="60" w:firstLine="378"/>
        <w:spacing w:after="0" w:line="266" w:lineRule="auto"/>
        <w:rPr>
          <w:sz w:val="20"/>
          <w:szCs w:val="20"/>
          <w:color w:val="auto"/>
        </w:rPr>
      </w:pPr>
      <w:r>
        <w:rPr>
          <w:rFonts w:ascii="Times New Roman" w:cs="Times New Roman" w:eastAsia="Times New Roman" w:hAnsi="Times New Roman"/>
          <w:sz w:val="18"/>
          <w:szCs w:val="18"/>
          <w:color w:val="auto"/>
        </w:rPr>
        <w:t>Delays or cost increases related to the engineering, procurement and construction of new facilities, or improvements and repairs to CVR's existing facilities and equipment, could have a material adverse effect on our Energy segment's business, financial condition, results of operations or cash flows. Such delays or cost increases may arise as a result of unpredictable factors in the marketplace, many of which are beyond CVR's control, including:</w:t>
      </w:r>
    </w:p>
    <w:p>
      <w:pPr>
        <w:spacing w:after="0" w:line="68" w:lineRule="exact"/>
        <w:rPr>
          <w:sz w:val="20"/>
          <w:szCs w:val="20"/>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or delay in obtaining regulatory approvals and/or permits;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increases in the cost of equipment, materials or labor;</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transportation of equipment and materials;</w:t>
      </w:r>
    </w:p>
    <w:p>
      <w:pPr>
        <w:spacing w:after="0" w:line="117" w:lineRule="exact"/>
        <w:rPr>
          <w:rFonts w:ascii="Times New Roman" w:cs="Times New Roman" w:eastAsia="Times New Roman" w:hAnsi="Times New Roman"/>
          <w:sz w:val="18"/>
          <w:szCs w:val="18"/>
          <w:color w:val="auto"/>
        </w:rPr>
      </w:pPr>
    </w:p>
    <w:p>
      <w:pPr>
        <w:ind w:left="660" w:right="600" w:hanging="247"/>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adverse weather conditions, natural disasters or other events (such as equipment malfunctions, explosions, fires or spills) affecting the petroleum business' facilities, or those of its vendors and suppliers;</w:t>
      </w:r>
    </w:p>
    <w:p>
      <w:pPr>
        <w:spacing w:after="0" w:line="5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sufficiently skilled labor, or labor disagreements resulting in unplanned work stoppages;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market-related increases in a project's debt or equity financing costs; and/or</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or force majeure by, or disputes with, the petroleum business' vendors, suppliers, contractors or sub-contractors.</w:t>
      </w:r>
    </w:p>
    <w:p>
      <w:pPr>
        <w:spacing w:after="0" w:line="117" w:lineRule="exact"/>
        <w:rPr>
          <w:sz w:val="20"/>
          <w:szCs w:val="20"/>
          <w:color w:val="auto"/>
        </w:rPr>
      </w:pPr>
    </w:p>
    <w:p>
      <w:pPr>
        <w:ind w:firstLine="378"/>
        <w:spacing w:after="0" w:line="253" w:lineRule="auto"/>
        <w:rPr>
          <w:sz w:val="20"/>
          <w:szCs w:val="20"/>
          <w:color w:val="auto"/>
        </w:rPr>
      </w:pPr>
      <w:r>
        <w:rPr>
          <w:rFonts w:ascii="Times New Roman" w:cs="Times New Roman" w:eastAsia="Times New Roman" w:hAnsi="Times New Roman"/>
          <w:sz w:val="18"/>
          <w:szCs w:val="18"/>
          <w:color w:val="auto"/>
        </w:rPr>
        <w:t>The Coffeyville and Wynnewood refineries have been in operation for many years. Equipment, even if properly maintained, may require significant capital expenditures and expenses to keep it operating at optimum efficiency. For example, the petroleum business incurred approximately $89 million associated with the 2011/2012 turnaround completed at the Coffeyville refinery and incurred approximately $103 million associated with the turnaround for the Wynnewood refinery, which the petroleum business completed in December 2012. These costs do not result in increases in unit capacities, but rather are focused on trying to maintain safe, reliable operations. The first phase of the Coffeyville refinery’s next turnaround is scheduled to begin in late 2015, with the second phase scheduled to begin in early 2016. During the outage at the Coffeyville refinery as a result of the isomerization unit fire in the third quarter of 2014, the petroleum business accelerated certain planned 2015 turnaround activities and incurred approximately $6 million in turnaround expenses. During the fluid catalytic cracking unit ("FCCU") outage at the Wynnewood refinery in the fourth quarter of 2014, the petroleum business accelerated certain planned 2016 turnaround activities and incurred approximately $1 million in turnaround expenses. Based on engineering and safety analysis of the equipment and as a result of other work performed, the petroleum business is currently considering moving the next scheduled turnaround at the Wynnewood refinery to the first quarter of 2017.</w:t>
      </w:r>
    </w:p>
    <w:p>
      <w:pPr>
        <w:spacing w:after="0" w:line="85" w:lineRule="exact"/>
        <w:rPr>
          <w:sz w:val="20"/>
          <w:szCs w:val="20"/>
          <w:color w:val="auto"/>
        </w:rPr>
      </w:pPr>
    </w:p>
    <w:p>
      <w:pPr>
        <w:jc w:val="both"/>
        <w:ind w:right="120" w:firstLine="378"/>
        <w:spacing w:after="0" w:line="266" w:lineRule="auto"/>
        <w:rPr>
          <w:sz w:val="20"/>
          <w:szCs w:val="20"/>
          <w:color w:val="auto"/>
        </w:rPr>
      </w:pPr>
      <w:r>
        <w:rPr>
          <w:rFonts w:ascii="Times New Roman" w:cs="Times New Roman" w:eastAsia="Times New Roman" w:hAnsi="Times New Roman"/>
          <w:sz w:val="18"/>
          <w:szCs w:val="18"/>
          <w:color w:val="auto"/>
        </w:rPr>
        <w:t>Any one or more of these occurrences noted above could have a significant impact on the petroleum business. If the petroleum business was unable to make up for the delays or to recover the related costs, or if market conditions change, it could materially and adversely affect our Energy segment's financial position, results of operations or cash flows.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472" w:right="259" w:bottom="1440" w:gutter="0" w:footer="0" w:header="0"/>
        </w:sectPr>
      </w:pPr>
    </w:p>
    <w:bookmarkStart w:id="55" w:name="page56"/>
    <w:bookmarkEnd w:id="55"/>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CVR's plans to expand the gathering assets making up part of its supporting logistics businesses, which assist us in reducing its costs and increasing its processing margins, may expose our Energy segment to significant additional risks, compliance costs and liabilities.</w:t>
      </w:r>
    </w:p>
    <w:p>
      <w:pPr>
        <w:spacing w:after="0" w:line="51"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CVR plans to continue to make investments to enhance the operating flexibility of its refineries and to improve its crude oil sourcing advantage through additional investments in its gathering and logistics operations. If CVR is able to successfully increase the effectiveness of its supporting logistics businesses, including its crude oil gathering operations, it believes it will be able to enhance its crude oil sourcing flexibility and reduce related crude oil purchasing and delivery costs. However, the acquisition of infrastructure assets to expand CVR's gathering operations may expose our Energy segment to risks in the future that are different than or incremental to the risks our Energy segment faces with respect to its refineries and existing gathering and logistics operations. The storage and transportation of liquid hydrocarbons, including crude oil and refined products, are subject to stringent federal, state, and local laws and regulations governing the discharge of materials into the environment, operational safety and related matters. Compliance with these laws and regulations could adversely affect our Energy segment's operating results, financial condition and cash flows. Moreover, failure to comply with these laws and regulations may result in the assessment of administrative, civil, and criminal penalties, the imposition of investigatory and remedial liabilities, the issuance of injunctions that may restrict or prohibit CVR's operations, or claims of damages to property or persons resulting from its operations.</w:t>
      </w:r>
    </w:p>
    <w:p>
      <w:pPr>
        <w:spacing w:after="0" w:line="78" w:lineRule="exact"/>
        <w:rPr>
          <w:sz w:val="20"/>
          <w:szCs w:val="20"/>
          <w:color w:val="auto"/>
        </w:rPr>
      </w:pPr>
    </w:p>
    <w:p>
      <w:pPr>
        <w:ind w:right="80" w:firstLine="378"/>
        <w:spacing w:after="0" w:line="261" w:lineRule="auto"/>
        <w:rPr>
          <w:sz w:val="20"/>
          <w:szCs w:val="20"/>
          <w:color w:val="auto"/>
        </w:rPr>
      </w:pPr>
      <w:r>
        <w:rPr>
          <w:rFonts w:ascii="Times New Roman" w:cs="Times New Roman" w:eastAsia="Times New Roman" w:hAnsi="Times New Roman"/>
          <w:sz w:val="18"/>
          <w:szCs w:val="18"/>
          <w:color w:val="auto"/>
        </w:rPr>
        <w:t>Any businesses or assets that CVR may acquire in connection with an expansion of its crude oil gathering operations could expose it to the risk of releasing hazardous materials into the environment. These releases would expose our Energy segment to potentially substantial expenses, including cleanup and remediation costs, fines and penalties, and third party claims for personal injury or property damage related to past or future releases. Accordingly, if CVR does acquire any such businesses or assets, our Energy segment could also incur additional expenses not covered by insurance which could be material.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More stringent trucking regulations may increase CVR's costs and negatively impact our Energy segment's results of operations.</w:t>
      </w:r>
    </w:p>
    <w:p>
      <w:pPr>
        <w:spacing w:after="0" w:line="121" w:lineRule="exact"/>
        <w:rPr>
          <w:sz w:val="20"/>
          <w:szCs w:val="20"/>
          <w:color w:val="auto"/>
        </w:rPr>
      </w:pPr>
    </w:p>
    <w:p>
      <w:pPr>
        <w:ind w:right="60" w:firstLine="378"/>
        <w:spacing w:after="0" w:line="255" w:lineRule="auto"/>
        <w:rPr>
          <w:sz w:val="20"/>
          <w:szCs w:val="20"/>
          <w:color w:val="auto"/>
        </w:rPr>
      </w:pPr>
      <w:r>
        <w:rPr>
          <w:rFonts w:ascii="Times New Roman" w:cs="Times New Roman" w:eastAsia="Times New Roman" w:hAnsi="Times New Roman"/>
          <w:sz w:val="18"/>
          <w:szCs w:val="18"/>
          <w:color w:val="auto"/>
        </w:rPr>
        <w:t>In connection with the trucking operations conducted by its crude gathering division, the petroleum business operates as a motor carrier and therefore is subject to regulation by the U.S. Department of Transportation and various state agencies. These regulatory authorities exercise broad powers, governing activities such as the authorization to engage in motor carrier operations and regulatory safety, and hazardous materials labeling, placarding and marking. There are additional regulations specifically relating to the trucking industry, including testing and specification of equipment and product handling requirements. The trucking industry is subject to possible regulatory and legislative changes that may affect the economics of the industry by requiring changes in operating practices or by changing the demand for common or contract carrier services or the cost of providing truckload services. Some of these possible changes include increasingly stringent environmental regulations, changes in the hours of service regulations that govern the amount of time a driver may drive in any specific period, onboard black box recorder devices or limits on vehicle weight and size.</w:t>
      </w:r>
    </w:p>
    <w:p>
      <w:pPr>
        <w:spacing w:after="0" w:line="77" w:lineRule="exact"/>
        <w:rPr>
          <w:sz w:val="20"/>
          <w:szCs w:val="20"/>
          <w:color w:val="auto"/>
        </w:rPr>
      </w:pPr>
    </w:p>
    <w:p>
      <w:pPr>
        <w:ind w:right="80" w:firstLine="378"/>
        <w:spacing w:after="0" w:line="258" w:lineRule="auto"/>
        <w:rPr>
          <w:sz w:val="20"/>
          <w:szCs w:val="20"/>
          <w:color w:val="auto"/>
        </w:rPr>
      </w:pPr>
      <w:r>
        <w:rPr>
          <w:rFonts w:ascii="Times New Roman" w:cs="Times New Roman" w:eastAsia="Times New Roman" w:hAnsi="Times New Roman"/>
          <w:sz w:val="18"/>
          <w:szCs w:val="18"/>
          <w:color w:val="auto"/>
        </w:rPr>
        <w:t>To a large degree, intrastate motor carrier operations are subject to state safety regulations that mirror federal regulations. Such matters as weight and dimension of equipment are also subject to federal and state regulations. Furthermore, from time to time, various legislative proposals are introduced, such as proposals to increase federal, state or local taxes, including taxes on motor fuels, which may increase the petroleum business' costs or adversely impact the recruitment of drivers. The petroleum business cannot predict whether, or in what form, any increase in such taxes will be enacted or the extent to which they will apply to our Energy segment's petroleum business and its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CVR's Nitrogen Fertilizer Business</w:t>
      </w:r>
    </w:p>
    <w:p>
      <w:pPr>
        <w:spacing w:after="0" w:line="33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nitrogen fertilizer business is, and nitrogen fertilizer prices are, cyclical and highly volatile, and the nitrogen fertilizer business has experienced substantial downturns in the past. Cycles in demand and pricing could potentially expose the nitrogen fertilizer business to significant fluctuations in its operating and financial results and have a material adverse effect on our Energy segment's results of operations, financial condition and cash flows.</w:t>
      </w:r>
    </w:p>
    <w:p>
      <w:pPr>
        <w:spacing w:after="0" w:line="67" w:lineRule="exact"/>
        <w:rPr>
          <w:sz w:val="20"/>
          <w:szCs w:val="20"/>
          <w:color w:val="auto"/>
        </w:rPr>
      </w:pPr>
    </w:p>
    <w:p>
      <w:pPr>
        <w:ind w:right="200" w:firstLine="378"/>
        <w:spacing w:after="0" w:line="266" w:lineRule="auto"/>
        <w:rPr>
          <w:sz w:val="20"/>
          <w:szCs w:val="20"/>
          <w:color w:val="auto"/>
        </w:rPr>
      </w:pPr>
      <w:r>
        <w:rPr>
          <w:rFonts w:ascii="Times New Roman" w:cs="Times New Roman" w:eastAsia="Times New Roman" w:hAnsi="Times New Roman"/>
          <w:sz w:val="18"/>
          <w:szCs w:val="18"/>
          <w:color w:val="auto"/>
        </w:rPr>
        <w:t>The nitrogen fertilizer business is exposed to fluctuations in nitrogen fertilizer demand in the agricultural industry. These fluctuations historically have had and could in the future have significant effects on prices across all nitrogen fertilizer products and, in turn, our Energy segment's results of operations, financial condition and cash flows.</w:t>
      </w:r>
    </w:p>
    <w:p>
      <w:pPr>
        <w:spacing w:after="0" w:line="68" w:lineRule="exact"/>
        <w:rPr>
          <w:sz w:val="20"/>
          <w:szCs w:val="20"/>
          <w:color w:val="auto"/>
        </w:rPr>
      </w:pPr>
    </w:p>
    <w:p>
      <w:pPr>
        <w:ind w:right="120" w:firstLine="378"/>
        <w:spacing w:after="0" w:line="258" w:lineRule="auto"/>
        <w:rPr>
          <w:sz w:val="20"/>
          <w:szCs w:val="20"/>
          <w:color w:val="auto"/>
        </w:rPr>
      </w:pPr>
      <w:r>
        <w:rPr>
          <w:rFonts w:ascii="Times New Roman" w:cs="Times New Roman" w:eastAsia="Times New Roman" w:hAnsi="Times New Roman"/>
          <w:sz w:val="18"/>
          <w:szCs w:val="18"/>
          <w:color w:val="auto"/>
        </w:rPr>
        <w:t>Nitrogen fertilizer products are commodities, the price of which can be highly volatile. The prices of nitrogen fertilizer products depend on a number of factors, including general economic conditions, cyclical trends in end-user markets, supply and demand imbalances, governmental policies and weather conditions, which have a greater relevance because of the seasonal nature of fertilizer application. If seasonal demand exceeds the projections on which the nitrogen fertilizer business bases production, customers may acquire nitrogen fertilizer products from competitors, and the profitability of the nitrogen fertilizer business will be negatively impacted. If seasonal demand is less than expected, the nitrogen fertilizer business will be left with</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68"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excess inventory that will have to be stored or liquidated.</w:t>
      </w:r>
    </w:p>
    <w:p>
      <w:pPr>
        <w:spacing w:after="0" w:line="117"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Demand for nitrogen fertilizer products is dependent on demand for crop nutrients by the global agricultural industry. The international market for nitrogen fertilizers is influenced by such factors as the relative value of the U.S. dollar and its impact upon the cost of importing nitrogen fertilizers, foreign agricultural policies, the existence of, or changes in, import or foreign currency exchange barriers in certain foreign markets, changes in the hard currency demands of certain countries and other regulatory policies of foreign governments, as well as the laws and policies of the United States affecting foreign trade and investment. Nitrogen-based fertilizers are currently in high demand, driven by a growing world population, changes in dietary habits and an expanded use of corn for the production of ethanol. Supply is affected by available capacity and operating rates, raw material costs, government policies and global trade. A decrease in nitrogen fertilizer prices would have a material adverse effect on our Energy segment's results of operations, financial condition and cash flows.</w:t>
      </w:r>
    </w:p>
    <w:p>
      <w:pPr>
        <w:spacing w:after="0" w:line="7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costs associated with operating the nitrogen fertilizer plant are largely fixed. If nitrogen fertilizer prices fall below a certain level, the nitrogen fertilizer business may not generate sufficient revenue to operate profitably or cover its costs.</w:t>
      </w:r>
    </w:p>
    <w:p>
      <w:pPr>
        <w:spacing w:after="0" w:line="51" w:lineRule="exact"/>
        <w:rPr>
          <w:sz w:val="20"/>
          <w:szCs w:val="20"/>
          <w:color w:val="auto"/>
        </w:rPr>
      </w:pPr>
    </w:p>
    <w:p>
      <w:pPr>
        <w:jc w:val="both"/>
        <w:ind w:right="220" w:firstLine="378"/>
        <w:spacing w:after="0" w:line="258" w:lineRule="auto"/>
        <w:rPr>
          <w:sz w:val="20"/>
          <w:szCs w:val="20"/>
          <w:color w:val="auto"/>
        </w:rPr>
      </w:pPr>
      <w:r>
        <w:rPr>
          <w:rFonts w:ascii="Times New Roman" w:cs="Times New Roman" w:eastAsia="Times New Roman" w:hAnsi="Times New Roman"/>
          <w:sz w:val="18"/>
          <w:szCs w:val="18"/>
          <w:color w:val="auto"/>
        </w:rPr>
        <w:t>Unlike CVR's competitors, whose primary costs are related to the purchase of natural gas and whose costs are therefore largely variable, the nitrogen fertilizer business has largely fixed costs that are not dependent on the price of natural gas because it uses pet coke as the primary feedstock in the nitrogen fertilizer plant. As a result of the fixed cost nature of our Energy segment's operations, downtime, interruptions or low productivity due to reduced demand, adverse weather conditions, equipment failure, a decrease in nitrogen fertilizer prices or other causes can result in significant operating losses which could have a material adverse effect on our Energy segment's results of operations, financial condition and cash flows.</w:t>
      </w:r>
    </w:p>
    <w:p>
      <w:pPr>
        <w:spacing w:after="0" w:line="7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low natural gas prices could impact the nitrogen fertilizer business' relative competitive position when compared to other nitrogen fertilizer producers.</w:t>
      </w:r>
    </w:p>
    <w:p>
      <w:pPr>
        <w:spacing w:after="0" w:line="51" w:lineRule="exact"/>
        <w:rPr>
          <w:sz w:val="20"/>
          <w:szCs w:val="20"/>
          <w:color w:val="auto"/>
        </w:rPr>
      </w:pPr>
    </w:p>
    <w:p>
      <w:pPr>
        <w:ind w:right="40" w:firstLine="378"/>
        <w:spacing w:after="0" w:line="254" w:lineRule="auto"/>
        <w:rPr>
          <w:sz w:val="20"/>
          <w:szCs w:val="20"/>
          <w:color w:val="auto"/>
        </w:rPr>
      </w:pPr>
      <w:r>
        <w:rPr>
          <w:rFonts w:ascii="Times New Roman" w:cs="Times New Roman" w:eastAsia="Times New Roman" w:hAnsi="Times New Roman"/>
          <w:sz w:val="18"/>
          <w:szCs w:val="18"/>
          <w:color w:val="auto"/>
        </w:rPr>
        <w:t>Most nitrogen fertilizer manufacturers rely on natural gas as their primary feedstock, and the cost of natural gas, which approached ten-year lows at the beginning of 2015, is a large component of the total production cost for natural gas-based nitrogen fertilizer manufacturers. Low natural gas prices benefit the nitrogen fertilizer business' competitors and disproportionately impact our operations by making the nitrogen fertilizer business less competitive with natural gas-based nitrogen fertilizer manufacturers. Continued low natural gas prices could impair the nitrogen fertilizer business' ability to compete with other nitrogen fertilizer producers who utilize natural gas as their primary feedstock if nitrogen fertilizer pricing drops as a result of low natural gas prices, and therefore have a material adverse impact on the cash flows of the nitrogen fertilizer business. In addition, if low natural gas prices in the United States were to prompt those U.S. producers who have permanently or temporarily closed production facilities to resume fertilizer production, this would likely contribute to a global supply/demand imbalance that could negatively affect nitrogen fertilizer prices and therefore have a material adverse effect on our Energy segment's results of operations, financial condition and cash flows.</w:t>
      </w:r>
    </w:p>
    <w:p>
      <w:pPr>
        <w:spacing w:after="0" w:line="7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decline in U.S. agricultural production or limitations on the use of nitrogen fertilizer for agricultural purposes could have a material adverse effect on the sales of nitrogen fertilizer, and on our Energy segment's results of operations, financial condition and cash flows.</w:t>
      </w:r>
    </w:p>
    <w:p>
      <w:pPr>
        <w:spacing w:after="0" w:line="51" w:lineRule="exact"/>
        <w:rPr>
          <w:sz w:val="20"/>
          <w:szCs w:val="20"/>
          <w:color w:val="auto"/>
        </w:rPr>
      </w:pPr>
    </w:p>
    <w:p>
      <w:pPr>
        <w:ind w:right="260" w:firstLine="378"/>
        <w:spacing w:after="0" w:line="266" w:lineRule="auto"/>
        <w:rPr>
          <w:sz w:val="20"/>
          <w:szCs w:val="20"/>
          <w:color w:val="auto"/>
        </w:rPr>
      </w:pPr>
      <w:r>
        <w:rPr>
          <w:rFonts w:ascii="Times New Roman" w:cs="Times New Roman" w:eastAsia="Times New Roman" w:hAnsi="Times New Roman"/>
          <w:sz w:val="18"/>
          <w:szCs w:val="18"/>
          <w:color w:val="auto"/>
        </w:rPr>
        <w:t>Conditions in the U.S. agricultural industry significantly impact the operating results of the nitrogen fertilizer business. The U.S. agricultural industry can be affected by a number of factors, including weather patterns and field conditions, current and projected grain inventories and prices, domestic and international population changes, demand for U.S. agricultural products and U.S. and foreign policies regarding trade in agricultural products.</w:t>
      </w:r>
    </w:p>
    <w:p>
      <w:pPr>
        <w:spacing w:after="0" w:line="68"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The Agricultural Act of 2014 (the "2014 Farm Bill") ends direct subsidies to agricultural producers for owning farmland, and funds a new crop insurance program in its place. As part of the conservation title of the 2014 Farm Bill, agricultural producers must meet a minimum standard of environmental protection in order to receive federal crop insurance on sensitive lands. The 2014 Farm Bill also discourages producers from converting native grasslands to farmland by limiting crop insurance subsidies for the first few years for newly converted lands. These changes may have a negative impact on fertilizer sales and on our Energy segment's results of operations, financial condition and cash flows.</w:t>
      </w:r>
    </w:p>
    <w:p>
      <w:pPr>
        <w:spacing w:after="0" w:line="76"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State and federal governmental policies, including farm and biofuel subsidies and commodity support programs, as well as the prices of fertilizer products, may also directly or indirectly influence the number of acres planted, the mix of crops planted and the use of fertilizers for particular agricultural applications. Developments in crop technology, such as nitrogen fixation (the conversion of atmospheric nitrogen into compounds that plants can assimilate), could also reduce the use of chemical fertilizers and adversely affect the demand for nitrogen fertilizer. In addition, from time to time various state legislatures have considered limitations on the use and application of chemical fertilizers due to concerns about the impact of these products on the environment. Unfavorable state and federal governmental policies could negatively affect nitrogen fertilizer prices and therefore have a material adverse effect on our Energy segment's results of operations, financial condition and cash flows.</w:t>
      </w:r>
    </w:p>
    <w:p>
      <w:pPr>
        <w:spacing w:after="0" w:line="7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major factor underlying the current high level of demand for nitrogen-based fertilizer products is the production of ethanol. A decrease in ethanol production, an increase in ethanol imports or a shift away from corn as a principal raw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72" w:right="239" w:bottom="1440" w:gutter="0" w:footer="0" w:header="0"/>
        </w:sectPr>
      </w:pPr>
    </w:p>
    <w:bookmarkStart w:id="57" w:name="page58"/>
    <w:bookmarkEnd w:id="57"/>
    <w:p>
      <w:pPr>
        <w:jc w:val="center"/>
        <w:ind w:right="120"/>
        <w:spacing w:after="0"/>
        <w:rPr>
          <w:sz w:val="20"/>
          <w:szCs w:val="20"/>
          <w:color w:val="auto"/>
        </w:rPr>
      </w:pPr>
      <w:r>
        <w:rPr>
          <w:rFonts w:ascii="Times New Roman" w:cs="Times New Roman" w:eastAsia="Times New Roman" w:hAnsi="Times New Roman"/>
          <w:sz w:val="17"/>
          <w:szCs w:val="17"/>
          <w:b w:val="1"/>
          <w:bCs w:val="1"/>
          <w:i w:val="1"/>
          <w:iCs w:val="1"/>
          <w:color w:val="auto"/>
        </w:rPr>
        <w:t>material used to produce ethanol could have a material adverse effect on our Energy segment's results of operations, financial condition and cash flows.</w:t>
      </w:r>
    </w:p>
    <w:p>
      <w:pPr>
        <w:spacing w:after="0" w:line="133" w:lineRule="exact"/>
        <w:rPr>
          <w:sz w:val="20"/>
          <w:szCs w:val="20"/>
          <w:color w:val="auto"/>
        </w:rPr>
      </w:pPr>
    </w:p>
    <w:p>
      <w:pPr>
        <w:ind w:right="40" w:firstLine="378"/>
        <w:spacing w:after="0" w:line="254" w:lineRule="auto"/>
        <w:rPr>
          <w:sz w:val="20"/>
          <w:szCs w:val="20"/>
          <w:color w:val="auto"/>
        </w:rPr>
      </w:pPr>
      <w:r>
        <w:rPr>
          <w:rFonts w:ascii="Times New Roman" w:cs="Times New Roman" w:eastAsia="Times New Roman" w:hAnsi="Times New Roman"/>
          <w:sz w:val="18"/>
          <w:szCs w:val="18"/>
          <w:color w:val="auto"/>
        </w:rPr>
        <w:t>A major factor underlying the current high level of demand for nitrogen-based fertilizer products produced by the nitrogen fertilizer business is the production of ethanol in the United States and the use of corn in ethanol production. Ethanol production in the United States is highly dependent upon a myriad of federal statutes and regulations, and is made significantly more competitive by various federal and state incentives and mandated usage of renewable fuels pursuant to the RFS. The RFS required 16.55 billion gallons of renewable fuel usage in 2013, increasing to 36.0 billion gallons by 2022. To date, the RFS has been satisfied primarily with fuel ethanol blended into gasoline. However, a number of factors, including the continuing "food versus fuel" debate and studies showing that expanded ethanol usage may increase the level of greenhouse gases in the environment as well as be unsuitable for small engine use, have resulted in calls to reduce subsidies for ethanol, allow increased ethanol imports and to repeal or waive (in whole or in part) the current RFS, any of which could have an adverse effect on corn-based ethanol production, planted corn acreage and fertilizer demand. For example, in December 2013, a bipartisan bill was introduced in Congress to eliminate the ethanol mandate from the RFS. Therefore, ethanol incentive programs may not be renewed, or if renewed, they may be renewed on terms significantly less favorable to ethanol producers than current incentive programs.</w:t>
      </w:r>
    </w:p>
    <w:p>
      <w:pPr>
        <w:spacing w:after="0" w:line="78" w:lineRule="exact"/>
        <w:rPr>
          <w:sz w:val="20"/>
          <w:szCs w:val="20"/>
          <w:color w:val="auto"/>
        </w:rPr>
      </w:pPr>
    </w:p>
    <w:p>
      <w:pPr>
        <w:ind w:right="40" w:firstLine="378"/>
        <w:spacing w:after="0" w:line="255" w:lineRule="auto"/>
        <w:rPr>
          <w:sz w:val="20"/>
          <w:szCs w:val="20"/>
          <w:color w:val="auto"/>
        </w:rPr>
      </w:pPr>
      <w:r>
        <w:rPr>
          <w:rFonts w:ascii="Times New Roman" w:cs="Times New Roman" w:eastAsia="Times New Roman" w:hAnsi="Times New Roman"/>
          <w:sz w:val="18"/>
          <w:szCs w:val="18"/>
          <w:color w:val="auto"/>
        </w:rPr>
        <w:t>In November 2013, the EPA proposed the 2014 annual renewable fuel percentage standards, including a reduced corn-based ethanol volume due in part to the concerns regarding the ethanol "blend wall," the point at which refiners are required to blend more ethanol into the transportation fuel supply than can be supported by the demand for E10 gasoline (gasoline containing 10 percent ethanol by volume). In January 2015, the EPA announced that its goal was to release the final 2015 RFS volume mandates in the spring of 2015. If finalized, as originally proposed, this rulemaking could have a material adverse effect on ethanol production in the United States, which could have a material adverse effect on our Energy segment's results of operations, financial condition and ability to make cash distributions. In other action, the U.S. Court of Appeals upheld an EPA waiver allowing the sale of E15 (gasoline blends containing up to 15% ethanol) on later model year cars, but this issue may continue to be challenged through legislative action.</w:t>
      </w:r>
    </w:p>
    <w:p>
      <w:pPr>
        <w:spacing w:after="0" w:line="81" w:lineRule="exact"/>
        <w:rPr>
          <w:sz w:val="20"/>
          <w:szCs w:val="20"/>
          <w:color w:val="auto"/>
        </w:rPr>
      </w:pPr>
    </w:p>
    <w:p>
      <w:pPr>
        <w:ind w:right="120" w:firstLine="378"/>
        <w:spacing w:after="0" w:line="255" w:lineRule="auto"/>
        <w:rPr>
          <w:sz w:val="20"/>
          <w:szCs w:val="20"/>
          <w:color w:val="auto"/>
        </w:rPr>
      </w:pPr>
      <w:r>
        <w:rPr>
          <w:rFonts w:ascii="Times New Roman" w:cs="Times New Roman" w:eastAsia="Times New Roman" w:hAnsi="Times New Roman"/>
          <w:sz w:val="18"/>
          <w:szCs w:val="18"/>
          <w:color w:val="auto"/>
        </w:rPr>
        <w:t>Further, while most ethanol is currently produced from corn and other raw grains, such as milo or sorghum, the current RFS mandate requires a portion of the overall RFS mandate to come from advanced biofuels, including cellulose-based biomass, such as agricultural waste, forest residue, municipal solid waste and energy crops (plants grown for use to make biofuels or directly exploited for their energy content) and biomass-based diesel. In addition, there is a continuing trend to encourage the use of products other than corn and raw grains for ethanol production. For example, the 2014 Farm Bill provides authorization for funding of advanced biofuels. If this trend is successful, the demand for corn may decrease significantly, which could reduce demand for nitrogen fertilizer products and have an adverse effect on the nitrogen fertilizer business' results of operations, financial condition and cash flows. This potential impact on the demand for nitrogen fertilizer products, however, could be slightly offset by the potential market for nitrogen fertilizer product usage in connection with the production of cellulosic biofuels.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Nitrogen fertilizer products are global commodities, and the nitrogen fertilizer business faces intense competition from other nitrogen fertilizer producers.</w:t>
      </w:r>
    </w:p>
    <w:p>
      <w:pPr>
        <w:spacing w:after="0" w:line="121" w:lineRule="exact"/>
        <w:rPr>
          <w:sz w:val="20"/>
          <w:szCs w:val="20"/>
          <w:color w:val="auto"/>
        </w:rPr>
      </w:pPr>
    </w:p>
    <w:p>
      <w:pPr>
        <w:ind w:firstLine="378"/>
        <w:spacing w:after="0" w:line="253" w:lineRule="auto"/>
        <w:rPr>
          <w:sz w:val="20"/>
          <w:szCs w:val="20"/>
          <w:color w:val="auto"/>
        </w:rPr>
      </w:pPr>
      <w:r>
        <w:rPr>
          <w:rFonts w:ascii="Times New Roman" w:cs="Times New Roman" w:eastAsia="Times New Roman" w:hAnsi="Times New Roman"/>
          <w:sz w:val="18"/>
          <w:szCs w:val="18"/>
          <w:color w:val="auto"/>
        </w:rPr>
        <w:t>The nitrogen fertilizer business is subject to intense price competition from both U.S. and foreign sources, including competitors operating in the Middle East, the Asia-Pacific region, the Caribbean, Russia and the Ukraine. Fertilizers are global commodities, with little or no product differentiation, and customers make their purchasing decisions principally on the basis of delivered price and availability of the product. Increased global supply may put downward pressure on fertilizer prices. Furthermore, in recent years the price of nitrogen fertilizer in the United States has been substantially driven by pricing in the global fertilizer market. The nitrogen fertilizer business competes with a number of U.S. producers and producers in other countries, including state-owned and government-subsidized entities. Some competitors have greater total resources and are less dependent on earnings from fertilizer sales, which makes them less vulnerable to industry downturns and better positioned to pursue new expansion and development opportunities. Increased local supply may put downward pressure on fertilizer prices. The nitrogen fertilizer business' competitive position could suffer to the extent it is not able to expand its resources either through investments in new or existing operations or through acquisitions, joint ventures or partnerships, or otherwise compete successfully in the global nitrogen fertilizer market. An inability to compete successfully could result in a loss of customers, which could adversely affect the sales, profitability and the cash flows of the nitrogen fertilizer business and therefore have a material adverse effect on our Energy segment's results of operations, financial condition and cash flows.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nitrogen fertilizer business is seasonal, which may result in it carrying significant amounts of inventory and seasonal variations in working capital.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CVR's inability to predict future seasonal nitrogen fertilizer demand accurately may result in excess inventory or product shortages.</w:t>
      </w:r>
    </w:p>
    <w:p>
      <w:pPr>
        <w:spacing w:after="0" w:line="99" w:lineRule="exact"/>
        <w:rPr>
          <w:sz w:val="20"/>
          <w:szCs w:val="20"/>
          <w:color w:val="auto"/>
        </w:rPr>
      </w:pPr>
    </w:p>
    <w:p>
      <w:pPr>
        <w:ind w:right="60" w:firstLine="378"/>
        <w:spacing w:after="0" w:line="282" w:lineRule="auto"/>
        <w:rPr>
          <w:sz w:val="20"/>
          <w:szCs w:val="20"/>
          <w:color w:val="auto"/>
        </w:rPr>
      </w:pPr>
      <w:r>
        <w:rPr>
          <w:rFonts w:ascii="Times New Roman" w:cs="Times New Roman" w:eastAsia="Times New Roman" w:hAnsi="Times New Roman"/>
          <w:sz w:val="18"/>
          <w:szCs w:val="18"/>
          <w:color w:val="auto"/>
        </w:rPr>
        <w:t>The nitrogen fertilizer business is seasonal. Farmers tend to apply nitrogen fertilizer during two short application periods, one in the spring and the other in the fall. The strongest demand for nitrogen fertilizer products typically occurs during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68" w:right="239" w:bottom="1440" w:gutter="0" w:footer="0" w:header="0"/>
        </w:sectPr>
      </w:pPr>
    </w:p>
    <w:bookmarkStart w:id="58" w:name="page59"/>
    <w:bookmarkEnd w:id="58"/>
    <w:p>
      <w:pPr>
        <w:ind w:right="20"/>
        <w:spacing w:after="0" w:line="261" w:lineRule="auto"/>
        <w:rPr>
          <w:sz w:val="20"/>
          <w:szCs w:val="20"/>
          <w:color w:val="auto"/>
        </w:rPr>
      </w:pPr>
      <w:r>
        <w:rPr>
          <w:rFonts w:ascii="Times New Roman" w:cs="Times New Roman" w:eastAsia="Times New Roman" w:hAnsi="Times New Roman"/>
          <w:sz w:val="18"/>
          <w:szCs w:val="18"/>
          <w:color w:val="auto"/>
        </w:rPr>
        <w:t>planting season. In contrast, the nitrogen fertilizer business and other nitrogen fertilizer producers generally produce products throughout the year. As a result, the nitrogen fertilizer business and its customers generally build inventories during the low demand periods of the year in order to ensure timely product availability during the peak sales seasons. The seasonality of nitrogen fertilizer demand results in sales volumes and net sales being highest during the North American spring season and working capital requirements typically being highest just prior to the start of the spring season.</w:t>
      </w:r>
    </w:p>
    <w:p>
      <w:pPr>
        <w:spacing w:after="0" w:line="72" w:lineRule="exact"/>
        <w:rPr>
          <w:sz w:val="20"/>
          <w:szCs w:val="20"/>
          <w:color w:val="auto"/>
        </w:rPr>
      </w:pPr>
    </w:p>
    <w:p>
      <w:pPr>
        <w:jc w:val="both"/>
        <w:ind w:right="240" w:firstLine="378"/>
        <w:spacing w:after="0" w:line="266" w:lineRule="auto"/>
        <w:rPr>
          <w:sz w:val="20"/>
          <w:szCs w:val="20"/>
          <w:color w:val="auto"/>
        </w:rPr>
      </w:pPr>
      <w:r>
        <w:rPr>
          <w:rFonts w:ascii="Times New Roman" w:cs="Times New Roman" w:eastAsia="Times New Roman" w:hAnsi="Times New Roman"/>
          <w:sz w:val="18"/>
          <w:szCs w:val="18"/>
          <w:color w:val="auto"/>
        </w:rPr>
        <w:t>If seasonal demand exceeds projections, the nitrogen fertilizer business will not have enough product and its customers may acquire products from its competitors, which would negatively impact profitability. If seasonal demand is less than expected, the nitrogen fertilizer business will be left with excess inventory and higher working capital and liquidity requirements.</w:t>
      </w:r>
    </w:p>
    <w:p>
      <w:pPr>
        <w:spacing w:after="0" w:line="68" w:lineRule="exact"/>
        <w:rPr>
          <w:sz w:val="20"/>
          <w:szCs w:val="20"/>
          <w:color w:val="auto"/>
        </w:rPr>
      </w:pPr>
    </w:p>
    <w:p>
      <w:pPr>
        <w:jc w:val="both"/>
        <w:ind w:right="40" w:firstLine="378"/>
        <w:spacing w:after="0" w:line="266" w:lineRule="auto"/>
        <w:rPr>
          <w:sz w:val="20"/>
          <w:szCs w:val="20"/>
          <w:color w:val="auto"/>
        </w:rPr>
      </w:pPr>
      <w:r>
        <w:rPr>
          <w:rFonts w:ascii="Times New Roman" w:cs="Times New Roman" w:eastAsia="Times New Roman" w:hAnsi="Times New Roman"/>
          <w:sz w:val="18"/>
          <w:szCs w:val="18"/>
          <w:color w:val="auto"/>
        </w:rPr>
        <w:t>The degree of seasonality of the nitrogen fertilizer business can change significantly from year to year due to conditions in the agricultural industry and other factors. As a consequence of such seasonality, it is expected that the distributions CVR receives from the nitrogen fertilizer business will be volatile and will vary quarterly and annually.</w:t>
      </w:r>
    </w:p>
    <w:p>
      <w:pPr>
        <w:spacing w:after="0" w:line="6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weather conditions during peak fertilizer application periods may have a material adverse effect on our Energy segment's results of operations, financial condition and cash flows, because the agricultural customers of the nitrogen fertilizer business are geographically concentrated.</w:t>
      </w:r>
    </w:p>
    <w:p>
      <w:pPr>
        <w:spacing w:after="0" w:line="51"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The nitrogen fertilizer business' sales to agricultural customers are concentrated in the Great Plains and Midwest states and are seasonal in nature. The nitrogen fertilizer business' quarterly results may vary significantly from one year to the next due largely to weather-related shifts in planting schedules and purchase patterns. For example, the nitrogen fertilizer business generates greater net sales and operating income in the first half of the year, which is referred to herein as the planting season, compared to the second half of the year. Accordingly, an adverse weather pattern affecting agriculture in these regions or during the planting season could have a negative effect on fertilizer demand, which could, in turn, result in a material decline in the nitrogen fertilizer business' net sales and margins and otherwise have a material adverse effect on our Energy segment's results of operations, financial condition and cash flows. The nitrogen fertilizer business' quarterly results may vary significantly from one year to the next due largely to weather-related shifts in planting schedules and purchase patterns. As a result, it is expected that the nitrogen fertilizer business' distributions to holders of its common units (including CVR) will be volatile and will vary quarterly and annually.</w:t>
      </w:r>
    </w:p>
    <w:p>
      <w:pPr>
        <w:spacing w:after="0" w:line="77"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nitrogen fertilizer business' operations are dependent on third party suppliers, including Linde, which owns an air separation plant that provides oxygen, nitrogen and compressed dry air to its gasifiers, and the City of Coffeyville, which supplies the nitrogen fertilizer business with electricity. A deterioration in the financial condition of a third party supplier, a mechanical problem with the air separation plant, or the inability of a third-party supplier to perform in accordance with its contractual obligations could have a material adverse effect on our Energy segment's results of operations, financial condition and cash flows.</w:t>
      </w:r>
    </w:p>
    <w:p>
      <w:pPr>
        <w:spacing w:after="0" w:line="76" w:lineRule="exact"/>
        <w:rPr>
          <w:sz w:val="20"/>
          <w:szCs w:val="20"/>
          <w:color w:val="auto"/>
        </w:rPr>
      </w:pPr>
    </w:p>
    <w:p>
      <w:pPr>
        <w:ind w:right="80" w:firstLine="378"/>
        <w:spacing w:after="0" w:line="254" w:lineRule="auto"/>
        <w:rPr>
          <w:sz w:val="20"/>
          <w:szCs w:val="20"/>
          <w:color w:val="auto"/>
        </w:rPr>
      </w:pPr>
      <w:r>
        <w:rPr>
          <w:rFonts w:ascii="Times New Roman" w:cs="Times New Roman" w:eastAsia="Times New Roman" w:hAnsi="Times New Roman"/>
          <w:sz w:val="18"/>
          <w:szCs w:val="18"/>
          <w:color w:val="auto"/>
        </w:rPr>
        <w:t>The operations of the nitrogen fertilizer business depend in large part on the performance of third party suppliers, including Linde for the supply of oxygen, nitrogen and compressed dry air, and the City of Coffeyville for the supply of electricity. With respect to Linde, operations could be adversely affected if there were a deterioration in Linde's financial condition such that the operation of the air separation plant located adjacent to the nitrogen fertilizer plant was disrupted. Additionally, this air separation plant in the past has experienced numerous short-term interruptions, causing interruptions in gasifier operations. With respect to electricity, in 2010, the nitrogen fertilizer business settled litigation with the City of Coffeyville regarding the price they sought to charge the nitrogen fertilizer business for electricity and entered into an amended and restated electric services agreement which gives the nitrogen fertilizer business an option to extend the term of such agreement through June 30, 2024. Should Linde, the City of Coffeyville or any of its other third party suppliers fail to perform in accordance with existing contractual arrangements, operations could be forced to halt. Alternative sources of supply could be difficult to obtain. Any shutdown of operations at the nitrogen fertilizer plant, even for a limited period, could have a material adverse effect on our Energy segment's results of operations, financial condition and cash flows.</w:t>
      </w:r>
    </w:p>
    <w:p>
      <w:pPr>
        <w:spacing w:after="0" w:line="7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Energy segment's nitrogen fertilizer business' results of operations, financial condition and cash flows may be adversely affected by the supply and price levels of pet coke.</w:t>
      </w:r>
    </w:p>
    <w:p>
      <w:pPr>
        <w:spacing w:after="0" w:line="51" w:lineRule="exact"/>
        <w:rPr>
          <w:sz w:val="20"/>
          <w:szCs w:val="20"/>
          <w:color w:val="auto"/>
        </w:rPr>
      </w:pPr>
    </w:p>
    <w:p>
      <w:pPr>
        <w:ind w:right="60" w:firstLine="378"/>
        <w:spacing w:after="0" w:line="261" w:lineRule="auto"/>
        <w:rPr>
          <w:sz w:val="20"/>
          <w:szCs w:val="20"/>
          <w:color w:val="auto"/>
        </w:rPr>
      </w:pPr>
      <w:r>
        <w:rPr>
          <w:rFonts w:ascii="Times New Roman" w:cs="Times New Roman" w:eastAsia="Times New Roman" w:hAnsi="Times New Roman"/>
          <w:sz w:val="18"/>
          <w:szCs w:val="18"/>
          <w:color w:val="auto"/>
        </w:rPr>
        <w:t>The profitability of the nitrogen fertilizer business is directly affected by the price and availability of pet coke obtained from the Coffeyville refinery pursuant to a long-term agreement and pet coke purchased from third parties, both of which vary based on market prices. Pet coke is a key raw material used by the nitrogen fertilizer business in the manufacture of nitrogen fertilizer products. If pet coke costs increase, the nitrogen fertilizer business may not be able to increase its prices to recover these increased costs, because market prices for nitrogen fertilizer products are not correlated with pet coke prices.</w:t>
      </w:r>
    </w:p>
    <w:p>
      <w:pPr>
        <w:spacing w:after="0" w:line="72" w:lineRule="exact"/>
        <w:rPr>
          <w:sz w:val="20"/>
          <w:szCs w:val="20"/>
          <w:color w:val="auto"/>
        </w:rPr>
      </w:pPr>
    </w:p>
    <w:p>
      <w:pPr>
        <w:jc w:val="both"/>
        <w:ind w:right="220" w:firstLine="378"/>
        <w:spacing w:after="0" w:line="266" w:lineRule="auto"/>
        <w:rPr>
          <w:sz w:val="20"/>
          <w:szCs w:val="20"/>
          <w:color w:val="auto"/>
        </w:rPr>
      </w:pPr>
      <w:r>
        <w:rPr>
          <w:rFonts w:ascii="Times New Roman" w:cs="Times New Roman" w:eastAsia="Times New Roman" w:hAnsi="Times New Roman"/>
          <w:sz w:val="18"/>
          <w:szCs w:val="18"/>
          <w:color w:val="auto"/>
        </w:rPr>
        <w:t>The nitrogen fertilizer business may not be able to maintain an adequate supply of pet coke. In addition, it could experience production delays or cost increases if alternative sources of supply prove to be more expensive or difficult to obtain. The nitrogen fertilizer business currently purchases 100% of the pet coke the Coffeyville refinery produces. Accordingly, if the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72" w:right="259" w:bottom="1440" w:gutter="0" w:footer="0" w:header="0"/>
        </w:sectPr>
      </w:pPr>
    </w:p>
    <w:bookmarkStart w:id="59" w:name="page60"/>
    <w:bookmarkEnd w:id="59"/>
    <w:p>
      <w:pPr>
        <w:ind w:right="180"/>
        <w:spacing w:after="0" w:line="261" w:lineRule="auto"/>
        <w:rPr>
          <w:sz w:val="20"/>
          <w:szCs w:val="20"/>
          <w:color w:val="auto"/>
        </w:rPr>
      </w:pPr>
      <w:r>
        <w:rPr>
          <w:rFonts w:ascii="Times New Roman" w:cs="Times New Roman" w:eastAsia="Times New Roman" w:hAnsi="Times New Roman"/>
          <w:sz w:val="18"/>
          <w:szCs w:val="18"/>
          <w:color w:val="auto"/>
        </w:rPr>
        <w:t>nitrogen fertilizer business increases production, it will be more dependent on pet coke purchases from third-party suppliers at open market prices. The nitrogen fertilizer business entered into a pet coke supply agreement with HollyFrontier Corporation which became effective on March 1, 2012. The current term ends in December 2015 and may be renewed. There is no assurance that the nitrogen fertilizer business would be able to purchase pet coke on comparable terms from third parties or at all.</w:t>
      </w:r>
    </w:p>
    <w:p>
      <w:pPr>
        <w:spacing w:after="0" w:line="6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nitrogen fertilizer business relies on third-party providers of transportation services and equipment, which subjects it to risks and uncertainties beyond its control that may have a material adverse effect on our Energy segment's results of operations, financial condition and cash flows.</w:t>
      </w:r>
    </w:p>
    <w:p>
      <w:pPr>
        <w:spacing w:after="0" w:line="51" w:lineRule="exact"/>
        <w:rPr>
          <w:sz w:val="20"/>
          <w:szCs w:val="20"/>
          <w:color w:val="auto"/>
        </w:rPr>
      </w:pPr>
    </w:p>
    <w:p>
      <w:pPr>
        <w:ind w:right="100" w:firstLine="378"/>
        <w:spacing w:after="0" w:line="266" w:lineRule="auto"/>
        <w:rPr>
          <w:sz w:val="20"/>
          <w:szCs w:val="20"/>
          <w:color w:val="auto"/>
        </w:rPr>
      </w:pPr>
      <w:r>
        <w:rPr>
          <w:rFonts w:ascii="Times New Roman" w:cs="Times New Roman" w:eastAsia="Times New Roman" w:hAnsi="Times New Roman"/>
          <w:sz w:val="18"/>
          <w:szCs w:val="18"/>
          <w:color w:val="auto"/>
        </w:rPr>
        <w:t>The nitrogen fertilizer business relies on railroad and trucking companies to ship finished products to its customers. The nitrogen fertilizer business also leases railcars from railcar owners in order to ship its finished products. These transportation operations, equipment and services are subject to various hazards, including extreme weather conditions, work stoppages, delays, spills, derailments and other accidents and other operating hazards.</w:t>
      </w:r>
    </w:p>
    <w:p>
      <w:pPr>
        <w:spacing w:after="0" w:line="68" w:lineRule="exact"/>
        <w:rPr>
          <w:sz w:val="20"/>
          <w:szCs w:val="20"/>
          <w:color w:val="auto"/>
        </w:rPr>
      </w:pPr>
    </w:p>
    <w:p>
      <w:pPr>
        <w:jc w:val="both"/>
        <w:ind w:right="20" w:firstLine="378"/>
        <w:spacing w:after="0" w:line="266" w:lineRule="auto"/>
        <w:rPr>
          <w:sz w:val="20"/>
          <w:szCs w:val="20"/>
          <w:color w:val="auto"/>
        </w:rPr>
      </w:pPr>
      <w:r>
        <w:rPr>
          <w:rFonts w:ascii="Times New Roman" w:cs="Times New Roman" w:eastAsia="Times New Roman" w:hAnsi="Times New Roman"/>
          <w:sz w:val="18"/>
          <w:szCs w:val="18"/>
          <w:color w:val="auto"/>
        </w:rPr>
        <w:t>These transportation operations, equipment and services are also subject to environmental, safety and other regulatory oversight. Due to concerns related to terrorism or accidents, local, state and federal governments could implement new regulations affecting the transportation of the nitrogen fertilizer business' finished products. In addition, new regulations could be implemented affecting the equipment used to ship its finished products.</w:t>
      </w:r>
    </w:p>
    <w:p>
      <w:pPr>
        <w:spacing w:after="0" w:line="68" w:lineRule="exact"/>
        <w:rPr>
          <w:sz w:val="20"/>
          <w:szCs w:val="20"/>
          <w:color w:val="auto"/>
        </w:rPr>
      </w:pPr>
    </w:p>
    <w:p>
      <w:pPr>
        <w:ind w:right="60" w:firstLine="378"/>
        <w:spacing w:after="0" w:line="261" w:lineRule="auto"/>
        <w:rPr>
          <w:sz w:val="20"/>
          <w:szCs w:val="20"/>
          <w:color w:val="auto"/>
        </w:rPr>
      </w:pPr>
      <w:r>
        <w:rPr>
          <w:rFonts w:ascii="Times New Roman" w:cs="Times New Roman" w:eastAsia="Times New Roman" w:hAnsi="Times New Roman"/>
          <w:sz w:val="18"/>
          <w:szCs w:val="18"/>
          <w:color w:val="auto"/>
        </w:rPr>
        <w:t>Any delay in the nitrogen fertilizer business' ability to ship its finished products as a result of these transportation companies' failure to operate properly, the implementation of new and more stringent regulatory requirements affecting transportation operations or equipment, or significant increases in the cost of these services or equipment could have a material adverse effect on our Energy segment's fertilizer business' results of operations, financial condition and cash flows.</w:t>
      </w:r>
    </w:p>
    <w:p>
      <w:pPr>
        <w:spacing w:after="0" w:line="68"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Ammonia can be very volatile and extremely hazardous. Any liability for accidents involving ammonia or other products CVR produces or transports that cause severe damage to property or injury to the environment and human health could have a material adverse effect on our Energy segment's results of operations, financial condition and cash flows. In addition, the costs of transporting ammonia could increase significantly in the future.</w:t>
      </w:r>
    </w:p>
    <w:p>
      <w:pPr>
        <w:spacing w:after="0" w:line="67" w:lineRule="exact"/>
        <w:rPr>
          <w:sz w:val="20"/>
          <w:szCs w:val="20"/>
          <w:color w:val="auto"/>
        </w:rPr>
      </w:pPr>
    </w:p>
    <w:p>
      <w:pPr>
        <w:ind w:right="20" w:firstLine="378"/>
        <w:spacing w:after="0" w:line="254" w:lineRule="auto"/>
        <w:rPr>
          <w:sz w:val="20"/>
          <w:szCs w:val="20"/>
          <w:color w:val="auto"/>
        </w:rPr>
      </w:pPr>
      <w:r>
        <w:rPr>
          <w:rFonts w:ascii="Times New Roman" w:cs="Times New Roman" w:eastAsia="Times New Roman" w:hAnsi="Times New Roman"/>
          <w:sz w:val="18"/>
          <w:szCs w:val="18"/>
          <w:color w:val="auto"/>
        </w:rPr>
        <w:t>The nitrogen fertilizer business manufactures, processes, stores, handles, distributes and transports ammonia, which can be very volatile and extremely hazardous. Major accidents or releases involving ammonia could cause severe damage or injury to property, the environment and human health, as well as a possible disruption of supplies and markets. Such an event could result in civil lawsuits, fines, penalties and regulatory enforcement proceedings, all of which could lead to significant liabilities. Any damage to persons, equipment or property or other disruption of the ability of the nitrogen fertilizer business to produce or distribute its products could result in a significant decrease in operating revenues and significant additional cost to replace or repair and insure its assets, which could have a material adverse effect on the nitrogen fertilizer business' results of operations, financial condition and cash flows. The nitrogen fertilizer facility periodically experiences minor releases of ammonia related to leaks from its equipment. It experienced more significant ammonia releases in August and September 2010 due to a heat exchanger leak and a UAN vessel rupture. Similar events may occur in the future and could have a material adverse effect on the nitrogen fertilizer business' results of operations, financial condition and cash flows.</w:t>
      </w:r>
    </w:p>
    <w:p>
      <w:pPr>
        <w:spacing w:after="0" w:line="81" w:lineRule="exact"/>
        <w:rPr>
          <w:sz w:val="20"/>
          <w:szCs w:val="20"/>
          <w:color w:val="auto"/>
        </w:rPr>
      </w:pPr>
    </w:p>
    <w:p>
      <w:pPr>
        <w:ind w:right="260" w:firstLine="378"/>
        <w:spacing w:after="0" w:line="273" w:lineRule="auto"/>
        <w:rPr>
          <w:sz w:val="20"/>
          <w:szCs w:val="20"/>
          <w:color w:val="auto"/>
        </w:rPr>
      </w:pPr>
      <w:r>
        <w:rPr>
          <w:rFonts w:ascii="Times New Roman" w:cs="Times New Roman" w:eastAsia="Times New Roman" w:hAnsi="Times New Roman"/>
          <w:sz w:val="17"/>
          <w:szCs w:val="17"/>
          <w:color w:val="auto"/>
        </w:rPr>
        <w:t>In addition, the nitrogen fertilizer business may incur significant losses or costs relating to the operation of railcars used for the purpose of carrying various products, including ammonia. Due to the dangerous and potentially toxic nature of the cargo, in particular ammonia, on board railcars, a railcar accident may result in fires, explosions and pollution. These circumstances may result in sudden, severe damage or injury to property, the environment and human health. In the event of pollution, the nitrogen fertilizer business may be held responsible even if it is not at fault and it complied with the laws and regulations in effect at the time of the accident. Litigation arising from accidents involving ammonia and other products the nitrogen fertilizer business produces or transports may result in the nitrogen fertilizer business or us being named as a defendant in lawsuits asserting claims for large amounts of damages, which could have a material adverse effect on the nitrogen fertilizer business' results of operations, financial condition and cash flows.</w:t>
      </w:r>
    </w:p>
    <w:p>
      <w:pPr>
        <w:spacing w:after="0" w:line="64"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Given the risks inherent in transporting ammonia, the costs of transporting ammonia could increase significantly in the future. Ammonia is most typically transported by pipeline and railcar. A number of initiatives are underway in the railroad and chemical industries that may result in changes to railcar design in order to minimize railway accidents involving hazardous materials. In addition, in the future, laws may more severely restrict or eliminate the ability of the nitrogen fertilizer business to transport ammonia via railcar. If any railcar design changes are implemented, or if accidents involving hazardous freight increase the insurance and other costs of railcars, freight costs of the nitrogen fertilizer business could significantly increase.</w:t>
      </w:r>
    </w:p>
    <w:p>
      <w:pPr>
        <w:spacing w:after="0" w:line="7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laws and regulations on fertilizer end-use and application and numeric nutrient water quality criteria could have a material adverse impact on fertilizer demand in the future.</w:t>
      </w:r>
    </w:p>
    <w:p>
      <w:pPr>
        <w:spacing w:after="0" w:line="51" w:lineRule="exact"/>
        <w:rPr>
          <w:sz w:val="20"/>
          <w:szCs w:val="20"/>
          <w:color w:val="auto"/>
        </w:rPr>
      </w:pPr>
    </w:p>
    <w:p>
      <w:pPr>
        <w:ind w:right="640" w:firstLine="378"/>
        <w:spacing w:after="0" w:line="282" w:lineRule="auto"/>
        <w:rPr>
          <w:sz w:val="20"/>
          <w:szCs w:val="20"/>
          <w:color w:val="auto"/>
        </w:rPr>
      </w:pPr>
      <w:r>
        <w:rPr>
          <w:rFonts w:ascii="Times New Roman" w:cs="Times New Roman" w:eastAsia="Times New Roman" w:hAnsi="Times New Roman"/>
          <w:sz w:val="18"/>
          <w:szCs w:val="18"/>
          <w:color w:val="auto"/>
        </w:rPr>
        <w:t>Future environmental laws and regulations on the end-use and application of fertilizers could cause changes in demand for the nitrogen fertilizer business' products. In addition, future environmental laws and regulations, or new interpretations 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72" w:right="239" w:bottom="1440" w:gutter="0" w:footer="0" w:header="0"/>
        </w:sectPr>
      </w:pPr>
    </w:p>
    <w:bookmarkStart w:id="60" w:name="page61"/>
    <w:bookmarkEnd w:id="60"/>
    <w:p>
      <w:pPr>
        <w:ind w:right="60"/>
        <w:spacing w:after="0" w:line="255" w:lineRule="auto"/>
        <w:rPr>
          <w:sz w:val="20"/>
          <w:szCs w:val="20"/>
          <w:color w:val="auto"/>
        </w:rPr>
      </w:pPr>
      <w:r>
        <w:rPr>
          <w:rFonts w:ascii="Times New Roman" w:cs="Times New Roman" w:eastAsia="Times New Roman" w:hAnsi="Times New Roman"/>
          <w:sz w:val="18"/>
          <w:szCs w:val="18"/>
          <w:color w:val="auto"/>
        </w:rPr>
        <w:t>existing laws or regulations, could limit the ability of the nitrogen fertilizer business to market and sell its products to end users. From time to time, various state legislatures have proposed bans or other limitations on fertilizer products. The EPA is encouraging states to adopt state-wide numeric water quality criteria for total nitrogen and total phosphorus, which are present in the nitrogen fertilizer business' fertilizer products. A number of states have adopted or proposed numeric nutrient water quality criteria for nitrogen and phosphorus. The adoption of stringent state criteria for nitrogen and phosphorus could reduce the demand for nitrogen fertilizer products in those states. If such laws, rules, regulations or interpretations to significantly curb the end-use or application of fertilizers were promulgated in the nitrogen fertilizer business' marketing areas, it could result in decreased demand for its products and have a material adverse effect on our Energy segment's results of operations, financial condition and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licensed technology were no longer available, the nitrogen fertilizer business may be adversely affected.</w:t>
      </w:r>
    </w:p>
    <w:p>
      <w:pPr>
        <w:spacing w:after="0" w:line="121"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The nitrogen fertilizer business has licensed, and may in the future license, a combination of patent, trade secret and other intellectual property rights of third parties for use in its business. In particular, the gasification process it uses to convert pet coke to high purity hydrogen for subsequent conversion to ammonia is licensed from General Electric. The license, which is fully paid, grants the nitrogen fertilizer business perpetual rights to use the pet coke gasification process on specified terms and conditions and is integral to the operations of the nitrogen fertilizer facility. If this license or any other license agreements on which the nitrogen fertilizer business' operations rely, were to be terminated, licenses to alternative technology may not be available, or may only be available on terms that are not commercially reasonable or acceptable. In addition, any substitution of new technology for currently-licensed technology may require substantial changes to manufacturing processes or equipment and may have a material adverse effect on our Energy segment's results of operations, financial condition and cash flows.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nitrogen fertilizer business may face third party claims of intellectual property infringement, which if successful could result in significant costs.</w:t>
      </w:r>
    </w:p>
    <w:p>
      <w:pPr>
        <w:spacing w:after="0" w:line="121" w:lineRule="exact"/>
        <w:rPr>
          <w:sz w:val="20"/>
          <w:szCs w:val="20"/>
          <w:color w:val="auto"/>
        </w:rPr>
      </w:pPr>
    </w:p>
    <w:p>
      <w:pPr>
        <w:ind w:right="140" w:firstLine="378"/>
        <w:spacing w:after="0" w:line="254" w:lineRule="auto"/>
        <w:rPr>
          <w:sz w:val="20"/>
          <w:szCs w:val="20"/>
          <w:color w:val="auto"/>
        </w:rPr>
      </w:pPr>
      <w:r>
        <w:rPr>
          <w:rFonts w:ascii="Times New Roman" w:cs="Times New Roman" w:eastAsia="Times New Roman" w:hAnsi="Times New Roman"/>
          <w:sz w:val="18"/>
          <w:szCs w:val="18"/>
          <w:color w:val="auto"/>
        </w:rPr>
        <w:t>Although there are currently no pending claims relating to the infringement of any third party intellectual property rights, in the future the nitrogen fertilizer business may face claims of infringement that could interfere with its ability to use technology that is material to its business operations. Any litigation of this type, whether successful or unsuccessful, could result in substantial costs and diversions of resources, which could have a material adverse effect on our Energy segment's results of operations, financial condition and cash flows. In the event a claim of infringement against the nitrogen fertilizer business is successful, it may be required to pay royalties or license fees for past or continued use of the infringing technology, or it may be prohibited from using the infringing technology altogether. If it is prohibited from using any technology as a result of such a claim, it may not be able to obtain licenses to alternative technology adequate to substitute for the technology it can no longer use, or licenses for such alternative technology may only be available on terms that are not commercially reasonable or acceptable. In addition, any substitution of new technology for currently licensed technology may require the nitrogen fertilizer business to make substantial changes to its manufacturing processes or equipment or to its products, and could have a material adverse effect on our Energy segment's results of operations, financial condition and cash flows.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transportation costs of the nitrogen fertilizer business' competitors will not decline.</w:t>
      </w:r>
    </w:p>
    <w:p>
      <w:pPr>
        <w:spacing w:after="0" w:line="121" w:lineRule="exact"/>
        <w:rPr>
          <w:sz w:val="20"/>
          <w:szCs w:val="20"/>
          <w:color w:val="auto"/>
        </w:rPr>
      </w:pPr>
    </w:p>
    <w:p>
      <w:pPr>
        <w:jc w:val="both"/>
        <w:ind w:right="60" w:firstLine="378"/>
        <w:spacing w:after="0" w:line="258" w:lineRule="auto"/>
        <w:rPr>
          <w:sz w:val="20"/>
          <w:szCs w:val="20"/>
          <w:color w:val="auto"/>
        </w:rPr>
      </w:pPr>
      <w:r>
        <w:rPr>
          <w:rFonts w:ascii="Times New Roman" w:cs="Times New Roman" w:eastAsia="Times New Roman" w:hAnsi="Times New Roman"/>
          <w:sz w:val="18"/>
          <w:szCs w:val="18"/>
          <w:color w:val="auto"/>
        </w:rPr>
        <w:t>The nitrogen fertilizer plant is located within the U.S. farm belt, where the majority of the end users of its nitrogen fertilizer products grow their crops. Many of its competitors produce fertilizer outside of this region and incur greater costs in transporting their products over longer distances via rail, ships and pipelines. There can be no assurance that competitors' transportation costs will not decline or that additional pipelines will not be built, lowering the price at which competitors can sell their products, which would have a material adverse effect on our Energy segment's results of operations, financial condition and cash flows.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Metals</w:t>
      </w:r>
    </w:p>
    <w:p>
      <w:pPr>
        <w:spacing w:after="0" w:line="117"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principal markets served by our Metals segment's business are highly competitive. Our Metals segment may have difficulty competing with companies that have a lower cost structure than it has.</w:t>
      </w:r>
    </w:p>
    <w:p>
      <w:pPr>
        <w:spacing w:after="0" w:line="51"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Our Metals segment's business operates in a highly competitive environment. Our Metals segment primarily provides products and services to industrial companies. Many other companies offer the same or similar products and services and compete with our metals business on a number of bases including, but not limited to: (i) price; (ii) quality of service; (iii) proximity to the consumer; (iv) proximity to sources of supply; (v) local or regional presence; (vi) technology; (vii) safety performance; and (viii) financial strength. Some of these competitors have greater financial resources or are larger and have more diverse businesses. In addition, we also face increased competition from steel mills that are vertically integrated into the scrap metal business. Some of our foreign competitors may be able to pursue business opportunities without regard for the laws and regulations with which we must comply, such as environmental regulations. These companies may have a lower cost structure and more operating flexibility and consequently they may be able to offer better prices and more services than we can. We cannot assure you that we will be able to compete successfully with these companies. In addition to larger companies, we</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60"/>
          </w:cols>
          <w:pgMar w:left="240" w:top="472" w:right="299" w:bottom="1440" w:gutter="0" w:footer="0" w:header="0"/>
        </w:sectPr>
      </w:pPr>
    </w:p>
    <w:bookmarkStart w:id="61" w:name="page62"/>
    <w:bookmarkEnd w:id="61"/>
    <w:p>
      <w:pPr>
        <w:spacing w:after="0" w:line="282" w:lineRule="auto"/>
        <w:rPr>
          <w:sz w:val="20"/>
          <w:szCs w:val="20"/>
          <w:color w:val="auto"/>
        </w:rPr>
      </w:pPr>
      <w:r>
        <w:rPr>
          <w:rFonts w:ascii="Times New Roman" w:cs="Times New Roman" w:eastAsia="Times New Roman" w:hAnsi="Times New Roman"/>
          <w:sz w:val="18"/>
          <w:szCs w:val="18"/>
          <w:color w:val="auto"/>
        </w:rPr>
        <w:t>compete with many smaller competitors operating locally in this highly fragmented market. Some of these smaller companies may have lower operating costs and may be able to compete more effectively on price.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Prices of commodities are volatile and markets are competitive.</w:t>
      </w:r>
    </w:p>
    <w:p>
      <w:pPr>
        <w:spacing w:after="0" w:line="121" w:lineRule="exact"/>
        <w:rPr>
          <w:sz w:val="20"/>
          <w:szCs w:val="20"/>
          <w:color w:val="auto"/>
        </w:rPr>
      </w:pPr>
    </w:p>
    <w:p>
      <w:pPr>
        <w:ind w:right="340" w:firstLine="378"/>
        <w:spacing w:after="0" w:line="282" w:lineRule="auto"/>
        <w:rPr>
          <w:sz w:val="20"/>
          <w:szCs w:val="20"/>
          <w:color w:val="auto"/>
        </w:rPr>
      </w:pPr>
      <w:r>
        <w:rPr>
          <w:rFonts w:ascii="Times New Roman" w:cs="Times New Roman" w:eastAsia="Times New Roman" w:hAnsi="Times New Roman"/>
          <w:sz w:val="18"/>
          <w:szCs w:val="18"/>
          <w:color w:val="auto"/>
        </w:rPr>
        <w:t>Our Metals segment is exposed to commodity price risk during the period that it has title to products that are held in inventory for processing and/or resale. Prices of commodities, including scrap metals, can be volatile due to numerous factors beyond PSC Metals' control, including:</w:t>
      </w:r>
    </w:p>
    <w:p>
      <w:pPr>
        <w:spacing w:after="0" w:line="54" w:lineRule="exact"/>
        <w:rPr>
          <w:sz w:val="20"/>
          <w:szCs w:val="20"/>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import competition;</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 of its major customers;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and costs associated with transportation systems;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relative pricing of scrap metal substitutes; and</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duties, ocean freight costs, tariffs and currency exchange rates.</w:t>
      </w:r>
    </w:p>
    <w:p>
      <w:pPr>
        <w:spacing w:after="0" w:line="117" w:lineRule="exact"/>
        <w:rPr>
          <w:sz w:val="20"/>
          <w:szCs w:val="20"/>
          <w:color w:val="auto"/>
        </w:rPr>
      </w:pPr>
    </w:p>
    <w:p>
      <w:pPr>
        <w:ind w:right="120" w:firstLine="378"/>
        <w:spacing w:after="0" w:line="258" w:lineRule="auto"/>
        <w:rPr>
          <w:sz w:val="20"/>
          <w:szCs w:val="20"/>
          <w:color w:val="auto"/>
        </w:rPr>
      </w:pPr>
      <w:r>
        <w:rPr>
          <w:rFonts w:ascii="Times New Roman" w:cs="Times New Roman" w:eastAsia="Times New Roman" w:hAnsi="Times New Roman"/>
          <w:sz w:val="18"/>
          <w:szCs w:val="18"/>
          <w:color w:val="auto"/>
        </w:rPr>
        <w:t>In an increasing purchase price environment for raw materials, competitive conditions may limit PSC Metals' ability to pass on price increases to its consumers. In a decreasing sales price environment for processed scrap, PSC Metals may not have the ability to fully recoup the cost of raw scrap metal it processes and sells to its customers. New entrants into its markets could result in higher purchase prices for raw materials and lower margins from our scrap metals. Prices in the scrap metal industry are established and adjusted monthly by the major steel producers. The price of ferrous scrap is a significant factor influencing the profitability of the scrap metals industry.</w:t>
      </w:r>
    </w:p>
    <w:p>
      <w:pPr>
        <w:spacing w:after="0" w:line="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Metals segment operates in industries that are cyclical and demand can be volatile. Adverse conditions in the steel industry could negatively affect demand for its materials.</w:t>
      </w:r>
    </w:p>
    <w:p>
      <w:pPr>
        <w:spacing w:after="0" w:line="51" w:lineRule="exact"/>
        <w:rPr>
          <w:sz w:val="20"/>
          <w:szCs w:val="20"/>
          <w:color w:val="auto"/>
        </w:rPr>
      </w:pPr>
    </w:p>
    <w:p>
      <w:pPr>
        <w:ind w:right="160" w:firstLine="378"/>
        <w:spacing w:after="0" w:line="256" w:lineRule="auto"/>
        <w:rPr>
          <w:sz w:val="20"/>
          <w:szCs w:val="20"/>
          <w:color w:val="auto"/>
        </w:rPr>
      </w:pPr>
      <w:r>
        <w:rPr>
          <w:rFonts w:ascii="Times New Roman" w:cs="Times New Roman" w:eastAsia="Times New Roman" w:hAnsi="Times New Roman"/>
          <w:sz w:val="18"/>
          <w:szCs w:val="18"/>
          <w:color w:val="auto"/>
        </w:rPr>
        <w:t>The operating results of the scrap metals recycling industry in general, and PSC Metals' operations specifically, are highly cyclical and dependent on general domestic and international economic conditions. Historically, in periods of national recession or slowing economic growth, the operating results of scrap metals recycling companies have been materially and adversely affected. Ferrous and non-ferrous scrap has been historically vulnerable to significant declines in consumption and product pricing during prolonged periods of economic downturn. As a result of the recent global economic crisis and uneven recoveries in the steel, automotive, industrial equipment, construction and other industries, PSC Metals has experienced significant fluctuations in supply, demand and pricing for its products, which could continue to adversely affect our Metals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steel imports and decreases in scrap exports could adversely affect the demand for scrap metals domestically.</w:t>
      </w:r>
    </w:p>
    <w:p>
      <w:pPr>
        <w:spacing w:after="0" w:line="121"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Our scrap metals business may be adversely affected by increases in steel imports into the United States, which will have an adverse impact on domestic steel production and a corresponding adverse impact on the demand for scrap metals domestically. Our scrap metals business may be adversely affected by decreases of scrap exports out of the United States to export markets such as Turkey, China, South Korea, India and Vietnam which could negatively impact demand prices for scrap metals globally. Additionally, our scrap metals business could be negatively affected by strengthening in the U.S. dollar or increased freight costs which could negatively impact export sales and a stronger U.S. dollar could also attract imports of scrap or scrap substitutes, reducing demand for our scrap metals.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increase in the use of scrap metals alternatives by consumers of processed scrap metals could reduce demand for PSC Metals' products.</w:t>
      </w:r>
    </w:p>
    <w:p>
      <w:pPr>
        <w:spacing w:after="0" w:line="121" w:lineRule="exact"/>
        <w:rPr>
          <w:sz w:val="20"/>
          <w:szCs w:val="20"/>
          <w:color w:val="auto"/>
        </w:rPr>
      </w:pPr>
    </w:p>
    <w:p>
      <w:pPr>
        <w:ind w:right="80" w:firstLine="378"/>
        <w:spacing w:after="0" w:line="261" w:lineRule="auto"/>
        <w:rPr>
          <w:sz w:val="20"/>
          <w:szCs w:val="20"/>
          <w:color w:val="auto"/>
        </w:rPr>
      </w:pPr>
      <w:r>
        <w:rPr>
          <w:rFonts w:ascii="Times New Roman" w:cs="Times New Roman" w:eastAsia="Times New Roman" w:hAnsi="Times New Roman"/>
          <w:sz w:val="18"/>
          <w:szCs w:val="18"/>
          <w:color w:val="auto"/>
        </w:rPr>
        <w:t>During periods of high demand for scrap metals, the demand for ferrous scrap metal could outstrip its supply. The relative scarcity of ferrous scrap, particularly prime or industrial grades, and its high price during such periods have created opportunities for producers of alternatives to scrap metals, such as pig iron and direct reduced iron pellets and others. We cannot assure you that the use of alternatives to scrap metals may not proliferate in the future if the prices for scrap metals rise, if the supplies of available unprepared ferrous scrap tighten or if costs to import scrap decline precipitously.</w:t>
      </w:r>
    </w:p>
    <w:p>
      <w:pPr>
        <w:spacing w:after="0" w:line="6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disruptions in our operations or slowdowns by our shipping companies could adversely affect our ability to deliver our products, which could materially and adversely affect PSC Metals' revenues and its relationship with its consumers.</w:t>
      </w:r>
    </w:p>
    <w:p>
      <w:pPr>
        <w:spacing w:after="0" w:line="51" w:lineRule="exact"/>
        <w:rPr>
          <w:sz w:val="20"/>
          <w:szCs w:val="20"/>
          <w:color w:val="auto"/>
        </w:rPr>
      </w:pPr>
    </w:p>
    <w:p>
      <w:pPr>
        <w:ind w:right="220" w:firstLine="378"/>
        <w:spacing w:after="0" w:line="282" w:lineRule="auto"/>
        <w:rPr>
          <w:sz w:val="20"/>
          <w:szCs w:val="20"/>
          <w:color w:val="auto"/>
        </w:rPr>
      </w:pPr>
      <w:r>
        <w:rPr>
          <w:rFonts w:ascii="Times New Roman" w:cs="Times New Roman" w:eastAsia="Times New Roman" w:hAnsi="Times New Roman"/>
          <w:sz w:val="18"/>
          <w:szCs w:val="18"/>
          <w:color w:val="auto"/>
        </w:rPr>
        <w:t>PSC Metals' ability to process and fulfill orders and manage inventory depends on the efficient and uninterrupted operation of its facilities. Labor and other disruptions at PSC Metals’ facilities could adversely affect its ability to process and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80"/>
          </w:cols>
          <w:pgMar w:left="240" w:top="472" w:right="279" w:bottom="1440" w:gutter="0" w:footer="0" w:header="0"/>
        </w:sectPr>
      </w:pPr>
    </w:p>
    <w:bookmarkStart w:id="62" w:name="page63"/>
    <w:bookmarkEnd w:id="62"/>
    <w:p>
      <w:pPr>
        <w:ind w:right="120"/>
        <w:spacing w:after="0" w:line="261" w:lineRule="auto"/>
        <w:rPr>
          <w:sz w:val="20"/>
          <w:szCs w:val="20"/>
          <w:color w:val="auto"/>
        </w:rPr>
      </w:pPr>
      <w:r>
        <w:rPr>
          <w:rFonts w:ascii="Times New Roman" w:cs="Times New Roman" w:eastAsia="Times New Roman" w:hAnsi="Times New Roman"/>
          <w:sz w:val="18"/>
          <w:szCs w:val="18"/>
          <w:color w:val="auto"/>
        </w:rPr>
        <w:t>ship material. In addition, many of its products are transported to customers by third-party truck, rail carriers and barge services. As a result, PSC Metals relies on the timely and uninterrupted performance of third-party shipping companies. Any interruption in its operations or interruption or delay in transportation services could cause orders to be canceled, delivered late, or receipt of goods to be refused or result in higher transportation costs. As a result, PSC Metals' relationships with its customers and its revenues and results of operations and financial condition could be materially and adversely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profitability of PSC Metals' scrap recycling operations depends, in part, on the availability of an adequate source of supply of scrap metals.</w:t>
      </w:r>
    </w:p>
    <w:p>
      <w:pPr>
        <w:spacing w:after="0" w:line="121" w:lineRule="exact"/>
        <w:rPr>
          <w:sz w:val="20"/>
          <w:szCs w:val="20"/>
          <w:color w:val="auto"/>
        </w:rPr>
      </w:pPr>
    </w:p>
    <w:p>
      <w:pPr>
        <w:ind w:right="60" w:firstLine="378"/>
        <w:spacing w:after="0" w:line="256" w:lineRule="auto"/>
        <w:rPr>
          <w:sz w:val="20"/>
          <w:szCs w:val="20"/>
          <w:color w:val="auto"/>
        </w:rPr>
      </w:pPr>
      <w:r>
        <w:rPr>
          <w:rFonts w:ascii="Times New Roman" w:cs="Times New Roman" w:eastAsia="Times New Roman" w:hAnsi="Times New Roman"/>
          <w:sz w:val="18"/>
          <w:szCs w:val="18"/>
          <w:color w:val="auto"/>
        </w:rPr>
        <w:t>PSC Metals procures scrap inventory from numerous sources. These suppliers generally are not bound by long-term contracts and have no obligation to sell scrap metals to PSC Metals. In periods of low industry prices, suppliers may elect to hold scrap to wait for higher prices or intentionally slow their scrap sales activities. If a substantial number of scrap suppliers cease selling scrap metals to PSC Metals, its scrap metals business could be materially and adversely affected. In addition, the slowdown of industrial production and U.S. consumer consumption during the recent economic crisis has reduced industrial grades of scrap metal available to PSC Metals. If the supply of scrap metal is limited, PSC Metals would be unable to recycle scrap metals at necessary volumes which could adversely affect our Metals operations.</w:t>
      </w:r>
    </w:p>
    <w:p>
      <w:pPr>
        <w:spacing w:after="0" w:line="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PSC Metals may pursue acquisitions that involve inherent risks, which may cause it not to realize anticipated benefits. Additionally PSC Metals may not be able to successfully integrate future acquisitions.</w:t>
      </w:r>
    </w:p>
    <w:p>
      <w:pPr>
        <w:spacing w:after="0" w:line="51"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PSC Metals has completed a number of recent acquisitions and it expects to continue making acquisitions of complementary businesses that enhance its customer base and related markets. Execution of its acquisition strategy involves a number of risks including:</w:t>
      </w:r>
    </w:p>
    <w:p>
      <w:pPr>
        <w:spacing w:after="0" w:line="54" w:lineRule="exact"/>
        <w:rPr>
          <w:sz w:val="20"/>
          <w:szCs w:val="20"/>
          <w:color w:val="auto"/>
        </w:rPr>
      </w:pPr>
    </w:p>
    <w:p>
      <w:pPr>
        <w:ind w:left="660" w:hanging="24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assessment of or undisclosed liabilities;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personnel and operations of the acquired businesses;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or customers of the acquired businesses;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realizing anticipated cost savings, efficiencies and synergies;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uniform standards, controls and procedures;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growth of a larger company; and</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management's attention from our everyday business activities.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PSC Metals' business presents significant risk of injury or death.</w:t>
      </w:r>
    </w:p>
    <w:p>
      <w:pPr>
        <w:spacing w:after="0" w:line="121"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Because of the heavy industrial activities conducted at PSC Metals' facilities, there exists a risk of serious injury or death to our employees or other visitors notwithstanding the safety precautions PSC Metals takes. PSC Metals' scrap metals business is subject to regulation by federal, state and local agencies responsible for employee health and safety, including the Occupational Safety and Health Administration. While PSC Metals has in place policies to minimize such risks, it may nevertheless be unable to avoid material liabilities for any death or injury that may occur in the future and these types of incidents may have a material adverse effect on our Metals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PSC Metals' business is subject to stringent regulations, particularly under applicable environmental laws.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PSC Metals is subject to comprehensive local, state and federal statutory and regulatory environmental requirements relating to, among others:</w:t>
      </w:r>
    </w:p>
    <w:p>
      <w:pPr>
        <w:spacing w:after="0" w:line="117" w:lineRule="exact"/>
        <w:rPr>
          <w:sz w:val="20"/>
          <w:szCs w:val="20"/>
          <w:color w:val="auto"/>
        </w:rPr>
      </w:pPr>
    </w:p>
    <w:p>
      <w:pPr>
        <w:ind w:left="660" w:hanging="247"/>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storage, handling and disposal of solid, hazardous and Toxic Substances Control Act waste;</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discharge of materials into the air;</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and treatment of wastewater and storm water;</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remediation of soil and groundwater contamination;</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restoration of natural resource damages; and</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its employees' health and safety.</w:t>
      </w:r>
    </w:p>
    <w:p>
      <w:pPr>
        <w:spacing w:after="0" w:line="117"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PSC Metals believes that it is currently in material compliance with applicable statutes and regulations governing the protection of human health and the environment, including employee health and safety. We can give no assurance, however, that PSC Metals will continue to be in material compliance or avoid material fines, penalties and expenses associated with compliance issues in the future.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80"/>
          </w:cols>
          <w:pgMar w:left="240" w:top="472" w:right="279" w:bottom="1440" w:gutter="0" w:footer="0" w:header="0"/>
        </w:sectPr>
      </w:pPr>
    </w:p>
    <w:bookmarkStart w:id="63" w:name="page64"/>
    <w:bookmarkEnd w:id="63"/>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Such laws and regulations also require manifests to be completed and delivered in connection with any shipment of prescribed materials so that the movement and disposal of such materials can be traced and the persons responsible for any mishandling of such materials identified. Regulatory requirements may be imposed as conditions of operating permits or licenses. As part of its scrap metals business, PSC Metals must properly remove, handle, recycle or dispose of waste materials or be subject to penalties. Transportation, transfer, storage and disposal of waste are difficult and accidents may occur. These laws and regulations are stringent and are likely to become more stringent in the future. Existing and new laws and regulations may require our scrap metals business to modify, supplement, replace or curtail its operating methods or to modify or replace facilities or equipment at costs that may be substantial without any corresponding increase in revenues.</w:t>
      </w:r>
    </w:p>
    <w:p>
      <w:pPr>
        <w:spacing w:after="0" w:line="81" w:lineRule="exact"/>
        <w:rPr>
          <w:sz w:val="20"/>
          <w:szCs w:val="20"/>
          <w:color w:val="auto"/>
        </w:rPr>
      </w:pPr>
    </w:p>
    <w:p>
      <w:pPr>
        <w:ind w:right="240" w:firstLine="378"/>
        <w:spacing w:after="0" w:line="258" w:lineRule="auto"/>
        <w:rPr>
          <w:sz w:val="20"/>
          <w:szCs w:val="20"/>
          <w:color w:val="auto"/>
        </w:rPr>
      </w:pPr>
      <w:r>
        <w:rPr>
          <w:rFonts w:ascii="Times New Roman" w:cs="Times New Roman" w:eastAsia="Times New Roman" w:hAnsi="Times New Roman"/>
          <w:sz w:val="18"/>
          <w:szCs w:val="18"/>
          <w:color w:val="auto"/>
        </w:rPr>
        <w:t>Hazardous substances are present in some of the processing, transfer and storage facilities owned or leased by our scrap metal business and landfill facilities used by our scrap metals business. Remediation may be required at these sites at substantial cost. We cannot assure you that the ultimate cost and expense of corrective action will not substantially exceed any reserves and have a material adverse impact on our Metals segment's operations. In addition, governments have from time to time required companies to remediate sites where materials were properly disposed because those governments have instituted higher standards.</w:t>
      </w:r>
    </w:p>
    <w:p>
      <w:pPr>
        <w:spacing w:after="0" w:line="76" w:lineRule="exact"/>
        <w:rPr>
          <w:sz w:val="20"/>
          <w:szCs w:val="20"/>
          <w:color w:val="auto"/>
        </w:rPr>
      </w:pPr>
    </w:p>
    <w:p>
      <w:pPr>
        <w:ind w:right="80" w:firstLine="378"/>
        <w:spacing w:after="0" w:line="258" w:lineRule="auto"/>
        <w:rPr>
          <w:sz w:val="20"/>
          <w:szCs w:val="20"/>
          <w:color w:val="auto"/>
        </w:rPr>
      </w:pPr>
      <w:r>
        <w:rPr>
          <w:rFonts w:ascii="Times New Roman" w:cs="Times New Roman" w:eastAsia="Times New Roman" w:hAnsi="Times New Roman"/>
          <w:sz w:val="18"/>
          <w:szCs w:val="18"/>
          <w:color w:val="auto"/>
        </w:rPr>
        <w:t>PSC Metals is required to obtain, and must comply with, various permits and licenses to conduct our scrap metals business. Failure to obtain or violations of any permit or license, if not remedied, could result in PSC Metals' incurring substantial fines, suspending our scrap metals business or closing facilities. Further, our scrap metals business is conducted primarily outdoors and as such, depending on the nature of the ground cover, involves the risk of releases of wastes and other regulated materials to the soil and, possibly, to groundwater. From time to time, as part of its continuous improvement programs, PSC Metals incurs costs to improve environmental control systems.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PSC Metals' business may be subject to public opposition and adverse publicity that could delay or limit its development and expansion.</w:t>
      </w:r>
    </w:p>
    <w:p>
      <w:pPr>
        <w:spacing w:after="0" w:line="121" w:lineRule="exact"/>
        <w:rPr>
          <w:sz w:val="20"/>
          <w:szCs w:val="20"/>
          <w:color w:val="auto"/>
        </w:rPr>
      </w:pPr>
    </w:p>
    <w:p>
      <w:pPr>
        <w:ind w:right="40" w:firstLine="378"/>
        <w:spacing w:after="0" w:line="258" w:lineRule="auto"/>
        <w:rPr>
          <w:sz w:val="20"/>
          <w:szCs w:val="20"/>
          <w:color w:val="auto"/>
        </w:rPr>
      </w:pPr>
      <w:r>
        <w:rPr>
          <w:rFonts w:ascii="Times New Roman" w:cs="Times New Roman" w:eastAsia="Times New Roman" w:hAnsi="Times New Roman"/>
          <w:sz w:val="18"/>
          <w:szCs w:val="18"/>
          <w:color w:val="auto"/>
        </w:rPr>
        <w:t>A high level of public concern exists over industrial by-products recovery operations, including the location and operation of transfer, processing, storage and disposal facilities and the collection, processing or handling of industrial by-products and waste materials, particularly hazardous materials. Zoning, permit and licensing applications and proceedings and regulatory enforcement proceedings are all matters open to public scrutiny and comment. As a result, from time to time, our scrap metals business may be subject to citizen opposition and adverse publicity that may have a negative effect on operations and delay or limit the expansion and developing of operating properties, and could have a material adverse effect on our Metals operation.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PSC Metals may be unable to obtain adequate environmental insurance.</w:t>
      </w:r>
    </w:p>
    <w:p>
      <w:pPr>
        <w:spacing w:after="0" w:line="121" w:lineRule="exact"/>
        <w:rPr>
          <w:sz w:val="20"/>
          <w:szCs w:val="20"/>
          <w:color w:val="auto"/>
        </w:rPr>
      </w:pPr>
    </w:p>
    <w:p>
      <w:pPr>
        <w:ind w:right="80" w:firstLine="378"/>
        <w:spacing w:after="0" w:line="258" w:lineRule="auto"/>
        <w:rPr>
          <w:sz w:val="20"/>
          <w:szCs w:val="20"/>
          <w:color w:val="auto"/>
        </w:rPr>
      </w:pPr>
      <w:r>
        <w:rPr>
          <w:rFonts w:ascii="Times New Roman" w:cs="Times New Roman" w:eastAsia="Times New Roman" w:hAnsi="Times New Roman"/>
          <w:sz w:val="18"/>
          <w:szCs w:val="18"/>
          <w:color w:val="auto"/>
        </w:rPr>
        <w:t>PSC Metals is subject to potential liability for personal injuries and property damage caused by releases of hazardous substances and for remediation of risks posed by hazardous substances. Consistent with industry trends, PSC Metals may be unable to obtain an adequate amount of environmental impairment insurance for its scrap metals business at a reasonable premium to cover liability to third persons for environmental damage. Accordingly, if our scrap metals business were to incur liability for environmental damage either not provided for under such coverage or in excess of such coverage, our Metals operations could be materially or adversely affected.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energy and freight costs could increase PSC Metal's operating costs.</w:t>
      </w:r>
    </w:p>
    <w:p>
      <w:pPr>
        <w:spacing w:after="0" w:line="121"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The availability and cost of freight and energy, such as electricity, natural gas and diesel fuel, is important in the manufacture and transport of PSC Metals' products. PSC Metals' operations consume substantial amounts of energy, and its operating costs generally increase when energy costs rise. Factors that may affect PSC Metals' energy costs include significant increases in fuel, oil or natural gas prices, unavailability of electrical power or other energy sources due to droughts, hurricanes or other natural causes or due to shortages resulting from insufficient supplies to serve customers, or interruptions in energy supplies due to equipment failure or other causes. During periods of increasing energy and freight costs, PSC Metals may be unable to fully recover its operating cost increases through price increases without reducing demand for its products. PSC Metals' financial results could be adversely affected if it is unable to pass these increases on to its customers or if it is unable to obtain the necessary freight and energy.</w:t>
      </w:r>
    </w:p>
    <w:p>
      <w:pPr>
        <w:spacing w:after="0" w:line="77"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PSC Metals' operations are outside and affected by severe changes in the weather. Severe weather or equipment failures may lead to production curtailments or shutdowns.</w:t>
      </w:r>
    </w:p>
    <w:p>
      <w:pPr>
        <w:spacing w:after="0" w:line="51" w:lineRule="exact"/>
        <w:rPr>
          <w:sz w:val="20"/>
          <w:szCs w:val="20"/>
          <w:color w:val="auto"/>
        </w:rPr>
      </w:pPr>
    </w:p>
    <w:p>
      <w:pPr>
        <w:ind w:right="240" w:firstLine="378"/>
        <w:spacing w:after="0" w:line="258" w:lineRule="auto"/>
        <w:rPr>
          <w:sz w:val="20"/>
          <w:szCs w:val="20"/>
          <w:color w:val="auto"/>
        </w:rPr>
      </w:pPr>
      <w:r>
        <w:rPr>
          <w:rFonts w:ascii="Times New Roman" w:cs="Times New Roman" w:eastAsia="Times New Roman" w:hAnsi="Times New Roman"/>
          <w:sz w:val="18"/>
          <w:szCs w:val="18"/>
          <w:color w:val="auto"/>
        </w:rPr>
        <w:t>All of PSC Metals' scrap yards can be affected by severe weather and yards that are located adjacent to rivers are subject to potential flooding, all of which can result in production curtailments or shutdowns, which could adversely impact our Metals operations. Our scrap metals business' recycling and manufacturing processes depend, in part, upon shredders, which could be out of service temporarily as a result of unanticipated failures. As a result, PSC Metals may experience interruptions in its scrap metals business' processing and production capabilities, which could have a material adverse effect on our Metals operations.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472" w:right="2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Railcar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highly cyclical nature of the railcar industry may result in lower revenues during economic downturns or due to other factors.</w:t>
      </w:r>
    </w:p>
    <w:p>
      <w:pPr>
        <w:spacing w:after="0" w:line="121" w:lineRule="exact"/>
        <w:rPr>
          <w:sz w:val="20"/>
          <w:szCs w:val="20"/>
          <w:color w:val="auto"/>
        </w:rPr>
      </w:pPr>
    </w:p>
    <w:p>
      <w:pPr>
        <w:ind w:right="80" w:firstLine="378"/>
        <w:spacing w:after="0" w:line="253" w:lineRule="auto"/>
        <w:rPr>
          <w:sz w:val="20"/>
          <w:szCs w:val="20"/>
          <w:color w:val="auto"/>
        </w:rPr>
      </w:pPr>
      <w:r>
        <w:rPr>
          <w:rFonts w:ascii="Times New Roman" w:cs="Times New Roman" w:eastAsia="Times New Roman" w:hAnsi="Times New Roman"/>
          <w:sz w:val="18"/>
          <w:szCs w:val="18"/>
          <w:color w:val="auto"/>
        </w:rPr>
        <w:t>The North American railcar market has been, and our Railcar segment expects it to continue to be, highly cyclical resulting in volatility in demand for our products and services. Sales of our railcars and other products slowed in 2010 resulting in decreased production rates. New orders and shipments of railcars steadily increased beginning in 2011 and continuing through 2014 driven by increased demand for shipment of certain commodities, replacement of older railcars and federal tax benefits from the delivery of railcars in 2011 through 2014. Though our Railcar segment has seen improvements in certain railcar markets in recent years, these improvements may or may not continue. Potential regulatory changes related to tank railcars in North America may impact future new railcar production rates and orders from our customers, as well as require retrofit and maintenance work to existing railcars. However, our Railcar segment cannot assure you that hopper or tank railcar demand will continue at strong levels, that demand for any railcar types will improve, or that our railcar orders and shipments will track industry-wide trends. Similarly, our Railcar segment cannot assure you of the scope, timing or impact of any potential regulatory changes affecting the North American railcar industry. The cyclical nature of the railcar industry may result in lower revenues during economic or industry downturns due to decreased demand for both new and replacement railcars and railcar products and lower demand for railcars on lease. Decreased demand could result in lower lease volumes, increased downtime, reduced lease rates and decreased cash flow.</w:t>
      </w:r>
    </w:p>
    <w:p>
      <w:pPr>
        <w:spacing w:after="0" w:line="85"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Currently, our Railcar segment estimates that approximately 69% of our December 31, 2014 backlog will be shipped during 2015. Our Railcar segment's failure to obtain new orders could materially adversely affect our business, financial condition and results of operations. Downturns in part or all of the railcar manufacturing industry may occur in the future, resulting in decreased demand for our products and services. For example, a change in environmental regulations, competitive pricing, pipeline capacity and other factors could trigger a cyclical shift and could reduce demand for railcars in the energy transportation industry. Additionally, reductions in oil prices may result in reduced production of domestic oil, thus driving down demand for our tank railcars that service the crude oil industry. If our Railcar segment fails to manage its overhead costs and variations in production rates, our Railcar segment’s business could suffer.</w:t>
      </w:r>
    </w:p>
    <w:p>
      <w:pPr>
        <w:spacing w:after="0" w:line="81" w:lineRule="exact"/>
        <w:rPr>
          <w:sz w:val="20"/>
          <w:szCs w:val="20"/>
          <w:color w:val="auto"/>
        </w:rPr>
      </w:pPr>
    </w:p>
    <w:p>
      <w:pPr>
        <w:ind w:right="180" w:firstLine="378"/>
        <w:spacing w:after="0" w:line="266" w:lineRule="auto"/>
        <w:rPr>
          <w:sz w:val="20"/>
          <w:szCs w:val="20"/>
          <w:color w:val="auto"/>
        </w:rPr>
      </w:pPr>
      <w:r>
        <w:rPr>
          <w:rFonts w:ascii="Times New Roman" w:cs="Times New Roman" w:eastAsia="Times New Roman" w:hAnsi="Times New Roman"/>
          <w:sz w:val="18"/>
          <w:szCs w:val="18"/>
          <w:color w:val="auto"/>
        </w:rPr>
        <w:t>Further, a change in our product mix due to cyclical shifts in demand could have an adverse effect on our profitability. Our Railcar segment manufactures, leases and repairs a variety of railcars. The demand for specific types of these railcars varies from time to time. These shifts in demand could affect our margins and could have an adverse effect on our profitability.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to fluctuations in commodity and energy prices may impact our Railcar segment’s results of operations.</w:t>
      </w:r>
    </w:p>
    <w:p>
      <w:pPr>
        <w:spacing w:after="0" w:line="121"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Fluctuations in commodity or energy prices, including crude oil and gas prices, could negatively impact the activities of our Railcar segment’s customers resulting in a corresponding adverse effect on the demand for its products and services. These shifts in demand could affect our Railcar segment’s results of operations and could have an adverse effect on its profitability. Changes in environmental or governmental regulations, pipeline capacity, the price of crude oil and gas and related products and other factors could reduce demand for railcars in the energy transportation industry, including our Railcar segment’s primary railcar products, and have a material adverse effect on our Railcar segment’s financial condition and results of operations.</w:t>
      </w:r>
    </w:p>
    <w:p>
      <w:pPr>
        <w:spacing w:after="0" w:line="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Railcar segment operates in highly competitive industries and it may be unable to compete successfully, which could materially adversely affect our Railcar segment’s business, financial condition and results of operations.</w:t>
      </w:r>
    </w:p>
    <w:p>
      <w:pPr>
        <w:spacing w:after="0" w:line="51" w:lineRule="exact"/>
        <w:rPr>
          <w:sz w:val="20"/>
          <w:szCs w:val="20"/>
          <w:color w:val="auto"/>
        </w:rPr>
      </w:pPr>
    </w:p>
    <w:p>
      <w:pPr>
        <w:ind w:right="20" w:firstLine="378"/>
        <w:spacing w:after="0" w:line="254" w:lineRule="auto"/>
        <w:rPr>
          <w:sz w:val="20"/>
          <w:szCs w:val="20"/>
          <w:color w:val="auto"/>
        </w:rPr>
      </w:pPr>
      <w:r>
        <w:rPr>
          <w:rFonts w:ascii="Times New Roman" w:cs="Times New Roman" w:eastAsia="Times New Roman" w:hAnsi="Times New Roman"/>
          <w:sz w:val="18"/>
          <w:szCs w:val="18"/>
          <w:color w:val="auto"/>
        </w:rPr>
        <w:t>Our Railcar segment faces intense competition in all geographic markets and in each area of our business. Our railcar manufacturing business has five primary competitors. Any of these competitors may, from time to time, have greater resources than our Railcar segment does. Our current Railcar segment’s competitors have and may continue to increase their capacity in, or new competitors may enter into, the railcar markets in which our Railcar segment competes. Strong competition within the industry has led to pricing pressures and could limit our Railcar segment’s ability to maintain or increase prices or obtain better margins on our railcars. If our Railcar segment produces any type of railcars other than what it currently produces, it will be competing with other manufacturers that may have more experience with that railcar type. Further, new competitors, or alliances among existing competitors, may emerge in the railcar or industrial components industries and rapidly gain market share. Customer selection of railcars for purchase or for lease may be driven by technological or price factors and our competitors may provide or be able to provide more technologically advanced railcars or more attractive pricing and/or lease rates than our Railcar segment can provide. Such competitive factors may adversely affect our Railcar segment’s sales, utilization and/or lease rates, and consequently its revenues.</w:t>
      </w:r>
    </w:p>
    <w:p>
      <w:pPr>
        <w:spacing w:after="0" w:line="78" w:lineRule="exact"/>
        <w:rPr>
          <w:sz w:val="20"/>
          <w:szCs w:val="20"/>
          <w:color w:val="auto"/>
        </w:rPr>
      </w:pPr>
    </w:p>
    <w:p>
      <w:pPr>
        <w:ind w:right="40" w:firstLine="378"/>
        <w:spacing w:after="0" w:line="266" w:lineRule="auto"/>
        <w:rPr>
          <w:sz w:val="20"/>
          <w:szCs w:val="20"/>
          <w:color w:val="auto"/>
        </w:rPr>
      </w:pPr>
      <w:r>
        <w:rPr>
          <w:rFonts w:ascii="Times New Roman" w:cs="Times New Roman" w:eastAsia="Times New Roman" w:hAnsi="Times New Roman"/>
          <w:sz w:val="18"/>
          <w:szCs w:val="18"/>
          <w:color w:val="auto"/>
        </w:rPr>
        <w:t>Our Railcar segment also has intense competition in its railcar leasing business from railcar manufacturers, leasing companies, banks and other financial institutions. Some of this competition includes certain of its significant customers. Some of our Railcar segment’s railcar manufacturing competitors also produce railcars for use in their own railcar leasing fleets,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225" w:right="259" w:bottom="1440" w:gutter="0" w:footer="0" w:header="0"/>
        </w:sectPr>
      </w:pPr>
    </w:p>
    <w:bookmarkStart w:id="65" w:name="page66"/>
    <w:bookmarkEnd w:id="65"/>
    <w:p>
      <w:pPr>
        <w:ind w:right="60"/>
        <w:spacing w:after="0" w:line="282" w:lineRule="auto"/>
        <w:rPr>
          <w:sz w:val="20"/>
          <w:szCs w:val="20"/>
          <w:color w:val="auto"/>
        </w:rPr>
      </w:pPr>
      <w:r>
        <w:rPr>
          <w:rFonts w:ascii="Times New Roman" w:cs="Times New Roman" w:eastAsia="Times New Roman" w:hAnsi="Times New Roman"/>
          <w:sz w:val="18"/>
          <w:szCs w:val="18"/>
          <w:color w:val="auto"/>
        </w:rPr>
        <w:t>competing directly with our Railcar segment’s leasing business and with leasing companies. In connection with the re-leasing of railcars, our Railcar segment may encounter competition from, among other things, competitor railcar leasing companies.</w:t>
      </w:r>
    </w:p>
    <w:p>
      <w:pPr>
        <w:spacing w:after="0" w:line="54" w:lineRule="exact"/>
        <w:rPr>
          <w:sz w:val="20"/>
          <w:szCs w:val="20"/>
          <w:color w:val="auto"/>
        </w:rPr>
      </w:pPr>
    </w:p>
    <w:p>
      <w:pPr>
        <w:ind w:right="120" w:firstLine="378"/>
        <w:spacing w:after="0" w:line="266" w:lineRule="auto"/>
        <w:rPr>
          <w:sz w:val="20"/>
          <w:szCs w:val="20"/>
          <w:color w:val="auto"/>
        </w:rPr>
      </w:pPr>
      <w:r>
        <w:rPr>
          <w:rFonts w:ascii="Times New Roman" w:cs="Times New Roman" w:eastAsia="Times New Roman" w:hAnsi="Times New Roman"/>
          <w:sz w:val="18"/>
          <w:szCs w:val="18"/>
          <w:color w:val="auto"/>
        </w:rPr>
        <w:t>Our Railcar segment competes with numerous companies in its railcar services business, ranging from companies with greater resources than it has to smaller companies. In addition, new competitors, or alliances among existing competitors, may emerge, thereby intensifying the existing competition for our Railcar segment’s railcar services business.</w:t>
      </w:r>
    </w:p>
    <w:p>
      <w:pPr>
        <w:spacing w:after="0" w:line="68" w:lineRule="exact"/>
        <w:rPr>
          <w:sz w:val="20"/>
          <w:szCs w:val="20"/>
          <w:color w:val="auto"/>
        </w:rPr>
      </w:pPr>
    </w:p>
    <w:p>
      <w:pPr>
        <w:ind w:right="200" w:firstLine="378"/>
        <w:spacing w:after="0" w:line="261" w:lineRule="auto"/>
        <w:rPr>
          <w:sz w:val="20"/>
          <w:szCs w:val="20"/>
          <w:color w:val="auto"/>
        </w:rPr>
      </w:pPr>
      <w:r>
        <w:rPr>
          <w:rFonts w:ascii="Times New Roman" w:cs="Times New Roman" w:eastAsia="Times New Roman" w:hAnsi="Times New Roman"/>
          <w:sz w:val="18"/>
          <w:szCs w:val="18"/>
          <w:color w:val="auto"/>
        </w:rPr>
        <w:t>Technological innovation by any of our Railcar segment’s existing competitors, or new competitors entering any of the markets in which it does business, could put it at a competitive disadvantage and could cause it to lose market share. Increased competition for our Railcar segment’s manufacturing, railcar leasing or railcar services businesses could result in price reductions, reduced margins and loss of market share, which could materially adversely affect our Railcar segment’s prospects, business, financial condition and results of operations.</w:t>
      </w:r>
    </w:p>
    <w:p>
      <w:pPr>
        <w:spacing w:after="0" w:line="6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variable needs of our Railcar segment’s railcar customers and the timing of completion, customer acceptance and shipment of orders may cause our Railcar segment’s revenues and income from operations to vary substantially each quarter, which could result in significant fluctuations in our Railcar segment’s quarterly and annual results.</w:t>
      </w:r>
    </w:p>
    <w:p>
      <w:pPr>
        <w:spacing w:after="0" w:line="67" w:lineRule="exact"/>
        <w:rPr>
          <w:sz w:val="20"/>
          <w:szCs w:val="20"/>
          <w:color w:val="auto"/>
        </w:rPr>
      </w:pPr>
    </w:p>
    <w:p>
      <w:pPr>
        <w:ind w:right="40" w:firstLine="378"/>
        <w:spacing w:after="0" w:line="254" w:lineRule="auto"/>
        <w:rPr>
          <w:sz w:val="20"/>
          <w:szCs w:val="20"/>
          <w:color w:val="auto"/>
        </w:rPr>
      </w:pPr>
      <w:r>
        <w:rPr>
          <w:rFonts w:ascii="Times New Roman" w:cs="Times New Roman" w:eastAsia="Times New Roman" w:hAnsi="Times New Roman"/>
          <w:sz w:val="18"/>
          <w:szCs w:val="18"/>
          <w:color w:val="auto"/>
        </w:rPr>
        <w:t>Our Railcar segment’s results of operations in any particular quarterly period may be significantly affected by the number and type of railcars manufactured and shipped in that period, which is impacted by customer needs that vary greatly year to year. In addition, because revenues and earnings related to leased railcars are recognized over the life of the lease, our Railcar segment’s quarterly results may vary depending on the mix of lease versus direct sale railcars that it ships during a given period. The customer acceptance and title transfer or customer acceptance and shipment of our railcars determine when our Railcar segment record the revenues associated with our Railcar segment’s railcar sales or leases. Given this, the timing of customer acceptance and title transfer or customer acceptance and shipment of our railcars could cause fluctuations in our Railcar segment’s quarterly and annual results. The railroads could potentially go on strike or have other service interruptions, which could ultimately create a bottleneck and potentially cause us to slow down or halt our Railcar segment’s shipment and production schedules, which could materially adversely affect our Railcar segment’s business, financial condition and results of operations.</w:t>
      </w:r>
    </w:p>
    <w:p>
      <w:pPr>
        <w:spacing w:after="0" w:line="81" w:lineRule="exact"/>
        <w:rPr>
          <w:sz w:val="20"/>
          <w:szCs w:val="20"/>
          <w:color w:val="auto"/>
        </w:rPr>
      </w:pPr>
    </w:p>
    <w:p>
      <w:pPr>
        <w:ind w:firstLine="378"/>
        <w:spacing w:after="0" w:line="266" w:lineRule="auto"/>
        <w:rPr>
          <w:sz w:val="20"/>
          <w:szCs w:val="20"/>
          <w:color w:val="auto"/>
        </w:rPr>
      </w:pPr>
      <w:r>
        <w:rPr>
          <w:rFonts w:ascii="Times New Roman" w:cs="Times New Roman" w:eastAsia="Times New Roman" w:hAnsi="Times New Roman"/>
          <w:sz w:val="18"/>
          <w:szCs w:val="18"/>
          <w:color w:val="auto"/>
        </w:rPr>
        <w:t>As a result of these fluctuations, our Railcar segment believes that comparisons of its sales and operating results between quarterly periods within the same year and between quarterly periods within different years may not be meaningful and, as such, these comparisons should not be relied upon as indicators of our Railcar segment’s future performance.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Railcar segment faces labor shortages or increased labor costs, its growth and results of operations could be materially adversely affected.</w:t>
      </w:r>
    </w:p>
    <w:p>
      <w:pPr>
        <w:spacing w:after="0" w:line="121" w:lineRule="exact"/>
        <w:rPr>
          <w:sz w:val="20"/>
          <w:szCs w:val="20"/>
          <w:color w:val="auto"/>
        </w:rPr>
      </w:pPr>
    </w:p>
    <w:p>
      <w:pPr>
        <w:ind w:right="60" w:firstLine="378"/>
        <w:spacing w:after="0" w:line="258" w:lineRule="auto"/>
        <w:rPr>
          <w:sz w:val="20"/>
          <w:szCs w:val="20"/>
          <w:color w:val="auto"/>
        </w:rPr>
      </w:pPr>
      <w:r>
        <w:rPr>
          <w:rFonts w:ascii="Times New Roman" w:cs="Times New Roman" w:eastAsia="Times New Roman" w:hAnsi="Times New Roman"/>
          <w:sz w:val="18"/>
          <w:szCs w:val="18"/>
          <w:color w:val="auto"/>
        </w:rPr>
        <w:t>Our Railcar segment depends on skilled labor in its manufacturing and other businesses. Due to the competitive nature of the labor markets in which our Railcar segment operates and the cyclical nature of the railcar industry, the resulting employment cycle increases our Railcar segment’s risk of not being able to retain, recruit and train the personnel it requires, particularly when the economy expands, production rates are high or competition for such skilled labor increases. Our Railcar segment’s inability to recruit, retain and train adequate numbers of qualified personnel on a timely basis could materially adversely affect our Railcar segment’s business, financial condition and results of operations.</w:t>
      </w:r>
    </w:p>
    <w:p>
      <w:pPr>
        <w:spacing w:after="0" w:line="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Railcar segment depends upon a small number of customers that represent a large percentage of its revenues. The loss of any single significant customer, a reduction in sales to any such significant customer or any such significant customer's inability to pay our Railcar segment in a timely manner could materially adversely affect our Railcar segment’s business, financial condition and results of operations.</w:t>
      </w:r>
    </w:p>
    <w:p>
      <w:pPr>
        <w:spacing w:after="0" w:line="67" w:lineRule="exact"/>
        <w:rPr>
          <w:sz w:val="20"/>
          <w:szCs w:val="20"/>
          <w:color w:val="auto"/>
        </w:rPr>
      </w:pPr>
    </w:p>
    <w:p>
      <w:pPr>
        <w:ind w:right="80" w:firstLine="378"/>
        <w:spacing w:after="0" w:line="258" w:lineRule="auto"/>
        <w:rPr>
          <w:sz w:val="20"/>
          <w:szCs w:val="20"/>
          <w:color w:val="auto"/>
        </w:rPr>
      </w:pPr>
      <w:r>
        <w:rPr>
          <w:rFonts w:ascii="Times New Roman" w:cs="Times New Roman" w:eastAsia="Times New Roman" w:hAnsi="Times New Roman"/>
          <w:sz w:val="18"/>
          <w:szCs w:val="18"/>
          <w:color w:val="auto"/>
        </w:rPr>
        <w:t>Railcars are typically sold pursuant to large, periodic orders, and therefore, a limited number of customers typically represent a significant percentage of our Railcar segment’s revenue in any given year. The loss of any significant portion of our Railcar segment’s sales to any major customer, the loss of a single major customer or a material adverse change in the financial condition of any one of its major customers could materially adversely affect our Railcar segment’s business, financial condition and results of operations. If one of our Railcar segment’s significant customers was unable to pay due to financial condition, it could materially adversely affect our Railcar segment’s business, financial condition and results of operations.</w:t>
      </w:r>
    </w:p>
    <w:p>
      <w:pPr>
        <w:spacing w:after="0" w:line="7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cost of raw materials and components that our Railcar segment uses in its manufacturing operations, particularly steel, is subject to escalation and surcharges and could increase. Any increase in these costs or delivery delays of these raw materials could materially adversely affect our Railcar segment’s business, financial condition and results of operations.</w:t>
      </w:r>
    </w:p>
    <w:p>
      <w:pPr>
        <w:spacing w:after="0" w:line="67" w:lineRule="exact"/>
        <w:rPr>
          <w:sz w:val="20"/>
          <w:szCs w:val="20"/>
          <w:color w:val="auto"/>
        </w:rPr>
      </w:pPr>
    </w:p>
    <w:p>
      <w:pPr>
        <w:ind w:right="120" w:firstLine="378"/>
        <w:spacing w:after="0" w:line="258" w:lineRule="auto"/>
        <w:rPr>
          <w:sz w:val="20"/>
          <w:szCs w:val="20"/>
          <w:color w:val="auto"/>
        </w:rPr>
      </w:pPr>
      <w:r>
        <w:rPr>
          <w:rFonts w:ascii="Times New Roman" w:cs="Times New Roman" w:eastAsia="Times New Roman" w:hAnsi="Times New Roman"/>
          <w:sz w:val="18"/>
          <w:szCs w:val="18"/>
          <w:color w:val="auto"/>
        </w:rPr>
        <w:t>The cost of raw materials, including steel, and components used in the production of our railcars, represents more than half of our Railcar segment’s direct manufacturing costs per railcar. Our Railcar segment generally includes provisions in their railcar manufacturing orders that allow it to adjust prices as a result of increases and decreases in the cost of most raw materials and components on a dollar for dollar basis. The number of customers to which our Railcar segment is not able to pass on price increases may increase in the future, which could adversely affect our Railcar segment’s operating margins and cash flows. If</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229" w:right="239" w:bottom="1440" w:gutter="0" w:footer="0" w:header="0"/>
        </w:sectPr>
      </w:pPr>
    </w:p>
    <w:bookmarkStart w:id="66" w:name="page67"/>
    <w:bookmarkEnd w:id="66"/>
    <w:p>
      <w:pPr>
        <w:ind w:right="80"/>
        <w:spacing w:after="0" w:line="255" w:lineRule="auto"/>
        <w:rPr>
          <w:sz w:val="20"/>
          <w:szCs w:val="20"/>
          <w:color w:val="auto"/>
        </w:rPr>
      </w:pPr>
      <w:r>
        <w:rPr>
          <w:rFonts w:ascii="Times New Roman" w:cs="Times New Roman" w:eastAsia="Times New Roman" w:hAnsi="Times New Roman"/>
          <w:sz w:val="18"/>
          <w:szCs w:val="18"/>
          <w:color w:val="auto"/>
        </w:rPr>
        <w:t>our Railcar segment is not able to pass on price increases to its customers, our Railcar segment may lose railcar orders or enter into contracts with less favorable contract terms, any of which could materially adversely affect our Railcar segment’s business, financial condition and results of operations. Any fluctuations in the price or availability of steel, or any other material or component used in the production of our Railcar segment’s railcars or railcar or industrial components, could materially adversely affect our Railcar segment’s business, financial condition and results of operations. Such price increases could reduce demand for our Railcar segment’s railcars or component products. Deliveries of raw materials and components may also fluctuate depending on various factors including supply and demand for the raw material or component, or governmental regulation relating to the raw material or component, including regulation relating to importation.</w:t>
      </w:r>
    </w:p>
    <w:p>
      <w:pPr>
        <w:spacing w:after="0" w:line="7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supply of components and raw materials our Railcar segment uses in manufacturing railcars, which are often only available from a limited number of suppliers, could cause production delays or reductions in the number of railcars our Railcar segment manufacture, which could materially adversely affect our Railcar segment’s business, financial condition and results of operations.</w:t>
      </w:r>
    </w:p>
    <w:p>
      <w:pPr>
        <w:spacing w:after="0" w:line="67" w:lineRule="exact"/>
        <w:rPr>
          <w:sz w:val="20"/>
          <w:szCs w:val="20"/>
          <w:color w:val="auto"/>
        </w:rPr>
      </w:pPr>
    </w:p>
    <w:p>
      <w:pPr>
        <w:ind w:right="100" w:firstLine="378"/>
        <w:spacing w:after="0" w:line="256" w:lineRule="auto"/>
        <w:rPr>
          <w:sz w:val="20"/>
          <w:szCs w:val="20"/>
          <w:color w:val="auto"/>
        </w:rPr>
      </w:pPr>
      <w:r>
        <w:rPr>
          <w:rFonts w:ascii="Times New Roman" w:cs="Times New Roman" w:eastAsia="Times New Roman" w:hAnsi="Times New Roman"/>
          <w:sz w:val="18"/>
          <w:szCs w:val="18"/>
          <w:color w:val="auto"/>
        </w:rPr>
        <w:t>Our Railcar segment’s railcar manufacturing business depends on the adequate supply of numerous railcar components, such as railcar wheels, axles, brakes, bearings, yokes, sideframes, bolsters and other heavy castings and raw materials, such as steel. Some of these components and raw materials are only available from a limited number of domestic suppliers. Strong demand can cause industry-wide shortages of many critical components and raw materials as reliable suppliers could reach capacity production levels. Supply constraints in our Railcar segment’s industry are exacerbated because, although multiple suppliers may produce certain components, railcar manufacturing regulations and the physical capabilities of manufacturing facilities restrict the types and sizes of components and raw materials that manufacturers may use.</w:t>
      </w:r>
    </w:p>
    <w:p>
      <w:pPr>
        <w:spacing w:after="0" w:line="80"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U.S., Canadian and railroad industry regulatory authorities are currently considering various proposals concerning tank railcar manufacturing standards. Our Railcar segment is unable to predict what regulatory changes may be made in this regard, if any, or the time period during which any such regulatory changes may become effective. However, if new regulations are adopted, they could materially impact the tank railcar manufacturing process industry-wide, which could negatively affect the potential availability of certain critical components and raw materials including, in particular, steel. If our Railcar segment is unable to source critical components and raw materials such as steel in a timely manner and at reasonable cost, it may be unable to manufacture railcars that comply with any new regulations and/or to take advantage of any increase in demand for its products and services as a result of any such new regulations, and our Railcar segment’s business, financial condition and results of operations could be materially adversely affected.</w:t>
      </w:r>
    </w:p>
    <w:p>
      <w:pPr>
        <w:spacing w:after="0" w:line="81"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In addition, our Railcar segment does not carry significant inventories of certain components and procures most of its components on an as needed basis. In the event that our Railcar segment’s suppliers of railcar components and raw materials were to stop or reduce the production of railcar components and raw materials that our Railcar segment uses, or refuses to do business with us for any reason, our Railcar segment’s business would be disrupted. Our Railcar segment’s inability to obtain components and raw materials in required quantities or of acceptable quality could result in significant delays or reductions in railcar shipments and could materially adversely affect our Railcar segment’s business, financial condition and results of operations.</w:t>
      </w:r>
    </w:p>
    <w:p>
      <w:pPr>
        <w:spacing w:after="0" w:line="76" w:lineRule="exact"/>
        <w:rPr>
          <w:sz w:val="20"/>
          <w:szCs w:val="20"/>
          <w:color w:val="auto"/>
        </w:rPr>
      </w:pPr>
    </w:p>
    <w:p>
      <w:pPr>
        <w:ind w:right="180" w:firstLine="378"/>
        <w:spacing w:after="0" w:line="258" w:lineRule="auto"/>
        <w:rPr>
          <w:sz w:val="20"/>
          <w:szCs w:val="20"/>
          <w:color w:val="auto"/>
        </w:rPr>
      </w:pPr>
      <w:r>
        <w:rPr>
          <w:rFonts w:ascii="Times New Roman" w:cs="Times New Roman" w:eastAsia="Times New Roman" w:hAnsi="Times New Roman"/>
          <w:sz w:val="18"/>
          <w:szCs w:val="18"/>
          <w:color w:val="auto"/>
        </w:rPr>
        <w:t>In 2014, our Railcar segment’s top three suppliers accounted for approximately 41% of the total materials that it purchased and our top ten suppliers accounted for approximately 70% of the total materials that it purchased. If any of our Railcar segment’s significant suppliers of railcar components were to shut down operations, our Railcar segment’s business and financial results could be materially adversely affected as it may incur substantial delays and significant expense in finding alternative sources. The quality and reliability of alternative sources may not be the same and these alternative sources may charge significantly higher prices.</w:t>
      </w:r>
    </w:p>
    <w:p>
      <w:pPr>
        <w:spacing w:after="0" w:line="7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Railcar segment may be unable to re-market railcars from expiring leases on favorable terms, which could adversely affect our Railcar segment’s business, financial condition and results of operations.</w:t>
      </w:r>
    </w:p>
    <w:p>
      <w:pPr>
        <w:spacing w:after="0" w:line="51" w:lineRule="exact"/>
        <w:rPr>
          <w:sz w:val="20"/>
          <w:szCs w:val="20"/>
          <w:color w:val="auto"/>
        </w:rPr>
      </w:pPr>
    </w:p>
    <w:p>
      <w:pPr>
        <w:ind w:right="80" w:firstLine="378"/>
        <w:spacing w:after="0" w:line="261" w:lineRule="auto"/>
        <w:rPr>
          <w:sz w:val="20"/>
          <w:szCs w:val="20"/>
          <w:color w:val="auto"/>
        </w:rPr>
      </w:pPr>
      <w:r>
        <w:rPr>
          <w:rFonts w:ascii="Times New Roman" w:cs="Times New Roman" w:eastAsia="Times New Roman" w:hAnsi="Times New Roman"/>
          <w:sz w:val="18"/>
          <w:szCs w:val="18"/>
          <w:color w:val="auto"/>
        </w:rPr>
        <w:t>The failure to enter into commercially favorable railcar leases, re-lease or sell railcars upon lease expiration and successfully manage existing leases could have a material adverse effect on our Railcar segment’s business, financial condition and results of operations. Our Railcar segment’s ability to re-lease or sell leased railcars profitably is dependent upon several factors, including the cost of and demand for leases or ownership of newer or specific use models, and the availability in the market of other used or new railcars.</w:t>
      </w:r>
    </w:p>
    <w:p>
      <w:pPr>
        <w:spacing w:after="0" w:line="72" w:lineRule="exact"/>
        <w:rPr>
          <w:sz w:val="20"/>
          <w:szCs w:val="20"/>
          <w:color w:val="auto"/>
        </w:rPr>
      </w:pPr>
    </w:p>
    <w:p>
      <w:pPr>
        <w:ind w:right="40" w:firstLine="378"/>
        <w:spacing w:after="0" w:line="261" w:lineRule="auto"/>
        <w:rPr>
          <w:sz w:val="20"/>
          <w:szCs w:val="20"/>
          <w:color w:val="auto"/>
        </w:rPr>
      </w:pPr>
      <w:r>
        <w:rPr>
          <w:rFonts w:ascii="Times New Roman" w:cs="Times New Roman" w:eastAsia="Times New Roman" w:hAnsi="Times New Roman"/>
          <w:sz w:val="18"/>
          <w:szCs w:val="18"/>
          <w:color w:val="auto"/>
        </w:rPr>
        <w:t>A downturn in the industries in which our Railcar segment’s lessees operate and decreased demand for railcars could also increase our Railcar segment’s exposure to re-marketing risk because lessees may demand shorter lease terms, requiring it to re-market leased railcars more frequently. Furthermore, the resale market for previously leased railcars has a limited number of potential buyers. Our Railcar segment’s inability to re-lease or sell leased railcars on favorable terms could result in lower lease rates, lower lease utilization percentages and reduced revenues.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229" w:right="239" w:bottom="1440" w:gutter="0" w:footer="0" w:header="0"/>
        </w:sectPr>
      </w:pPr>
    </w:p>
    <w:bookmarkStart w:id="67" w:name="page68"/>
    <w:bookmarkEnd w:id="67"/>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Railcar segment’s investment in its lease fleet may use significant amounts of cash, which may require it to secure additional capital and it may be unable to arrange capital on favorable terms, or at all.</w:t>
      </w:r>
    </w:p>
    <w:p>
      <w:pPr>
        <w:spacing w:after="0" w:line="51"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Our Railcar utilizes existing cash and cash generated through lease fleet financings to manufacture railcars it leases to customers, while cash from lease revenues will be received over the term of the lease or leases relating to those railcars. Depending upon the number of railcars that our Railcar segment leases and the amount of cash used in other operations, its cash balances and its availability under any of its lease fleet financings could be depleted, requiring it to seek additional capital. Our Railcar segment’s inability to secure additional capital, on commercially reasonable terms, or at all, may limit its ability to support operations, maintain or expand our Railcar segment’s existing business, or take advantage of new business opportunities. Our Railcar segment could also experience defaults on leases that could further constrain cash.</w:t>
      </w:r>
    </w:p>
    <w:p>
      <w:pPr>
        <w:spacing w:after="0" w:line="7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Train derailments or other accidents involving our products could subject our Railcar segment to legal claims and/or result in regulatory changes that may adversely impact our Railcar segment’s business, financial condition and results of operations.</w:t>
      </w:r>
    </w:p>
    <w:p>
      <w:pPr>
        <w:spacing w:after="0" w:line="51" w:lineRule="exact"/>
        <w:rPr>
          <w:sz w:val="20"/>
          <w:szCs w:val="20"/>
          <w:color w:val="auto"/>
        </w:rPr>
      </w:pPr>
    </w:p>
    <w:p>
      <w:pPr>
        <w:ind w:right="40" w:firstLine="378"/>
        <w:spacing w:after="0" w:line="255" w:lineRule="auto"/>
        <w:rPr>
          <w:sz w:val="20"/>
          <w:szCs w:val="20"/>
          <w:color w:val="auto"/>
        </w:rPr>
      </w:pPr>
      <w:r>
        <w:rPr>
          <w:rFonts w:ascii="Times New Roman" w:cs="Times New Roman" w:eastAsia="Times New Roman" w:hAnsi="Times New Roman"/>
          <w:sz w:val="18"/>
          <w:szCs w:val="18"/>
          <w:color w:val="auto"/>
        </w:rPr>
        <w:t>Our Railcar segment manufactures railcars for our customers to transport a variety of commodities, including railcars that transport hazardous materials such as crude oil and other petroleum products. Our Railcar segment also manufactures railcar components as well as industrial components for use in several markets, including the trucking, construction, mining and oil and gas exploration markets. Our Railcar segment could be subject to various legal claims, including claims for negligence, personal injury, physical damage and product liability, as well as potential penalties and liability under environmental laws and regulations, in the event of a train derailment or other accident involving our products or services. If our Railcar segment becomes subject to any such claims and are unable successfully to resolve them, our Railcar segment’s business, financial condition and results of operations could be materially adversely affected.</w:t>
      </w:r>
    </w:p>
    <w:p>
      <w:pPr>
        <w:spacing w:after="0" w:line="81" w:lineRule="exact"/>
        <w:rPr>
          <w:sz w:val="20"/>
          <w:szCs w:val="20"/>
          <w:color w:val="auto"/>
        </w:rPr>
      </w:pPr>
    </w:p>
    <w:p>
      <w:pPr>
        <w:ind w:right="20" w:firstLine="378"/>
        <w:spacing w:after="0" w:line="271" w:lineRule="auto"/>
        <w:rPr>
          <w:sz w:val="20"/>
          <w:szCs w:val="20"/>
          <w:color w:val="auto"/>
        </w:rPr>
      </w:pPr>
      <w:r>
        <w:rPr>
          <w:rFonts w:ascii="Times New Roman" w:cs="Times New Roman" w:eastAsia="Times New Roman" w:hAnsi="Times New Roman"/>
          <w:sz w:val="17"/>
          <w:szCs w:val="17"/>
          <w:color w:val="auto"/>
        </w:rPr>
        <w:t>Recent derailments in North America of trains transporting crude oil have caused various U.S and Canadian regulatory agencies, industry organizations, as well as Class I Railroads and community governments, to focus attention on transportation by rail of flammable materials. For example, in April 2014, Transport Canada (TC), a federal department of the Canadian government that regulates rail transportation and safety within Canada, issued a protective order mandating that tank railcars with certain specifications must no longer transport certain designated dangerous goods, including certain flammable liquids, within Canada. In addition, in July 2014, TC proposed regulations that would impose stricter safety standards for certain newly manufactured tank railcars operating in Canada. Similarly, in July 2014, the Pipeline and Hazardous Materials Safety Administration (PHMSA) issued proposed regulations that could affect federal tank railcar design and construction standards for new tank railcars used to transport crude oil and other flammable products. The PHMSA may adopt the proposed regulations or may adopt other proposals based on the comments received on the proposed regulations. In addition, railroads and other organizations may impose requirements for railcars that are more stringent than, or in addition to, any governmental regulations that may be adopted.</w:t>
      </w:r>
    </w:p>
    <w:p>
      <w:pPr>
        <w:spacing w:after="0" w:line="66" w:lineRule="exact"/>
        <w:rPr>
          <w:sz w:val="20"/>
          <w:szCs w:val="20"/>
          <w:color w:val="auto"/>
        </w:rPr>
      </w:pPr>
    </w:p>
    <w:p>
      <w:pPr>
        <w:ind w:right="60" w:firstLine="378"/>
        <w:spacing w:after="0" w:line="252" w:lineRule="auto"/>
        <w:rPr>
          <w:sz w:val="20"/>
          <w:szCs w:val="20"/>
          <w:color w:val="auto"/>
        </w:rPr>
      </w:pPr>
      <w:r>
        <w:rPr>
          <w:rFonts w:ascii="Times New Roman" w:cs="Times New Roman" w:eastAsia="Times New Roman" w:hAnsi="Times New Roman"/>
          <w:sz w:val="18"/>
          <w:szCs w:val="18"/>
          <w:color w:val="auto"/>
        </w:rPr>
        <w:t>Our Railcar segment is unable to predict what regulatory or other changes may be made in light of these or other proposals, if any, or the time period during which any such regulatory or other changes may become effective. Final regulatory changes have been delayed and may continue to be delayed. As a result, certain customers may be holding out on placing further inquiries for tank railcars for crude and ethanol service until such regulations are finalized. Any final requirements may or may not materially impact the rail industry as a whole; railroad operations; older and newer railcars that meet or exceed currently mandated standards; future railcar specifications; and the capability of the North American railcar manufacturing, repair and maintenance infrastructure to implement mandated retrofit configurations or new construction. Further, the potential impact on the railcars and components our Railcar segment manufactures, as well as railcars that it leases, is not known at this time. As a result of such proposed regulations, certain of our Railcar segment’s railcars could be deemed unfit for further commercial use (which would diminish or eliminate future revenue generated from leased railcars) and/or require retrofits or modifications. The costs associated with any required retrofits or modifications could be substantial. While certain regulatory changes could result in increased demand for refurbishment and/or new railcar manufacturing activity, if our Railcar segment is unable to adapt our business to changing regulations or railroad standards, and/or take advantage of any increase in demand for our Railcar segment’s products and services, our business, financial condition and results of operations could be materially adversely affected. Our Railcar segment cannot assure that costs incurred to comply with any new standards and regulations, including any emerging from PHMSA's or TC's rulemaking processes will not be material to its business, financial condition or results of operations.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could increase our costs and weaken our Railcar segment’s financial condition.</w:t>
      </w:r>
    </w:p>
    <w:p>
      <w:pPr>
        <w:spacing w:after="0" w:line="121"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Our Railcar segment is currently, and may from time to time be, involved in various claims or legal proceedings arising out of its operations. In particular, railcars it manufactures and leases will be utilized in a variety of manners, which may include carrying hazardous, flammable, and/or corrosive materials. Such railcars, as well as our Railcar segment’s railcar and industrial components, will, therefore, be subject to risks of breakdowns, malfunctions, casualty and other negative events and it is possible that claims for personal injury, loss of life, property damage, business losses and other liability arising out of these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225" w:right="239" w:bottom="1440" w:gutter="0" w:footer="0" w:header="0"/>
        </w:sectPr>
      </w:pPr>
    </w:p>
    <w:bookmarkStart w:id="68" w:name="page69"/>
    <w:bookmarkEnd w:id="68"/>
    <w:p>
      <w:pPr>
        <w:ind w:right="180"/>
        <w:spacing w:after="0" w:line="254" w:lineRule="auto"/>
        <w:rPr>
          <w:sz w:val="20"/>
          <w:szCs w:val="20"/>
          <w:color w:val="auto"/>
        </w:rPr>
      </w:pPr>
      <w:r>
        <w:rPr>
          <w:rFonts w:ascii="Times New Roman" w:cs="Times New Roman" w:eastAsia="Times New Roman" w:hAnsi="Times New Roman"/>
          <w:sz w:val="18"/>
          <w:szCs w:val="18"/>
          <w:color w:val="auto"/>
        </w:rPr>
        <w:t>or other types of incidents will be made against our Railcar segment. Additionally, in the normal course of business from time to time our Railcar segment enters into contracts with third parties that may lead to contractual disputes. Adverse outcomes in some or all of these matters could result in judgments against our Railcar segment for significant monetary damages that could increase our costs and weaken its financial condition. Our Railcar segment seeks contractual recourse and indemnification in the ordinary course of business, maintains reserves for reasonably estimable liabilities, and purchases liability insurance at coverage levels based upon commercial norms in our Railcar segment’s industries in an effort to mitigate our liability exposures. Nevertheless, our Railcar segment’s reserves may be inadequate to cover the uninsured portion of claims or judgments. Any such claims or judgments could materially adversely affect our Railcar segment’s business, financial condition and results of operations. The nature of our Railcar segment’s businesses and assets expose it to the potential for claims and litigation related to personal injury, property damage, environmental claims, regulatory claims, contractual disputes and various other matters.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Railcar segment’s railcar leasing business is dependent, in part, on its lessees performing their obligations.</w:t>
      </w:r>
    </w:p>
    <w:p>
      <w:pPr>
        <w:spacing w:after="0" w:line="121" w:lineRule="exact"/>
        <w:rPr>
          <w:sz w:val="20"/>
          <w:szCs w:val="20"/>
          <w:color w:val="auto"/>
        </w:rPr>
      </w:pPr>
    </w:p>
    <w:p>
      <w:pPr>
        <w:ind w:right="40" w:firstLine="378"/>
        <w:spacing w:after="0" w:line="258" w:lineRule="auto"/>
        <w:rPr>
          <w:sz w:val="20"/>
          <w:szCs w:val="20"/>
          <w:color w:val="auto"/>
        </w:rPr>
      </w:pPr>
      <w:r>
        <w:rPr>
          <w:rFonts w:ascii="Times New Roman" w:cs="Times New Roman" w:eastAsia="Times New Roman" w:hAnsi="Times New Roman"/>
          <w:sz w:val="18"/>
          <w:szCs w:val="18"/>
          <w:color w:val="auto"/>
        </w:rPr>
        <w:t>The ability of each lessee to perform its obligations under a lease will depend primarily on such lessee's financial condition. The financial condition of a lessee may be affected by various factors beyond our control, including competition, operating costs, general economic conditions and environmental and other governmental regulation of or affecting the lessee's industry. High default rates on leases could increase the portion of railcars that may need to be remarketed after repossession from defaulting lessees. There can be no assurance that the historical default experience with respect to our lease fleet will continue in the future.</w:t>
      </w:r>
    </w:p>
    <w:p>
      <w:pPr>
        <w:spacing w:after="0" w:line="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Railcar segment’s failure to comply with laws and regulations imposed by federal, state, local and foreign agencies could materially adversely affect our Railcar segment’s business, financial condition, results of operations and ability to access capital.</w:t>
      </w:r>
    </w:p>
    <w:p>
      <w:pPr>
        <w:spacing w:after="0" w:line="51" w:lineRule="exact"/>
        <w:rPr>
          <w:sz w:val="20"/>
          <w:szCs w:val="20"/>
          <w:color w:val="auto"/>
        </w:rPr>
      </w:pPr>
    </w:p>
    <w:p>
      <w:pPr>
        <w:ind w:right="100" w:firstLine="378"/>
        <w:spacing w:after="0" w:line="255" w:lineRule="auto"/>
        <w:rPr>
          <w:sz w:val="20"/>
          <w:szCs w:val="20"/>
          <w:color w:val="auto"/>
        </w:rPr>
      </w:pPr>
      <w:r>
        <w:rPr>
          <w:rFonts w:ascii="Times New Roman" w:cs="Times New Roman" w:eastAsia="Times New Roman" w:hAnsi="Times New Roman"/>
          <w:sz w:val="18"/>
          <w:szCs w:val="18"/>
          <w:color w:val="auto"/>
        </w:rPr>
        <w:t>The industries in which our Railcar segment operates are subject to extensive regulation by governmental, regulatory and industry authorities and by federal, state, local and foreign agencies. The risks of substantial costs and liabilities related to compliance with these laws and regulations are an inherent part of our Railcar segment’s business. Despite our Railcar segment’s intention to comply with these laws and regulations, our Railcar segment cannot guarantee that it will be able to do so at all times and compliance may prove to be more costly and limiting than it currently anticipates and could increase in future years. These laws and regulations are complex, change frequently and may become more stringent over time, which could impact our Railcar segment’s business, financial condition, results of operations and ability to access capital. If our Railcar segment fails to comply with the requirements and regulations of these agencies that impact our Railcar segment’s manufacturing, other processes and reporting requirements, it may face sanctions and penalties that could materially adversely affect our Railcar segment’s business, financial condition, results of operations and ability to access capital.</w:t>
      </w:r>
    </w:p>
    <w:p>
      <w:pPr>
        <w:spacing w:after="0" w:line="7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Uncertainty surrounding acceptance of our Railcar segment’s new product offerings by our customers, and costs associated with those new offerings, could materially adversely affect our Railcar segment’s business.</w:t>
      </w:r>
    </w:p>
    <w:p>
      <w:pPr>
        <w:spacing w:after="0" w:line="51"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Our Railcar segment’s strategy depends in part on its continued development and sale of new products, particularly new railcar designs, in order to expand or maintain its market share in our Railcar segment’s current and new markets. Any new or modified product design that our Railcar segment develops may not gain widespread acceptance in the marketplace and any such product may not be able to compete successfully with existing or new product designs that may be introduced by our Railcar segment’s competitors. Furthermore, our Railcar segment may experience significant initial costs of production of new products, particularly railcar products, related to training, labor and operating inefficiencies. To the extent that the total costs of production significantly exceed our Railcar segment’s anticipated costs of production, it may incur losses on the sale of any new products.</w:t>
      </w:r>
    </w:p>
    <w:p>
      <w:pPr>
        <w:spacing w:after="0" w:line="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Equipment failures, delays in deliveries or extensive damage to our Railcar segment’s facilities, particularly our Railcar segment’s railcar manufacturing plants in Paragould or Marmaduke, Arkansas, could lead to production or service curtailments or shutdowns.</w:t>
      </w:r>
    </w:p>
    <w:p>
      <w:pPr>
        <w:spacing w:after="0" w:line="51"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An interruption in manufacturing capabilities at our Railcar segment’s railcar plants in Paragould or Marmaduke or at any of its manufacturing facilities, whether as a result of equipment failure or any other reason, could reduce, prevent or delay production of our Railcar segment’s railcars or railcar and industrial components, which could alter the scheduled delivery dates to customers and affect our Railcar segment’s production schedule. This could result in the termination of orders, the loss of future sales and a negative impact to our Railcar segment’s reputation with our Railcar segment’s customers and in the railcar industry, all of which could materially adversely affect our Railcar segment’s business, financial condition and results of operations.</w:t>
      </w:r>
    </w:p>
    <w:p>
      <w:pPr>
        <w:spacing w:after="0" w:line="76" w:lineRule="exact"/>
        <w:rPr>
          <w:sz w:val="20"/>
          <w:szCs w:val="20"/>
          <w:color w:val="auto"/>
        </w:rPr>
      </w:pPr>
    </w:p>
    <w:p>
      <w:pPr>
        <w:ind w:right="180" w:firstLine="378"/>
        <w:spacing w:after="0" w:line="282" w:lineRule="auto"/>
        <w:rPr>
          <w:sz w:val="20"/>
          <w:szCs w:val="20"/>
          <w:color w:val="auto"/>
        </w:rPr>
      </w:pPr>
      <w:r>
        <w:rPr>
          <w:rFonts w:ascii="Times New Roman" w:cs="Times New Roman" w:eastAsia="Times New Roman" w:hAnsi="Times New Roman"/>
          <w:sz w:val="18"/>
          <w:szCs w:val="18"/>
          <w:color w:val="auto"/>
        </w:rPr>
        <w:t>All of our Railcar segment’s facilities and equipment are subject to the risk of catastrophic loss due to unanticipated events, such as fires, earthquakes, explosions, floods, tornados or weather conditions. If there is a natural disaster or other</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80"/>
          </w:cols>
          <w:pgMar w:left="240" w:top="229" w:right="279" w:bottom="1440" w:gutter="0" w:footer="0" w:header="0"/>
        </w:sectPr>
      </w:pPr>
    </w:p>
    <w:bookmarkStart w:id="69" w:name="page70"/>
    <w:bookmarkEnd w:id="69"/>
    <w:p>
      <w:pPr>
        <w:ind w:right="40"/>
        <w:spacing w:after="0" w:line="266" w:lineRule="auto"/>
        <w:rPr>
          <w:sz w:val="20"/>
          <w:szCs w:val="20"/>
          <w:color w:val="auto"/>
        </w:rPr>
      </w:pPr>
      <w:r>
        <w:rPr>
          <w:rFonts w:ascii="Times New Roman" w:cs="Times New Roman" w:eastAsia="Times New Roman" w:hAnsi="Times New Roman"/>
          <w:sz w:val="18"/>
          <w:szCs w:val="18"/>
          <w:color w:val="auto"/>
        </w:rPr>
        <w:t>serious disruption at any of our Railcar segment’s facilities, it may experience plant shutdowns or periods of reduced production as a result of equipment failures, loss of power, delays in equipment deliveries, or extensive damage to any of our Railcar segment’s facilities, which could materially adversely affect our Railcar segment’s business, financial condition or results of operations.</w:t>
      </w:r>
    </w:p>
    <w:p>
      <w:pPr>
        <w:spacing w:after="0" w:line="6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complete capital expenditure projects on time and within budget, or the failure of these projects, once constructed, to operate as anticipated could materially adversely affect our Railcar segment’s business, financial condition and results of operations.</w:t>
      </w:r>
    </w:p>
    <w:p>
      <w:pPr>
        <w:spacing w:after="0" w:line="51"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Construction plans our Railcar segment may have from time to time are subject to a number of risks and contingencies over which it may have little control and that may adversely affect the cost and timing of the completion of those projects, or the capacity or efficiencies of those projects once constructed. If these capital expenditure projects do not achieve the results anticipated, our Railcar segment may not be able to satisfy our Railcar segment’s operational goals on a timely basis, if at all. If our Railcar segment is unable to complete the construction of any of such capital expenditure projects on time or within budget, or if those projects do not achieve the capacity or efficiencies anticipated, our Railcar segment’s business, financial condition and results of operations could be materially adversely affected.</w:t>
      </w:r>
    </w:p>
    <w:p>
      <w:pPr>
        <w:spacing w:after="0" w:line="76"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Some of our Railcar segment’s railcar services and component manufacturing employees belong to labor unions and strikes or work stoppages by them or unions formed by some or all of our Railcar segment’s other employees in the future could materially adversely affect our Railcar segment’s operations.</w:t>
      </w:r>
    </w:p>
    <w:p>
      <w:pPr>
        <w:spacing w:after="0" w:line="28" w:lineRule="exact"/>
        <w:rPr>
          <w:sz w:val="20"/>
          <w:szCs w:val="20"/>
          <w:color w:val="auto"/>
        </w:rPr>
      </w:pPr>
    </w:p>
    <w:p>
      <w:pPr>
        <w:ind w:right="20" w:firstLine="378"/>
        <w:spacing w:after="0" w:line="254" w:lineRule="auto"/>
        <w:rPr>
          <w:sz w:val="20"/>
          <w:szCs w:val="20"/>
          <w:color w:val="auto"/>
        </w:rPr>
      </w:pPr>
      <w:r>
        <w:rPr>
          <w:rFonts w:ascii="Times New Roman" w:cs="Times New Roman" w:eastAsia="Times New Roman" w:hAnsi="Times New Roman"/>
          <w:sz w:val="18"/>
          <w:szCs w:val="18"/>
          <w:color w:val="auto"/>
        </w:rPr>
        <w:t>As of December 31, 2014, the employees at our Railcar segment’s sites covered by collective bargaining agreements represent, in the aggregate, approximately 14% of our Railcar segment’s total workforce. Disputes with regard to the terms of these agreements or our Railcar segment’s potential inability to negotiate acceptable contracts with these unions in the future could result in, among other things, strikes, work stoppages or other slowdowns by the affected workers. Our Railcar segment cannot guarantee that its relations with its union workforce will remain positive nor can our Railcar segment guarantee that union organizers will not be successful in future attempts to organize our Railcar segment’s railcar manufacturing employees or employees at our Railcar segment’s other facilities. If our Railcar segment’s workers were to engage in a strike, work stoppage or other slowdown, other employees were to become unionized or the terms and conditions in future labor agreements were renegotiated, our Railcar segment could experience a significant disruption of our Railcar segment’s operations and higher ongoing labor costs. In addition, our Railcar segment could face higher labor costs in the future as a result of severance or other charges associated with layoffs, shutdowns or reductions in the size and scope of our Railcar segment’s operations.</w:t>
      </w:r>
    </w:p>
    <w:p>
      <w:pPr>
        <w:spacing w:after="0" w:line="7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Railcar segment’s manufacturer's warranties expose it to potentially significant claims and Railcar segment’s business could be harmed if its products contain undetected defects or do not meet applicable specifications.</w:t>
      </w:r>
    </w:p>
    <w:p>
      <w:pPr>
        <w:spacing w:after="0" w:line="51" w:lineRule="exact"/>
        <w:rPr>
          <w:sz w:val="20"/>
          <w:szCs w:val="20"/>
          <w:color w:val="auto"/>
        </w:rPr>
      </w:pPr>
    </w:p>
    <w:p>
      <w:pPr>
        <w:ind w:right="40" w:firstLine="378"/>
        <w:spacing w:after="0" w:line="256" w:lineRule="auto"/>
        <w:rPr>
          <w:sz w:val="20"/>
          <w:szCs w:val="20"/>
          <w:color w:val="auto"/>
        </w:rPr>
      </w:pPr>
      <w:r>
        <w:rPr>
          <w:rFonts w:ascii="Times New Roman" w:cs="Times New Roman" w:eastAsia="Times New Roman" w:hAnsi="Times New Roman"/>
          <w:sz w:val="18"/>
          <w:szCs w:val="18"/>
          <w:color w:val="auto"/>
        </w:rPr>
        <w:t>Our Railcar segment may be subject to significant warranty claims in the future relating to workmanship and materials involving its current or future railcar or component product designs. Such claims may include multiple claims based on one defect repeated throughout our Railcar segment’s mass production process or claims for which the cost of repairing the defective component is highly disproportionate to the original cost of the part. These types of warranty claims could result in costly product recalls, significant repair costs and damage to our Railcar segment’s reputation, which could materially adversely affect its business, financial condition and results of operations. Unresolved warranty claims could result in users of our Railcar segment’s products bringing legal actions against us.</w:t>
      </w:r>
    </w:p>
    <w:p>
      <w:pPr>
        <w:spacing w:after="0" w:line="80" w:lineRule="exact"/>
        <w:rPr>
          <w:sz w:val="20"/>
          <w:szCs w:val="20"/>
          <w:color w:val="auto"/>
        </w:rPr>
      </w:pPr>
    </w:p>
    <w:p>
      <w:pPr>
        <w:ind w:right="60" w:firstLine="378"/>
        <w:spacing w:after="0" w:line="261" w:lineRule="auto"/>
        <w:rPr>
          <w:sz w:val="20"/>
          <w:szCs w:val="20"/>
          <w:color w:val="auto"/>
        </w:rPr>
      </w:pPr>
      <w:r>
        <w:rPr>
          <w:rFonts w:ascii="Times New Roman" w:cs="Times New Roman" w:eastAsia="Times New Roman" w:hAnsi="Times New Roman"/>
          <w:sz w:val="18"/>
          <w:szCs w:val="18"/>
          <w:color w:val="auto"/>
        </w:rPr>
        <w:t>Further, if our Railcar segment’s railcars or component products are defectively designed or manufactured, are subject to recall for performance or safety-related issues, contain defective components or are misused, it may become subject to costly litigation by its customers or others who may claim to be harmed by our Railcar segment’s products. Product liability claims could divert management's attention from our Railcar segment’s business, be expensive to defend and/or settle and result in sizable damage awards against our Railcar segment.</w:t>
      </w:r>
    </w:p>
    <w:p>
      <w:pPr>
        <w:spacing w:after="0" w:line="6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Railcar segment has significant amount of indebtedness, which could adversely affect its business, financial condition and results of operations and prevent it from fulfilling its indebtedness obligations.</w:t>
      </w:r>
    </w:p>
    <w:p>
      <w:pPr>
        <w:spacing w:after="0" w:line="51" w:lineRule="exact"/>
        <w:rPr>
          <w:sz w:val="20"/>
          <w:szCs w:val="20"/>
          <w:color w:val="auto"/>
        </w:rPr>
      </w:pPr>
    </w:p>
    <w:p>
      <w:pPr>
        <w:ind w:right="100" w:firstLine="378"/>
        <w:spacing w:after="0" w:line="254" w:lineRule="auto"/>
        <w:rPr>
          <w:sz w:val="20"/>
          <w:szCs w:val="20"/>
          <w:color w:val="auto"/>
        </w:rPr>
      </w:pPr>
      <w:r>
        <w:rPr>
          <w:rFonts w:ascii="Times New Roman" w:cs="Times New Roman" w:eastAsia="Times New Roman" w:hAnsi="Times New Roman"/>
          <w:sz w:val="18"/>
          <w:szCs w:val="18"/>
          <w:color w:val="auto"/>
        </w:rPr>
        <w:t>Our Railcar segment is significantly leveraged. As of December 31, 2014, our Railcar segment had approximately $2.1 billion in indebtedness, consisting of borrowings under certain credit facilities, term loans and bond securitizations. Our Railcar segment’s significant indebtedness could materially impact its operations, and could place us at a competitive disadvantage compared to our less leveraged competitors. It may be difficult for our Railcar operations to satisfy its repayment and other obligations with respect to such indebtedness, and it may not be able to refinance its existing indebtedness as it matures. Significant indebtedness may also increase our Railcar segment’s vulnerability to adverse general economic, industry or competitive developments or conditions and limit its flexibility in planning for, or reacting to, changes in its business and the industry in which it operates. Our Railcar segment may be limited in its ability to raise additional capital or obtain additional financing to fund its operations, capital expenditures or other growth initiatives, and other general corporate requirements and may be required to dedicate a significant portion of our cash flow from operations to interest and principal payments on its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229" w:right="259" w:bottom="1440" w:gutter="0" w:footer="0" w:header="0"/>
        </w:sectPr>
      </w:pPr>
    </w:p>
    <w:bookmarkStart w:id="70" w:name="page71"/>
    <w:bookmarkEnd w:id="70"/>
    <w:p>
      <w:pPr>
        <w:ind w:right="20"/>
        <w:spacing w:after="0" w:line="258" w:lineRule="auto"/>
        <w:rPr>
          <w:sz w:val="20"/>
          <w:szCs w:val="20"/>
          <w:color w:val="auto"/>
        </w:rPr>
      </w:pPr>
      <w:r>
        <w:rPr>
          <w:rFonts w:ascii="Times New Roman" w:cs="Times New Roman" w:eastAsia="Times New Roman" w:hAnsi="Times New Roman"/>
          <w:sz w:val="18"/>
          <w:szCs w:val="18"/>
          <w:color w:val="auto"/>
        </w:rPr>
        <w:t>indebtedness. Our Railcar segment is also exposed to the risk of increased interest rates as certain of its borrowings are subject to variable rates of interest. As a consequence of our Railcar segment’s level of indebtedness, a significant portion of its cash flow from operations may be dedicated to debt service requirements. In addition, the terms of our Railcar segment’s various credit agreements may contain certain covenants, which if it fails to comply, may trigger an event of default, whereby the lender could accelerate the repayment of such debt. Our Railcar segment cannot assure you that our Railcar segment would be able to renegotiate, refinance, restructure or otherwise obtain the necessary funds to satisfy its indebtedness.</w:t>
      </w:r>
    </w:p>
    <w:p>
      <w:pPr>
        <w:spacing w:after="0" w:line="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credit markets and the financial services industry could adversely affect our Railcar segment’s business, financial condition and results of operations.</w:t>
      </w:r>
    </w:p>
    <w:p>
      <w:pPr>
        <w:spacing w:after="0" w:line="51" w:lineRule="exact"/>
        <w:rPr>
          <w:sz w:val="20"/>
          <w:szCs w:val="20"/>
          <w:color w:val="auto"/>
        </w:rPr>
      </w:pPr>
    </w:p>
    <w:p>
      <w:pPr>
        <w:ind w:right="240" w:firstLine="378"/>
        <w:spacing w:after="0" w:line="258" w:lineRule="auto"/>
        <w:rPr>
          <w:sz w:val="20"/>
          <w:szCs w:val="20"/>
          <w:color w:val="auto"/>
        </w:rPr>
      </w:pPr>
      <w:r>
        <w:rPr>
          <w:rFonts w:ascii="Times New Roman" w:cs="Times New Roman" w:eastAsia="Times New Roman" w:hAnsi="Times New Roman"/>
          <w:sz w:val="18"/>
          <w:szCs w:val="18"/>
          <w:color w:val="auto"/>
        </w:rPr>
        <w:t>The credit markets and the financial services industry continue to experience volatility which may result in tighter availability of credit on more restrictive terms. This could adversely affect our Railcar segment’s liquidity and financial condition if its ability to borrow money to finance operations, obtain credit from trade creditors, offer leasing products to its customers or sell railcar assets to other lessors were to be impaired. In addition, our Railcar segment could also be adversely affected by its customers’ ability to purchase or pay for products from it or its suppliers’ ability to provide it with product, either of which could negatively affect our Railcar segment’s operations.</w:t>
      </w:r>
    </w:p>
    <w:p>
      <w:pPr>
        <w:spacing w:after="0" w:line="7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Railcar segment may not be able to generate sufficient cash flow to service its obligations and it may not be able to refinance our indebtedness on commercially reasonable terms.</w:t>
      </w:r>
    </w:p>
    <w:p>
      <w:pPr>
        <w:spacing w:after="0" w:line="51" w:lineRule="exact"/>
        <w:rPr>
          <w:sz w:val="20"/>
          <w:szCs w:val="20"/>
          <w:color w:val="auto"/>
        </w:rPr>
      </w:pPr>
    </w:p>
    <w:p>
      <w:pPr>
        <w:ind w:firstLine="378"/>
        <w:spacing w:after="0" w:line="266" w:lineRule="auto"/>
        <w:rPr>
          <w:sz w:val="20"/>
          <w:szCs w:val="20"/>
          <w:color w:val="auto"/>
        </w:rPr>
      </w:pPr>
      <w:r>
        <w:rPr>
          <w:rFonts w:ascii="Times New Roman" w:cs="Times New Roman" w:eastAsia="Times New Roman" w:hAnsi="Times New Roman"/>
          <w:sz w:val="18"/>
          <w:szCs w:val="18"/>
          <w:color w:val="auto"/>
        </w:rPr>
        <w:t>Our Railcar segment’s ability to make payments on and to refinance its indebtedness and to fund planned capital expenditures, strategic transactions, joint venture capital requirements or expansion efforts will depend on its ability to generate cash in the future. This, to a certain extent, is subject to economic, financial, competitive, legislative, regulatory and other factors that are beyond our Railcar segment’s control.</w:t>
      </w:r>
    </w:p>
    <w:p>
      <w:pPr>
        <w:spacing w:after="0" w:line="68" w:lineRule="exact"/>
        <w:rPr>
          <w:sz w:val="20"/>
          <w:szCs w:val="20"/>
          <w:color w:val="auto"/>
        </w:rPr>
      </w:pPr>
    </w:p>
    <w:p>
      <w:pPr>
        <w:ind w:right="80" w:firstLine="378"/>
        <w:spacing w:after="0" w:line="255" w:lineRule="auto"/>
        <w:rPr>
          <w:sz w:val="20"/>
          <w:szCs w:val="20"/>
          <w:color w:val="auto"/>
        </w:rPr>
      </w:pPr>
      <w:r>
        <w:rPr>
          <w:rFonts w:ascii="Times New Roman" w:cs="Times New Roman" w:eastAsia="Times New Roman" w:hAnsi="Times New Roman"/>
          <w:sz w:val="18"/>
          <w:szCs w:val="18"/>
          <w:color w:val="auto"/>
        </w:rPr>
        <w:t>Our Railcar segment’s business may not be able to generate sufficient cash flow from operations and there can be no assurance that future borrowings will be available to it in amounts sufficient to enable it to pay its indebtedness as such indebtedness matures and to fund its other liquidity needs. If this is the case, our Railcar segment will need to refinance all or a portion of our indebtedness on or before maturity, and it cannot be certain that it will be able to refinance any of our Railcar segment’s indebtedness on commercially reasonable terms, or at all. Our Railcar segment might have to adopt one or more alternatives, such as reducing or delaying planned expenses and capital expenditures, selling assets, restructuring debt, or obtaining additional equity or debt financing. These financing strategies may not be implemented on satisfactory terms, if at all. Our Railcar segment’s ability to refinance its indebtedness or obtain additional financing and to do so on commercially reasonable terms will depend on its financial condition at the time, restrictions in any agreements governing our indebtedness and other factors, including the condition of the financial markets and the railcar industry.</w:t>
      </w:r>
    </w:p>
    <w:p>
      <w:pPr>
        <w:spacing w:after="0" w:line="77" w:lineRule="exact"/>
        <w:rPr>
          <w:sz w:val="20"/>
          <w:szCs w:val="20"/>
          <w:color w:val="auto"/>
        </w:rPr>
      </w:pPr>
    </w:p>
    <w:p>
      <w:pPr>
        <w:ind w:right="200" w:firstLine="378"/>
        <w:spacing w:after="0" w:line="282" w:lineRule="auto"/>
        <w:rPr>
          <w:sz w:val="20"/>
          <w:szCs w:val="20"/>
          <w:color w:val="auto"/>
        </w:rPr>
      </w:pPr>
      <w:r>
        <w:rPr>
          <w:rFonts w:ascii="Times New Roman" w:cs="Times New Roman" w:eastAsia="Times New Roman" w:hAnsi="Times New Roman"/>
          <w:sz w:val="18"/>
          <w:szCs w:val="18"/>
          <w:color w:val="auto"/>
        </w:rPr>
        <w:t>If our Railcar segment does not generate sufficient cash flow from operations and additional borrowings, refinancing or proceeds of asset sales are not available to it, it may not have sufficient cash to enable us to meet all of its obligations.</w:t>
      </w:r>
    </w:p>
    <w:p>
      <w:pPr>
        <w:spacing w:after="0" w:line="5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Railcar segment is unable to protect its intellectual property and prevent its improper use by third parties, its ability to compete in the market may be harmed.</w:t>
      </w:r>
    </w:p>
    <w:p>
      <w:pPr>
        <w:spacing w:after="0" w:line="51" w:lineRule="exact"/>
        <w:rPr>
          <w:sz w:val="20"/>
          <w:szCs w:val="20"/>
          <w:color w:val="auto"/>
        </w:rPr>
      </w:pPr>
    </w:p>
    <w:p>
      <w:pPr>
        <w:ind w:right="160" w:firstLine="378"/>
        <w:spacing w:after="0" w:line="261" w:lineRule="auto"/>
        <w:rPr>
          <w:sz w:val="20"/>
          <w:szCs w:val="20"/>
          <w:color w:val="auto"/>
        </w:rPr>
      </w:pPr>
      <w:r>
        <w:rPr>
          <w:rFonts w:ascii="Times New Roman" w:cs="Times New Roman" w:eastAsia="Times New Roman" w:hAnsi="Times New Roman"/>
          <w:sz w:val="18"/>
          <w:szCs w:val="18"/>
          <w:color w:val="auto"/>
        </w:rPr>
        <w:t>Various patent, copyright, trade secret and trademark laws afford only limited protection and may not prevent our Railcar segment’s competitors from duplicating its products or gaining access to its proprietary information and technology. These means also may not permit our Railcar segment to gain or maintain a competitive advantage. To the extent our Railcar segment expands internationally, it becomes subject to the risk that foreign intellectual property laws will not protect our Railcar segment’s intellectual property rights to the same extent as intellectual property laws in the U.S.</w:t>
      </w:r>
    </w:p>
    <w:p>
      <w:pPr>
        <w:spacing w:after="0" w:line="72" w:lineRule="exact"/>
        <w:rPr>
          <w:sz w:val="20"/>
          <w:szCs w:val="20"/>
          <w:color w:val="auto"/>
        </w:rPr>
      </w:pPr>
    </w:p>
    <w:p>
      <w:pPr>
        <w:ind w:right="200" w:firstLine="378"/>
        <w:spacing w:after="0" w:line="258" w:lineRule="auto"/>
        <w:rPr>
          <w:sz w:val="20"/>
          <w:szCs w:val="20"/>
          <w:color w:val="auto"/>
        </w:rPr>
      </w:pPr>
      <w:r>
        <w:rPr>
          <w:rFonts w:ascii="Times New Roman" w:cs="Times New Roman" w:eastAsia="Times New Roman" w:hAnsi="Times New Roman"/>
          <w:sz w:val="18"/>
          <w:szCs w:val="18"/>
          <w:color w:val="auto"/>
        </w:rPr>
        <w:t>Any of our Railcar segment’s patents may be challenged, invalidated, circumvented or rendered unenforceable. Our Railcar segment cannot guarantee that it will be successful should one or more of our patents be challenged for any reason. If our Railcar segment’s patent claims are rendered invalid or unenforceable, or narrowed in scope, the patent coverage afforded its products could be impaired, which could significantly impede its ability to market its products, negatively affect its competitive position and could materially adversely affect our Railcar segment’s business, financial condition and results of operations.</w:t>
      </w:r>
    </w:p>
    <w:p>
      <w:pPr>
        <w:spacing w:after="0" w:line="76"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Our Railcar segment’s pending or future patent applications may not result in an issued patent and, if patents are issued to it, such patents may not provide meaningful protection against competitors or against competitive technologies. The United States federal courts may invalidate our Railcar segment’s patents or find them unenforceable. Competitors may also be able to design around our Railcar segment’s patents. Other parties may develop and obtain patent protection for more effective technologies, designs or methods. If these developments were to occur, it could have an adverse effect on our Railcar segment’s sales. If our Railcar segment’s intellectual property rights are not adequately protected our Railcar segment may not be able to commercialize its technologies, products or services and its competitors could commercialize its technologies, which could result in a decrease in its sales and market share and could materially adversely affect our Railcar segment’s business, financial condition and results of operations.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00"/>
          </w:cols>
          <w:pgMar w:left="240" w:top="229" w:right="259" w:bottom="1440" w:gutter="0" w:footer="0" w:header="0"/>
        </w:sectPr>
      </w:pPr>
    </w:p>
    <w:bookmarkStart w:id="71" w:name="page72"/>
    <w:bookmarkEnd w:id="71"/>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Railcar segment’s products could infringe the intellectual property rights of others, which may lead to litigation that could itself be costly, result in the payment of substantial damages or royalties, and prevent it from using technology that is essential to its products.</w:t>
      </w:r>
    </w:p>
    <w:p>
      <w:pPr>
        <w:spacing w:after="0" w:line="51" w:lineRule="exact"/>
        <w:rPr>
          <w:sz w:val="20"/>
          <w:szCs w:val="20"/>
          <w:color w:val="auto"/>
        </w:rPr>
      </w:pPr>
    </w:p>
    <w:p>
      <w:pPr>
        <w:ind w:right="160" w:firstLine="378"/>
        <w:spacing w:after="0" w:line="261" w:lineRule="auto"/>
        <w:rPr>
          <w:sz w:val="20"/>
          <w:szCs w:val="20"/>
          <w:color w:val="auto"/>
        </w:rPr>
      </w:pPr>
      <w:r>
        <w:rPr>
          <w:rFonts w:ascii="Times New Roman" w:cs="Times New Roman" w:eastAsia="Times New Roman" w:hAnsi="Times New Roman"/>
          <w:sz w:val="18"/>
          <w:szCs w:val="18"/>
          <w:color w:val="auto"/>
        </w:rPr>
        <w:t>Our Railcar segment cannot guarantee that its products, manufacturing processes or other methods do not infringe the patents or other intellectual property rights of third parties. Infringement and other intellectual property claims and proceedings brought against our Railcar segment, whether successful or not, could result in substantial costs and harm its reputation. Such claims and proceedings can also distract and divert our Railcar segment’s management and key personnel from other tasks important to the success of its business.</w:t>
      </w:r>
    </w:p>
    <w:p>
      <w:pPr>
        <w:spacing w:after="0" w:line="72" w:lineRule="exact"/>
        <w:rPr>
          <w:sz w:val="20"/>
          <w:szCs w:val="20"/>
          <w:color w:val="auto"/>
        </w:rPr>
      </w:pPr>
    </w:p>
    <w:p>
      <w:pPr>
        <w:ind w:right="40" w:firstLine="378"/>
        <w:spacing w:after="0" w:line="266" w:lineRule="auto"/>
        <w:rPr>
          <w:sz w:val="20"/>
          <w:szCs w:val="20"/>
          <w:color w:val="auto"/>
        </w:rPr>
      </w:pPr>
      <w:r>
        <w:rPr>
          <w:rFonts w:ascii="Times New Roman" w:cs="Times New Roman" w:eastAsia="Times New Roman" w:hAnsi="Times New Roman"/>
          <w:sz w:val="18"/>
          <w:szCs w:val="18"/>
          <w:color w:val="auto"/>
        </w:rPr>
        <w:t>In the event of an adverse determination in an intellectual property suit or proceeding, or our Railcar segment’s failure to license essential technology, its sales could be harmed and its costs could increase, which could materially adversely affect our Railcar segment’s business,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Railcar segment may incur future asset impairment charges.</w:t>
      </w:r>
    </w:p>
    <w:p>
      <w:pPr>
        <w:spacing w:after="0" w:line="121" w:lineRule="exact"/>
        <w:rPr>
          <w:sz w:val="20"/>
          <w:szCs w:val="20"/>
          <w:color w:val="auto"/>
        </w:rPr>
      </w:pPr>
    </w:p>
    <w:p>
      <w:pPr>
        <w:ind w:right="80" w:firstLine="378"/>
        <w:spacing w:after="0" w:line="258" w:lineRule="auto"/>
        <w:rPr>
          <w:sz w:val="20"/>
          <w:szCs w:val="20"/>
          <w:color w:val="auto"/>
        </w:rPr>
      </w:pPr>
      <w:r>
        <w:rPr>
          <w:rFonts w:ascii="Times New Roman" w:cs="Times New Roman" w:eastAsia="Times New Roman" w:hAnsi="Times New Roman"/>
          <w:sz w:val="18"/>
          <w:szCs w:val="18"/>
          <w:color w:val="auto"/>
        </w:rPr>
        <w:t>Our Railcar operations regularly review long-lived asset investments for impairment, including when events or changes in circumstances indicate the carrying value of an asset or investment may not be recoverable. Our Railcar segment may be required to recognize asset impairment charges in the future as a result of a weak economic environment, challenging market conditions, events related to particular customers or asset types, or as a result of asset or portfolio sale decisions by management or other factors that affect our Railcar segment’s estimates of expected cash flows to be generated from its long-lived assets.</w:t>
      </w:r>
    </w:p>
    <w:p>
      <w:pPr>
        <w:spacing w:after="0" w:line="7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railcars as a significant mode of transporting freight could decline, become more efficient over time, experience a shift in types of modal transportation, and/or certain railcar types could become obsolete</w:t>
      </w:r>
      <w:r>
        <w:rPr>
          <w:rFonts w:ascii="Times New Roman" w:cs="Times New Roman" w:eastAsia="Times New Roman" w:hAnsi="Times New Roman"/>
          <w:sz w:val="18"/>
          <w:szCs w:val="18"/>
          <w:i w:val="1"/>
          <w:iCs w:val="1"/>
          <w:color w:val="auto"/>
        </w:rPr>
        <w:t>.</w:t>
      </w:r>
    </w:p>
    <w:p>
      <w:pPr>
        <w:spacing w:after="0" w:line="51" w:lineRule="exact"/>
        <w:rPr>
          <w:sz w:val="20"/>
          <w:szCs w:val="20"/>
          <w:color w:val="auto"/>
        </w:rPr>
      </w:pPr>
    </w:p>
    <w:p>
      <w:pPr>
        <w:ind w:right="20" w:firstLine="378"/>
        <w:spacing w:after="0" w:line="254" w:lineRule="auto"/>
        <w:rPr>
          <w:sz w:val="20"/>
          <w:szCs w:val="20"/>
          <w:color w:val="auto"/>
        </w:rPr>
      </w:pPr>
      <w:r>
        <w:rPr>
          <w:rFonts w:ascii="Times New Roman" w:cs="Times New Roman" w:eastAsia="Times New Roman" w:hAnsi="Times New Roman"/>
          <w:sz w:val="18"/>
          <w:szCs w:val="18"/>
          <w:color w:val="auto"/>
        </w:rPr>
        <w:t>As the freight transportation markets our Railcar segment serve continue to evolve and become more efficient, the use of railcars may decline in favor of other more economic modes of transportation. Features and functionality specific to certain railcar types could result in those railcars becoming obsolete as customer requirements for freight delivery change. Our Railcar segment’s operations may be adversely impacted by changes in the preferred method used by customers to ship their products, changes in demand for particular products, or by a shift by customers toward purchasing assets rather than leasing them from our Railcar segment. The industries in which our Railcar segment’s customers operate are driven by dynamic market forces and trends, which are in turn influenced by economic and political factors in the United States and abroad. Demand for our Railcar segment’s railcars may be significantly affected by changes in the markets in which its customers operate. A significant reduction in customer demand for transportation or manufacture of a particular product or change in the preferred method of transportation used by customers to ship their products could result in the economic obsolescence of our railcars, including those leased by our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Gaming</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Tropicana is pursuing, and may in the future pursue, expansion and acquisition opportunities and other strategic transactions that involve inherent risks, any of which may cause it to not realize anticipated benefits.</w:t>
      </w:r>
    </w:p>
    <w:p>
      <w:pPr>
        <w:spacing w:after="0" w:line="51" w:lineRule="exact"/>
        <w:rPr>
          <w:sz w:val="20"/>
          <w:szCs w:val="20"/>
          <w:color w:val="auto"/>
        </w:rPr>
      </w:pPr>
    </w:p>
    <w:p>
      <w:pPr>
        <w:ind w:firstLine="378"/>
        <w:spacing w:after="0" w:line="252" w:lineRule="auto"/>
        <w:rPr>
          <w:sz w:val="20"/>
          <w:szCs w:val="20"/>
          <w:color w:val="auto"/>
        </w:rPr>
      </w:pPr>
      <w:r>
        <w:rPr>
          <w:rFonts w:ascii="Times New Roman" w:cs="Times New Roman" w:eastAsia="Times New Roman" w:hAnsi="Times New Roman"/>
          <w:sz w:val="18"/>
          <w:szCs w:val="18"/>
          <w:color w:val="auto"/>
        </w:rPr>
        <w:t>Our Gaming segment’s business strategy includes the consideration of expansion opportunities in new gaming jurisdictions and underserved markets and acquisition opportunities and other strategic transactions that may arise periodically. For example, in April 2014, Tropicana entered into an agreement to purchase Lumiére for $261 million in cash as discussed elsewhere in this Report. Tropicana may not be able to successfully identify suitable acquisition or other strategic opportunities or complete any particular acquisition, combination, joint venture or other strategic transaction on acceptable terms. Tropicana’s identification of suitable acquisition candidates and other strategic opportunities involves risks inherent in assessing the values, strengths, weaknesses, risks and profitability of these opportunities including their effects on our business, diversion of its management’s attention and risks associated with unanticipated problems or unforeseen liabilities. If Tropicana is successful in pursuing acquisitions or other strategic opportunities, it may be required to expend significant funds, incur additional debt, or issue additional securities, which may materially and adversely affect our results of Gaming operations. If Tropicana spends significant funds or incur additional debt, its ability to obtain financing for working capital or other purposes could decline and it may be more vulnerable to economic downturns and competitive pressures. In addition, Tropicana cannot guarantee that it will be able to finance additional acquisitions or other strategic opportunities, or that it will realize any anticipated benefits from acquisitions or other strategic opportunities. Should Tropicana successfully acquire another business, the process of integrating acquired operations into its existing operations may result in unforeseen operating difficulties and may require significant financial resources that would otherwise be available for the ongoing development or expansion of our existing business. The difficulties of integration may be increased by the necessity of coordinating geographically dispersed organizations, integrating personnel with disparate business backgrounds and combining different corporate cultures. In addition, Tropicana may not be effective in retaining key employees or customers of the combined businesses. Tropicana may face integration issues pertaining to the internal controls and operations functions of the acquired companies and we may not realize cost efficiencies or synergies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225" w:right="239" w:bottom="1440" w:gutter="0" w:footer="0" w:header="0"/>
        </w:sectPr>
      </w:pPr>
    </w:p>
    <w:bookmarkStart w:id="72" w:name="page73"/>
    <w:bookmarkEnd w:id="72"/>
    <w:p>
      <w:pPr>
        <w:ind w:right="140"/>
        <w:spacing w:after="0" w:line="282" w:lineRule="auto"/>
        <w:rPr>
          <w:sz w:val="20"/>
          <w:szCs w:val="20"/>
          <w:color w:val="auto"/>
        </w:rPr>
      </w:pPr>
      <w:r>
        <w:rPr>
          <w:rFonts w:ascii="Times New Roman" w:cs="Times New Roman" w:eastAsia="Times New Roman" w:hAnsi="Times New Roman"/>
          <w:sz w:val="18"/>
          <w:szCs w:val="18"/>
          <w:color w:val="auto"/>
        </w:rPr>
        <w:t>that it anticipated when selecting its acquisition candidates. Tropicana’s failure to identify suitable acquisition or other strategic opportunities may restrict its ability to grow its business.</w:t>
      </w:r>
    </w:p>
    <w:p>
      <w:pPr>
        <w:spacing w:after="0" w:line="5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Intense competition exists and is growing in the gaming industry, including competition involving the implementation of internet gaming, and Tropicana may not be able to compete effectively which could negatively affect our Gaming operations.</w:t>
      </w:r>
    </w:p>
    <w:p>
      <w:pPr>
        <w:spacing w:after="0" w:line="51"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The gaming industry is highly competitive for both customers and employees, including those at the management level. Tropicana faces increasing intense competition with numerous casinos and hotel casinos of varying quality and size in market areas where its properties are located. Tropicana also competes with other non-gaming resorts and vacation destinations, and with various other casino and other entertainment businesses and could compete with any new forms of gaming that exist or may be legalized in the future, including on-line gaming. The casino entertainment business is characterized by competitors that vary considerably in their size, quality of facilities, number of operations, brand identities, marketing and growth strategies, financial strength and capabilities, level of amenities, management talent and geographic diversity. In most markets, Tropicana competes directly with other casino facilities operating in the immediate and surrounding market areas. In some markets, Tropicana faces competition from nearby markets in addition to direct competition within its market areas as well as the threat from new, emerging markets. With internet gaming, Tropicana's land based casinos will also potentially be competing in virtual markets that may not be constrained by geographical limitations.</w:t>
      </w:r>
    </w:p>
    <w:p>
      <w:pPr>
        <w:spacing w:after="0" w:line="81"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In recent years, competition in existing markets has intensified. For example, competition with the Atlantic City market has increased with Pennsylvania and Delaware commencing live table game operations in fiscal 2010; the opening of a new casino in a Philadelphia suburb in 2012 and the award of the second Philadelphia Category 2 license in 2014; five casinos currently operating in Maryland with plans for an additional casino to open in and mid-2016, and the addition of table games; two video lottery terminal ("VLT") casinos operating in the New York metropolitan area with up to an additional seven commercial gaming facilities (with three proposals approved in 2014) and two additional VLT facilities planned for the eastern parts of New York in the coming years. In September 2012, competition in the Baton Rouge market increased with the opening of a new casino. In addition, Tropicana's competitors have invested in expanding their existing facilities and developing new facilities. Tropicana's properties, on the other hand, historically have had more limited resources for capital expenditures and other improvements than many of its competitors. Tropicana's ability to invest in its properties going forward may continue to be constrained due to market conditions, and it may not be able to compete effectively with casinos that have been modernized or recently expanded.</w:t>
      </w:r>
    </w:p>
    <w:p>
      <w:pPr>
        <w:spacing w:after="0" w:line="78" w:lineRule="exact"/>
        <w:rPr>
          <w:sz w:val="20"/>
          <w:szCs w:val="20"/>
          <w:color w:val="auto"/>
        </w:rPr>
      </w:pPr>
    </w:p>
    <w:p>
      <w:pPr>
        <w:jc w:val="both"/>
        <w:ind w:right="20" w:firstLine="378"/>
        <w:spacing w:after="0" w:line="266" w:lineRule="auto"/>
        <w:rPr>
          <w:sz w:val="20"/>
          <w:szCs w:val="20"/>
          <w:color w:val="auto"/>
        </w:rPr>
      </w:pPr>
      <w:r>
        <w:rPr>
          <w:rFonts w:ascii="Times New Roman" w:cs="Times New Roman" w:eastAsia="Times New Roman" w:hAnsi="Times New Roman"/>
          <w:sz w:val="18"/>
          <w:szCs w:val="18"/>
          <w:color w:val="auto"/>
        </w:rPr>
        <w:t>This expansion of existing casino entertainment properties, the increase in the number of gaming opportunities, the potential emergence of legal internet gaming and the aggressive marketing strategies of many of Tropicana's competitors has also increased competition in many markets in which it competes, and it expects this intense competition to continue.</w:t>
      </w:r>
    </w:p>
    <w:p>
      <w:pPr>
        <w:spacing w:after="0" w:line="68" w:lineRule="exact"/>
        <w:rPr>
          <w:sz w:val="20"/>
          <w:szCs w:val="20"/>
          <w:color w:val="auto"/>
        </w:rPr>
      </w:pPr>
    </w:p>
    <w:p>
      <w:pPr>
        <w:ind w:right="80" w:firstLine="378"/>
        <w:spacing w:after="0" w:line="258" w:lineRule="auto"/>
        <w:rPr>
          <w:sz w:val="20"/>
          <w:szCs w:val="20"/>
          <w:color w:val="auto"/>
        </w:rPr>
      </w:pPr>
      <w:r>
        <w:rPr>
          <w:rFonts w:ascii="Times New Roman" w:cs="Times New Roman" w:eastAsia="Times New Roman" w:hAnsi="Times New Roman"/>
          <w:sz w:val="18"/>
          <w:szCs w:val="18"/>
          <w:color w:val="auto"/>
        </w:rPr>
        <w:t>If Tropicana's competitors operate more successfully than it does, if they are more successful than Tropicana in attracting and retaining employees, if their properties are enhanced or expanded, if additional hotels and casinos are established in and around the locations in which it conducts business, or if on-line gaming is permitted and conducted in any of its markets, it may lose market share or the ability to attract or retain employees or customers. In particular, the expansion of casino gaming in or near any geographic area from which Tropicana attracts or expects to attract a significant number of its customers could materially adversely affect our Gaming segment's business, financial condition and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Tropicana expects that competition from internet gaming will continue to grow and intensify.</w:t>
      </w:r>
    </w:p>
    <w:p>
      <w:pPr>
        <w:spacing w:after="0" w:line="121" w:lineRule="exact"/>
        <w:rPr>
          <w:sz w:val="20"/>
          <w:szCs w:val="20"/>
          <w:color w:val="auto"/>
        </w:rPr>
      </w:pPr>
    </w:p>
    <w:p>
      <w:pPr>
        <w:ind w:right="20" w:firstLine="378"/>
        <w:spacing w:after="0" w:line="252" w:lineRule="auto"/>
        <w:rPr>
          <w:sz w:val="20"/>
          <w:szCs w:val="20"/>
          <w:color w:val="auto"/>
        </w:rPr>
      </w:pPr>
      <w:r>
        <w:rPr>
          <w:rFonts w:ascii="Times New Roman" w:cs="Times New Roman" w:eastAsia="Times New Roman" w:hAnsi="Times New Roman"/>
          <w:sz w:val="18"/>
          <w:szCs w:val="18"/>
          <w:color w:val="auto"/>
        </w:rPr>
        <w:t>Tropicana expects that it will face increased competition from internet gaming as the potential for legalized internet gaming continues to grow. There are current proposals to legalize internet gaming under federal law. Additionally, several states are currently considering legislation that would legalize internet gaming at the state level. As a result of the Justice Department's December 2011 opinion concerning the applicability of the Wire Act to internet gaming, certain states including Nevada, Delaware and New Jersey have moved forward with legislation to authorize various forms of intrastate internet gaming. Notably, in February 2013 Nevada amended its internet gaming law to permit Nevada licensed internet providers to commence internet poker and to allow the state to enter into agreements with other states to create multi-state poker wagering, and in November 2013 New Jersey commenced intrastate internet gaming through Atlantic City casinos. The New Jersey law provides that licensed Atlantic City casinos including Tropicana AC may offer internet gambling games subject to regulations to be adopted by the NJDGE. The law provides for a 15% tax on internet gaming gross revenues and permits New Jersey to enter into agreements with other states to engage in multi-state internet wagering pools. The law has a 10 year sunset provision. A number of New Jersey casinos including Tropicana Atlantic City participate in intrastate Internet gaming. Tropicana's ability to compete in a marketplace containing multiple virtual casino platforms will depend on its ability to effectively market its internet gaming products to its customers in face of stiff competition as well as the availability of internet gaming in jurisdictions in which it operates casinos. Furthermore, competition from internet lotteries and other internet wagering gaming services, which allow their customers to wager on a wide variety of sporting events and play Las Vegas-style casino games from home, could divert customers from its properties and thus adversely affect its business. Such internet wagering services are likely to expand in future years and become more accessible to domestic gamblers as a result of recently announced U.S. Department of Justice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72" w:right="239" w:bottom="1440" w:gutter="0" w:footer="0" w:header="0"/>
        </w:sectPr>
      </w:pPr>
    </w:p>
    <w:bookmarkStart w:id="73" w:name="page74"/>
    <w:bookmarkEnd w:id="73"/>
    <w:p>
      <w:pPr>
        <w:ind w:right="500"/>
        <w:spacing w:after="0" w:line="282" w:lineRule="auto"/>
        <w:rPr>
          <w:sz w:val="20"/>
          <w:szCs w:val="20"/>
          <w:color w:val="auto"/>
        </w:rPr>
      </w:pPr>
      <w:r>
        <w:rPr>
          <w:rFonts w:ascii="Times New Roman" w:cs="Times New Roman" w:eastAsia="Times New Roman" w:hAnsi="Times New Roman"/>
          <w:sz w:val="18"/>
          <w:szCs w:val="18"/>
          <w:color w:val="auto"/>
        </w:rPr>
        <w:t>positions related to the application of federal laws to intrastate internet gaming and initiatives in some states to consider legislation to legalize intrastate internet wagering. There are also proposals that would specifically legalize internet gaming under federal law.</w:t>
      </w:r>
    </w:p>
    <w:p>
      <w:pPr>
        <w:spacing w:after="0" w:line="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casino, hotel and resort industry is capital intensive and Tropicana may not be able to proceed with renovation projects because of market conditions, which could put it at a competitive disadvantage.</w:t>
      </w:r>
    </w:p>
    <w:p>
      <w:pPr>
        <w:spacing w:after="0" w:line="51" w:lineRule="exact"/>
        <w:rPr>
          <w:sz w:val="20"/>
          <w:szCs w:val="20"/>
          <w:color w:val="auto"/>
        </w:rPr>
      </w:pPr>
    </w:p>
    <w:p>
      <w:pPr>
        <w:ind w:right="60" w:firstLine="378"/>
        <w:spacing w:after="0" w:line="282" w:lineRule="auto"/>
        <w:rPr>
          <w:sz w:val="20"/>
          <w:szCs w:val="20"/>
          <w:color w:val="auto"/>
        </w:rPr>
      </w:pPr>
      <w:r>
        <w:rPr>
          <w:rFonts w:ascii="Times New Roman" w:cs="Times New Roman" w:eastAsia="Times New Roman" w:hAnsi="Times New Roman"/>
          <w:sz w:val="18"/>
          <w:szCs w:val="18"/>
          <w:color w:val="auto"/>
        </w:rPr>
        <w:t>Tropicana's properties have an ongoing need for renovations and other capital improvements to remain competitive, including replacement, from time to time, of furniture, fixtures and equipment. Tropicana also needs to make capital expenditures to comply with applicable laws and regulations.</w:t>
      </w:r>
    </w:p>
    <w:p>
      <w:pPr>
        <w:spacing w:after="0" w:line="54" w:lineRule="exact"/>
        <w:rPr>
          <w:sz w:val="20"/>
          <w:szCs w:val="20"/>
          <w:color w:val="auto"/>
        </w:rPr>
      </w:pPr>
    </w:p>
    <w:p>
      <w:pPr>
        <w:ind w:right="80" w:firstLine="378"/>
        <w:spacing w:after="0" w:line="289" w:lineRule="auto"/>
        <w:rPr>
          <w:sz w:val="20"/>
          <w:szCs w:val="20"/>
          <w:color w:val="auto"/>
        </w:rPr>
      </w:pPr>
      <w:r>
        <w:rPr>
          <w:rFonts w:ascii="Times New Roman" w:cs="Times New Roman" w:eastAsia="Times New Roman" w:hAnsi="Times New Roman"/>
          <w:sz w:val="17"/>
          <w:szCs w:val="17"/>
          <w:color w:val="auto"/>
        </w:rPr>
        <w:t>Renovations and other capital improvements of Tropicana's properties require significant capital expenditures and usually generate little or no cash flow until the project is completed. Tropicana may not be able to proceed with planned capital improvement projects because of market conditions. Tropicana's failure to renovate its gaming properties may put it at a competitive disadvantage, which could have a materially adverse effect on our Gaming segment.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Renovations and other capital improvements may disrupt Tropicana's operations.</w:t>
      </w:r>
    </w:p>
    <w:p>
      <w:pPr>
        <w:spacing w:after="0" w:line="121" w:lineRule="exact"/>
        <w:rPr>
          <w:sz w:val="20"/>
          <w:szCs w:val="20"/>
          <w:color w:val="auto"/>
        </w:rPr>
      </w:pPr>
    </w:p>
    <w:p>
      <w:pPr>
        <w:ind w:right="220" w:firstLine="378"/>
        <w:spacing w:after="0" w:line="266" w:lineRule="auto"/>
        <w:rPr>
          <w:sz w:val="20"/>
          <w:szCs w:val="20"/>
          <w:color w:val="auto"/>
        </w:rPr>
      </w:pPr>
      <w:r>
        <w:rPr>
          <w:rFonts w:ascii="Times New Roman" w:cs="Times New Roman" w:eastAsia="Times New Roman" w:hAnsi="Times New Roman"/>
          <w:sz w:val="18"/>
          <w:szCs w:val="18"/>
          <w:color w:val="auto"/>
        </w:rPr>
        <w:t>Renovation projects may cause Tropicana to temporarily close all or a portion of its facilities to customers and disrupt service and room availability, causing reduced demand, occupancy and rates. As a result, any future capital improvements projects may increase Tropicana's expenses and reduce its cash flows and its revenues and, accordingly, may have a materially adverse effect on our Gaming segment.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 stoppages, labor problems and unexpected shutdowns may limit Tropicana's operational flexibility and negatively impact its future profits.</w:t>
      </w:r>
    </w:p>
    <w:p>
      <w:pPr>
        <w:spacing w:after="0" w:line="121" w:lineRule="exact"/>
        <w:rPr>
          <w:sz w:val="20"/>
          <w:szCs w:val="20"/>
          <w:color w:val="auto"/>
        </w:rPr>
      </w:pPr>
    </w:p>
    <w:p>
      <w:pPr>
        <w:ind w:right="140" w:firstLine="378"/>
        <w:spacing w:after="0" w:line="258" w:lineRule="auto"/>
        <w:rPr>
          <w:sz w:val="20"/>
          <w:szCs w:val="20"/>
          <w:color w:val="auto"/>
        </w:rPr>
      </w:pPr>
      <w:r>
        <w:rPr>
          <w:rFonts w:ascii="Times New Roman" w:cs="Times New Roman" w:eastAsia="Times New Roman" w:hAnsi="Times New Roman"/>
          <w:sz w:val="18"/>
          <w:szCs w:val="18"/>
          <w:color w:val="auto"/>
        </w:rPr>
        <w:t>Tropicana is party to 10 collective bargaining agreements with different unions. In September 2014, the collective bargaining agreement with UNITE HERE Local 54 covering approximately 1,100 employees at Tropicana AC expired and Tropicana AC is presently operating without an agreement with this union. Tropicana cannot assure you that it will be able to enter into a new collective bargaining agreement with UNITE HERE Local 54 or renegotiate the other collective bargaining agreements with other unions currently in effect. The addition of new or changes to the existing collective bargaining agreements could cause significant increases in labor costs, which could have a material adverse effect on our Gaming segment.</w:t>
      </w:r>
    </w:p>
    <w:p>
      <w:pPr>
        <w:spacing w:after="0" w:line="76" w:lineRule="exact"/>
        <w:rPr>
          <w:sz w:val="20"/>
          <w:szCs w:val="20"/>
          <w:color w:val="auto"/>
        </w:rPr>
      </w:pPr>
    </w:p>
    <w:p>
      <w:pPr>
        <w:jc w:val="both"/>
        <w:ind w:right="40" w:firstLine="378"/>
        <w:spacing w:after="0" w:line="266" w:lineRule="auto"/>
        <w:rPr>
          <w:sz w:val="20"/>
          <w:szCs w:val="20"/>
          <w:color w:val="auto"/>
        </w:rPr>
      </w:pPr>
      <w:r>
        <w:rPr>
          <w:rFonts w:ascii="Times New Roman" w:cs="Times New Roman" w:eastAsia="Times New Roman" w:hAnsi="Times New Roman"/>
          <w:sz w:val="18"/>
          <w:szCs w:val="18"/>
          <w:color w:val="auto"/>
        </w:rPr>
        <w:t>In addition, the unions with which Tropicana has collective bargaining agreements or other unions could seek to organize employees at Tropicana's non-union properties or groups of employees at its properties that are not currently represented by unions. Union organization efforts could cause disruptions in its businesses and result in significant costs, both of which could have a material adverse effect on our Gaming segment.</w:t>
      </w:r>
    </w:p>
    <w:p>
      <w:pPr>
        <w:spacing w:after="0" w:line="68"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Finally, if Tropicana is unable to negotiate these agreements on mutually acceptable terms, the affected employees, including union members with the UNITE HERE Local 54 bargaining unit, may engage in a strike or other job actions instead of continuing to operate without contracts or under expired contracts, which could have a materially adverse effect on our Gaming segment, including the operations of Tropicana AC. In 2012, UNITE HERE Local 54 staged several protest actions at Tropicana AC which were disruptive to its business. Any unexpected shutdown of one of the casino properties, including Tropicana AC, from a work stoppage or strike action could have a material adverse effect on our Gaming segment. Moreover, strikes, work stoppages or other job actions could also result in adverse media attention or otherwise discourage customers, including convention and meeting groups, from visiting Tropicana's casinos. There can be no assurance that Tropicana can be adequately prepared for labor developments that may lead to a temporary or permanent shutdown of any of its casino properties.</w:t>
      </w:r>
    </w:p>
    <w:p>
      <w:pPr>
        <w:spacing w:after="0" w:line="7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Tropicana's business is particularly sensitive to reductions in discretionary consumer spending as a result of downturns in the local, regional or national economy.</w:t>
      </w:r>
    </w:p>
    <w:p>
      <w:pPr>
        <w:spacing w:after="0" w:line="51"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Consumer demand for casino and hotel properties, such as Tropicana's, are particularly sensitive to downturns in the local, regional or national economy and the corresponding impact on discretionary spending on leisure activities. Changes in discretionary consumer spending or consumer preferences brought about by factors such as perceived or actual general economic conditions, the recent housing and credit crises, the impact of high energy and food costs, the increased cost of travel, the potential for continued bank failures, perceived or actual declines in disposable consumer income and wealth, the effect of the current economic environment and changes in consumer confidence in the economy, or fears of war and future acts of terrorism could further reduce customer demand for amenities that Tropicana offers.</w:t>
      </w:r>
    </w:p>
    <w:p>
      <w:pPr>
        <w:spacing w:after="0" w:line="80" w:lineRule="exact"/>
        <w:rPr>
          <w:sz w:val="20"/>
          <w:szCs w:val="20"/>
          <w:color w:val="auto"/>
        </w:rPr>
      </w:pPr>
    </w:p>
    <w:p>
      <w:pPr>
        <w:ind w:right="20" w:firstLine="378"/>
        <w:spacing w:after="0" w:line="266" w:lineRule="auto"/>
        <w:rPr>
          <w:sz w:val="20"/>
          <w:szCs w:val="20"/>
          <w:color w:val="auto"/>
        </w:rPr>
      </w:pPr>
      <w:r>
        <w:rPr>
          <w:rFonts w:ascii="Times New Roman" w:cs="Times New Roman" w:eastAsia="Times New Roman" w:hAnsi="Times New Roman"/>
          <w:sz w:val="18"/>
          <w:szCs w:val="18"/>
          <w:color w:val="auto"/>
        </w:rPr>
        <w:t>The housing crisis and recession in the United States that began in 2008 resulted in a significant decline in tourism and consumer spending. Economic conditions like the recent downturn (and slowdowns or recessions less severe) could cause fewer consumers to spend money or cause consumers to spend less money at Tropicana's properties and could materially adversely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472" w:right="239" w:bottom="1440" w:gutter="0" w:footer="0" w:header="0"/>
        </w:sectPr>
      </w:pPr>
    </w:p>
    <w:bookmarkStart w:id="74" w:name="page75"/>
    <w:bookmarkEnd w:id="74"/>
    <w:p>
      <w:pPr>
        <w:ind w:right="140"/>
        <w:spacing w:after="0" w:line="282" w:lineRule="auto"/>
        <w:rPr>
          <w:sz w:val="20"/>
          <w:szCs w:val="20"/>
          <w:color w:val="auto"/>
        </w:rPr>
      </w:pPr>
      <w:r>
        <w:rPr>
          <w:rFonts w:ascii="Times New Roman" w:cs="Times New Roman" w:eastAsia="Times New Roman" w:hAnsi="Times New Roman"/>
          <w:sz w:val="18"/>
          <w:szCs w:val="18"/>
          <w:color w:val="auto"/>
        </w:rPr>
        <w:t>affect our Gaming operations. While general economic conditions have modestly improved, there can be no assurance that they will continue to improve or will not worsen in the future.</w:t>
      </w:r>
    </w:p>
    <w:p>
      <w:pPr>
        <w:spacing w:after="0" w:line="5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state of the global financial markets may impact Tropicana's ability to obtain sufficient financing and credit on a going forward basis which could negatively impact its ability to expand its business.</w:t>
      </w:r>
    </w:p>
    <w:p>
      <w:pPr>
        <w:spacing w:after="0" w:line="51" w:lineRule="exact"/>
        <w:rPr>
          <w:sz w:val="20"/>
          <w:szCs w:val="20"/>
          <w:color w:val="auto"/>
        </w:rPr>
      </w:pPr>
    </w:p>
    <w:p>
      <w:pPr>
        <w:ind w:firstLine="378"/>
        <w:spacing w:after="0" w:line="218" w:lineRule="exact"/>
        <w:rPr>
          <w:sz w:val="20"/>
          <w:szCs w:val="20"/>
          <w:color w:val="auto"/>
        </w:rPr>
      </w:pPr>
      <w:r>
        <w:rPr>
          <w:rFonts w:ascii="Times New Roman" w:cs="Times New Roman" w:eastAsia="Times New Roman" w:hAnsi="Times New Roman"/>
          <w:sz w:val="18"/>
          <w:szCs w:val="18"/>
          <w:color w:val="auto"/>
        </w:rPr>
        <w:t>In addition to earnings and cash flows from operations, Tropicana relies on borrowed money to finance its business, which may be constrained if it is unable to borrow additional capital or refinance existing borrowings on reasonable terms. Developments in the global financial markets that have led to unpredictable government intervention in the United States and European banking systems, including the fiscal 2008 capital crisis in the banking system, a series of rating agency downgrades of subprime U.S. mortgage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assets and significant provisions for loan losses recorded by major financial institutions and downgrades of sovereign debt in certain EU member nations, have resulted in volatility in the credit markets, a low level of liquidity in many global financial markets and other adverse conditions for issuers in fixed income, credit and equity markets. In the recent past, these markets have experienced disruption that had a dramatic impact on the availability and cost of capital and credit. The market interest rate for debt of companies similar to Tropicana's has been volatile. The United States and other governments have enacted legislation and taken other actions to help alleviate these conditions, although there is no assurance that such steps will have the effect of easing the conditions in global credit and capital markets. Therefore, Tropicana has no assurance that such steps will facilitate its further access to credit or capital markets at desirable times or at rates that it would consider acceptable, and the lack of such funding could have a material adverse effect on our Gaming operations and its ability to service its indebtedness. While these conditions have recently improved, there can be no assurance that they will not worsen in the future. Tropicana is unable to predict the likely duration or severity of any disruption in the capital and credit markets, or its impact on the larger economy. A disruption in the global credit and financial markets may materially and adversely affect Tropicana's ability to obtain sufficient financing to execute its business strategy.</w:t>
      </w:r>
    </w:p>
    <w:p>
      <w:pPr>
        <w:spacing w:after="0" w:line="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Tropicana may be subject to litigation resulting from its gaming, resort and dining operations, which, if adversely determined, could result in substantial losses.</w:t>
      </w:r>
    </w:p>
    <w:p>
      <w:pPr>
        <w:spacing w:after="0" w:line="51" w:lineRule="exact"/>
        <w:rPr>
          <w:sz w:val="20"/>
          <w:szCs w:val="20"/>
          <w:color w:val="auto"/>
        </w:rPr>
      </w:pPr>
    </w:p>
    <w:p>
      <w:pPr>
        <w:ind w:right="40" w:firstLine="378"/>
        <w:spacing w:after="0" w:line="256" w:lineRule="auto"/>
        <w:rPr>
          <w:sz w:val="20"/>
          <w:szCs w:val="20"/>
          <w:color w:val="auto"/>
        </w:rPr>
      </w:pPr>
      <w:r>
        <w:rPr>
          <w:rFonts w:ascii="Times New Roman" w:cs="Times New Roman" w:eastAsia="Times New Roman" w:hAnsi="Times New Roman"/>
          <w:sz w:val="18"/>
          <w:szCs w:val="18"/>
          <w:color w:val="auto"/>
        </w:rPr>
        <w:t>Tropicana will be, from time to time, during the ordinary course of operating its businesses, subject to various litigation claims and legal disputes, including contract, lease, employment and regulatory claims as well as claims made by visitors to its properties. Certain litigation claims may not be covered entirely or at all by its insurance policies or its insurance carriers may seek to deny coverage. In addition, litigation claims can be expensive to defend and may divert Tropicana's attention from the operations of its businesses. Further, litigation involving visitors to its properties, even if without merit, can attract adverse media attention. As a result, litigation can have a material adverse effect on its businesses. Tropicana cannot predict the outcome of any action and it is possible that adverse judgments or settlements could significantly reduce our Gaming segment revenues.</w:t>
      </w:r>
    </w:p>
    <w:p>
      <w:pPr>
        <w:spacing w:after="0" w:line="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State gaming laws and regulations may require holders of Tropicana's debt or equity securities to undergo a suitability investigation, and may result in redemption of their securities.</w:t>
      </w:r>
    </w:p>
    <w:p>
      <w:pPr>
        <w:spacing w:after="0" w:line="51"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Many jurisdictions require any person who acquires beneficial ownership of debt or equity securities of a casino gaming company to apply for qualification or a finding of suitability. Generally, any person who fails or refuses to apply for a finding of suitability or a license within the prescribed period after being advised by gaming authorities that it is required to do so may be denied a license or found unsuitable or unqualified, as applicable. Any holder of securities that is found unsuitable or unqualified or denied a license, and who holds, directly or indirectly, any beneficial ownership of a gaming entity's securities beyond such period of time as may be prescribed by the applicable gaming authorities may be guilty of a criminal offense. Furthermore, a gaming entity may be subject to disciplinary action if such gaming entity, after receiving notice that a person is unsuitable to be a holder of securities or to have any other relationship with such gaming entity or any of its subsidiaries:</w:t>
      </w:r>
    </w:p>
    <w:p>
      <w:pPr>
        <w:spacing w:after="0" w:line="81" w:lineRule="exact"/>
        <w:rPr>
          <w:sz w:val="20"/>
          <w:szCs w:val="20"/>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that person any dividend or interest upon the securities;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that person to exercise, directly or indirectly, any voting ownership right conferred through securities held by that person;</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remuneration in any form to that person for services rendered or otherwise;</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that person to continue in an ownership or economic interest or receive any economic benefit; or</w:t>
      </w:r>
    </w:p>
    <w:p>
      <w:pPr>
        <w:spacing w:after="0" w:line="117" w:lineRule="exact"/>
        <w:rPr>
          <w:rFonts w:ascii="Times New Roman" w:cs="Times New Roman" w:eastAsia="Times New Roman" w:hAnsi="Times New Roman"/>
          <w:sz w:val="18"/>
          <w:szCs w:val="18"/>
          <w:color w:val="auto"/>
        </w:rPr>
      </w:pPr>
    </w:p>
    <w:p>
      <w:pPr>
        <w:ind w:left="660" w:right="20" w:hanging="247"/>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pursue all lawful efforts to require such unsuitable person to relinquish the securities including, if necessary, the immediate (or within such other time period as prescribed by the applicable gaming authorities) purchase of such securities for the lesser of fair value at the time of repurchase or fair value at the time of acquisition by the unsuitable holder.</w:t>
      </w:r>
    </w:p>
    <w:p>
      <w:pPr>
        <w:spacing w:after="0" w:line="68" w:lineRule="exact"/>
        <w:rPr>
          <w:sz w:val="20"/>
          <w:szCs w:val="20"/>
          <w:color w:val="auto"/>
        </w:rPr>
      </w:pPr>
    </w:p>
    <w:p>
      <w:pPr>
        <w:ind w:right="340" w:firstLine="378"/>
        <w:spacing w:after="0" w:line="282" w:lineRule="auto"/>
        <w:rPr>
          <w:sz w:val="20"/>
          <w:szCs w:val="20"/>
          <w:color w:val="auto"/>
        </w:rPr>
      </w:pPr>
      <w:r>
        <w:rPr>
          <w:rFonts w:ascii="Times New Roman" w:cs="Times New Roman" w:eastAsia="Times New Roman" w:hAnsi="Times New Roman"/>
          <w:sz w:val="18"/>
          <w:szCs w:val="18"/>
          <w:color w:val="auto"/>
        </w:rPr>
        <w:t>In the event that disqualified holders fail to divest themselves of such securities, gaming authorities have the power to revoke or suspend the casino license or licenses related to the regulated entity that issued the securities. In addition, Tropicana's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40"/>
          </w:cols>
          <w:pgMar w:left="240" w:top="472" w:right="319" w:bottom="1440" w:gutter="0" w:footer="0" w:header="0"/>
        </w:sectPr>
      </w:pPr>
    </w:p>
    <w:bookmarkStart w:id="75" w:name="page76"/>
    <w:bookmarkEnd w:id="75"/>
    <w:p>
      <w:pPr>
        <w:ind w:right="720"/>
        <w:spacing w:after="0" w:line="282" w:lineRule="auto"/>
        <w:rPr>
          <w:sz w:val="20"/>
          <w:szCs w:val="20"/>
          <w:color w:val="auto"/>
        </w:rPr>
      </w:pPr>
      <w:r>
        <w:rPr>
          <w:rFonts w:ascii="Times New Roman" w:cs="Times New Roman" w:eastAsia="Times New Roman" w:hAnsi="Times New Roman"/>
          <w:sz w:val="18"/>
          <w:szCs w:val="18"/>
          <w:color w:val="auto"/>
        </w:rPr>
        <w:t>certificate of incorporation provides that it may redeem its securities from an Unsuitable Person (as such term is defined in Tropicana's certificate of incorporation).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by gaming authorities could adversely affect our Gaming segment's operations.</w:t>
      </w:r>
    </w:p>
    <w:p>
      <w:pPr>
        <w:spacing w:after="0" w:line="121" w:lineRule="exact"/>
        <w:rPr>
          <w:sz w:val="20"/>
          <w:szCs w:val="20"/>
          <w:color w:val="auto"/>
        </w:rPr>
      </w:pPr>
    </w:p>
    <w:p>
      <w:pPr>
        <w:ind w:right="100" w:firstLine="378"/>
        <w:spacing w:after="0" w:line="258" w:lineRule="auto"/>
        <w:rPr>
          <w:sz w:val="20"/>
          <w:szCs w:val="20"/>
          <w:color w:val="auto"/>
        </w:rPr>
      </w:pPr>
      <w:r>
        <w:rPr>
          <w:rFonts w:ascii="Times New Roman" w:cs="Times New Roman" w:eastAsia="Times New Roman" w:hAnsi="Times New Roman"/>
          <w:sz w:val="18"/>
          <w:szCs w:val="18"/>
          <w:color w:val="auto"/>
        </w:rPr>
        <w:t>Tropicana is subject to extensive regulation with respect to the ownership and operation of its gaming facilities. Federal, state and local gaming authorities require that Tropicana and its subsidiaries hold various licenses, qualifications, findings of suitability, registrations, permits and approvals. The gaming regulatory authorities have broad powers with respect to the licensing of casino operations and alcoholic beverage service and may deny, revoke, suspend, condition, or limit Tropicana's gaming or other licenses, impose substantial fines, temporarily suspend casino operations and take other actions, any one of which could adversely affect our Gaming operations.</w:t>
      </w:r>
    </w:p>
    <w:p>
      <w:pPr>
        <w:spacing w:after="0" w:line="76" w:lineRule="exact"/>
        <w:rPr>
          <w:sz w:val="20"/>
          <w:szCs w:val="20"/>
          <w:color w:val="auto"/>
        </w:rPr>
      </w:pPr>
    </w:p>
    <w:p>
      <w:pPr>
        <w:ind w:right="20" w:firstLine="378"/>
        <w:spacing w:after="0" w:line="254" w:lineRule="auto"/>
        <w:rPr>
          <w:sz w:val="20"/>
          <w:szCs w:val="20"/>
          <w:color w:val="auto"/>
        </w:rPr>
      </w:pPr>
      <w:r>
        <w:rPr>
          <w:rFonts w:ascii="Times New Roman" w:cs="Times New Roman" w:eastAsia="Times New Roman" w:hAnsi="Times New Roman"/>
          <w:sz w:val="18"/>
          <w:szCs w:val="18"/>
          <w:color w:val="auto"/>
        </w:rPr>
        <w:t>Tropicana owns, operates or has an interest in gaming facilities located in Nevada, Indiana, Mississippi, Missouri, Louisiana, New Jersey and Aruba. Tropicana has obtained all material governmental licenses, qualifications, registrations, permits and approvals necessary for the operation of its gaming facilities as operations at such facilities are presently conducted. However, there can be no assurance that Tropicana can obtain any new licenses, or renew any existing, licenses, qualifications, findings of suitability, registrations, permits, or approvals that may be required in the future or that existing ones will not be suspended or revoked. If Tropicana relocates or expands any of its current gaming facilities or enters new jurisdictions, it must obtain all additional licenses, qualifications, findings of suitability, registrations, permits and approvals of the applicable gaming authorities in such jurisdictions. If state regulatory authorities were to find an officer, director, owner or other person affiliated with its operations unsuitable, Tropicana would be required to sever its relationship with that person. Gaming authorities, as well as other state regulatory authorities, may conduct similar investigations in the future in connection with new equity and debt holders. We cannot predict the outcome of these investigations or their potential impact on our Gaming segment.</w:t>
      </w:r>
    </w:p>
    <w:p>
      <w:pPr>
        <w:spacing w:after="0" w:line="81" w:lineRule="exact"/>
        <w:rPr>
          <w:sz w:val="20"/>
          <w:szCs w:val="20"/>
          <w:color w:val="auto"/>
        </w:rPr>
      </w:pPr>
    </w:p>
    <w:p>
      <w:pPr>
        <w:ind w:firstLine="378"/>
        <w:spacing w:after="0" w:line="261" w:lineRule="auto"/>
        <w:rPr>
          <w:sz w:val="20"/>
          <w:szCs w:val="20"/>
          <w:color w:val="auto"/>
        </w:rPr>
      </w:pPr>
      <w:r>
        <w:rPr>
          <w:rFonts w:ascii="Times New Roman" w:cs="Times New Roman" w:eastAsia="Times New Roman" w:hAnsi="Times New Roman"/>
          <w:sz w:val="18"/>
          <w:szCs w:val="18"/>
          <w:color w:val="auto"/>
        </w:rPr>
        <w:t>Additionally, certain manufacturers, distributors and suppliers of gaming devices, junkets, goods or services to Tropicana's gaming facilities may be required to obtain a license or permit or undergo a suitability investigation by the gaming authorities. There can be no assurance that such licenses, permits or registrations will be obtained by such vendors. The failure of any such vendors to obtain any required licenses, permits or registrations on a timely basis could materially adversely affect our Gaming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Tropicana's operations are subject to numerous laws and regulations resulting from its presence in several states and diverse operating activities.</w:t>
      </w:r>
    </w:p>
    <w:p>
      <w:pPr>
        <w:spacing w:after="0" w:line="121" w:lineRule="exact"/>
        <w:rPr>
          <w:sz w:val="20"/>
          <w:szCs w:val="20"/>
          <w:color w:val="auto"/>
        </w:rPr>
      </w:pPr>
    </w:p>
    <w:p>
      <w:pPr>
        <w:ind w:right="120" w:firstLine="378"/>
        <w:spacing w:after="0" w:line="255" w:lineRule="auto"/>
        <w:rPr>
          <w:sz w:val="20"/>
          <w:szCs w:val="20"/>
          <w:color w:val="auto"/>
        </w:rPr>
      </w:pPr>
      <w:r>
        <w:rPr>
          <w:rFonts w:ascii="Times New Roman" w:cs="Times New Roman" w:eastAsia="Times New Roman" w:hAnsi="Times New Roman"/>
          <w:sz w:val="18"/>
          <w:szCs w:val="18"/>
          <w:color w:val="auto"/>
        </w:rPr>
        <w:t>In addition to gaming regulations, Tropicana is also subject to various federal, state and local laws and regulations affecting businesses in general. Tropicana operates hotels, restaurants, entertainment facilities, parking garages, swimming pools, riverboats and other facilities connected with its core gaming business. Many of these activities are subject to state and local laws and regulations. Such laws and regulations could change or could be interpreted differently in the future, or new laws and regulations could be enacted. For example, in July 2006, New Jersey gaming properties, including Tropicana AC, were required to temporarily close their casinos for three days as a result of a New Jersey statewide government shutdown that affected certain New Jersey state employees required to be at casinos when they are open for business that resulted in loss of revenues. Any cessation of operations as a result of a government shutdown, or similar events resulting from laws and regulations affecting businesses, could materially adversely affect our Gaming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changes in legislation and regulation could negatively impact Tropicana's gaming operations.</w:t>
      </w:r>
    </w:p>
    <w:p>
      <w:pPr>
        <w:spacing w:after="0" w:line="121" w:lineRule="exact"/>
        <w:rPr>
          <w:sz w:val="20"/>
          <w:szCs w:val="20"/>
          <w:color w:val="auto"/>
        </w:rPr>
      </w:pPr>
    </w:p>
    <w:p>
      <w:pPr>
        <w:ind w:right="180" w:firstLine="378"/>
        <w:spacing w:after="0" w:line="258" w:lineRule="auto"/>
        <w:rPr>
          <w:sz w:val="20"/>
          <w:szCs w:val="20"/>
          <w:color w:val="auto"/>
        </w:rPr>
      </w:pPr>
      <w:r>
        <w:rPr>
          <w:rFonts w:ascii="Times New Roman" w:cs="Times New Roman" w:eastAsia="Times New Roman" w:hAnsi="Times New Roman"/>
          <w:sz w:val="18"/>
          <w:szCs w:val="18"/>
          <w:color w:val="auto"/>
        </w:rPr>
        <w:t>From time to time, legislators and special interest groups propose legislation that would expand, restrict, or prevent gaming operations in the jurisdictions in which Tropicana operates and in neighboring jurisdictions. Further, from time to time, individual jurisdictions have considered or enacted legislation and referenda, such as bans on smoking in casinos and other entertainment and dining facilities, which could adversely affect Tropicana and, accordingly, our Gaming segment. Any restriction on or prohibition relating to our Gaming segment, or enactment of other adverse legislation or regulatory changes, could materially adversely affect our Gaming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Tropicana may be subject to increases in taxation and fees resulting from its gaming operations.</w:t>
      </w:r>
    </w:p>
    <w:p>
      <w:pPr>
        <w:spacing w:after="0" w:line="121" w:lineRule="exact"/>
        <w:rPr>
          <w:sz w:val="20"/>
          <w:szCs w:val="20"/>
          <w:color w:val="auto"/>
        </w:rPr>
      </w:pPr>
    </w:p>
    <w:p>
      <w:pPr>
        <w:ind w:right="40" w:firstLine="378"/>
        <w:spacing w:after="0" w:line="256" w:lineRule="auto"/>
        <w:rPr>
          <w:sz w:val="20"/>
          <w:szCs w:val="20"/>
          <w:color w:val="auto"/>
        </w:rPr>
      </w:pPr>
      <w:r>
        <w:rPr>
          <w:rFonts w:ascii="Times New Roman" w:cs="Times New Roman" w:eastAsia="Times New Roman" w:hAnsi="Times New Roman"/>
          <w:sz w:val="18"/>
          <w:szCs w:val="18"/>
          <w:color w:val="auto"/>
        </w:rPr>
        <w:t>The casino gaming industry represents a significant source of tax revenues to the various jurisdictions in which casinos operate. Gaming companies are currently subject to significant federal, state and local taxes and fees in addition to the federal and state income taxes that typically apply to corporations, and such taxes and fees could increase at any time. From time to time, various state and federal legislators and officials have proposed changes in tax laws or in the administration of such laws, including increases in tax rates, which would affect the gaming industry. Economic conditions could intensify the efforts of federal, state and local governments to raise revenues through increases in gaming taxes and fees. In addition, growing federal, state or local budget shortfalls resulting from the recent recession could prompt tax or fee increases. Any material increase in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00"/>
          </w:cols>
          <w:pgMar w:left="240" w:top="472" w:right="2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assessed taxes, or the adoption of additional taxes or fees in any of Tropicana's markets could materially adversely affect our Gaming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risks associated with international operations could affect Tropicana's ability to pursue expansion opportunities.</w:t>
      </w:r>
    </w:p>
    <w:p>
      <w:pPr>
        <w:spacing w:after="0" w:line="121" w:lineRule="exact"/>
        <w:rPr>
          <w:sz w:val="20"/>
          <w:szCs w:val="20"/>
          <w:color w:val="auto"/>
        </w:rPr>
      </w:pPr>
    </w:p>
    <w:p>
      <w:pPr>
        <w:ind w:right="140" w:firstLine="378"/>
        <w:spacing w:after="0" w:line="258" w:lineRule="auto"/>
        <w:rPr>
          <w:sz w:val="20"/>
          <w:szCs w:val="20"/>
          <w:color w:val="auto"/>
        </w:rPr>
      </w:pPr>
      <w:r>
        <w:rPr>
          <w:rFonts w:ascii="Times New Roman" w:cs="Times New Roman" w:eastAsia="Times New Roman" w:hAnsi="Times New Roman"/>
          <w:sz w:val="18"/>
          <w:szCs w:val="18"/>
          <w:color w:val="auto"/>
        </w:rPr>
        <w:t>Tropicana currently operates a small temporary casino at it property on the Caribbean island of Aruba and is considering plans to develop a permanent casino. Tropicana's plan to develop a permanent casino resort in Aruba has not been finalized and it may decide not to proceed. In addition, international operations are subject to inherent risks including variation in local economies, currency fluctuation, greater difficulty in accounts receivable collection, trade barriers, burden of complying with a variety of international laws, and political and economic instability. Each of these risks could impair Tropicana's ability to execute its business strategy and adversely affect our Gaming operations.</w:t>
      </w:r>
    </w:p>
    <w:p>
      <w:pPr>
        <w:spacing w:after="0" w:line="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violation of the Foreign Corrupt Practices Act or applicable Anti-Money Laundering laws or regulations such as the Bank Secrecy Act could have a negative impact on our Gaming operations.</w:t>
      </w:r>
    </w:p>
    <w:p>
      <w:pPr>
        <w:spacing w:after="0" w:line="51" w:lineRule="exact"/>
        <w:rPr>
          <w:sz w:val="20"/>
          <w:szCs w:val="20"/>
          <w:color w:val="auto"/>
        </w:rPr>
      </w:pPr>
    </w:p>
    <w:p>
      <w:pPr>
        <w:ind w:firstLine="378"/>
        <w:spacing w:after="0" w:line="252" w:lineRule="auto"/>
        <w:rPr>
          <w:sz w:val="20"/>
          <w:szCs w:val="20"/>
          <w:color w:val="auto"/>
        </w:rPr>
      </w:pPr>
      <w:r>
        <w:rPr>
          <w:rFonts w:ascii="Times New Roman" w:cs="Times New Roman" w:eastAsia="Times New Roman" w:hAnsi="Times New Roman"/>
          <w:sz w:val="18"/>
          <w:szCs w:val="18"/>
          <w:color w:val="auto"/>
        </w:rPr>
        <w:t>Tropicana is subject to risks associated with doing business outside of the United States, which exposes it to complex foreign and U.S. regulations inherent in doing business cross-border and in each of the countries in which it transacts business. Tropicana is subject to regulations imposed by the Foreign Corrupt Practices Act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the FCPA. Internal control policies and procedures and employee training and compliance programs that Tropicana has implemented to deter prohibited practices may not be effective in prohibiting its directors, employees, contractors or agents from violating or circumventing its policies and the law. If Tropicana's directors, employees or agents fail to comply with applicable laws or company policies governing its international operations, Tropicana may face investigations, prosecutions and other legal proceedings and actions which could result in civil penalties, administrative remedies and criminal sanctions. Any determination that Tropicana has violated the FCPA could have a material adverse effect on our Gaming segment's financial condition. Compliance with international and U.S. laws and regulations that apply to Tropicana's international operations increases its cost of doing business in foreign jurisdictions. Tropicana also deals with significant amounts of cash in its operations and are subject to various reporting and anti-money laundering regulations such as the Bank Secrecy Act (the “BSA”). The Internal Revenue Service and Financial Crimes Enforcement Network monitor casino compliance with casino filing of Currency Transaction Reports (“CTR”) and Suspicious Activity Report (“SAR”) and anti-money laundering (“AML”) programs and have recently stepped-up enforcement activities involving non-compliant casinos. Internal control policies and procedures and employee training, AML compliance programs and internal audits involving CTR and SAR filings have been implemented to enhance compliance and detect problems. Any violation of anti-money laundering laws or regulations by any of Tropicana's resorts could have a negative effect on our Gaming segment's results of operations.</w:t>
      </w:r>
    </w:p>
    <w:p>
      <w:pPr>
        <w:spacing w:after="0" w:line="82"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Tropicana could encounter problems during development, construction, renovation and refurbishment of our properties that could increase the construction costs or delay their completion. In addition, Tropicana may not be able to complete projects if it does not obtain all necessary permits, licenses, grants and approvals.</w:t>
      </w:r>
    </w:p>
    <w:p>
      <w:pPr>
        <w:spacing w:after="0" w:line="67" w:lineRule="exact"/>
        <w:rPr>
          <w:sz w:val="20"/>
          <w:szCs w:val="20"/>
          <w:color w:val="auto"/>
        </w:rPr>
      </w:pPr>
    </w:p>
    <w:p>
      <w:pPr>
        <w:ind w:firstLine="378"/>
        <w:spacing w:after="0" w:line="282" w:lineRule="auto"/>
        <w:rPr>
          <w:sz w:val="20"/>
          <w:szCs w:val="20"/>
          <w:color w:val="auto"/>
        </w:rPr>
      </w:pPr>
      <w:r>
        <w:rPr>
          <w:rFonts w:ascii="Times New Roman" w:cs="Times New Roman" w:eastAsia="Times New Roman" w:hAnsi="Times New Roman"/>
          <w:sz w:val="18"/>
          <w:szCs w:val="18"/>
          <w:color w:val="auto"/>
        </w:rPr>
        <w:t>Construction projects like the development, construction, renovation and refurbishment of Tropicana AC, MontBleu and Tropicana Aruba are subject to significant development and construction risks, any of which could cause unanticipated cost increases and delays. These include, among others, the following:</w:t>
      </w:r>
    </w:p>
    <w:p>
      <w:pPr>
        <w:spacing w:after="0" w:line="54" w:lineRule="exact"/>
        <w:rPr>
          <w:sz w:val="20"/>
          <w:szCs w:val="20"/>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that damage the project or cause delays;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plans or specifications;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and increased costs of energy, materials and skilled labor;</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problems;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and work stoppages;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 flooding and other natural disasters; and</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construction, excavation, regulatory and equipment problems.</w:t>
      </w:r>
    </w:p>
    <w:p>
      <w:pPr>
        <w:spacing w:after="0" w:line="117" w:lineRule="exact"/>
        <w:rPr>
          <w:sz w:val="20"/>
          <w:szCs w:val="20"/>
          <w:color w:val="auto"/>
        </w:rPr>
      </w:pPr>
    </w:p>
    <w:p>
      <w:pPr>
        <w:ind w:right="60" w:firstLine="378"/>
        <w:spacing w:after="0" w:line="261" w:lineRule="auto"/>
        <w:rPr>
          <w:sz w:val="20"/>
          <w:szCs w:val="20"/>
          <w:color w:val="auto"/>
        </w:rPr>
      </w:pPr>
      <w:r>
        <w:rPr>
          <w:rFonts w:ascii="Times New Roman" w:cs="Times New Roman" w:eastAsia="Times New Roman" w:hAnsi="Times New Roman"/>
          <w:sz w:val="18"/>
          <w:szCs w:val="18"/>
          <w:color w:val="auto"/>
        </w:rPr>
        <w:t>In addition, certain permits, licenses, grants and approvals necessary for the development, construction and operation have not been obtained. The scope of the approvals required for projects vary. Unexpected changes or concessions required by regulatory authorities could involve significant additional costs and result in delay in the scheduled. Tropicana may not receive the necessary licenses, grants and approvals or obtain them within its anticipated time frame. For example, Tropicana's current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472" w:right="239" w:bottom="1440" w:gutter="0" w:footer="0" w:header="0"/>
        </w:sectPr>
      </w:pPr>
    </w:p>
    <w:bookmarkStart w:id="77" w:name="page78"/>
    <w:bookmarkEnd w:id="77"/>
    <w:p>
      <w:pPr>
        <w:ind w:right="360"/>
        <w:spacing w:after="0" w:line="261" w:lineRule="auto"/>
        <w:rPr>
          <w:sz w:val="20"/>
          <w:szCs w:val="20"/>
          <w:color w:val="auto"/>
        </w:rPr>
      </w:pPr>
      <w:r>
        <w:rPr>
          <w:rFonts w:ascii="Times New Roman" w:cs="Times New Roman" w:eastAsia="Times New Roman" w:hAnsi="Times New Roman"/>
          <w:sz w:val="18"/>
          <w:szCs w:val="18"/>
          <w:color w:val="auto"/>
        </w:rPr>
        <w:t>Tropicana AC capital renovation project that was commenced in 2014 required grant and other financing approvals from various state agencies as well as approval of its plans by various federal, state and local regulatory agencies in order for it to proceed with construction. In addition, even if Tropicana completes any development, construction, renovation and refurbishment projects, it cannot assure you that it will achieve all of, or any of, the anticipated benefits of such projects.</w:t>
      </w:r>
    </w:p>
    <w:p>
      <w:pPr>
        <w:spacing w:after="0" w:line="6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Gaming operations could be materially adversely affected by the occurrence of accidents, natural disasters, such as hurricanes, or other catastrophic events, including war and terrorism.</w:t>
      </w:r>
    </w:p>
    <w:p>
      <w:pPr>
        <w:spacing w:after="0" w:line="51" w:lineRule="exact"/>
        <w:rPr>
          <w:sz w:val="20"/>
          <w:szCs w:val="20"/>
          <w:color w:val="auto"/>
        </w:rPr>
      </w:pPr>
    </w:p>
    <w:p>
      <w:pPr>
        <w:ind w:right="20" w:firstLine="378"/>
        <w:spacing w:after="0" w:line="253" w:lineRule="auto"/>
        <w:rPr>
          <w:sz w:val="20"/>
          <w:szCs w:val="20"/>
          <w:color w:val="auto"/>
        </w:rPr>
      </w:pPr>
      <w:r>
        <w:rPr>
          <w:rFonts w:ascii="Times New Roman" w:cs="Times New Roman" w:eastAsia="Times New Roman" w:hAnsi="Times New Roman"/>
          <w:sz w:val="18"/>
          <w:szCs w:val="18"/>
          <w:color w:val="auto"/>
        </w:rPr>
        <w:t>Natural disasters, such as hurricanes, floods, fires and earthquakes, could adversely affect our Gaming operations. Hurricanes are common to the areas in which Tropicana's Louisiana and Mississippi properties are located and the severity of such natural disasters is unpredictable. In October 2012, Hurricane Sandy resulted in the mandatory closure of Tropicana AC for approximately five days. Although the property did not incur any significant property damage, the severity of the property damage to a large portion of the Atlantic City feeder markets including New Jersey, New York and Pennsylvania resulted in a long term business interruption that continued into 2013 and materially affected operating results. Likewise, in August 2011, Hurricane Irene and mandatory governmental evacuation orders for Atlantic City caused an approximately three-day closure of Tropicana AC, adversely affecting our Gaming operations. In May 2011, both of Tropicana's properties in Greenville, Mississippi, Lighthouse Point and Jubilee were closed for approximately 29 days as a result of Mississippi River flooding causing substantial damage at its Lighthouse Point property and adversely affected our Gaming segment's operating results at its Greenville facilities. Likewise, in August 2012, Tropicana's property in Louisiana was forced to temporarily close for approximately 2 days as a result of Hurricane Isaac. We cannot predict the impact that any future natural disasters will have on Tropicana's ability to maintain its customer base or to sustain its business activities.</w:t>
      </w:r>
    </w:p>
    <w:p>
      <w:pPr>
        <w:spacing w:after="0" w:line="85" w:lineRule="exact"/>
        <w:rPr>
          <w:sz w:val="20"/>
          <w:szCs w:val="20"/>
          <w:color w:val="auto"/>
        </w:rPr>
      </w:pPr>
    </w:p>
    <w:p>
      <w:pPr>
        <w:ind w:right="100" w:firstLine="378"/>
        <w:spacing w:after="0" w:line="266" w:lineRule="auto"/>
        <w:rPr>
          <w:sz w:val="20"/>
          <w:szCs w:val="20"/>
          <w:color w:val="auto"/>
        </w:rPr>
      </w:pPr>
      <w:r>
        <w:rPr>
          <w:rFonts w:ascii="Times New Roman" w:cs="Times New Roman" w:eastAsia="Times New Roman" w:hAnsi="Times New Roman"/>
          <w:sz w:val="18"/>
          <w:szCs w:val="18"/>
          <w:color w:val="auto"/>
        </w:rPr>
        <w:t>Moreover, Tropicana's riverboats will face additional risks from the movement of vessels on waterways, such as collisions with other vessels or damage from debris in the water. Reduced patronage and the loss of a dockside or riverboat casino from service for any period of time could materially adversely affect our Gaming operations.</w:t>
      </w:r>
    </w:p>
    <w:p>
      <w:pPr>
        <w:spacing w:after="0" w:line="68" w:lineRule="exact"/>
        <w:rPr>
          <w:sz w:val="20"/>
          <w:szCs w:val="20"/>
          <w:color w:val="auto"/>
        </w:rPr>
      </w:pPr>
    </w:p>
    <w:p>
      <w:pPr>
        <w:ind w:right="80" w:firstLine="378"/>
        <w:spacing w:after="0" w:line="258" w:lineRule="auto"/>
        <w:rPr>
          <w:sz w:val="20"/>
          <w:szCs w:val="20"/>
          <w:color w:val="auto"/>
        </w:rPr>
      </w:pPr>
      <w:r>
        <w:rPr>
          <w:rFonts w:ascii="Times New Roman" w:cs="Times New Roman" w:eastAsia="Times New Roman" w:hAnsi="Times New Roman"/>
          <w:sz w:val="18"/>
          <w:szCs w:val="18"/>
          <w:color w:val="auto"/>
        </w:rPr>
        <w:t>Catastrophic events such as terrorist and war activities in the United States and elsewhere have had a negative effect on travel and leisure expenditures, including lodging, gaming (in some jurisdictions), and tourism. In addition, any man-made or natural disasters in or around Tropicana's properties could have a materially adverse effect on our Gaming operations. We cannot predict the extent to which such events may affect Tropicana and, accordingly, our Gaming segment, directly or indirectly, in the future. We also cannot ensure that Tropicana will be able to obtain any insurance coverage with respect to occurrences of terrorist acts and any losses that could result from these acts.</w:t>
      </w:r>
    </w:p>
    <w:p>
      <w:pPr>
        <w:spacing w:after="0" w:line="76" w:lineRule="exact"/>
        <w:rPr>
          <w:sz w:val="20"/>
          <w:szCs w:val="20"/>
          <w:color w:val="auto"/>
        </w:rPr>
      </w:pPr>
    </w:p>
    <w:p>
      <w:pPr>
        <w:ind w:right="560" w:firstLine="378"/>
        <w:spacing w:after="0" w:line="282" w:lineRule="auto"/>
        <w:rPr>
          <w:sz w:val="20"/>
          <w:szCs w:val="20"/>
          <w:color w:val="auto"/>
        </w:rPr>
      </w:pPr>
      <w:r>
        <w:rPr>
          <w:rFonts w:ascii="Times New Roman" w:cs="Times New Roman" w:eastAsia="Times New Roman" w:hAnsi="Times New Roman"/>
          <w:sz w:val="18"/>
          <w:szCs w:val="18"/>
          <w:color w:val="auto"/>
        </w:rPr>
        <w:t>In the future, the prolonged disruption at any of Tropicana's properties due to natural disasters, terrorist attacks, or other catastrophic events could materially adversely affect our Gaming operations.</w:t>
      </w:r>
    </w:p>
    <w:p>
      <w:pPr>
        <w:spacing w:after="0" w:line="54" w:lineRule="exact"/>
        <w:rPr>
          <w:sz w:val="20"/>
          <w:szCs w:val="20"/>
          <w:color w:val="auto"/>
        </w:rPr>
      </w:pPr>
    </w:p>
    <w:p>
      <w:pPr>
        <w:ind w:right="260" w:firstLine="378"/>
        <w:spacing w:after="0" w:line="261" w:lineRule="auto"/>
        <w:rPr>
          <w:sz w:val="20"/>
          <w:szCs w:val="20"/>
          <w:color w:val="auto"/>
        </w:rPr>
      </w:pPr>
      <w:r>
        <w:rPr>
          <w:rFonts w:ascii="Times New Roman" w:cs="Times New Roman" w:eastAsia="Times New Roman" w:hAnsi="Times New Roman"/>
          <w:sz w:val="18"/>
          <w:szCs w:val="18"/>
          <w:color w:val="auto"/>
        </w:rPr>
        <w:t>Leisure and business travel, especially travel by air, are particularly susceptible to global geopolitical events, such as terrorist attacks or acts of war or hostility. These events can create economic and political uncertainties that could adversely impact Tropicana's business levels. Furthermore, although Tropicana may have some insurance coverage for certain types of terrorist acts, insurance coverage against loss or business interruption resulting from war and some forms of terrorism may be unavailable.</w:t>
      </w:r>
    </w:p>
    <w:p>
      <w:pPr>
        <w:spacing w:after="0" w:line="68"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Tropicana's properties, including riverboats and dockside facilities, are subject to risks relating to mechanical failure, weather and regulatory compliance.</w:t>
      </w:r>
    </w:p>
    <w:p>
      <w:pPr>
        <w:spacing w:after="0" w:line="51" w:lineRule="exact"/>
        <w:rPr>
          <w:sz w:val="20"/>
          <w:szCs w:val="20"/>
          <w:color w:val="auto"/>
        </w:rPr>
      </w:pPr>
    </w:p>
    <w:p>
      <w:pPr>
        <w:ind w:firstLine="378"/>
        <w:spacing w:after="0" w:line="253" w:lineRule="auto"/>
        <w:rPr>
          <w:sz w:val="20"/>
          <w:szCs w:val="20"/>
          <w:color w:val="auto"/>
        </w:rPr>
      </w:pPr>
      <w:r>
        <w:rPr>
          <w:rFonts w:ascii="Times New Roman" w:cs="Times New Roman" w:eastAsia="Times New Roman" w:hAnsi="Times New Roman"/>
          <w:sz w:val="18"/>
          <w:szCs w:val="18"/>
          <w:color w:val="auto"/>
        </w:rPr>
        <w:t>All of Tropicana's facilities are subject to the risk that operations could be halted for a temporary or extended period of time, as result of casualty, forces of nature, mechanical failure or extended or extraordinary maintenance, among other causes. In addition, Tropicana's gaming operations, particularly those conducted on riverboats or at dockside facilities, could be damaged or halted due to extreme weather conditions. In October 2012 Hurricane Sandy resulted in the mandatory closure of Tropicana AC for approximately five days. Although the property did not incur any significant property damage, the severity of the property damage to a large portion of the Atlantic City feeder markets including New Jersey, New York and Pennsylvania has resulted in long term business interruption that continued into 2013 and materially affected operating results. Likewise, in August 2011 Hurricane Irene and mandatory governmental evacuation orders for Atlantic City caused an approximately three-day closure of Tropicana AC, adversely affecting our Gaming operations. In May 2011 both of Tropicana's properties in Greenville, Mississippi, Lighthouse Point and Jubilee were closed for approximately 29 days as a result of Mississippi River flooding causing substantial damage at its Lighthouse Point property and adversely affected our Gaming segment's operating results at its Greenville facilities. Likewise, in August 2012 Tropicana's property in Louisiana was forced to temporarily close for approximately 2 days as a result of Hurricane Isaac. Each of Tropicana's riverboats must comply with U.S. Coast Guard requirements as to boat design, on-board facilities, equipment, personnel and safety. Each riverboat must hold a Certificate of Inspection for stabilization and flotation, and may also be subject to local zoning codes. The U.S. Coast Guard requirements establish standards, set limits on the operation of the vessels and require individual licensing of all personnel involved with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72"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operation of the vessels. Loss of a vessel's Certificate of Inspection or American Bureau of Shipping approval would preclude its use as a casino.</w:t>
      </w:r>
    </w:p>
    <w:p>
      <w:pPr>
        <w:spacing w:after="0" w:line="117" w:lineRule="exact"/>
        <w:rPr>
          <w:sz w:val="20"/>
          <w:szCs w:val="20"/>
          <w:color w:val="auto"/>
        </w:rPr>
      </w:pPr>
    </w:p>
    <w:p>
      <w:pPr>
        <w:ind w:right="60" w:firstLine="378"/>
        <w:spacing w:after="0" w:line="255" w:lineRule="auto"/>
        <w:rPr>
          <w:sz w:val="20"/>
          <w:szCs w:val="20"/>
          <w:color w:val="auto"/>
        </w:rPr>
      </w:pPr>
      <w:r>
        <w:rPr>
          <w:rFonts w:ascii="Times New Roman" w:cs="Times New Roman" w:eastAsia="Times New Roman" w:hAnsi="Times New Roman"/>
          <w:sz w:val="18"/>
          <w:szCs w:val="18"/>
          <w:color w:val="auto"/>
        </w:rPr>
        <w:t>Except for Tropicana's riverboats that have opted for alternate inspection by the American Bureau of Shipping allowed in those gaming jurisdictions where Tropicana operates that provide for such alternative inspections, U.S. Coast Guard regulations require a hull inspection for all riverboats at five-year intervals. Under certain circumstances, alternative hull inspections may be approved. The U.S. Coast Guard may require that such hull inspections be conducted at a dry-docking facility and, if so required, the cost of travel to and from such docking facility, as well as the time required for inspections of the affected riverboats, could be significant. To date, the U.S. Coast Guard has allowed in-place inspections of Tropicana's riverboats. The U.S. Coast Guard may not allow these types of inspections in the future. The loss of a riverboat casino from service for any period of time could materially adversely affect our Gaming operations.</w:t>
      </w:r>
    </w:p>
    <w:p>
      <w:pPr>
        <w:spacing w:after="0" w:line="81" w:lineRule="exact"/>
        <w:rPr>
          <w:sz w:val="20"/>
          <w:szCs w:val="20"/>
          <w:color w:val="auto"/>
        </w:rPr>
      </w:pPr>
    </w:p>
    <w:p>
      <w:pPr>
        <w:ind w:right="40" w:firstLine="378"/>
        <w:spacing w:after="0" w:line="272" w:lineRule="auto"/>
        <w:rPr>
          <w:sz w:val="20"/>
          <w:szCs w:val="20"/>
          <w:color w:val="auto"/>
        </w:rPr>
      </w:pPr>
      <w:r>
        <w:rPr>
          <w:rFonts w:ascii="Times New Roman" w:cs="Times New Roman" w:eastAsia="Times New Roman" w:hAnsi="Times New Roman"/>
          <w:sz w:val="17"/>
          <w:szCs w:val="17"/>
          <w:color w:val="auto"/>
        </w:rPr>
        <w:t>U.S. Coast Guard regulations also require certain of Tropicana's properties to prepare and follow certain security programs. In the first quarter of 2003, Casino Aztar implemented the American Gaming Association's Alternative Security Program at its riverboat casino. In November 2012, the Indiana Gaming Commission approved Casino Aztar to convert from a self-propelled riverboat to a permanently moored craft designation, contingent on successful completion of an emergency drill package to be approved by American Bureau of Shipping ("ABS") and the addition of an additional passenger egress before the next annual inspection of the vessel in October 2013. In December 2012, the United States Coast Guard relinquished regulatory oversight of the Casino Aztar vessel after successful completion of the ABS drills, negating the requirement for the Alternative Security Program. Belle of Baton Rouge applies a customized alternative security program. The American Gaming Association's Alternative Security Program is specifically designed to address maritime security requirements at riverboat casinos and their respective dockside facilities. Changes to these regulations could adversely affect our Gaming operations.</w:t>
      </w:r>
    </w:p>
    <w:p>
      <w:pPr>
        <w:spacing w:after="0" w:line="6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Noncompliance with environmental, health and safety regulations applicable to Tropicana's hotels and casinos could adversely affect Tropicana's results of operations.</w:t>
      </w:r>
    </w:p>
    <w:p>
      <w:pPr>
        <w:spacing w:after="0" w:line="51"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As the owner, operator and developer of real property, Tropicana must address, and may be liable for, hazardous materials or contamination of these sites and any other off-site locations at which any hazardous material that its activities generate are disposed. Tropicana's ongoing operations are subject to stringent regulations relating to the protection of the environment and handling of waste, particularly with respect to the management of wastewater from its facilities. Any failure to comply with existing laws or regulations, the adoption of new laws or regulations with additional or more rigorous compliance standards, or the more vigorous enforcement of environmental laws or regulations could limit Tropicana's future opportunities and, accordingly, could materially adversely affect our Gaming operations by increasing its expenses and limiting its future opportunities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concentration and evolution of the slot machine manufacturing industry could impose additional costs on Tropicana's operations.</w:t>
      </w:r>
    </w:p>
    <w:p>
      <w:pPr>
        <w:spacing w:after="0" w:line="121" w:lineRule="exact"/>
        <w:rPr>
          <w:sz w:val="20"/>
          <w:szCs w:val="20"/>
          <w:color w:val="auto"/>
        </w:rPr>
      </w:pPr>
    </w:p>
    <w:p>
      <w:pPr>
        <w:ind w:right="80" w:firstLine="378"/>
        <w:spacing w:after="0" w:line="255" w:lineRule="auto"/>
        <w:rPr>
          <w:sz w:val="20"/>
          <w:szCs w:val="20"/>
          <w:color w:val="auto"/>
        </w:rPr>
      </w:pPr>
      <w:r>
        <w:rPr>
          <w:rFonts w:ascii="Times New Roman" w:cs="Times New Roman" w:eastAsia="Times New Roman" w:hAnsi="Times New Roman"/>
          <w:sz w:val="18"/>
          <w:szCs w:val="18"/>
          <w:color w:val="auto"/>
        </w:rPr>
        <w:t>A majority of Tropicana's gaming revenue is attributable to slot machines operated at its gaming facilities. It is important, for competitive reasons that Tropicana offer popular and technologically advanced slot machine games to its customers. A substantial majority of the slot machines sold in the United States in recent years were manufactured by a limited number of companies. A deterioration in the commercial arrangements with any of these slot machine manufacturers, or significant industry demand, could result in Tropicana being unable to acquire the slot machines desired by its customers or could result in manufacturers significantly increasing the cost of these machines. Going forward, the inability to obtain new and up-to-date slot machine games could impair Tropicana's competitive position and result in decreased gaming revenues at its casinos. In addition, increases in the costs associated with acquiring slot machine games could adversely Tropicana's profitability and, accordingly, have a material adverse effect on our Gaming segment.</w:t>
      </w:r>
    </w:p>
    <w:p>
      <w:pPr>
        <w:spacing w:after="0" w:line="81" w:lineRule="exact"/>
        <w:rPr>
          <w:sz w:val="20"/>
          <w:szCs w:val="20"/>
          <w:color w:val="auto"/>
        </w:rPr>
      </w:pPr>
    </w:p>
    <w:p>
      <w:pPr>
        <w:ind w:right="100" w:firstLine="378"/>
        <w:spacing w:after="0" w:line="255" w:lineRule="auto"/>
        <w:rPr>
          <w:sz w:val="20"/>
          <w:szCs w:val="20"/>
          <w:color w:val="auto"/>
        </w:rPr>
      </w:pPr>
      <w:r>
        <w:rPr>
          <w:rFonts w:ascii="Times New Roman" w:cs="Times New Roman" w:eastAsia="Times New Roman" w:hAnsi="Times New Roman"/>
          <w:sz w:val="18"/>
          <w:szCs w:val="18"/>
          <w:color w:val="auto"/>
        </w:rPr>
        <w:t>In recent years, the prices of new slot machines have dramatically increased. Furthermore, in recent years, slot machine manufacturers have frequently refused to sell slot machines featuring the most popular games, instead requiring gaming operators to execute participation lease arrangements for them to be able to offer such machines to patrons. Participation slot machine leasing arrangements typically require the payment of a fixed daily rental fee. Such agreements may (depending on regulatory restrictions in the applicable jurisdiction) also include a percentage payment to the manufacturer based on the usage of the machine or the gaming company's receipts from the machine, sometimes referred to as "coin-in" or "net win" percentage payments. Generally, a slot machine participation lease is more expensive over the long term than the cost of purchasing a new slot machine. Tropicana has slot machine participation leases at each of its properties.</w:t>
      </w:r>
    </w:p>
    <w:p>
      <w:pPr>
        <w:spacing w:after="0" w:line="81" w:lineRule="exact"/>
        <w:rPr>
          <w:sz w:val="20"/>
          <w:szCs w:val="20"/>
          <w:color w:val="auto"/>
        </w:rPr>
      </w:pPr>
    </w:p>
    <w:p>
      <w:pPr>
        <w:ind w:right="20" w:firstLine="378"/>
        <w:spacing w:after="0" w:line="266" w:lineRule="auto"/>
        <w:rPr>
          <w:sz w:val="20"/>
          <w:szCs w:val="20"/>
          <w:color w:val="auto"/>
        </w:rPr>
      </w:pPr>
      <w:r>
        <w:rPr>
          <w:rFonts w:ascii="Times New Roman" w:cs="Times New Roman" w:eastAsia="Times New Roman" w:hAnsi="Times New Roman"/>
          <w:sz w:val="18"/>
          <w:szCs w:val="18"/>
          <w:color w:val="auto"/>
        </w:rPr>
        <w:t>For competitive reasons, Tropicana may be forced to purchase new, more contemporary slot machines, or enter into participation lease arrangements that are more expensive than the costs currently associated with the continued operation of existing slot machines. If the newer slot machines do not result in sufficient incremental revenues to offset the increased investment and participation lease costs, it could materially adversely affect our Gaming operations.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472"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Tropicana may not have or be able to obtain sufficient insurance coverage to replace or cover the full value of losses it may suffer.</w:t>
      </w:r>
    </w:p>
    <w:p>
      <w:pPr>
        <w:spacing w:after="0" w:line="121" w:lineRule="exact"/>
        <w:rPr>
          <w:sz w:val="20"/>
          <w:szCs w:val="20"/>
          <w:color w:val="auto"/>
        </w:rPr>
      </w:pPr>
    </w:p>
    <w:p>
      <w:pPr>
        <w:ind w:right="460" w:firstLine="378"/>
        <w:spacing w:after="0" w:line="261" w:lineRule="auto"/>
        <w:rPr>
          <w:sz w:val="20"/>
          <w:szCs w:val="20"/>
          <w:color w:val="auto"/>
        </w:rPr>
      </w:pPr>
      <w:r>
        <w:rPr>
          <w:rFonts w:ascii="Times New Roman" w:cs="Times New Roman" w:eastAsia="Times New Roman" w:hAnsi="Times New Roman"/>
          <w:sz w:val="18"/>
          <w:szCs w:val="18"/>
          <w:color w:val="auto"/>
        </w:rPr>
        <w:t>Tropicana's casino properties may be subject to extreme weather conditions, including, but not limited to, hurricanes and floods. In the future, such extreme weather conditions may interrupt its operations, damage its properties and reduce the number of customers who visit its facilities. Although Tropicana maintains both property and business interruption insurance coverage for certain extreme weather conditions, such coverage is subject to deductibles and limits on maximum benefits, including limitation on the coverage period for business interruption.</w:t>
      </w:r>
    </w:p>
    <w:p>
      <w:pPr>
        <w:spacing w:after="0" w:line="72" w:lineRule="exact"/>
        <w:rPr>
          <w:sz w:val="20"/>
          <w:szCs w:val="20"/>
          <w:color w:val="auto"/>
        </w:rPr>
      </w:pPr>
    </w:p>
    <w:p>
      <w:pPr>
        <w:ind w:firstLine="378"/>
        <w:spacing w:after="0" w:line="261" w:lineRule="auto"/>
        <w:rPr>
          <w:sz w:val="20"/>
          <w:szCs w:val="20"/>
          <w:color w:val="auto"/>
        </w:rPr>
      </w:pPr>
      <w:r>
        <w:rPr>
          <w:rFonts w:ascii="Times New Roman" w:cs="Times New Roman" w:eastAsia="Times New Roman" w:hAnsi="Times New Roman"/>
          <w:sz w:val="18"/>
          <w:szCs w:val="18"/>
          <w:color w:val="auto"/>
        </w:rPr>
        <w:t>We cannot assure you that Tropicana will be able to fully insure such losses or fully collect, if at all, on claims resulting from such extreme weather conditions. In addition, extreme weather events such as hurricanes and floods have resulted in increases in insurance premiums, increased deductibles and less favorable coverage terms. Furthermore, such extreme weather conditions may interrupt or impede access to Tropicana's affected properties and may cause visits to its affected properties to decrease for an indefinite period.</w:t>
      </w:r>
    </w:p>
    <w:p>
      <w:pPr>
        <w:spacing w:after="0" w:line="72" w:lineRule="exact"/>
        <w:rPr>
          <w:sz w:val="20"/>
          <w:szCs w:val="20"/>
          <w:color w:val="auto"/>
        </w:rPr>
      </w:pPr>
    </w:p>
    <w:p>
      <w:pPr>
        <w:ind w:right="120" w:firstLine="378"/>
        <w:spacing w:after="0" w:line="258" w:lineRule="auto"/>
        <w:rPr>
          <w:sz w:val="20"/>
          <w:szCs w:val="20"/>
          <w:color w:val="auto"/>
        </w:rPr>
      </w:pPr>
      <w:r>
        <w:rPr>
          <w:rFonts w:ascii="Times New Roman" w:cs="Times New Roman" w:eastAsia="Times New Roman" w:hAnsi="Times New Roman"/>
          <w:sz w:val="18"/>
          <w:szCs w:val="18"/>
          <w:color w:val="auto"/>
        </w:rPr>
        <w:t>While Tropicana maintains insurance against many risks to the extent and in amounts that it believes are reasonable, these policies will not cover all risks. Furthermore, portions of Tropicana's businesses are difficult or impracticable to insure. Therefore, after carefully weighing the costs, risks and benefits of retaining versus insuring various risks, as well as the availability of certain types of insurance coverage, Tropicana occasionally may opt to retain certain risks not covered by its insurance policies. Retained risks are associated with deductible limits or self-insured retentions, partial self-insurance programs and insurance policy coverage ceilings.</w:t>
      </w:r>
    </w:p>
    <w:p>
      <w:pPr>
        <w:spacing w:after="0" w:line="76" w:lineRule="exact"/>
        <w:rPr>
          <w:sz w:val="20"/>
          <w:szCs w:val="20"/>
          <w:color w:val="auto"/>
        </w:rPr>
      </w:pPr>
    </w:p>
    <w:p>
      <w:pPr>
        <w:ind w:right="160" w:firstLine="378"/>
        <w:spacing w:after="0" w:line="281" w:lineRule="auto"/>
        <w:rPr>
          <w:sz w:val="20"/>
          <w:szCs w:val="20"/>
          <w:color w:val="auto"/>
        </w:rPr>
      </w:pPr>
      <w:r>
        <w:rPr>
          <w:rFonts w:ascii="Times New Roman" w:cs="Times New Roman" w:eastAsia="Times New Roman" w:hAnsi="Times New Roman"/>
          <w:sz w:val="17"/>
          <w:szCs w:val="17"/>
          <w:color w:val="auto"/>
        </w:rPr>
        <w:t>Tropicana carries certain insurance policies that, in the event of certain substantial losses, may not be sufficient to pay the full current market value or current replacement cost of damaged property. As a result, if a significant event were to occur that is not fully covered by its insurance policies, Tropicana may lose all, or a portion of, its capital invested in a property, as well as the anticipated future revenue from such property. There can be no assurance that Tropicana will not face uninsured losses pertaining to the risks it has retained. Consequently, uninsured losses may negatively affect our Gaming operations.</w:t>
      </w:r>
    </w:p>
    <w:p>
      <w:pPr>
        <w:spacing w:after="0" w:line="57" w:lineRule="exact"/>
        <w:rPr>
          <w:sz w:val="20"/>
          <w:szCs w:val="20"/>
          <w:color w:val="auto"/>
        </w:rPr>
      </w:pPr>
    </w:p>
    <w:p>
      <w:pPr>
        <w:ind w:right="120" w:firstLine="378"/>
        <w:spacing w:after="0" w:line="282" w:lineRule="auto"/>
        <w:rPr>
          <w:sz w:val="20"/>
          <w:szCs w:val="20"/>
          <w:color w:val="auto"/>
        </w:rPr>
      </w:pPr>
      <w:r>
        <w:rPr>
          <w:rFonts w:ascii="Times New Roman" w:cs="Times New Roman" w:eastAsia="Times New Roman" w:hAnsi="Times New Roman"/>
          <w:sz w:val="18"/>
          <w:szCs w:val="18"/>
          <w:color w:val="auto"/>
        </w:rPr>
        <w:t>Tropicana may not be able to obtain sufficient insurance coverage and cannot predict whether it may encounter difficulty in collecting on any insurance claims it may submit, including claims for business interruption.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price increases may adversely affect our Gaming segment due to the significant amounts of energy used in Tropicana's operations.</w:t>
      </w:r>
    </w:p>
    <w:p>
      <w:pPr>
        <w:spacing w:after="0" w:line="121" w:lineRule="exact"/>
        <w:rPr>
          <w:sz w:val="20"/>
          <w:szCs w:val="20"/>
          <w:color w:val="auto"/>
        </w:rPr>
      </w:pPr>
    </w:p>
    <w:p>
      <w:pPr>
        <w:ind w:right="40" w:firstLine="378"/>
        <w:spacing w:after="0" w:line="256" w:lineRule="auto"/>
        <w:rPr>
          <w:sz w:val="20"/>
          <w:szCs w:val="20"/>
          <w:color w:val="auto"/>
        </w:rPr>
      </w:pPr>
      <w:r>
        <w:rPr>
          <w:rFonts w:ascii="Times New Roman" w:cs="Times New Roman" w:eastAsia="Times New Roman" w:hAnsi="Times New Roman"/>
          <w:sz w:val="18"/>
          <w:szCs w:val="18"/>
          <w:color w:val="auto"/>
        </w:rPr>
        <w:t>Tropicana's casino properties use significant amounts of electricity, oil, natural gas and other forms of energy. Substantial increases in energy and fuel prices may negatively affect Tropicana's financial condition and results of operations in the future and, accordingly, our Gaming segment. The extent of the impact is subject to the magnitude and duration of the energy and fuel price increases, but the impact could be material. In addition, energy and gasoline price increases in cities that constitute a significant source of customers for Tropicana's properties could result in a decline in disposable income of potential customers and a corresponding decrease in visitation and spending at Tropicana's properties, which would negatively impact our Gaming segment's revenues. Further, increases in fuel prices, and resulting increases in transportation costs, could materially adversely affect our Gaming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Tropicana may face potential successor liability for liabilities of the predecessors not provided for in the re-organizational plan.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the successor to its predecessors, Tropicana may be subject to certain liabilities of its predecessors not provided for in the re-organizational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liabilities may arise in a number of circumstances, including but not limited to, those where:</w:t>
      </w:r>
    </w:p>
    <w:p>
      <w:pPr>
        <w:spacing w:after="0" w:line="99" w:lineRule="exact"/>
        <w:rPr>
          <w:sz w:val="20"/>
          <w:szCs w:val="20"/>
          <w:color w:val="auto"/>
        </w:rPr>
      </w:pPr>
    </w:p>
    <w:p>
      <w:pPr>
        <w:ind w:left="660" w:right="200" w:hanging="247"/>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creditor of Tropicana's predecessors did not receive proper notice of the pendency of the bankruptcy case relating to the re-organizational plan or the deadline for filing claims therein;</w:t>
      </w:r>
    </w:p>
    <w:p>
      <w:pPr>
        <w:spacing w:after="0" w:line="5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injury giving rise to, or the source of, a creditor's claim did not manifest itself in time for the creditor to file the creditor's claim;</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creditor did not timely file the creditor's claim in such bankruptcy case due to excusable neglect;</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Tropicana is liable for Tropicana's predecessors' federal and/or state tax liabilities under a theory of successor liability; or</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order of confirmation for the re-organizational plan was procured by fraud.</w:t>
      </w:r>
    </w:p>
    <w:p>
      <w:pPr>
        <w:spacing w:after="0" w:line="117" w:lineRule="exact"/>
        <w:rPr>
          <w:sz w:val="20"/>
          <w:szCs w:val="20"/>
          <w:color w:val="auto"/>
        </w:rPr>
      </w:pPr>
    </w:p>
    <w:p>
      <w:pPr>
        <w:ind w:right="440" w:firstLine="378"/>
        <w:spacing w:after="0" w:line="282" w:lineRule="auto"/>
        <w:rPr>
          <w:sz w:val="20"/>
          <w:szCs w:val="20"/>
          <w:color w:val="auto"/>
        </w:rPr>
      </w:pPr>
      <w:r>
        <w:rPr>
          <w:rFonts w:ascii="Times New Roman" w:cs="Times New Roman" w:eastAsia="Times New Roman" w:hAnsi="Times New Roman"/>
          <w:sz w:val="18"/>
          <w:szCs w:val="18"/>
          <w:color w:val="auto"/>
        </w:rPr>
        <w:t>Although Tropicana has no reason to believe that it will become subject to liabilities of Tropicana's predecessors that are not provided for in the re-organizational plan, should Tropicana become subject to such liabilities, it could materially adversely affect our Gaming segment.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68" w:right="239" w:bottom="1440" w:gutter="0" w:footer="0" w:header="0"/>
        </w:sectPr>
      </w:pPr>
    </w:p>
    <w:bookmarkStart w:id="80" w:name="page81"/>
    <w:bookmarkEnd w:id="80"/>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Atlantic City property tax valuations and market declines have created stress on the City of Atlantic City’s ability to manage its finances and have recently resulted in significant real estate tax increases and uncertainty about Atlantic City’s fiscal solvency.</w:t>
      </w:r>
    </w:p>
    <w:p>
      <w:pPr>
        <w:spacing w:after="0" w:line="51"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In 2013 and 2014, real property tax assessments of Atlantic City casinos were significantly reduced as a result of various N.J. Tax Court proceedings involving casino properties. As a result, the City of Atlantic City was required to significantly increase its tax rate in order to meet its municipal budget requirements. Atlantic City casino property tax assessments will continue to decline in 2015 and future years as casinos continue to appeal excessive property valuations. In addition, in 2014 four Atlantic City casinos closed further eroding the municipal tax base. As a result, in late 2014 Atlantic City and the State of New Jersey have begun to explore various initiatives designed to stabilize casino tax payments and reduce the municipal budget in future years. In late 2014 State legislators proposed legislation that would create a payment in lieu of taxes (“PILOT”) for Atlantic City casinos and a series of other bills that would divert funds from other state programs to assist Atlantic City with its municipal budget in coming years. In addition, in January 2015, New Jersey appointed an emergency manager to oversee Atlantic City's government and address its financial problems. It remains to be seen whether this legislation will be approved, or whether Atlantic City will be able to stabilize its budget and finances. If Atlantic City is unable to maintain fiscal stability it could have an adverse impact on the Atlantic City casino industry including Tropicana's Tropicana AC property.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Circumstances may arise whereby Tropicana may become overleveraged, which could have significant negative consequences.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2014, Tropicana had total indebtedness of approximately $295 million, which consists primarily of its Term Loan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Circumstances may arise that could cause it to become overleveraged, which could have significant negative consequences, including:</w:t>
      </w:r>
    </w:p>
    <w:p>
      <w:pPr>
        <w:spacing w:after="0" w:line="99" w:lineRule="exact"/>
        <w:rPr>
          <w:sz w:val="20"/>
          <w:szCs w:val="20"/>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Tropicana may be more vulnerable to a downturn in the markets in which we operate or a downturn in the economy in general;</w:t>
      </w:r>
    </w:p>
    <w:p>
      <w:pPr>
        <w:spacing w:after="0" w:line="117" w:lineRule="exact"/>
        <w:rPr>
          <w:rFonts w:ascii="Times New Roman" w:cs="Times New Roman" w:eastAsia="Times New Roman" w:hAnsi="Times New Roman"/>
          <w:sz w:val="18"/>
          <w:szCs w:val="18"/>
          <w:color w:val="auto"/>
        </w:rPr>
      </w:pPr>
    </w:p>
    <w:p>
      <w:pPr>
        <w:ind w:left="660" w:right="240" w:hanging="247"/>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Tropicana may be required to dedicate a substantial portion of our cash flow from operations to payments on our indebtedness, which would limit our ability to use cash flows to fund working capital, capital expenditures, and other general corporate requirements;</w:t>
      </w:r>
    </w:p>
    <w:p>
      <w:pPr>
        <w:spacing w:after="0" w:line="53" w:lineRule="exact"/>
        <w:rPr>
          <w:rFonts w:ascii="Times New Roman" w:cs="Times New Roman" w:eastAsia="Times New Roman" w:hAnsi="Times New Roman"/>
          <w:sz w:val="18"/>
          <w:szCs w:val="18"/>
          <w:color w:val="auto"/>
        </w:rPr>
      </w:pPr>
    </w:p>
    <w:p>
      <w:pPr>
        <w:ind w:left="660" w:right="260" w:hanging="247"/>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Tropicana may be limited in our flexibility to plan for, or react to, changes in our businesses and the industry in which we operate or entry of new competitors into our markets;</w:t>
      </w:r>
    </w:p>
    <w:p>
      <w:pPr>
        <w:spacing w:after="0" w:line="5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Tropicana may be placed at a competitive disadvantage compared to our competitors that have less debt;</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Tropicana may be limited in borrowing additional funds; and</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Tropicana may have difficulties in satisfying our obligations under our current indebtedness, including the New Term Loan Facility.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Tropicana's indebtedness is subject to floating interest rates, which may expose it to higher interest payments.</w:t>
      </w:r>
    </w:p>
    <w:p>
      <w:pPr>
        <w:spacing w:after="0" w:line="121" w:lineRule="exact"/>
        <w:rPr>
          <w:sz w:val="20"/>
          <w:szCs w:val="20"/>
          <w:color w:val="auto"/>
        </w:rPr>
      </w:pPr>
    </w:p>
    <w:p>
      <w:pPr>
        <w:ind w:right="20" w:firstLine="378"/>
        <w:spacing w:after="0" w:line="261" w:lineRule="auto"/>
        <w:rPr>
          <w:sz w:val="20"/>
          <w:szCs w:val="20"/>
          <w:color w:val="auto"/>
        </w:rPr>
      </w:pPr>
      <w:r>
        <w:rPr>
          <w:rFonts w:ascii="Times New Roman" w:cs="Times New Roman" w:eastAsia="Times New Roman" w:hAnsi="Times New Roman"/>
          <w:sz w:val="18"/>
          <w:szCs w:val="18"/>
          <w:color w:val="auto"/>
        </w:rPr>
        <w:t>A substantial portion of Tropicana's indebtedness is subject to floating interest rates, which makes it more vulnerable in the event of adverse economic conditions, increases in prevailing interest rates, or a downturn in its business. As of December 31, 2014, approximately $295 million of its indebtedness, which represents the outstanding balance under its Term Loan Facility, was subject to floating interest rates. Tropicana currently has no hedging arrangements in place to mitigate the impact of higher interest rates.</w:t>
      </w:r>
    </w:p>
    <w:p>
      <w:pPr>
        <w:spacing w:after="0" w:line="6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Tropicana's indebtedness could adversely affect its business, financial condition and results of operations and prevent it from fulfilling its obligations under the terms of its indebtedness.</w:t>
      </w:r>
    </w:p>
    <w:p>
      <w:pPr>
        <w:spacing w:after="0" w:line="51" w:lineRule="exact"/>
        <w:rPr>
          <w:sz w:val="20"/>
          <w:szCs w:val="20"/>
          <w:color w:val="auto"/>
        </w:rPr>
      </w:pPr>
    </w:p>
    <w:p>
      <w:pPr>
        <w:ind w:firstLine="378"/>
        <w:spacing w:after="0" w:line="253" w:lineRule="auto"/>
        <w:rPr>
          <w:sz w:val="20"/>
          <w:szCs w:val="20"/>
          <w:color w:val="auto"/>
        </w:rPr>
      </w:pPr>
      <w:r>
        <w:rPr>
          <w:rFonts w:ascii="Times New Roman" w:cs="Times New Roman" w:eastAsia="Times New Roman" w:hAnsi="Times New Roman"/>
          <w:sz w:val="18"/>
          <w:szCs w:val="18"/>
          <w:color w:val="auto"/>
        </w:rPr>
        <w:t>Tropicana's indebtedness could adversely affect its business, financial condition and results of operations and prevent it from fulfilling its obligations under the terms of its indebtedness. The terms of the Term Loan Facility require it to comply with a senior secured net leverage ratio. The Term Loan Facility contains mandatory prepayment provisions from proceeds received by it and its subsidiaries as a result of asset sales, the incurrence of indebtedness and issuance of equity, casualty events and excess cash flow (subject in each case to certain exceptions). In addition, other covenants in the New Term Loan Facility may restrict its flexibility. Such covenants include limitations on indebtedness, liens, investments, acquisitions, asset sales, dividends and other restricted payments, and affiliate and extraordinary transactions. Failure to comply with these covenants could result in an event of default which, if not cured or waived, could have a material adverse effect on our Gaming segment's operations. Additionally, there may be factors beyond its control that could affect its ability to meet debt service requirements. Tropicana's ability to meet debt service requirements will depend on its future performance and its ability to sustain sales conditions in the markets in which it operates, the economy generally, and other factors that are beyond its control. Tropicana may need to refinance all or a portion of its indebtedness on or before maturity. We cannot assure that Tropicana's businesses will generate sufficient cash flow from operations or that future borrowings will be available in amounts sufficient to enable it to pay its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00"/>
          </w:cols>
          <w:pgMar w:left="240" w:top="468" w:right="259" w:bottom="1440" w:gutter="0" w:footer="0" w:header="0"/>
        </w:sectPr>
      </w:pPr>
    </w:p>
    <w:bookmarkStart w:id="81" w:name="page82"/>
    <w:bookmarkEnd w:id="81"/>
    <w:p>
      <w:pPr>
        <w:ind w:right="20"/>
        <w:spacing w:after="0" w:line="261" w:lineRule="auto"/>
        <w:rPr>
          <w:sz w:val="20"/>
          <w:szCs w:val="20"/>
          <w:color w:val="auto"/>
        </w:rPr>
      </w:pPr>
      <w:r>
        <w:rPr>
          <w:rFonts w:ascii="Times New Roman" w:cs="Times New Roman" w:eastAsia="Times New Roman" w:hAnsi="Times New Roman"/>
          <w:sz w:val="18"/>
          <w:szCs w:val="18"/>
          <w:color w:val="auto"/>
        </w:rPr>
        <w:t>indebtedness or to fund its other liquidity needs. We cannot assure you that Tropicana will be able to refinance any of its indebtedness on commercially reasonable terms or at all. If Tropicana is unable to make scheduled debt payments or comply with the other provisions of its debt instruments, its lenders will be permitted under certain circumstances to accelerate the maturity of the indebtedness owing to them and exercise other remedies provided for in those instruments and under applicable law.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Food Packaging</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Viskase faces competitors that are better capitalized than it is, and the continuous-flow nature of the casings manufacturing process forces competitors to compete based on price in order to maintain volume, which could adversely affect our Food Packaging operations.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Viskase faces competition in the United States and internationally from competitors that may have substantially greater financial resources than it has.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cellulosic casings industry includes competitors that are larger and better capitalized than Viskase is. Currently, Viskase's primary competitors include</w:t>
      </w:r>
    </w:p>
    <w:p>
      <w:pPr>
        <w:spacing w:after="0" w:line="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Viscofan, S.A., Kalle Nalo GmbH and VT Holding Group, although new competitors could enter the market or competing products could be introduced. Although prices for small diameter cellulosic casings have experienced annual increases in recent years, and Viskase believes that the current output in its industry is generally in balance with global demand and that levels of capacity utilization are high, the continuous-flow nature of the casings manufacturing process has historically required competitors in its industry to compete based on price in order to maintain volume, which could result in lower pricing in future years. Viskase attempts to differentiate its products on the basis of product quality and performance, product development, service, sales and distribution, but Viskase and competitors in its industry have used price as a competitive factor in an attempt to obtain greater volumes. If prices decline, Viskase may not be able to achieve profitability, whereas certain of its competitors who are better capitalized may be positioned to absorb such price declines. Any of these factors could adversely affect our Food Packaging operations.</w:t>
      </w:r>
    </w:p>
    <w:p>
      <w:pPr>
        <w:spacing w:after="0" w:line="7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Viskase receives its raw materials from a limited number of suppliers, and problems with its suppliers could impair its ability to meet its customers' product demands.</w:t>
      </w:r>
    </w:p>
    <w:p>
      <w:pPr>
        <w:spacing w:after="0" w:line="51"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Viskase's principal raw materials, paper and pulp, constitute an important aspect and cost factor of its operations. Viskase generally purchases its paper and pulp from a single source or a small number of suppliers. Any inability of its suppliers to timely deliver raw materials or any unanticipated adverse change in its suppliers could be disruptive and costly to Viskase. Viskase's inability to obtain raw materials from its suppliers would require it to seek alternative sources. These alternative sources may not be adequate for all of Viskase's raw material needs, nor may adequate raw material substitutes exist in a form that its processes could be modified to use. These risks could materially and adversely affect our Food Packaging operations.</w:t>
      </w:r>
    </w:p>
    <w:p>
      <w:pPr>
        <w:spacing w:after="0" w:line="7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Viskase's failure to efficiently respond to industry changes in casings technology could jeopardize its ability to retain its customers and maintain its market share.</w:t>
      </w:r>
    </w:p>
    <w:p>
      <w:pPr>
        <w:spacing w:after="0" w:line="51" w:lineRule="exact"/>
        <w:rPr>
          <w:sz w:val="20"/>
          <w:szCs w:val="20"/>
          <w:color w:val="auto"/>
        </w:rPr>
      </w:pPr>
    </w:p>
    <w:p>
      <w:pPr>
        <w:ind w:right="160" w:firstLine="378"/>
        <w:spacing w:after="0" w:line="258" w:lineRule="auto"/>
        <w:rPr>
          <w:sz w:val="20"/>
          <w:szCs w:val="20"/>
          <w:color w:val="auto"/>
        </w:rPr>
      </w:pPr>
      <w:r>
        <w:rPr>
          <w:rFonts w:ascii="Times New Roman" w:cs="Times New Roman" w:eastAsia="Times New Roman" w:hAnsi="Times New Roman"/>
          <w:sz w:val="18"/>
          <w:szCs w:val="18"/>
          <w:color w:val="auto"/>
        </w:rPr>
        <w:t>Viskase and other participants in its industry have considered alternatives to cellulosic casings for many years. As resin technology improves or other technologies develop, alternative casings or other manufacturing methods may be developed that threaten the long-term sustainability and profitability of Viskase's cellulosic casings, which is its core product, and its fibrous casings. Viskase's failure to anticipate, develop or efficiently and timely integrate new technologies that provide viable alternatives to cellulosic casings, including plastic and film alternatives, may cause it to lose customers and market share to competitors integrating such technologies, which, in turn, would negatively impact our Food Packaging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Viskase's products could be negatively affected by problems or concerns with the safety and quality of food products.</w:t>
      </w:r>
    </w:p>
    <w:p>
      <w:pPr>
        <w:spacing w:after="0" w:line="121" w:lineRule="exact"/>
        <w:rPr>
          <w:sz w:val="20"/>
          <w:szCs w:val="20"/>
          <w:color w:val="auto"/>
        </w:rPr>
      </w:pPr>
    </w:p>
    <w:p>
      <w:pPr>
        <w:ind w:right="40" w:firstLine="378"/>
        <w:spacing w:after="0" w:line="256" w:lineRule="auto"/>
        <w:rPr>
          <w:sz w:val="20"/>
          <w:szCs w:val="20"/>
          <w:color w:val="auto"/>
        </w:rPr>
      </w:pPr>
      <w:r>
        <w:rPr>
          <w:rFonts w:ascii="Times New Roman" w:cs="Times New Roman" w:eastAsia="Times New Roman" w:hAnsi="Times New Roman"/>
          <w:sz w:val="18"/>
          <w:szCs w:val="18"/>
          <w:color w:val="auto"/>
        </w:rPr>
        <w:t>Viskase could be adversely affected if consumers in the food markets were to lose confidence in the safety and quality of meat or poultry products, particularly with respect to processed meat or poultry products for which casings are used, such as hot dogs, deli meats and sausages. Outbreaks of, or even adverse publicity about the possibility of, diseases such as avian influenza and “mad cow disease,” food-borne pathogens, such as E. coli and listeria, and any other food safety problems or concerns relating to meat and poultry products may discourage consumers from buying such products. These risks could also result in additional governmental regulations, or cause production and delivery disruptions or product recalls. Each of these risks could adversely affect our Food Packaging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at any of Viskase's production facilities could increase its operating costs, decrease its sales or cause it to lose customers.</w:t>
      </w:r>
    </w:p>
    <w:p>
      <w:pPr>
        <w:spacing w:after="0" w:line="121" w:lineRule="exact"/>
        <w:rPr>
          <w:sz w:val="20"/>
          <w:szCs w:val="20"/>
          <w:color w:val="auto"/>
        </w:rPr>
      </w:pPr>
    </w:p>
    <w:p>
      <w:pPr>
        <w:ind w:right="60" w:firstLine="378"/>
        <w:spacing w:after="0" w:line="261" w:lineRule="auto"/>
        <w:rPr>
          <w:sz w:val="20"/>
          <w:szCs w:val="20"/>
          <w:color w:val="auto"/>
        </w:rPr>
      </w:pPr>
      <w:r>
        <w:rPr>
          <w:rFonts w:ascii="Times New Roman" w:cs="Times New Roman" w:eastAsia="Times New Roman" w:hAnsi="Times New Roman"/>
          <w:sz w:val="18"/>
          <w:szCs w:val="18"/>
          <w:color w:val="auto"/>
        </w:rPr>
        <w:t>The reliability of Viskase's production facilities is critical to the success of its business. In recent years, Viskase has streamlined its productive capacity to be better aligned with its sales volumes. At current operating levels, Viskase has little or no excess production capacity for certain products. If the operations of any of its manufacturing facilities were interrupted or significantly delayed for any reason, including labor stoppages, Viskase may be unable to shift production to another facility</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00"/>
          </w:cols>
          <w:pgMar w:left="240" w:top="472" w:right="2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without incurring a significant drop in production. Such a drop in production would negatively affect its sales and its relationships with its customers.</w:t>
      </w:r>
    </w:p>
    <w:p>
      <w:pPr>
        <w:spacing w:after="0" w:line="113"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Viskase's international sales and operations expose it to political and economic risks in foreign countries, as well as to risks related to currency fluctuations, all of which could impair its ability to do business at the international level.</w:t>
      </w:r>
    </w:p>
    <w:p>
      <w:pPr>
        <w:spacing w:after="0" w:line="51" w:lineRule="exact"/>
        <w:rPr>
          <w:sz w:val="20"/>
          <w:szCs w:val="20"/>
          <w:color w:val="auto"/>
        </w:rPr>
      </w:pPr>
    </w:p>
    <w:p>
      <w:pPr>
        <w:ind w:right="40" w:firstLine="378"/>
        <w:spacing w:after="0" w:line="255" w:lineRule="auto"/>
        <w:rPr>
          <w:sz w:val="20"/>
          <w:szCs w:val="20"/>
          <w:color w:val="auto"/>
        </w:rPr>
      </w:pPr>
      <w:r>
        <w:rPr>
          <w:rFonts w:ascii="Times New Roman" w:cs="Times New Roman" w:eastAsia="Times New Roman" w:hAnsi="Times New Roman"/>
          <w:sz w:val="18"/>
          <w:szCs w:val="18"/>
          <w:color w:val="auto"/>
        </w:rPr>
        <w:t>Viskase currently has manufacturing or sales and distribution centers in six foreign countries: Brazil, France, Italy, Mexico, Philippines and Poland. Its international sales and operations may be subject to various political and economic risks, including, but not limited to, possible unfavorable exchange rate fluctuations or hyperinflation; changes in a country's or region's political or economic conditions; governmental regulations, including import and export controls; tariffs; limits on the repatriation of funds; and taxes. Viskase's sales to customers located outside the United States generally are subject to taxes on the repatriation of funds. In addition, international operations in certain parts of the world may be subject to international balance of payments difficulties that may raise the possibility of delay or loss in the collection of accounts receivable from sales to customers in those countries. Historically, net sales to customers located outside the United States represent the majority of Viskase's total net sales.</w:t>
      </w:r>
    </w:p>
    <w:p>
      <w:pPr>
        <w:spacing w:after="0" w:line="81" w:lineRule="exact"/>
        <w:rPr>
          <w:sz w:val="20"/>
          <w:szCs w:val="20"/>
          <w:color w:val="auto"/>
        </w:rPr>
      </w:pPr>
    </w:p>
    <w:p>
      <w:pPr>
        <w:ind w:right="100" w:firstLine="378"/>
        <w:spacing w:after="0" w:line="282" w:lineRule="auto"/>
        <w:rPr>
          <w:sz w:val="20"/>
          <w:szCs w:val="20"/>
          <w:color w:val="auto"/>
        </w:rPr>
      </w:pPr>
      <w:r>
        <w:rPr>
          <w:rFonts w:ascii="Times New Roman" w:cs="Times New Roman" w:eastAsia="Times New Roman" w:hAnsi="Times New Roman"/>
          <w:sz w:val="18"/>
          <w:szCs w:val="18"/>
          <w:color w:val="auto"/>
        </w:rPr>
        <w:t>Should any of these risks occur, it could impair Viskase's ability to export its products or conduct sales to customers located outside of the United States and result in a loss of sales and profits from its international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consolidation of Viskase's customers and increasing competition for those customers may put pressure on its sales volumes and revenues.</w:t>
      </w:r>
    </w:p>
    <w:p>
      <w:pPr>
        <w:spacing w:after="0" w:line="121"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In recent years, the trend among Viskase's customers has been towards consolidation within the meat processing industry. These consolidations have enhanced the purchasing power of its customers who, not being contractually obligated to purchase its products, tend to exert increased pressure with respect to pricing terms, product quality and new products. As Viskase's customer base continues to consolidate, the already high level of competition for the business of fewer customers is expected to intensify. If Viskase does not continue to enhance the value of its product offering in a way that provides greater benefit to its customers, Viskase's sales volumes and revenues could decrease.</w:t>
      </w:r>
    </w:p>
    <w:p>
      <w:pPr>
        <w:spacing w:after="0" w:line="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Viskase's intellectual property rights may be inadequate or violated, or it may be subject to claims of infringement, both of which could negatively affect its financial condition.</w:t>
      </w:r>
    </w:p>
    <w:p>
      <w:pPr>
        <w:spacing w:after="0" w:line="51" w:lineRule="exact"/>
        <w:rPr>
          <w:sz w:val="20"/>
          <w:szCs w:val="20"/>
          <w:color w:val="auto"/>
        </w:rPr>
      </w:pPr>
    </w:p>
    <w:p>
      <w:pPr>
        <w:ind w:right="80" w:firstLine="378"/>
        <w:spacing w:after="0" w:line="255" w:lineRule="auto"/>
        <w:rPr>
          <w:sz w:val="20"/>
          <w:szCs w:val="20"/>
          <w:color w:val="auto"/>
        </w:rPr>
      </w:pPr>
      <w:r>
        <w:rPr>
          <w:rFonts w:ascii="Times New Roman" w:cs="Times New Roman" w:eastAsia="Times New Roman" w:hAnsi="Times New Roman"/>
          <w:sz w:val="18"/>
          <w:szCs w:val="18"/>
          <w:color w:val="auto"/>
        </w:rPr>
        <w:t>Viskase relies on a combination of trademarks, patents, trade secret rights and other rights to protect its intellectual property. Viskase's trademark or patent applications may not be approved and its trademarks or patents may be challenged by third parties. Viskase cannot be certain that the steps it has taken will prevent the misappropriation of its intellectual property, particularly in foreign countries where the laws may not protect its rights as fully as the laws of the United States. From time to time, it has been necessary for Viskase to enforce its intellectual property rights against infringements by third parties, and Viskase expects to continue to do so in the ordinary course of its business. Viskase also may be subjected to claims by others that it has violated their intellectual property rights. Even if Viskase prevails, third party-initiated or company-initiated claims may be time consuming and expensive to resolve, and may result in a diversion of Viskase's time and resources. The occurrence of any of these factors could diminish the value of its trademark, patent and intellectual property portfolio, increase competition within its industry and negatively impact its sales volume and revenues.</w:t>
      </w:r>
    </w:p>
    <w:p>
      <w:pPr>
        <w:spacing w:after="0" w:line="73"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Viskase's business is conducted through foreign subsidiaries, and its failure to generate sufficient cash flow from these subsidiaries, or otherwise repatriate or receive cash from these subsidiaries, could result in its inability to repay its indebtedness.</w:t>
      </w:r>
    </w:p>
    <w:p>
      <w:pPr>
        <w:spacing w:after="0" w:line="51"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Viskase's sales to customers located outside the United States are conducted primarily through subsidiaries organized under the laws of jurisdictions outside of the United States. Viskase's ability to meet its debt service obligations with cash from foreign subsidiaries will depend upon the results of operations of these subsidiaries and may be subject to contractual or other restrictions and other business considerations. In particular, to the extent Viskase's foreign subsidiaries incur additional indebtedness to expand its operations, the ability of its foreign subsidiaries to provide us cash may be limited. In addition, dividend and interest payments to Viskase from its foreign subsidiaries may be subject to foreign withholding taxes, which would reduce the amount of funds it receives from such foreign subsidiaries. Dividends and other distributions from Viskase's foreign subsidiaries may also be subject to fluctuations in currency exchange rates and restrictions on repatriation, which could further reduce the amount of funds it receives from such foreign subsidiaries.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472"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Real Estate</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downturns may have an adverse effect on the real estate market more than on other industries and its recovery may lag behind the economy as a whole.</w:t>
      </w:r>
    </w:p>
    <w:p>
      <w:pPr>
        <w:spacing w:after="0" w:line="51" w:lineRule="exact"/>
        <w:rPr>
          <w:sz w:val="20"/>
          <w:szCs w:val="20"/>
          <w:color w:val="auto"/>
        </w:rPr>
      </w:pPr>
    </w:p>
    <w:p>
      <w:pPr>
        <w:ind w:right="120" w:firstLine="378"/>
        <w:spacing w:after="0" w:line="256" w:lineRule="auto"/>
        <w:rPr>
          <w:sz w:val="20"/>
          <w:szCs w:val="20"/>
          <w:color w:val="auto"/>
        </w:rPr>
      </w:pPr>
      <w:r>
        <w:rPr>
          <w:rFonts w:ascii="Times New Roman" w:cs="Times New Roman" w:eastAsia="Times New Roman" w:hAnsi="Times New Roman"/>
          <w:sz w:val="18"/>
          <w:szCs w:val="18"/>
          <w:color w:val="auto"/>
        </w:rPr>
        <w:t>Sales of our vacation properties in New Seabury, Massachusetts and Florida rely heavily on favorable credit markets and a robust economy. Sale or leasing, including lease renewals, of the commercial properties in our net lease portfolio also rely heavily on financially healthy buyers and tenants. During economic downturns, the value of our real estate portfolio may decline. We cannot assure that our Real Estate operations will be able to recoup its investments in its residential properties or continue to sell or lease its commercial properties at profitable rates. If commercial real estate leases expire during an economic downturn, there can be no assurance that the renewed rents will equal or exceed prior rents, and cost of tenant improvements and other costs would adversely impact property values.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 in property development may be more costly than anticipated.</w:t>
      </w:r>
    </w:p>
    <w:p>
      <w:pPr>
        <w:spacing w:after="0" w:line="121" w:lineRule="exact"/>
        <w:rPr>
          <w:sz w:val="20"/>
          <w:szCs w:val="20"/>
          <w:color w:val="auto"/>
        </w:rPr>
      </w:pPr>
    </w:p>
    <w:p>
      <w:pPr>
        <w:ind w:right="20" w:firstLine="378"/>
        <w:spacing w:after="0" w:line="256" w:lineRule="auto"/>
        <w:rPr>
          <w:sz w:val="20"/>
          <w:szCs w:val="20"/>
          <w:color w:val="auto"/>
        </w:rPr>
      </w:pPr>
      <w:r>
        <w:rPr>
          <w:rFonts w:ascii="Times New Roman" w:cs="Times New Roman" w:eastAsia="Times New Roman" w:hAnsi="Times New Roman"/>
          <w:sz w:val="18"/>
          <w:szCs w:val="18"/>
          <w:color w:val="auto"/>
        </w:rPr>
        <w:t>Our Real Estate segment has invested and expects to continue to invest in unentitled land, undeveloped land and distressed development properties. These properties involve more risk than properties on which development has been completed. Unentitled land may not be approved for development. These investments do not generate any operating revenue, while costs are incurred to obtain government approvals and develop the properties. Construction may not be completed within budget or as scheduled and projected rental levels or sales prices may not be achieved and other unpredictable contingencies beyond the control of our Real Estate operations could occur. Our Real Estate segment will not be able to recoup any of such costs until such time as these properties, or parcels thereof, are either disposed of or developed into income-producing assets.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Real Estate operations may face adverse effects from tenant bankruptcies or insolvencies.</w:t>
      </w:r>
    </w:p>
    <w:p>
      <w:pPr>
        <w:spacing w:after="0" w:line="121" w:lineRule="exact"/>
        <w:rPr>
          <w:sz w:val="20"/>
          <w:szCs w:val="20"/>
          <w:color w:val="auto"/>
        </w:rPr>
      </w:pPr>
    </w:p>
    <w:p>
      <w:pPr>
        <w:ind w:firstLine="378"/>
        <w:spacing w:after="0" w:line="261" w:lineRule="auto"/>
        <w:rPr>
          <w:sz w:val="20"/>
          <w:szCs w:val="20"/>
          <w:color w:val="auto"/>
        </w:rPr>
      </w:pPr>
      <w:r>
        <w:rPr>
          <w:rFonts w:ascii="Times New Roman" w:cs="Times New Roman" w:eastAsia="Times New Roman" w:hAnsi="Times New Roman"/>
          <w:sz w:val="18"/>
          <w:szCs w:val="18"/>
          <w:color w:val="auto"/>
        </w:rPr>
        <w:t>The bankruptcy or insolvency of tenants in our retail, industrial and office properties may adversely affect the income produced by our properties. If a tenant defaults, our Real Estate operations may experience delays and incur substantial costs in enforcing its rights as landlord. If a tenant files for bankruptcy, our Real Estate operations cannot evict the tenant solely because of such bankruptcy. A court, however, may authorize a tenant to reject or terminate its lease with us. Our Real Estate operations may also incur additional vacancy and other re-tenanting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Real Estate operations may be subject to environmental liability as an owner or operator of development and rental real estate.</w:t>
      </w:r>
    </w:p>
    <w:p>
      <w:pPr>
        <w:spacing w:after="0" w:line="121" w:lineRule="exact"/>
        <w:rPr>
          <w:sz w:val="20"/>
          <w:szCs w:val="20"/>
          <w:color w:val="auto"/>
        </w:rPr>
      </w:pPr>
    </w:p>
    <w:p>
      <w:pPr>
        <w:ind w:right="40" w:firstLine="378"/>
        <w:spacing w:after="0" w:line="254" w:lineRule="auto"/>
        <w:rPr>
          <w:sz w:val="20"/>
          <w:szCs w:val="20"/>
          <w:color w:val="auto"/>
        </w:rPr>
      </w:pPr>
      <w:r>
        <w:rPr>
          <w:rFonts w:ascii="Times New Roman" w:cs="Times New Roman" w:eastAsia="Times New Roman" w:hAnsi="Times New Roman"/>
          <w:sz w:val="18"/>
          <w:szCs w:val="18"/>
          <w:color w:val="auto"/>
        </w:rPr>
        <w:t>Under various federal, state and local laws, ordinances and regulations, an owner or operator of real property may become liable for the costs of removal or remediation of certain hazardous substances, pollutants and contaminants released on, under, in or from its property. These laws often impose liability without regard to whether the owner or operator knew of, or was responsible for, the release of such substances. To the extent any such substances are found in or on any property invested in by us, our Real Estate segment could be exposed to liability and be required to incur substantial remediation costs. The presence of such substances or the failure to undertake proper remediation may adversely affect the ability to finance, refinance or dispose of such property. Our Real Estate segment generally conducts a Phase I environmental site assessment on properties in which it is considering investing. A Phase I environmental site assessment involves record review, visual site assessment and personnel interviews, but does not typically include invasive testing procedures such as air, soil or groundwater sampling or other tests performed as part of a Phase II environmental site assessment. Accordingly, there can be no assurance that any assessments conducted will disclose all potential liabilities or that future property uses or conditions or changes in applicable environmental laws and regulations or activities at nearby properties will not result in the creation of environmental liabilities with respect to a property.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rising interest rate environment may reduce values of rental real estate properties.</w:t>
      </w:r>
    </w:p>
    <w:p>
      <w:pPr>
        <w:spacing w:after="0" w:line="121" w:lineRule="exact"/>
        <w:rPr>
          <w:sz w:val="20"/>
          <w:szCs w:val="20"/>
          <w:color w:val="auto"/>
        </w:rPr>
      </w:pPr>
    </w:p>
    <w:p>
      <w:pPr>
        <w:ind w:right="420" w:firstLine="378"/>
        <w:spacing w:after="0" w:line="282" w:lineRule="auto"/>
        <w:rPr>
          <w:sz w:val="20"/>
          <w:szCs w:val="20"/>
          <w:color w:val="auto"/>
        </w:rPr>
      </w:pPr>
      <w:r>
        <w:rPr>
          <w:rFonts w:ascii="Times New Roman" w:cs="Times New Roman" w:eastAsia="Times New Roman" w:hAnsi="Times New Roman"/>
          <w:sz w:val="18"/>
          <w:szCs w:val="18"/>
          <w:color w:val="auto"/>
        </w:rPr>
        <w:t>A rising interest rate environment may negatively impact values and rental rates may not be able to be raised in a timely manner or at all in order to offset the negative impact on values of increasing rates.</w:t>
      </w:r>
    </w:p>
    <w:p>
      <w:pPr>
        <w:spacing w:after="0" w:line="5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regulations and legal challenges may delay the start or completion of our Real Estate segment's development activities, increase its expenses or limit its home building activities, which could have a negative impact on our Real Estate operations.</w:t>
      </w:r>
    </w:p>
    <w:p>
      <w:pPr>
        <w:spacing w:after="0" w:line="51" w:lineRule="exact"/>
        <w:rPr>
          <w:sz w:val="20"/>
          <w:szCs w:val="20"/>
          <w:color w:val="auto"/>
        </w:rPr>
      </w:pPr>
    </w:p>
    <w:p>
      <w:pPr>
        <w:ind w:right="60" w:firstLine="378"/>
        <w:spacing w:after="0" w:line="256" w:lineRule="auto"/>
        <w:rPr>
          <w:sz w:val="20"/>
          <w:szCs w:val="20"/>
          <w:color w:val="auto"/>
        </w:rPr>
      </w:pPr>
      <w:r>
        <w:rPr>
          <w:rFonts w:ascii="Times New Roman" w:cs="Times New Roman" w:eastAsia="Times New Roman" w:hAnsi="Times New Roman"/>
          <w:sz w:val="18"/>
          <w:szCs w:val="18"/>
          <w:color w:val="auto"/>
        </w:rPr>
        <w:t>The approval of numerous governmental authorities must be obtained in connection with our Real Estate segment's development activities, and these governmental authorities often have broad discretion in exercising their approval authority. Our Real Estate segment incurs substantial costs related to compliance with legal and regulatory requirements. Any increase in legal and regulatory requirements may cause our Real Estate segment to incur substantial additional costs, or in some cases cause it to determine that the property is not feasible for development. Various local, state and federal statutes, ordinances, rules and regulations concerning building, zoning, sales and similar matters apply to and/or affect the housing industry. Governmental regulation affects construction activities as well as sales activities, mortgage lending activities and other dealings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468" w:right="239" w:bottom="1440" w:gutter="0" w:footer="0" w:header="0"/>
        </w:sectPr>
      </w:pPr>
    </w:p>
    <w:bookmarkStart w:id="84" w:name="page85"/>
    <w:bookmarkEnd w:id="84"/>
    <w:p>
      <w:pPr>
        <w:spacing w:after="0" w:line="255" w:lineRule="auto"/>
        <w:rPr>
          <w:sz w:val="20"/>
          <w:szCs w:val="20"/>
          <w:color w:val="auto"/>
        </w:rPr>
      </w:pPr>
      <w:r>
        <w:rPr>
          <w:rFonts w:ascii="Times New Roman" w:cs="Times New Roman" w:eastAsia="Times New Roman" w:hAnsi="Times New Roman"/>
          <w:sz w:val="18"/>
          <w:szCs w:val="18"/>
          <w:color w:val="auto"/>
        </w:rPr>
        <w:t>with home buyers. The industry also has experienced an increase in state and local legislation and regulations that limit the availability or use of land. Municipalities may also restrict or place moratoriums on the availability of utilities, such as water and sewer taps. In some areas, municipalities may enact growth control initiatives, which will restrict the number of building permits available in a given year. In addition, our Real Estate segment may be required to apply for additional approvals or modify its existing approvals because of changes in local circumstances or applicable law. If municipalities in which our Real Estate segment operates take actions like these, it could have an adverse effect on Real Estate operations by causing delays, increasing their costs or limiting their ability to operate in those municipalities. Further, our Real Estate segment may experience delays and increased expenses as a result of legal challenges to our proposed communities, whether brought by governmental authorities or private parties.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Fashion</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WPH has had a history of sales declines, net losses and negative cash flow from operations. In 2011 WPH generated positive cash flows from operations for the first time and continued to generate positive cash flows from operations in 2012 and 2013. However, WPH can provide no assurance that it will generate income or provide positive cash flows from operations.</w:t>
      </w:r>
    </w:p>
    <w:p>
      <w:pPr>
        <w:spacing w:after="0" w:line="67" w:lineRule="exact"/>
        <w:rPr>
          <w:sz w:val="20"/>
          <w:szCs w:val="20"/>
          <w:color w:val="auto"/>
        </w:rPr>
      </w:pPr>
    </w:p>
    <w:p>
      <w:pPr>
        <w:ind w:right="100" w:firstLine="378"/>
        <w:spacing w:after="0" w:line="261" w:lineRule="auto"/>
        <w:rPr>
          <w:sz w:val="20"/>
          <w:szCs w:val="20"/>
          <w:color w:val="auto"/>
        </w:rPr>
      </w:pPr>
      <w:r>
        <w:rPr>
          <w:rFonts w:ascii="Times New Roman" w:cs="Times New Roman" w:eastAsia="Times New Roman" w:hAnsi="Times New Roman"/>
          <w:sz w:val="18"/>
          <w:szCs w:val="18"/>
          <w:color w:val="auto"/>
        </w:rPr>
        <w:t>WPH has had a history of significant net losses. In addition, our Home Fashion segment has not generated positive cash flows from its operations until 2011. For the years ended December 31, 2013 and 2012, our Home Fashion segment generated positive cash flow from operating activities of $5 million and $11 million, respectively, primarily due to changes in working capital. In addition, the sale of a joint venture contributed to the positive cash flows from operating activities during 2013.</w:t>
      </w:r>
    </w:p>
    <w:p>
      <w:pPr>
        <w:spacing w:after="0" w:line="72" w:lineRule="exact"/>
        <w:rPr>
          <w:sz w:val="20"/>
          <w:szCs w:val="20"/>
          <w:color w:val="auto"/>
        </w:rPr>
      </w:pPr>
    </w:p>
    <w:p>
      <w:pPr>
        <w:ind w:right="380" w:firstLine="378"/>
        <w:spacing w:after="0" w:line="282" w:lineRule="auto"/>
        <w:rPr>
          <w:sz w:val="20"/>
          <w:szCs w:val="20"/>
          <w:color w:val="auto"/>
        </w:rPr>
      </w:pPr>
      <w:r>
        <w:rPr>
          <w:rFonts w:ascii="Times New Roman" w:cs="Times New Roman" w:eastAsia="Times New Roman" w:hAnsi="Times New Roman"/>
          <w:sz w:val="18"/>
          <w:szCs w:val="18"/>
          <w:color w:val="auto"/>
        </w:rPr>
        <w:t>We can provide no assurance that our Home Fashion segment will generate income or generate positive cash flows from operating activities. Unless WPH is able to generate positive cash flows from its operations, WPH will require external financing to operate its business.</w:t>
      </w:r>
    </w:p>
    <w:p>
      <w:pPr>
        <w:spacing w:after="0" w:line="50"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light of the recent operating performance and challenging industry conditions, our Home Fashion segment is considering various strategic alternatives which may include, without limitation, joint ventures, other forms of strategic alliances and/or a sale or divestiture of all or a significant portion of its assets.</w:t>
      </w:r>
    </w:p>
    <w:p>
      <w:pPr>
        <w:spacing w:after="0" w:line="67" w:lineRule="exact"/>
        <w:rPr>
          <w:sz w:val="20"/>
          <w:szCs w:val="20"/>
          <w:color w:val="auto"/>
        </w:rPr>
      </w:pPr>
    </w:p>
    <w:p>
      <w:pPr>
        <w:ind w:right="340" w:firstLine="378"/>
        <w:spacing w:after="0" w:line="261" w:lineRule="auto"/>
        <w:rPr>
          <w:sz w:val="20"/>
          <w:szCs w:val="20"/>
          <w:color w:val="auto"/>
        </w:rPr>
      </w:pPr>
      <w:r>
        <w:rPr>
          <w:rFonts w:ascii="Times New Roman" w:cs="Times New Roman" w:eastAsia="Times New Roman" w:hAnsi="Times New Roman"/>
          <w:sz w:val="18"/>
          <w:szCs w:val="18"/>
          <w:color w:val="auto"/>
        </w:rPr>
        <w:t>In light of WPH's recent operating performance and challenging industry conditions, we are considering various strategic alternatives which may include, without limitation, joint ventures, other forms of strategic alliances, and/or a sale or divestiture of all or a significant portion of WPH's assets. We cannot determine whether any of these transactions will be consummated or, if so, upon what terms. Any sale of WPH may result in consideration that is materially less than the carrying value of our investment in WPH.</w:t>
      </w:r>
    </w:p>
    <w:p>
      <w:pPr>
        <w:spacing w:after="0" w:line="6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WPH has a limited operating history and acquired its business from the former owners through bankruptcy proceedings in 2005. Certain of the issues that contributed to WestPoint Stevens filing for bankruptcy continue to affect WPH's business operations and financial condition.</w:t>
      </w:r>
    </w:p>
    <w:p>
      <w:pPr>
        <w:spacing w:after="0" w:line="51" w:lineRule="exact"/>
        <w:rPr>
          <w:sz w:val="20"/>
          <w:szCs w:val="20"/>
          <w:color w:val="auto"/>
        </w:rPr>
      </w:pPr>
    </w:p>
    <w:p>
      <w:pPr>
        <w:ind w:right="40" w:firstLine="378"/>
        <w:spacing w:after="0" w:line="258" w:lineRule="auto"/>
        <w:rPr>
          <w:sz w:val="20"/>
          <w:szCs w:val="20"/>
          <w:color w:val="auto"/>
        </w:rPr>
      </w:pPr>
      <w:r>
        <w:rPr>
          <w:rFonts w:ascii="Times New Roman" w:cs="Times New Roman" w:eastAsia="Times New Roman" w:hAnsi="Times New Roman"/>
          <w:sz w:val="18"/>
          <w:szCs w:val="18"/>
          <w:color w:val="auto"/>
        </w:rPr>
        <w:t>WPH commenced operations on August 8, 2005 concurrent with the acquisition of assets from WestPoint Stevens as part of its bankruptcy reorganization. Certain of the issues that contributed to WestPoint Stevens' filing for bankruptcy, such as intense industry competition, the inability to produce goods at a cost competitive with overseas suppliers, the increasing prevalence of direct sourcing by principal customers and continued incurrence of overhead costs associated with an enterprise larger than the current business can profitably support, continue to exist and may continue to adversely affect our Home Fashion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home fashion industry is cyclical, seasonal and highly correlated to home sales.</w:t>
      </w:r>
    </w:p>
    <w:p>
      <w:pPr>
        <w:spacing w:after="0" w:line="121" w:lineRule="exact"/>
        <w:rPr>
          <w:sz w:val="20"/>
          <w:szCs w:val="20"/>
          <w:color w:val="auto"/>
        </w:rPr>
      </w:pPr>
    </w:p>
    <w:p>
      <w:pPr>
        <w:ind w:right="40" w:firstLine="378"/>
        <w:spacing w:after="0" w:line="258" w:lineRule="auto"/>
        <w:rPr>
          <w:sz w:val="20"/>
          <w:szCs w:val="20"/>
          <w:color w:val="auto"/>
        </w:rPr>
      </w:pPr>
      <w:r>
        <w:rPr>
          <w:rFonts w:ascii="Times New Roman" w:cs="Times New Roman" w:eastAsia="Times New Roman" w:hAnsi="Times New Roman"/>
          <w:sz w:val="18"/>
          <w:szCs w:val="18"/>
          <w:color w:val="auto"/>
        </w:rPr>
        <w:t>The home fashion industry is both cyclical and seasonal, which affects WPH's performance. Traditionally, the home fashion industry is seasonal, with a peak sales season in the fall. In response to this seasonality, WPH increases its inventory levels during the first six months of the year to meet customer demands for the peak fall season. In addition, the home fashion industry is traditionally cyclical and WPH's performance may be negatively affected by downturns in consumer spending. The home fashion industry is also highly correlated to home sales, and WPH's performance has been negatively affected by the downturn in this market.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of WPH's large customers could have an adverse effect on its business.</w:t>
      </w:r>
    </w:p>
    <w:p>
      <w:pPr>
        <w:spacing w:after="0" w:line="121" w:lineRule="exact"/>
        <w:rPr>
          <w:sz w:val="20"/>
          <w:szCs w:val="20"/>
          <w:color w:val="auto"/>
        </w:rPr>
      </w:pPr>
    </w:p>
    <w:p>
      <w:pPr>
        <w:ind w:right="200" w:firstLine="378"/>
        <w:spacing w:after="0" w:line="282" w:lineRule="auto"/>
        <w:rPr>
          <w:sz w:val="20"/>
          <w:szCs w:val="20"/>
          <w:color w:val="auto"/>
        </w:rPr>
      </w:pPr>
      <w:r>
        <w:rPr>
          <w:rFonts w:ascii="Times New Roman" w:cs="Times New Roman" w:eastAsia="Times New Roman" w:hAnsi="Times New Roman"/>
          <w:sz w:val="18"/>
          <w:szCs w:val="18"/>
          <w:color w:val="auto"/>
        </w:rPr>
        <w:t>During 2014, WPH had four customers that accounted for approximately 67% of its net sales. The loss of any of WPH's largest accounts, or a material portion of sales to those accounts, could have an adverse effect upon WPH's business, which could be material.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472" w:right="239" w:bottom="1440" w:gutter="0" w:footer="0" w:header="0"/>
        </w:sectPr>
      </w:pPr>
    </w:p>
    <w:bookmarkStart w:id="85" w:name="page86"/>
    <w:bookmarkEnd w:id="85"/>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WPH's sales are derived from licensed designer brands. The loss of a significant license could have an adverse effect on its business.</w:t>
      </w:r>
    </w:p>
    <w:p>
      <w:pPr>
        <w:spacing w:after="0" w:line="51" w:lineRule="exact"/>
        <w:rPr>
          <w:sz w:val="20"/>
          <w:szCs w:val="20"/>
          <w:color w:val="auto"/>
        </w:rPr>
      </w:pPr>
    </w:p>
    <w:p>
      <w:pPr>
        <w:ind w:right="40" w:firstLine="378"/>
        <w:spacing w:after="0" w:line="256" w:lineRule="auto"/>
        <w:rPr>
          <w:sz w:val="20"/>
          <w:szCs w:val="20"/>
          <w:color w:val="auto"/>
        </w:rPr>
      </w:pPr>
      <w:r>
        <w:rPr>
          <w:rFonts w:ascii="Times New Roman" w:cs="Times New Roman" w:eastAsia="Times New Roman" w:hAnsi="Times New Roman"/>
          <w:sz w:val="18"/>
          <w:szCs w:val="18"/>
          <w:color w:val="auto"/>
        </w:rPr>
        <w:t>A substantial portion of WPH's sales is derived from licensed designer brands. Some of the licenses are automatically renewable for additional periods, provided that sales thresholds set forth in the license agreements are met. Under certain circumstances, these licenses can be terminated without WPH's consent due to circumstances beyond WPH's control. The license agreements for these designer brands generally are for a term of two or three years. The loss of a significant license could have an adverse effect upon WPH's business, which effect could be material to its business. There was one licensed brand that contributed greater than 10% of WPH's net sales for 2012 which contributed approximately $47 million. This license ended in the first quarter of 2013 with sales of approximately $1 million.</w:t>
      </w:r>
    </w:p>
    <w:p>
      <w:pPr>
        <w:spacing w:after="0" w:line="7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During 2010 and 2011 there was a global shortage of the principal raw materials WPH uses to manufacture its products, particularly cotton and cotton yarn that forced WPH to pay significantly more for those materials. Any similar or future shortages would increase WPH's cost of goods and cause WPH to increase its prices, which could have an adverse effect on WPH's operations, and, to the extent WPH is not able to pass the cost increases to its customers, the margins on WPH products will be decreased.</w:t>
      </w:r>
    </w:p>
    <w:p>
      <w:pPr>
        <w:spacing w:after="0" w:line="73" w:lineRule="exact"/>
        <w:rPr>
          <w:sz w:val="20"/>
          <w:szCs w:val="20"/>
          <w:color w:val="auto"/>
        </w:rPr>
      </w:pPr>
    </w:p>
    <w:p>
      <w:pPr>
        <w:ind w:right="40" w:firstLine="378"/>
        <w:spacing w:after="0" w:line="255" w:lineRule="auto"/>
        <w:rPr>
          <w:sz w:val="20"/>
          <w:szCs w:val="20"/>
          <w:color w:val="auto"/>
        </w:rPr>
      </w:pPr>
      <w:r>
        <w:rPr>
          <w:rFonts w:ascii="Times New Roman" w:cs="Times New Roman" w:eastAsia="Times New Roman" w:hAnsi="Times New Roman"/>
          <w:sz w:val="18"/>
          <w:szCs w:val="18"/>
          <w:color w:val="auto"/>
        </w:rPr>
        <w:t>Any shortage in the raw materials WPH uses to manufacture its products could adversely affect WPH's operations. The principal raw materials that WPH uses in the manufacture of its products are cotton of various grades and staple lengths and polyester and nylon in staple and filament form. During 2010 and 2011, there was a global shortage of cotton and cotton yarn that forced WPH to pay significantly more for those materials. The shortages experienced resulted in the unwillingness of many producers to enter into long-term supply agreements, which resulted in increased price volatility. These shortages further resulted in increased prices for other raw materials, including polyester and nylon. WPH has not historically been able to pass all these cost increases to its customers through increased prices and, when that is the case, the margins on WPH's products have decreased. To the extent WPH increases the prices of its products to take into account any increased costs, WPH's sales may be negatively affected. Any shortage event may also impact the availability of raw materials, thereby adversely impacting the timing and volume of WPH net sales.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home fashion industry is very competitive and WPH's success depends on its ability to compete effectively in its market.</w:t>
      </w:r>
    </w:p>
    <w:p>
      <w:pPr>
        <w:spacing w:after="0" w:line="121" w:lineRule="exact"/>
        <w:rPr>
          <w:sz w:val="20"/>
          <w:szCs w:val="20"/>
          <w:color w:val="auto"/>
        </w:rPr>
      </w:pPr>
    </w:p>
    <w:p>
      <w:pPr>
        <w:ind w:right="120" w:firstLine="378"/>
        <w:spacing w:after="0" w:line="256" w:lineRule="auto"/>
        <w:rPr>
          <w:sz w:val="20"/>
          <w:szCs w:val="20"/>
          <w:color w:val="auto"/>
        </w:rPr>
      </w:pPr>
      <w:r>
        <w:rPr>
          <w:rFonts w:ascii="Times New Roman" w:cs="Times New Roman" w:eastAsia="Times New Roman" w:hAnsi="Times New Roman"/>
          <w:sz w:val="18"/>
          <w:szCs w:val="18"/>
          <w:color w:val="auto"/>
        </w:rPr>
        <w:t>The home fashion industry is highly competitive. WPH's future success will, to a large extent, depend on its ability to be a low-cost producer and to remain competitive. WPH competes with both foreign and domestic companies on the basis of price, quality and customer service. WPH's future success depends on its ability to remain competitive in the areas of marketing, product development, price, quality, brand names, manufacturing capabilities, distribution and order processing. Any failure to compete effectively could adversely affect WPH's sales and, accordingly, our Home Fashion operations. Additionally, the easing of trade restrictions over time has led to growing competition from low-priced products imported from Asia and Latin America. The lifting of import quotas in 2005 has accelerated the loss of WPH's market share.</w:t>
      </w:r>
    </w:p>
    <w:p>
      <w:pPr>
        <w:spacing w:after="0" w:line="7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WPH has a significant percentage of its products that are made overseas. There is no assurance that WPH will be successful in obtaining goods of sufficient quality on a timely basis and on advantageous terms. WPH is subject to additional risks relating to doing business overseas.</w:t>
      </w:r>
    </w:p>
    <w:p>
      <w:pPr>
        <w:spacing w:after="0" w:line="51" w:lineRule="exact"/>
        <w:rPr>
          <w:sz w:val="20"/>
          <w:szCs w:val="20"/>
          <w:color w:val="auto"/>
        </w:rPr>
      </w:pPr>
    </w:p>
    <w:p>
      <w:pPr>
        <w:ind w:firstLine="378"/>
        <w:spacing w:after="0" w:line="261" w:lineRule="auto"/>
        <w:rPr>
          <w:sz w:val="20"/>
          <w:szCs w:val="20"/>
          <w:color w:val="auto"/>
        </w:rPr>
      </w:pPr>
      <w:r>
        <w:rPr>
          <w:rFonts w:ascii="Times New Roman" w:cs="Times New Roman" w:eastAsia="Times New Roman" w:hAnsi="Times New Roman"/>
          <w:sz w:val="18"/>
          <w:szCs w:val="18"/>
          <w:color w:val="auto"/>
        </w:rPr>
        <w:t>WPH has as significant percentage of its products that are made overseas and faces additional risks associated with these efforts. WPH currently has a manufacturing facility that it owns through a subsidiary in Bahrain. WPH also has a sourcing office in China and purchases from manufacturers in many foreign countries. WPH has limited experience in overseas procurement and, accordingly, WPH cannot assure you that it will be successful in obtaining goods of sufficient quality on a timely basis and on advantageous terms.</w:t>
      </w:r>
    </w:p>
    <w:p>
      <w:pPr>
        <w:spacing w:after="0" w:line="72" w:lineRule="exact"/>
        <w:rPr>
          <w:sz w:val="20"/>
          <w:szCs w:val="20"/>
          <w:color w:val="auto"/>
        </w:rPr>
      </w:pPr>
    </w:p>
    <w:p>
      <w:pPr>
        <w:jc w:val="both"/>
        <w:ind w:right="200" w:firstLine="378"/>
        <w:spacing w:after="0" w:line="266" w:lineRule="auto"/>
        <w:rPr>
          <w:sz w:val="20"/>
          <w:szCs w:val="20"/>
          <w:color w:val="auto"/>
        </w:rPr>
      </w:pPr>
      <w:r>
        <w:rPr>
          <w:rFonts w:ascii="Times New Roman" w:cs="Times New Roman" w:eastAsia="Times New Roman" w:hAnsi="Times New Roman"/>
          <w:sz w:val="18"/>
          <w:szCs w:val="18"/>
          <w:color w:val="auto"/>
        </w:rPr>
        <w:t>Recent civil unrest in Bahrain has not affected WPH's operations in that country to date, but we cannot assure you that future events in Bahrain, or the other foreign countries in which WPH has operations, will not have a material adverse effect on WPH's business, foreign assets or the cost or availability of its goods.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has been consolidation of retailers of home fashion products that may reduce WPH's profitability.</w:t>
      </w:r>
    </w:p>
    <w:p>
      <w:pPr>
        <w:spacing w:after="0" w:line="121" w:lineRule="exact"/>
        <w:rPr>
          <w:sz w:val="20"/>
          <w:szCs w:val="20"/>
          <w:color w:val="auto"/>
        </w:rPr>
      </w:pPr>
    </w:p>
    <w:p>
      <w:pPr>
        <w:ind w:right="40" w:firstLine="378"/>
        <w:spacing w:after="0" w:line="266" w:lineRule="auto"/>
        <w:rPr>
          <w:sz w:val="20"/>
          <w:szCs w:val="20"/>
          <w:color w:val="auto"/>
        </w:rPr>
      </w:pPr>
      <w:r>
        <w:rPr>
          <w:rFonts w:ascii="Times New Roman" w:cs="Times New Roman" w:eastAsia="Times New Roman" w:hAnsi="Times New Roman"/>
          <w:sz w:val="18"/>
          <w:szCs w:val="18"/>
          <w:color w:val="auto"/>
        </w:rPr>
        <w:t>The consolidation of retailers of consumer goods has resulted in certain retailers having a greater ability to secure more favorable terms from vendors. Retailers' pricing leverage has resulted in a decline in WPH's unit pricing and margins and resulted in a shift in product mix to more private label programs. If WPH is unable to diminish the decline in its pricing and margins, WPH may not be able to achieve profitability.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468" w:right="239" w:bottom="1440" w:gutter="0" w:footer="0" w:header="0"/>
        </w:sectPr>
      </w:pPr>
    </w:p>
    <w:bookmarkStart w:id="86" w:name="page87"/>
    <w:bookmarkEnd w:id="86"/>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retail industry in the United States is highly competitive and subject to the various economic cycles of consumer demand. WPH is subject to the retailers' demand for products as manifest by underlying consumer spending. WPH may incur adverse financial consequences if WPH's retail customers experience adverse financial results.</w:t>
      </w:r>
    </w:p>
    <w:p>
      <w:pPr>
        <w:spacing w:after="0" w:line="67" w:lineRule="exact"/>
        <w:rPr>
          <w:sz w:val="20"/>
          <w:szCs w:val="20"/>
          <w:color w:val="auto"/>
        </w:rPr>
      </w:pPr>
    </w:p>
    <w:p>
      <w:pPr>
        <w:ind w:right="80" w:firstLine="378"/>
        <w:spacing w:after="0" w:line="254" w:lineRule="auto"/>
        <w:rPr>
          <w:sz w:val="20"/>
          <w:szCs w:val="20"/>
          <w:color w:val="auto"/>
        </w:rPr>
      </w:pPr>
      <w:r>
        <w:rPr>
          <w:rFonts w:ascii="Times New Roman" w:cs="Times New Roman" w:eastAsia="Times New Roman" w:hAnsi="Times New Roman"/>
          <w:sz w:val="18"/>
          <w:szCs w:val="18"/>
          <w:color w:val="auto"/>
        </w:rPr>
        <w:t>Retailers of consumer goods are dependent upon consumer spending. In turn, consumer spending is broadly a function of the overall economic environment. Given the weaknesses in the overall economy, and in the home sales market specifically, the level of consumer retail spending for home textile products is likely to decline, which would have an adverse impact on WPH's business and financial results. In the current unsettled economic environment, the indicators are that consumers are not purchasing discretionary goods to the extent they have in the past. To the extent that retailers of consumer goods are faced with financial difficulties due to weakened consumer demand, depending upon the amount of business that WPH does with any such customer, WPH's financial results may be adversely affected. This adverse impact could arise out of the potential recoverability of a receivable from a financially impaired retailer or from a customer doing less business with WPH. WPH believes it maintains adequate receivable reserves for specifically known events and an overall general provision for unknown circumstances. However, depending upon the magnitude of any future unknown event, these reserves may not be sufficient.</w:t>
      </w:r>
    </w:p>
    <w:p>
      <w:pPr>
        <w:spacing w:after="0" w:line="7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WPH is subject to various U.S. federal, state and local and foreign laws, rules and regulations. If WPH does not comply with these laws, rules and regulations, it may incur significant costs in the future to become compliant.</w:t>
      </w:r>
    </w:p>
    <w:p>
      <w:pPr>
        <w:spacing w:after="0" w:line="51" w:lineRule="exact"/>
        <w:rPr>
          <w:sz w:val="20"/>
          <w:szCs w:val="20"/>
          <w:color w:val="auto"/>
        </w:rPr>
      </w:pPr>
    </w:p>
    <w:p>
      <w:pPr>
        <w:ind w:right="120" w:firstLine="378"/>
        <w:spacing w:after="0" w:line="255" w:lineRule="auto"/>
        <w:rPr>
          <w:sz w:val="20"/>
          <w:szCs w:val="20"/>
          <w:color w:val="auto"/>
        </w:rPr>
      </w:pPr>
      <w:r>
        <w:rPr>
          <w:rFonts w:ascii="Times New Roman" w:cs="Times New Roman" w:eastAsia="Times New Roman" w:hAnsi="Times New Roman"/>
          <w:sz w:val="18"/>
          <w:szCs w:val="18"/>
          <w:color w:val="auto"/>
        </w:rPr>
        <w:t>WPH is subject to various U.S. federal, state and local and foreign laws, rules and regulations governing, among other things, the discharge, storage, handling, usage and disposal of a variety of hazardous and non-hazardous substances and wastes used in, or resulting from, WPH's operations, including potential remediation obligations under those laws and regulations. WPH's operations are also governed by U.S. federal, state, local and foreign laws, rules and regulations relating to employee safety and health which, among other things, establish exposure limitations for cotton dust, formaldehyde, asbestos and noise, and which regulate chemical, physical and ergonomic hazards in the workplace. Although WPH does not expect that compliance with any of these laws, rules and regulations will materially adversely affect our Home Fashion operations, WPH cannot assure you that regulatory requirements will not become more stringent in the future or that WPH will not incur significant costs to comply with those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identify suitable investments, and our investments may not result in favorable returns or may result in losses.</w:t>
      </w:r>
    </w:p>
    <w:p>
      <w:pPr>
        <w:spacing w:after="0" w:line="121" w:lineRule="exact"/>
        <w:rPr>
          <w:sz w:val="20"/>
          <w:szCs w:val="20"/>
          <w:color w:val="auto"/>
        </w:rPr>
      </w:pPr>
    </w:p>
    <w:p>
      <w:pPr>
        <w:ind w:right="60" w:firstLine="378"/>
        <w:spacing w:after="0" w:line="255" w:lineRule="auto"/>
        <w:rPr>
          <w:sz w:val="20"/>
          <w:szCs w:val="20"/>
          <w:color w:val="auto"/>
        </w:rPr>
      </w:pPr>
      <w:r>
        <w:rPr>
          <w:rFonts w:ascii="Times New Roman" w:cs="Times New Roman" w:eastAsia="Times New Roman" w:hAnsi="Times New Roman"/>
          <w:sz w:val="18"/>
          <w:szCs w:val="18"/>
          <w:color w:val="auto"/>
        </w:rPr>
        <w:t>Our partnership agreement allows us to take advantage of investment opportunities we believe exist outside of our operating businesses. The equity securities in which we may invest may include common stock, preferred stock and securities convertible into common stock, as well as warrants to purchase these securities. The debt securities in which we may invest may include bonds, debentures, notes or non-rated mortgage-related securities, municipal obligations, bank debt and mezzanine loans. Certain of these securities may include lower rated or non-rated securities, which may provide the potential for higher yields and therefore may entail higher risk and may include the securities of bankrupt or distressed companies. In addition, we may engage in various investment techniques, including derivatives, options and futures transactions, foreign currency transactions, “short” sales and leveraging for either hedging or other purposes. We may concentrate our activities by owning significant or controlling interest in certain investments. We may not be successful in finding suitable opportunities to invest our cash and our strategy of investing in undervalued assets may expose us to numerous risks.</w:t>
      </w:r>
    </w:p>
    <w:p>
      <w:pPr>
        <w:spacing w:after="0" w:line="77" w:lineRule="exact"/>
        <w:rPr>
          <w:sz w:val="20"/>
          <w:szCs w:val="20"/>
          <w:color w:val="auto"/>
        </w:rPr>
      </w:pPr>
    </w:p>
    <w:p>
      <w:pPr>
        <w:ind w:right="60" w:firstLine="378"/>
        <w:spacing w:after="0" w:line="256" w:lineRule="auto"/>
        <w:rPr>
          <w:sz w:val="20"/>
          <w:szCs w:val="20"/>
          <w:color w:val="auto"/>
        </w:rPr>
      </w:pPr>
      <w:r>
        <w:rPr>
          <w:rFonts w:ascii="Times New Roman" w:cs="Times New Roman" w:eastAsia="Times New Roman" w:hAnsi="Times New Roman"/>
          <w:sz w:val="18"/>
          <w:szCs w:val="18"/>
          <w:color w:val="auto"/>
        </w:rPr>
        <w:t>We have entered into a covered affiliate agreement, pursuant to which we (and certain of our subsidiaries) have agreed, in general, to be bound by certain restrictions on our investments in any assets that the General Partners deem suitable for the Investment Funds, other than government and agency bonds, cash equivalents and investments in non-public companies. We and our subsidiaries, either alone or acting together with a group, will not be restricted from (i) acquiring all or any portion of the assets of any public company in connection with a negotiated transaction or series of related negotiated transactions or (ii) engaging in a negotiated merger transaction with a public company and, pursuant thereto, conducting and completing a tender offer for securities of the company.</w:t>
      </w:r>
    </w:p>
    <w:p>
      <w:pPr>
        <w:spacing w:after="0" w:line="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made significant investments in the Investment Funds and negative performance of the Investment Funds may result in a significant decline in the value of our investments.</w:t>
      </w:r>
    </w:p>
    <w:p>
      <w:pPr>
        <w:spacing w:after="0" w:line="51" w:lineRule="exact"/>
        <w:rPr>
          <w:sz w:val="20"/>
          <w:szCs w:val="20"/>
          <w:color w:val="auto"/>
        </w:rPr>
      </w:pPr>
    </w:p>
    <w:p>
      <w:pPr>
        <w:ind w:firstLine="378"/>
        <w:spacing w:after="0" w:line="266" w:lineRule="auto"/>
        <w:rPr>
          <w:sz w:val="20"/>
          <w:szCs w:val="20"/>
          <w:color w:val="auto"/>
        </w:rPr>
      </w:pPr>
      <w:r>
        <w:rPr>
          <w:rFonts w:ascii="Times New Roman" w:cs="Times New Roman" w:eastAsia="Times New Roman" w:hAnsi="Times New Roman"/>
          <w:sz w:val="18"/>
          <w:szCs w:val="18"/>
          <w:color w:val="auto"/>
        </w:rPr>
        <w:t>As of December 31, 2014, we had interests aggregating approximately $4.3 billion in the Investment Funds. If the Investment Funds experience negative performance, the value of these investments will be negatively impacted, which could have a material adverse effect on our operating results, cash flows and financial position.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00"/>
          </w:cols>
          <w:pgMar w:left="240" w:top="468" w:right="2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may be subject to significant uncertainties.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investments may not be successful for many reasons, including, but not limited to:</w:t>
      </w:r>
    </w:p>
    <w:p>
      <w:pPr>
        <w:spacing w:after="0" w:line="117" w:lineRule="exact"/>
        <w:rPr>
          <w:sz w:val="20"/>
          <w:szCs w:val="20"/>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interest rates;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control in minority investments;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worsening of general economic and market conditions;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diversification;</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Investment Funds' activist strategies;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U.S. dollar exchange rates; and</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legal and regulatory developments that may affect particular businesses.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Automotive</w:t>
      </w:r>
    </w:p>
    <w:p>
      <w:pPr>
        <w:spacing w:after="0" w:line="121" w:lineRule="exact"/>
        <w:rPr>
          <w:sz w:val="20"/>
          <w:szCs w:val="20"/>
          <w:color w:val="auto"/>
        </w:rPr>
      </w:pPr>
    </w:p>
    <w:p>
      <w:pPr>
        <w:ind w:right="80" w:firstLine="378"/>
        <w:spacing w:after="0" w:line="266" w:lineRule="auto"/>
        <w:rPr>
          <w:sz w:val="20"/>
          <w:szCs w:val="20"/>
          <w:color w:val="auto"/>
        </w:rPr>
      </w:pPr>
      <w:r>
        <w:rPr>
          <w:rFonts w:ascii="Times New Roman" w:cs="Times New Roman" w:eastAsia="Times New Roman" w:hAnsi="Times New Roman"/>
          <w:sz w:val="18"/>
          <w:szCs w:val="18"/>
          <w:color w:val="auto"/>
        </w:rPr>
        <w:t>Federal-Mogul's world headquarters is located in Southfield, Michigan, which is a leased facility. Federal-Mogul had 174 manufacturing facilities, technical centers, distribution centers, and sales and administration office facilities worldwide at December 31, 2014. Approximately 41% of the facilities are leased; the majority of which are distribution centers, and sales and administration offices. Federal-Mogul owns the remainder of the facilities.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North</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5"/>
        </w:trPr>
        <w:tc>
          <w:tcPr>
            <w:tcW w:w="6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Type of Facility</w:t>
            </w:r>
          </w:p>
        </w:tc>
        <w:tc>
          <w:tcPr>
            <w:tcW w:w="14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130"/>
              <w:spacing w:after="0" w:line="265" w:lineRule="exact"/>
              <w:rPr>
                <w:sz w:val="20"/>
                <w:szCs w:val="20"/>
                <w:color w:val="auto"/>
              </w:rPr>
            </w:pPr>
            <w:r>
              <w:rPr>
                <w:rFonts w:ascii="Times New Roman" w:cs="Times New Roman" w:eastAsia="Times New Roman" w:hAnsi="Times New Roman"/>
                <w:sz w:val="18"/>
                <w:szCs w:val="18"/>
                <w:b w:val="1"/>
                <w:bCs w:val="1"/>
                <w:color w:val="auto"/>
              </w:rPr>
              <w:t>EMEA</w:t>
            </w:r>
            <w:r>
              <w:rPr>
                <w:rFonts w:ascii="Times New Roman" w:cs="Times New Roman" w:eastAsia="Times New Roman" w:hAnsi="Times New Roman"/>
                <w:sz w:val="25"/>
                <w:szCs w:val="25"/>
                <w:b w:val="1"/>
                <w:bCs w:val="1"/>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Rest of World</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Manufacturing</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Technical</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Distribution</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Sales and administration</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Acronym refers to "Europe, the Middle East and Africa"</w:t>
      </w:r>
    </w:p>
    <w:p>
      <w:pPr>
        <w:spacing w:after="0" w:line="114" w:lineRule="exact"/>
        <w:rPr>
          <w:sz w:val="20"/>
          <w:szCs w:val="20"/>
          <w:color w:val="auto"/>
        </w:rPr>
      </w:pPr>
    </w:p>
    <w:p>
      <w:pPr>
        <w:jc w:val="both"/>
        <w:ind w:right="120" w:firstLine="378"/>
        <w:spacing w:after="0" w:line="282" w:lineRule="auto"/>
        <w:rPr>
          <w:sz w:val="20"/>
          <w:szCs w:val="20"/>
          <w:color w:val="auto"/>
        </w:rPr>
      </w:pPr>
      <w:r>
        <w:rPr>
          <w:rFonts w:ascii="Times New Roman" w:cs="Times New Roman" w:eastAsia="Times New Roman" w:hAnsi="Times New Roman"/>
          <w:sz w:val="18"/>
          <w:szCs w:val="18"/>
          <w:color w:val="auto"/>
        </w:rPr>
        <w:t>The facilities range in size from approximately 100 square feet to 700 thousand square feet. Federal-Mogul believes that substantially all of its facilities are in good condition and that it has sufficient capacity to meet its current and expected manufacturing and distribution needs.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contains certain information regarding CVR's principal properties: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Acres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Own/Lease</w:t>
            </w:r>
          </w:p>
        </w:tc>
        <w:tc>
          <w:tcPr>
            <w:tcW w:w="444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Use</w:t>
            </w:r>
          </w:p>
        </w:tc>
      </w:tr>
      <w:tr>
        <w:trPr>
          <w:trHeight w:val="27"/>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18"/>
        </w:trPr>
        <w:tc>
          <w:tcPr>
            <w:tcW w:w="4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Coffeyville, KS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440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Own</w:t>
            </w: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Coffeyville Resources: oil refinery and office buildings</w:t>
            </w:r>
          </w:p>
        </w:tc>
      </w:tr>
      <w:tr>
        <w:trPr>
          <w:trHeight w:val="241"/>
        </w:trPr>
        <w:tc>
          <w:tcPr>
            <w:tcW w:w="4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CVR Partners: fertilizer plant</w:t>
            </w:r>
          </w:p>
        </w:tc>
      </w:tr>
      <w:tr>
        <w:trPr>
          <w:trHeight w:val="24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Wynnewood, OK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400</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Own</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refinery, office buildings, refined oil storage</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Montgomery County, KS (Coffeyville Station)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Own</w:t>
            </w:r>
          </w:p>
        </w:tc>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 storage</w:t>
            </w:r>
          </w:p>
        </w:tc>
      </w:tr>
      <w:tr>
        <w:trPr>
          <w:trHeight w:val="24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Montgomery County, KS (Broome Station)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Own</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 storage</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Cowley County, KS (Hooser Station)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Own</w:t>
            </w:r>
          </w:p>
        </w:tc>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 storage</w:t>
            </w:r>
          </w:p>
        </w:tc>
      </w:tr>
      <w:tr>
        <w:trPr>
          <w:trHeight w:val="24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Cushing, OK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138</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Own</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 storage</w:t>
            </w:r>
          </w:p>
        </w:tc>
      </w:tr>
    </w:tbl>
    <w:p>
      <w:pPr>
        <w:spacing w:after="0" w:line="117"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CVR also leases property for its executive office located at 2277 Plaza Drive in Sugar Land, Texas. Additionally, other corporate office space is leased in Kansas City, Kansas.</w:t>
      </w:r>
    </w:p>
    <w:p>
      <w:pPr>
        <w:spacing w:after="0" w:line="54" w:lineRule="exact"/>
        <w:rPr>
          <w:sz w:val="20"/>
          <w:szCs w:val="20"/>
          <w:color w:val="auto"/>
        </w:rPr>
      </w:pPr>
    </w:p>
    <w:p>
      <w:pPr>
        <w:ind w:right="240" w:firstLine="378"/>
        <w:spacing w:after="0" w:line="282" w:lineRule="auto"/>
        <w:rPr>
          <w:sz w:val="20"/>
          <w:szCs w:val="20"/>
          <w:color w:val="auto"/>
        </w:rPr>
      </w:pPr>
      <w:r>
        <w:rPr>
          <w:rFonts w:ascii="Times New Roman" w:cs="Times New Roman" w:eastAsia="Times New Roman" w:hAnsi="Times New Roman"/>
          <w:sz w:val="18"/>
          <w:szCs w:val="18"/>
          <w:color w:val="auto"/>
        </w:rPr>
        <w:t>As of December 31, 2014, CVR had crude oil storage tanks with a capacity of approximately (i) 1.4 million barrels that supports the gathering system and the Coffeyville refinery, (ii) 0.9 million barrels at the Wynnewood refinery and (iii) 1.0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468" w:right="239" w:bottom="1440" w:gutter="0" w:footer="0" w:header="0"/>
        </w:sectPr>
      </w:pPr>
    </w:p>
    <w:bookmarkStart w:id="88" w:name="page89"/>
    <w:bookmarkEnd w:id="88"/>
    <w:p>
      <w:pPr>
        <w:ind w:right="240"/>
        <w:spacing w:after="0" w:line="266" w:lineRule="auto"/>
        <w:rPr>
          <w:sz w:val="20"/>
          <w:szCs w:val="20"/>
          <w:color w:val="auto"/>
        </w:rPr>
      </w:pPr>
      <w:r>
        <w:rPr>
          <w:rFonts w:ascii="Times New Roman" w:cs="Times New Roman" w:eastAsia="Times New Roman" w:hAnsi="Times New Roman"/>
          <w:sz w:val="18"/>
          <w:szCs w:val="18"/>
          <w:color w:val="auto"/>
        </w:rPr>
        <w:t>million barrels in Cushing, Oklahoma. The petroleum business leases additional crude oil storage capacity of approximately 2.8 million barrels in Cushing and 0.1 million barrels at the Wynnewood refinery. In addition to crude oil storage, the petroleum business owns approximately 4.5 million barrels of combined refinery related storage capacity.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Metals</w:t>
      </w:r>
    </w:p>
    <w:p>
      <w:pPr>
        <w:spacing w:after="0" w:line="121" w:lineRule="exact"/>
        <w:rPr>
          <w:sz w:val="20"/>
          <w:szCs w:val="20"/>
          <w:color w:val="auto"/>
        </w:rPr>
      </w:pPr>
    </w:p>
    <w:p>
      <w:pPr>
        <w:ind w:right="40" w:firstLine="378"/>
        <w:spacing w:after="0" w:line="255" w:lineRule="auto"/>
        <w:rPr>
          <w:sz w:val="20"/>
          <w:szCs w:val="20"/>
          <w:color w:val="auto"/>
        </w:rPr>
      </w:pPr>
      <w:r>
        <w:rPr>
          <w:rFonts w:ascii="Times New Roman" w:cs="Times New Roman" w:eastAsia="Times New Roman" w:hAnsi="Times New Roman"/>
          <w:sz w:val="18"/>
          <w:szCs w:val="18"/>
          <w:color w:val="auto"/>
        </w:rPr>
        <w:t>PSC Metals is headquartered in Mayfield Heights, Ohio and, as of December 31, 2014, operated 40 recycling yards, four secondary plate storage and distribution centers, and two auto parts recycling warehouses. PSC Metals, facilities are strategically located in high-volume scrap metal markets throughout the Midwestern and Southeastern United States, placing PSC Metals in proximity to both suppliers and consumers of scrap metals. PSC Metals owns one recycling yard in Arkansas, one in Georgia, one in Illinois, two in Kentucky, seven in Missouri, eight in Ohio, two in Pennsylvania, and nine in Tennessee. PSC Metals leases two recycling yards in Missouri, five in Ohio, and one in Tennessee, and is a service provider at a location in Pennsylvania. PSC Metals owns plate storage facilities in Indiana and Michigan, and also leases a plate storage facility in Indiana. PSC Metals owns one auto recycling warehouse in Ohio and leases one in Ohio. PSC Metals also owns a steel pipe products storage center in Smithville, Ontario, Canada.</w:t>
      </w:r>
    </w:p>
    <w:p>
      <w:pPr>
        <w:spacing w:after="0" w:line="81" w:lineRule="exact"/>
        <w:rPr>
          <w:sz w:val="20"/>
          <w:szCs w:val="20"/>
          <w:color w:val="auto"/>
        </w:rPr>
      </w:pPr>
    </w:p>
    <w:p>
      <w:pPr>
        <w:ind w:right="820" w:firstLine="378"/>
        <w:spacing w:after="0" w:line="375" w:lineRule="auto"/>
        <w:rPr>
          <w:sz w:val="20"/>
          <w:szCs w:val="20"/>
          <w:color w:val="auto"/>
        </w:rPr>
      </w:pPr>
      <w:r>
        <w:rPr>
          <w:rFonts w:ascii="Times New Roman" w:cs="Times New Roman" w:eastAsia="Times New Roman" w:hAnsi="Times New Roman"/>
          <w:sz w:val="18"/>
          <w:szCs w:val="18"/>
          <w:color w:val="auto"/>
        </w:rPr>
        <w:t xml:space="preserve">PSC Metals' corporate headquarters is leased. In addition, PSC Metals has an administrative office located in Stoney Creek, Ontario, Canada. </w:t>
      </w:r>
      <w:r>
        <w:rPr>
          <w:rFonts w:ascii="Times New Roman" w:cs="Times New Roman" w:eastAsia="Times New Roman" w:hAnsi="Times New Roman"/>
          <w:sz w:val="18"/>
          <w:szCs w:val="18"/>
          <w:b w:val="1"/>
          <w:bCs w:val="1"/>
          <w:color w:val="auto"/>
        </w:rPr>
        <w:t>Railcar</w:t>
      </w:r>
    </w:p>
    <w:p>
      <w:pPr>
        <w:spacing w:after="0" w:line="1"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ARI's and ARL's headquarters are located in St. Charles, Missouri. ARI and ARL lease their facilities from an entity owned by Mr. James Unger, former Vice Chairman of ARI's board of directors and former member of ARL's executive committee, pursuant to lease agreements that expire December 31, 2021. ARI owns manufacturing facilities in Paragould Arkansas; Marmaduke, Arkansas; Jackson, Missouri; Kennett, Missouri; Longview, Texas; and leases one manufacturing facility in St. Charles, Missouri. As of December 31, 2014, ARI operates seven railcar services facilities and twelve mobile repair and mini repair shop facilities where it provides railcar repair and field services. Five of the railcar services facilities are owned and the remaining two are leased.</w:t>
      </w:r>
    </w:p>
    <w:p>
      <w:pPr>
        <w:spacing w:after="0" w:line="76" w:lineRule="exact"/>
        <w:rPr>
          <w:sz w:val="20"/>
          <w:szCs w:val="20"/>
          <w:color w:val="auto"/>
        </w:rPr>
      </w:pPr>
    </w:p>
    <w:p>
      <w:pPr>
        <w:ind w:right="420" w:firstLine="378"/>
        <w:spacing w:after="0" w:line="282" w:lineRule="auto"/>
        <w:rPr>
          <w:sz w:val="20"/>
          <w:szCs w:val="20"/>
          <w:color w:val="auto"/>
        </w:rPr>
      </w:pPr>
      <w:r>
        <w:rPr>
          <w:rFonts w:ascii="Times New Roman" w:cs="Times New Roman" w:eastAsia="Times New Roman" w:hAnsi="Times New Roman"/>
          <w:sz w:val="18"/>
          <w:szCs w:val="18"/>
          <w:color w:val="auto"/>
        </w:rPr>
        <w:t>In addition to the corporate headquarters, ARL maintains four regional sales offices located through the United States and Canada, all of which are leased.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Gaming</w:t>
      </w:r>
    </w:p>
    <w:p>
      <w:pPr>
        <w:spacing w:after="0" w:line="121" w:lineRule="exact"/>
        <w:rPr>
          <w:sz w:val="20"/>
          <w:szCs w:val="20"/>
          <w:color w:val="auto"/>
        </w:rPr>
      </w:pPr>
    </w:p>
    <w:p>
      <w:pPr>
        <w:ind w:right="100" w:firstLine="378"/>
        <w:spacing w:after="0" w:line="261" w:lineRule="auto"/>
        <w:rPr>
          <w:sz w:val="20"/>
          <w:szCs w:val="20"/>
          <w:color w:val="auto"/>
        </w:rPr>
      </w:pPr>
      <w:r>
        <w:rPr>
          <w:rFonts w:ascii="Times New Roman" w:cs="Times New Roman" w:eastAsia="Times New Roman" w:hAnsi="Times New Roman"/>
          <w:sz w:val="18"/>
          <w:szCs w:val="18"/>
          <w:color w:val="auto"/>
        </w:rPr>
        <w:t>Tropicana's corporate headquarters is located in Las Vegas, Nevada, which is leased office space, and currently owns and operates a diversified, multi-jurisdictional collection of casino gaming properties. The eight properties operated by Tropicana feature approximately 390,900 square feet of gaming space and 5,525 hotel rooms. The eight casino facilities Tropicana currently operates include two casinos in Nevada and one in each of Missouri, Mississippi, Indiana, Louisiana, New Jersey and Aruba.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Food Packaging</w:t>
      </w:r>
    </w:p>
    <w:p>
      <w:pPr>
        <w:spacing w:after="0" w:line="121" w:lineRule="exact"/>
        <w:rPr>
          <w:sz w:val="20"/>
          <w:szCs w:val="20"/>
          <w:color w:val="auto"/>
        </w:rPr>
      </w:pPr>
    </w:p>
    <w:p>
      <w:pPr>
        <w:ind w:right="120" w:firstLine="378"/>
        <w:spacing w:after="0" w:line="282" w:lineRule="auto"/>
        <w:rPr>
          <w:sz w:val="20"/>
          <w:szCs w:val="20"/>
          <w:color w:val="auto"/>
        </w:rPr>
      </w:pPr>
      <w:r>
        <w:rPr>
          <w:rFonts w:ascii="Times New Roman" w:cs="Times New Roman" w:eastAsia="Times New Roman" w:hAnsi="Times New Roman"/>
          <w:sz w:val="18"/>
          <w:szCs w:val="18"/>
          <w:color w:val="auto"/>
        </w:rPr>
        <w:t>Viskase's headquarters is located in Darien, Illinois. In addition, Viskase operates nine manufacturing facilities and nine distribution centers throughout North America, Europe, South America and Asia.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w:t>
      </w:r>
    </w:p>
    <w:p>
      <w:pPr>
        <w:spacing w:after="0" w:line="121" w:lineRule="exact"/>
        <w:rPr>
          <w:sz w:val="20"/>
          <w:szCs w:val="20"/>
          <w:color w:val="auto"/>
        </w:rPr>
      </w:pPr>
    </w:p>
    <w:p>
      <w:pPr>
        <w:ind w:right="320" w:firstLine="378"/>
        <w:spacing w:after="0" w:line="289" w:lineRule="auto"/>
        <w:rPr>
          <w:sz w:val="20"/>
          <w:szCs w:val="20"/>
          <w:color w:val="auto"/>
        </w:rPr>
      </w:pPr>
      <w:r>
        <w:rPr>
          <w:rFonts w:ascii="Times New Roman" w:cs="Times New Roman" w:eastAsia="Times New Roman" w:hAnsi="Times New Roman"/>
          <w:sz w:val="17"/>
          <w:szCs w:val="17"/>
          <w:color w:val="auto"/>
        </w:rPr>
        <w:t>Our Real Estate segment is headquartered in New York, New York. As of December 31, 2014, our Real Estate segment owned 29 retail, office and industrial properties, the majority of which are net leased to single corporate tenants. These primarily consist of fee and leasehold interests in 14 states. In terms of square footage, approximately 80% of these properties are net-leased, 15% are operating properties and 5% are vacant as of December 31, 2014.</w:t>
      </w:r>
    </w:p>
    <w:p>
      <w:pPr>
        <w:spacing w:after="0" w:line="50" w:lineRule="exact"/>
        <w:rPr>
          <w:sz w:val="20"/>
          <w:szCs w:val="20"/>
          <w:color w:val="auto"/>
        </w:rPr>
      </w:pPr>
    </w:p>
    <w:p>
      <w:pPr>
        <w:ind w:right="320" w:firstLine="378"/>
        <w:spacing w:after="0" w:line="266" w:lineRule="auto"/>
        <w:rPr>
          <w:sz w:val="20"/>
          <w:szCs w:val="20"/>
          <w:color w:val="auto"/>
        </w:rPr>
      </w:pPr>
      <w:r>
        <w:rPr>
          <w:rFonts w:ascii="Times New Roman" w:cs="Times New Roman" w:eastAsia="Times New Roman" w:hAnsi="Times New Roman"/>
          <w:sz w:val="18"/>
          <w:szCs w:val="18"/>
          <w:color w:val="auto"/>
        </w:rPr>
        <w:t>Our Real Estate segment's residential development properties consist of its New Seabury Resort in Cape Cod, Massachusetts and the waterfront communities of Grand Harbor and Oak Harbor in Vero Beach, Florida. These communities include properties in various stages of development. Our Real Estate segment also owns 400 acres of developable land adjacent to Grand Harbor.</w:t>
      </w:r>
    </w:p>
    <w:p>
      <w:pPr>
        <w:spacing w:after="0" w:line="68" w:lineRule="exact"/>
        <w:rPr>
          <w:sz w:val="20"/>
          <w:szCs w:val="20"/>
          <w:color w:val="auto"/>
        </w:rPr>
      </w:pPr>
    </w:p>
    <w:p>
      <w:pPr>
        <w:ind w:right="120" w:firstLine="378"/>
        <w:spacing w:after="0" w:line="266" w:lineRule="auto"/>
        <w:rPr>
          <w:sz w:val="20"/>
          <w:szCs w:val="20"/>
          <w:color w:val="auto"/>
        </w:rPr>
      </w:pPr>
      <w:r>
        <w:rPr>
          <w:rFonts w:ascii="Times New Roman" w:cs="Times New Roman" w:eastAsia="Times New Roman" w:hAnsi="Times New Roman"/>
          <w:sz w:val="18"/>
          <w:szCs w:val="18"/>
          <w:color w:val="auto"/>
        </w:rPr>
        <w:t>At its New Seabury Resort, our Real Estate segment operates a golf club, with two championship golf courses, the Popponesset Inn, a private beach club, a fitness center and a tennis facility. Our Real Estate segment also owns three golf courses, a tennis complex, fitness center, beach club and clubhouses and an assisted living facility located adjacent to the Intercoastal Waterway in Vero Beach, Florida.</w:t>
      </w:r>
    </w:p>
    <w:p>
      <w:pPr>
        <w:spacing w:after="0" w:line="68" w:lineRule="exact"/>
        <w:rPr>
          <w:sz w:val="20"/>
          <w:szCs w:val="20"/>
          <w:color w:val="auto"/>
        </w:rPr>
      </w:pPr>
    </w:p>
    <w:p>
      <w:pPr>
        <w:ind w:right="200" w:firstLine="378"/>
        <w:spacing w:after="0" w:line="282" w:lineRule="auto"/>
        <w:rPr>
          <w:sz w:val="20"/>
          <w:szCs w:val="20"/>
          <w:color w:val="auto"/>
        </w:rPr>
      </w:pPr>
      <w:r>
        <w:rPr>
          <w:rFonts w:ascii="Times New Roman" w:cs="Times New Roman" w:eastAsia="Times New Roman" w:hAnsi="Times New Roman"/>
          <w:sz w:val="18"/>
          <w:szCs w:val="18"/>
          <w:color w:val="auto"/>
        </w:rPr>
        <w:t>In addition, our Real Estate segment owns an unfinished development property and a partially developed casino, located on approximately 23 acres in Las Vegas, Nevada.</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80"/>
          </w:cols>
          <w:pgMar w:left="240" w:top="472" w:right="2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Home Fashion</w:t>
      </w:r>
    </w:p>
    <w:p>
      <w:pPr>
        <w:spacing w:after="0" w:line="121" w:lineRule="exact"/>
        <w:rPr>
          <w:sz w:val="20"/>
          <w:szCs w:val="20"/>
          <w:color w:val="auto"/>
        </w:rPr>
      </w:pPr>
    </w:p>
    <w:p>
      <w:pPr>
        <w:ind w:firstLine="378"/>
        <w:spacing w:after="0" w:line="289" w:lineRule="auto"/>
        <w:rPr>
          <w:sz w:val="20"/>
          <w:szCs w:val="20"/>
          <w:color w:val="auto"/>
        </w:rPr>
      </w:pPr>
      <w:r>
        <w:rPr>
          <w:rFonts w:ascii="Times New Roman" w:cs="Times New Roman" w:eastAsia="Times New Roman" w:hAnsi="Times New Roman"/>
          <w:sz w:val="17"/>
          <w:szCs w:val="17"/>
          <w:color w:val="auto"/>
        </w:rPr>
        <w:t>WPH is headquartered in New York, New York. WPH owns and operates a manufacturing and distribution facility in Chipley, Florida. Through its wholly owned subsidiaries WPH owns and operates a manufacturing facility in Bahrain. WPH owns office and store space in Valley, Alabama and Lumberton, North Carolina where it operates two outlet stores, and leases store space for a store in Chipley, Florida, and leases various additional office space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and Holding Company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Icahn Capital LP, Icahn Enterprises and Icahn Enterprises Holdings are headquartered in New York, New York.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ind w:right="20" w:firstLine="378"/>
        <w:spacing w:after="0" w:line="266" w:lineRule="auto"/>
        <w:rPr>
          <w:sz w:val="20"/>
          <w:szCs w:val="20"/>
          <w:color w:val="auto"/>
        </w:rPr>
      </w:pPr>
      <w:r>
        <w:rPr>
          <w:rFonts w:ascii="Times New Roman" w:cs="Times New Roman" w:eastAsia="Times New Roman" w:hAnsi="Times New Roman"/>
          <w:sz w:val="18"/>
          <w:szCs w:val="18"/>
          <w:color w:val="auto"/>
        </w:rPr>
        <w:t>We are, and will continue to be, subject to litigation from time to time in the ordinary course of our business. We also incorporate by reference into this Part I, Item 3 of this Report, the information regarding the lawsuits and proceedings described and referenced in Note 17, "Commitments and Contingencies," to our consolidated financial statements as set forth in Part II, Item 8 of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522" w:right="25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820"/>
        <w:spacing w:after="0" w:line="409"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Security Holder Matters and Issuer Purchases of Equity Securities. </w:t>
      </w:r>
      <w:r>
        <w:rPr>
          <w:rFonts w:ascii="Times New Roman" w:cs="Times New Roman" w:eastAsia="Times New Roman" w:hAnsi="Times New Roman"/>
          <w:sz w:val="18"/>
          <w:szCs w:val="18"/>
          <w:b w:val="1"/>
          <w:bCs w:val="1"/>
          <w:i w:val="1"/>
          <w:iCs w:val="1"/>
          <w:color w:val="auto"/>
        </w:rPr>
        <w:t>Market Information</w:t>
      </w:r>
    </w:p>
    <w:p>
      <w:pPr>
        <w:spacing w:after="0" w:line="1" w:lineRule="exact"/>
        <w:rPr>
          <w:sz w:val="20"/>
          <w:szCs w:val="20"/>
          <w:color w:val="auto"/>
        </w:rPr>
      </w:pPr>
    </w:p>
    <w:p>
      <w:pPr>
        <w:ind w:right="120" w:firstLine="378"/>
        <w:spacing w:after="0" w:line="282" w:lineRule="auto"/>
        <w:rPr>
          <w:sz w:val="20"/>
          <w:szCs w:val="20"/>
          <w:color w:val="auto"/>
        </w:rPr>
      </w:pPr>
      <w:r>
        <w:rPr>
          <w:rFonts w:ascii="Times New Roman" w:cs="Times New Roman" w:eastAsia="Times New Roman" w:hAnsi="Times New Roman"/>
          <w:sz w:val="18"/>
          <w:szCs w:val="18"/>
          <w:color w:val="auto"/>
        </w:rPr>
        <w:t>Icahn Enterprises' depositary units are traded on the NASDAQ Global Select Market ("NASDAQ") under the symbol “IEP.” The range of high and low sales prices for the depositary units on the NASDAQ Composite Tape for each quarter during 2014 and 2013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Low</w:t>
            </w:r>
          </w:p>
        </w:tc>
      </w:tr>
      <w:tr>
        <w:trPr>
          <w:trHeight w:val="27"/>
        </w:trPr>
        <w:tc>
          <w:tcPr>
            <w:tcW w:w="9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117.80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99.94</w:t>
            </w:r>
          </w:p>
        </w:tc>
      </w:tr>
      <w:tr>
        <w:trPr>
          <w:trHeight w:val="243"/>
        </w:trPr>
        <w:tc>
          <w:tcPr>
            <w:tcW w:w="9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90.76</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99.58</w:t>
            </w:r>
          </w:p>
        </w:tc>
      </w:tr>
      <w:tr>
        <w:trPr>
          <w:trHeight w:val="243"/>
        </w:trPr>
        <w:tc>
          <w:tcPr>
            <w:tcW w:w="9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90.77</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324"/>
        </w:trPr>
        <w:tc>
          <w:tcPr>
            <w:tcW w:w="9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Low</w:t>
            </w:r>
          </w:p>
        </w:tc>
      </w:tr>
      <w:tr>
        <w:trPr>
          <w:trHeight w:val="27"/>
        </w:trPr>
        <w:tc>
          <w:tcPr>
            <w:tcW w:w="9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47.80</w:t>
            </w:r>
          </w:p>
        </w:tc>
      </w:tr>
      <w:tr>
        <w:trPr>
          <w:trHeight w:val="243"/>
        </w:trPr>
        <w:tc>
          <w:tcPr>
            <w:tcW w:w="9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55.14</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71.05</w:t>
            </w:r>
          </w:p>
        </w:tc>
      </w:tr>
      <w:tr>
        <w:trPr>
          <w:trHeight w:val="243"/>
        </w:trPr>
        <w:tc>
          <w:tcPr>
            <w:tcW w:w="9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81.00</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121" w:lineRule="exact"/>
        <w:rPr>
          <w:sz w:val="20"/>
          <w:szCs w:val="20"/>
          <w:color w:val="auto"/>
        </w:rPr>
      </w:pPr>
    </w:p>
    <w:p>
      <w:pPr>
        <w:ind w:right="120" w:firstLine="378"/>
        <w:spacing w:after="0" w:line="282" w:lineRule="auto"/>
        <w:rPr>
          <w:sz w:val="20"/>
          <w:szCs w:val="20"/>
          <w:color w:val="auto"/>
        </w:rPr>
      </w:pPr>
      <w:r>
        <w:rPr>
          <w:rFonts w:ascii="Times New Roman" w:cs="Times New Roman" w:eastAsia="Times New Roman" w:hAnsi="Times New Roman"/>
          <w:sz w:val="18"/>
          <w:szCs w:val="18"/>
          <w:color w:val="auto"/>
        </w:rPr>
        <w:t>As of December 31, 2014, there were approximately 2,450 record holders of Icahn Enterprises' depositary units including multiple beneficial holders at depositories, banks and brokers listed as a single record holder in the street name of each respective depository, bank or broker.</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repurchases of Icahn Enterprises' depositary units during 2014 or 2013.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On February 11, 2013, we announced that the board of directors of our general partner approved a modification to our distribution policy to provide for an increase in the annual distribution from $1.40, comprised of $0.40 in cash and $1.00 in depositary units, to $4.00 per depositary unit, payable in either cash or additional depositary units, at the election of each depositary unitholder. On May 29, 2013, the board of directors of our general partner further modified our distribution policy to increase our annual distribution from $4.00 per depositary unit to $5.00 per depositary unit. Further, on March 3, 2014, the board of directors of our general partner announced an increase in our annualized distribution from $5.00 per depositary unit to $6.00 per depositary unit.</w:t>
      </w:r>
    </w:p>
    <w:p>
      <w:pPr>
        <w:spacing w:after="0" w:line="76" w:lineRule="exact"/>
        <w:rPr>
          <w:sz w:val="20"/>
          <w:szCs w:val="20"/>
          <w:color w:val="auto"/>
        </w:rPr>
      </w:pPr>
    </w:p>
    <w:p>
      <w:pPr>
        <w:ind w:right="80" w:firstLine="378"/>
        <w:spacing w:after="0" w:line="255" w:lineRule="auto"/>
        <w:rPr>
          <w:sz w:val="20"/>
          <w:szCs w:val="20"/>
          <w:color w:val="auto"/>
        </w:rPr>
      </w:pPr>
      <w:r>
        <w:rPr>
          <w:rFonts w:ascii="Times New Roman" w:cs="Times New Roman" w:eastAsia="Times New Roman" w:hAnsi="Times New Roman"/>
          <w:sz w:val="18"/>
          <w:szCs w:val="18"/>
          <w:color w:val="auto"/>
        </w:rPr>
        <w:t>On February 20, 2015, the board of directors of the general partner of Icahn Enterprises declared a quarterly distribution in the amount of $1.50 per depositary unit, which will be paid on or about April 22, 2015 to depositary unitholders of record at the close of business on March 9, 2015. Depositary unitholders will have until April 2, 2015 to make an election to receive either cash or additional depositary units; if a holder does not make an election, it will automatically be deemed to have elected to receive the dividend in cash. Depositary unitholders who elect to receive additional depositary units will receive units valued at the volume weighted average trading price of the units on NASDAQ during the 10 consecutive trading days ending April 17, 2015. No fractional depositary units will be issued pursuant to the distribution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77" w:lineRule="exact"/>
        <w:rPr>
          <w:sz w:val="20"/>
          <w:szCs w:val="20"/>
          <w:color w:val="auto"/>
        </w:rPr>
      </w:pPr>
    </w:p>
    <w:p>
      <w:pPr>
        <w:ind w:right="260" w:firstLine="378"/>
        <w:spacing w:after="0" w:line="266" w:lineRule="auto"/>
        <w:rPr>
          <w:sz w:val="20"/>
          <w:szCs w:val="20"/>
          <w:color w:val="auto"/>
        </w:rPr>
      </w:pPr>
      <w:r>
        <w:rPr>
          <w:rFonts w:ascii="Times New Roman" w:cs="Times New Roman" w:eastAsia="Times New Roman" w:hAnsi="Times New Roman"/>
          <w:sz w:val="18"/>
          <w:szCs w:val="18"/>
          <w:color w:val="auto"/>
        </w:rPr>
        <w:t>During 2014, we declared four quarterly distributions aggregating $6.00 per depositary unit. Depositary unitholders were given the option to make an election to receive the distributions in either cash or additional depositary units; if a holder did not make an election, it was automatically deemed to have elected to receive the distributions in cash.</w:t>
      </w:r>
    </w:p>
    <w:p>
      <w:pPr>
        <w:spacing w:after="0" w:line="68" w:lineRule="exact"/>
        <w:rPr>
          <w:sz w:val="20"/>
          <w:szCs w:val="20"/>
          <w:color w:val="auto"/>
        </w:rPr>
      </w:pPr>
    </w:p>
    <w:p>
      <w:pPr>
        <w:ind w:right="260" w:firstLine="378"/>
        <w:spacing w:after="0" w:line="266" w:lineRule="auto"/>
        <w:rPr>
          <w:sz w:val="20"/>
          <w:szCs w:val="20"/>
          <w:color w:val="auto"/>
        </w:rPr>
      </w:pPr>
      <w:r>
        <w:rPr>
          <w:rFonts w:ascii="Times New Roman" w:cs="Times New Roman" w:eastAsia="Times New Roman" w:hAnsi="Times New Roman"/>
          <w:sz w:val="18"/>
          <w:szCs w:val="18"/>
          <w:color w:val="auto"/>
        </w:rPr>
        <w:t>During 2013, we declared four quarterly distributions aggregating $4.50 per depositary unit. Depositary unitholders were given the option to make an election to receive the distributions in either cash or additional depositary units; if a holder did not make an election, it was automatically deemed to have elected to receive the distributions in cash.</w:t>
      </w:r>
    </w:p>
    <w:p>
      <w:pPr>
        <w:spacing w:after="0" w:line="68" w:lineRule="exact"/>
        <w:rPr>
          <w:sz w:val="20"/>
          <w:szCs w:val="20"/>
          <w:color w:val="auto"/>
        </w:rPr>
      </w:pPr>
    </w:p>
    <w:p>
      <w:pPr>
        <w:ind w:firstLine="378"/>
        <w:spacing w:after="0" w:line="282" w:lineRule="auto"/>
        <w:rPr>
          <w:sz w:val="20"/>
          <w:szCs w:val="20"/>
          <w:color w:val="auto"/>
        </w:rPr>
      </w:pPr>
      <w:r>
        <w:rPr>
          <w:rFonts w:ascii="Times New Roman" w:cs="Times New Roman" w:eastAsia="Times New Roman" w:hAnsi="Times New Roman"/>
          <w:sz w:val="18"/>
          <w:szCs w:val="18"/>
          <w:color w:val="auto"/>
        </w:rPr>
        <w:t>The first three quarterly distributions declared in 2013 were paid in 2013 and the fourth quarterly distribution declared in 2013 was paid in January 2014. Therefore, during 2014, we distributed an aggregate of 7,203,105 of depositary units to those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360" w:right="239" w:bottom="1440" w:gutter="0" w:footer="0" w:header="0"/>
        </w:sectPr>
      </w:pPr>
    </w:p>
    <w:bookmarkStart w:id="91" w:name="page92"/>
    <w:bookmarkEnd w:id="91"/>
    <w:p>
      <w:pPr>
        <w:ind w:right="220"/>
        <w:spacing w:after="0" w:line="261" w:lineRule="auto"/>
        <w:rPr>
          <w:sz w:val="20"/>
          <w:szCs w:val="20"/>
          <w:color w:val="auto"/>
        </w:rPr>
      </w:pPr>
      <w:r>
        <w:rPr>
          <w:rFonts w:ascii="Times New Roman" w:cs="Times New Roman" w:eastAsia="Times New Roman" w:hAnsi="Times New Roman"/>
          <w:sz w:val="18"/>
          <w:szCs w:val="18"/>
          <w:color w:val="auto"/>
        </w:rPr>
        <w:t>Depositary unitholders who elected to receive such distributions in additional depositary units. In addition, during 2014 we paid $123 million to those Depositary unitholders who had elected to receive such distributions in cash. During 2013, we distributed 4,274,892 of depositary units to those Depositary unitholders who elected to receive such distributions in depositary units. In addition, during 2013 we paid $50 million to those Depositary unitholders who had elected to receive such distributions in cash.</w:t>
      </w:r>
    </w:p>
    <w:p>
      <w:pPr>
        <w:spacing w:after="0" w:line="72" w:lineRule="exact"/>
        <w:rPr>
          <w:sz w:val="20"/>
          <w:szCs w:val="20"/>
          <w:color w:val="auto"/>
        </w:rPr>
      </w:pPr>
    </w:p>
    <w:p>
      <w:pPr>
        <w:ind w:right="20" w:firstLine="378"/>
        <w:spacing w:after="0" w:line="261" w:lineRule="auto"/>
        <w:rPr>
          <w:sz w:val="20"/>
          <w:szCs w:val="20"/>
          <w:color w:val="auto"/>
        </w:rPr>
      </w:pPr>
      <w:r>
        <w:rPr>
          <w:rFonts w:ascii="Times New Roman" w:cs="Times New Roman" w:eastAsia="Times New Roman" w:hAnsi="Times New Roman"/>
          <w:sz w:val="18"/>
          <w:szCs w:val="18"/>
          <w:color w:val="auto"/>
        </w:rPr>
        <w:t>During 2014 and 2013, Mr. Icahn and his affiliates elected to receive a majority of their proportionate share of these distributions in depositary units. Mr. Icahn and his affiliates owned approximately 88.4% of Icahn Enterprises' outstanding depositary units as of December 31, 2014. Mr. Icahn and his affiliates have indicated that it is their present intention to elect to continue to receive the increase in Icahn Enterprises’ cash distribution in additional depositary units for the foreseeable future.</w:t>
      </w:r>
    </w:p>
    <w:p>
      <w:pPr>
        <w:spacing w:after="0" w:line="72"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The declaration and payment of distributions is reviewed quarterly by Icahn Enterprises GP's board of directors based upon a review of our balance sheet and cash flow, the ratio of current assets to current liabilities,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81" w:lineRule="exact"/>
        <w:rPr>
          <w:sz w:val="20"/>
          <w:szCs w:val="20"/>
          <w:color w:val="auto"/>
        </w:rPr>
      </w:pPr>
    </w:p>
    <w:p>
      <w:pPr>
        <w:ind w:right="320" w:firstLine="378"/>
        <w:spacing w:after="0" w:line="282" w:lineRule="auto"/>
        <w:rPr>
          <w:sz w:val="20"/>
          <w:szCs w:val="20"/>
          <w:color w:val="auto"/>
        </w:rPr>
      </w:pPr>
      <w:r>
        <w:rPr>
          <w:rFonts w:ascii="Times New Roman" w:cs="Times New Roman" w:eastAsia="Times New Roman" w:hAnsi="Times New Roman"/>
          <w:sz w:val="18"/>
          <w:szCs w:val="18"/>
          <w:color w:val="auto"/>
        </w:rPr>
        <w:t>As of February 26, 2015, there were 123,103,414 depositary units outstanding. Each depositary unitholder will be taxed on the unitholder's allocable share of Icahn Enterprises' taxable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75"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The following tables contain our selected historical consolidated financial data, which should be read in conjunction with our consolidated financial statements and the related notes thereto, and Management's Discussion and Analysis of Financial Condition and Results of Operations contained in this Annual Report on Form 10-K for the year ended December 31, 2014 (this "Report"). The selected financial data as of December 31, 2014 and 2013 and for the years ended December 31, 2014, 2013 and 2012 have been derived from our audited consolidated financial statements at those dates and for those periods, contained elsewhere in this Report. The historical selected financial data as of December 31, 2012, 2011 and 2010 and for the years ended December 31, 2011 and 2010 have been derived from our audited consolidated financial statements at those dates and for those periods, not contained in this Report, as adjusted retrospectively for our acquisitions of a controlling interests in ARL, ARI and Viskase (each as defined elsewhere in this Report), which were accounted for as entities under common control and reported in our combined results on an as-if-pooling basis.</w:t>
      </w:r>
    </w:p>
    <w:p>
      <w:pPr>
        <w:spacing w:after="0" w:line="77" w:lineRule="exact"/>
        <w:rPr>
          <w:sz w:val="20"/>
          <w:szCs w:val="20"/>
          <w:color w:val="auto"/>
        </w:rPr>
      </w:pPr>
    </w:p>
    <w:p>
      <w:pPr>
        <w:ind w:right="120" w:firstLine="378"/>
        <w:spacing w:after="0" w:line="266" w:lineRule="auto"/>
        <w:rPr>
          <w:sz w:val="20"/>
          <w:szCs w:val="20"/>
          <w:color w:val="auto"/>
        </w:rPr>
      </w:pPr>
      <w:r>
        <w:rPr>
          <w:rFonts w:ascii="Times New Roman" w:cs="Times New Roman" w:eastAsia="Times New Roman" w:hAnsi="Times New Roman"/>
          <w:sz w:val="18"/>
          <w:szCs w:val="18"/>
          <w:color w:val="auto"/>
        </w:rPr>
        <w:t>In 2010, we acquired a controlling interest in Tropicana, which has been consolidated as of November 15, 2010. In 2012, we acquired a controlling interest in CVR Energy Inc., which has been consolidated as of May 4, 2012. These significant acquisitions affect the comparability of our selected financial data presented below.</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472"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6"/>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Icahn Enterprises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Icahn Enterprises Holdings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9"/>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8"/>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9"/>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2010</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9"/>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9"/>
          </w:tcPr>
          <w:p>
            <w:pPr>
              <w:jc w:val="center"/>
              <w:ind w:right="320"/>
              <w:spacing w:after="0"/>
              <w:rPr>
                <w:sz w:val="20"/>
                <w:szCs w:val="20"/>
                <w:color w:val="auto"/>
              </w:rPr>
            </w:pPr>
            <w:r>
              <w:rPr>
                <w:rFonts w:ascii="Times New Roman" w:cs="Times New Roman" w:eastAsia="Times New Roman" w:hAnsi="Times New Roman"/>
                <w:sz w:val="14"/>
                <w:szCs w:val="14"/>
                <w:color w:val="auto"/>
              </w:rPr>
              <w:t>(in millions, except per unit data)</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Statement of Operations Data:</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17,785</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7,822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7,822</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revenues from operations</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gain from investment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activities</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1,905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814</w:t>
            </w: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income from continuing</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operations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779</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income</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775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2,444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1,801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778</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Net loss (income) attributable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196"/>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income attributable to</w:t>
            </w: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Icahn Enterprises/Icahn</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199</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1,025</w:t>
            </w:r>
          </w:p>
        </w:tc>
        <w:tc>
          <w:tcPr>
            <w:tcW w:w="120" w:type="dxa"/>
            <w:vAlign w:val="bottom"/>
          </w:tcPr>
          <w:p>
            <w:pPr>
              <w:spacing w:after="0"/>
              <w:rPr>
                <w:sz w:val="17"/>
                <w:szCs w:val="17"/>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751</w:t>
            </w:r>
          </w:p>
        </w:tc>
        <w:tc>
          <w:tcPr>
            <w:tcW w:w="1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263"/>
        </w:trPr>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Enterprises Holdings</w:t>
            </w:r>
          </w:p>
        </w:tc>
        <w:tc>
          <w:tcPr>
            <w:tcW w:w="18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540" w:type="dxa"/>
            <w:vAlign w:val="bottom"/>
            <w:vMerge w:val="continue"/>
          </w:tcPr>
          <w:p>
            <w:pPr>
              <w:spacing w:after="0"/>
              <w:rPr>
                <w:sz w:val="22"/>
                <w:szCs w:val="22"/>
                <w:color w:val="auto"/>
              </w:rPr>
            </w:pPr>
          </w:p>
        </w:tc>
        <w:tc>
          <w:tcPr>
            <w:tcW w:w="400" w:type="dxa"/>
            <w:vAlign w:val="bottom"/>
            <w:gridSpan w:val="3"/>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6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6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420" w:type="dxa"/>
            <w:vAlign w:val="bottom"/>
            <w:tcBorders>
              <w:top w:val="single" w:sz="8" w:color="CCEEFF"/>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6"/>
                <w:szCs w:val="16"/>
                <w:color w:val="auto"/>
              </w:rPr>
              <w:t>Net (loss) income attributable to</w:t>
            </w: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Icahn Enterprises/Icahn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Enterprises Holdings from:</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1,025</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1,025</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751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73"/>
        </w:trPr>
        <w:tc>
          <w:tcPr>
            <w:tcW w:w="24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Net (loss) income attributable to</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Icahn Enterprises/Icahn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Enterprises Holdings allocable to:</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Limited partners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1,015</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General partner</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1,025</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751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73"/>
        </w:trPr>
        <w:tc>
          <w:tcPr>
            <w:tcW w:w="24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Basic (loss) income per LP Unit:</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income from continuing</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Basic (loss) income per LP unit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8.35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6"/>
                <w:szCs w:val="16"/>
                <w:color w:val="auto"/>
              </w:rPr>
              <w:t>Basic weighted average LP units</w:t>
            </w: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outstanding</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Diluted (loss) income per LP unit:</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income from continuing</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(loss) income per LP unit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Diluted weighted average LP units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outstanding</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650"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Icahn Enterprises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Icahn Enterprises Holdings</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80" w:type="dxa"/>
            <w:vAlign w:val="bottom"/>
            <w:gridSpan w:val="3"/>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6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280" w:type="dxa"/>
            <w:vAlign w:val="bottom"/>
          </w:tcPr>
          <w:p>
            <w:pPr>
              <w:spacing w:after="0"/>
              <w:rPr>
                <w:sz w:val="20"/>
                <w:szCs w:val="20"/>
                <w:color w:val="auto"/>
              </w:rPr>
            </w:pP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2011</w:t>
            </w:r>
          </w:p>
        </w:tc>
        <w:tc>
          <w:tcPr>
            <w:tcW w:w="2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2011</w:t>
            </w:r>
          </w:p>
        </w:tc>
        <w:tc>
          <w:tcPr>
            <w:tcW w:w="2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2010</w:t>
            </w: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0"/>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4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(in millions, except per unit data)</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4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Other Financial Data:</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EBITDA attributable to Icahn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03"/>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Enterprises/Icahn Enterprises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43"/>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Holdings</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1,804</w:t>
            </w: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   1,158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705</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   1,804</w:t>
            </w:r>
          </w:p>
        </w:tc>
        <w:tc>
          <w:tcPr>
            <w:tcW w:w="9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   1,158</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   1,459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877</w:t>
            </w:r>
          </w:p>
        </w:tc>
      </w:tr>
      <w:tr>
        <w:trPr>
          <w:trHeight w:val="216"/>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EBITDA attributable to</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3"/>
        </w:trPr>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Icahn Enterprises/Icahn</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43"/>
        </w:trPr>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Enterprises Holdings</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21"/>
                <w:szCs w:val="21"/>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1,546</w:t>
            </w:r>
          </w:p>
        </w:tc>
        <w:tc>
          <w:tcPr>
            <w:tcW w:w="280" w:type="dxa"/>
            <w:vAlign w:val="bottom"/>
          </w:tcPr>
          <w:p>
            <w:pPr>
              <w:spacing w:after="0"/>
              <w:rPr>
                <w:sz w:val="21"/>
                <w:szCs w:val="21"/>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1,541</w:t>
            </w:r>
          </w:p>
        </w:tc>
        <w:tc>
          <w:tcPr>
            <w:tcW w:w="260" w:type="dxa"/>
            <w:vAlign w:val="bottom"/>
          </w:tcPr>
          <w:p>
            <w:pPr>
              <w:spacing w:after="0"/>
              <w:rPr>
                <w:sz w:val="21"/>
                <w:szCs w:val="21"/>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1,013</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1,899</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1,542</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1,541</w:t>
            </w:r>
          </w:p>
        </w:tc>
        <w:tc>
          <w:tcPr>
            <w:tcW w:w="260" w:type="dxa"/>
            <w:vAlign w:val="bottom"/>
          </w:tcPr>
          <w:p>
            <w:pPr>
              <w:spacing w:after="0"/>
              <w:rPr>
                <w:sz w:val="21"/>
                <w:szCs w:val="21"/>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939</w:t>
            </w:r>
          </w:p>
        </w:tc>
      </w:tr>
      <w:tr>
        <w:trPr>
          <w:trHeight w:val="216"/>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distributions declared per LP</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0"/>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unit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0.40</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0.55</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33"/>
        </w:trPr>
        <w:tc>
          <w:tcPr>
            <w:tcW w:w="2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Icahn Enterprises</w:t>
            </w: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80" w:type="dxa"/>
            <w:vAlign w:val="bottom"/>
            <w:gridSpan w:val="4"/>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Icahn Enterprises Holdings</w:t>
            </w:r>
          </w:p>
        </w:tc>
        <w:tc>
          <w:tcPr>
            <w:tcW w:w="88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2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2420" w:type="dxa"/>
            <w:vAlign w:val="bottom"/>
          </w:tcPr>
          <w:p>
            <w:pPr>
              <w:spacing w:after="0"/>
              <w:rPr>
                <w:sz w:val="20"/>
                <w:szCs w:val="20"/>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140" w:type="dxa"/>
            <w:vAlign w:val="bottom"/>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200" w:type="dxa"/>
            <w:vAlign w:val="bottom"/>
          </w:tcPr>
          <w:p>
            <w:pPr>
              <w:spacing w:after="0"/>
              <w:rPr>
                <w:sz w:val="20"/>
                <w:szCs w:val="20"/>
                <w:color w:val="auto"/>
              </w:rPr>
            </w:pP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2011</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2010</w:t>
            </w:r>
          </w:p>
        </w:tc>
        <w:tc>
          <w:tcPr>
            <w:tcW w:w="120" w:type="dxa"/>
            <w:vAlign w:val="bottom"/>
          </w:tcPr>
          <w:p>
            <w:pPr>
              <w:spacing w:after="0"/>
              <w:rPr>
                <w:sz w:val="20"/>
                <w:szCs w:val="20"/>
                <w:color w:val="auto"/>
              </w:rPr>
            </w:pP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160" w:type="dxa"/>
            <w:vAlign w:val="bottom"/>
          </w:tcPr>
          <w:p>
            <w:pPr>
              <w:spacing w:after="0"/>
              <w:rPr>
                <w:sz w:val="20"/>
                <w:szCs w:val="20"/>
                <w:color w:val="auto"/>
              </w:rPr>
            </w:pPr>
          </w:p>
        </w:tc>
        <w:tc>
          <w:tcPr>
            <w:tcW w:w="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2011</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2010</w:t>
            </w:r>
          </w:p>
        </w:tc>
      </w:tr>
      <w:tr>
        <w:trPr>
          <w:trHeight w:val="33"/>
        </w:trPr>
        <w:tc>
          <w:tcPr>
            <w:tcW w:w="24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0"/>
        </w:trPr>
        <w:tc>
          <w:tcPr>
            <w:tcW w:w="2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jc w:val="cente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Sheet Data:</w:t>
            </w: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33"/>
        </w:trPr>
        <w:tc>
          <w:tcPr>
            <w:tcW w:w="2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   2,912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3,262</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3,108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2,328</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2,988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   2,912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3,262</w:t>
            </w:r>
          </w:p>
        </w:tc>
        <w:tc>
          <w:tcPr>
            <w:tcW w:w="10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3,108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2,328</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2,988</w:t>
            </w:r>
          </w:p>
        </w:tc>
      </w:tr>
      <w:tr>
        <w:trPr>
          <w:trHeight w:val="23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Investments</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12,261</w:t>
            </w: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5,491</w:t>
            </w:r>
          </w:p>
        </w:tc>
        <w:tc>
          <w:tcPr>
            <w:tcW w:w="2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8,938</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7,470</w:t>
            </w: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14,500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12,261</w:t>
            </w: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5,491</w:t>
            </w: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8,938</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7,470</w:t>
            </w:r>
          </w:p>
        </w:tc>
      </w:tr>
      <w:tr>
        <w:trPr>
          <w:trHeight w:val="33"/>
        </w:trPr>
        <w:tc>
          <w:tcPr>
            <w:tcW w:w="2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8,955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8,077</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7,661</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4,657</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4,655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8,955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8,077</w:t>
            </w:r>
          </w:p>
        </w:tc>
        <w:tc>
          <w:tcPr>
            <w:tcW w:w="10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7,661</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4,657</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4,655</w:t>
            </w:r>
          </w:p>
        </w:tc>
      </w:tr>
      <w:tr>
        <w:trPr>
          <w:trHeight w:val="23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35,780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31,745</w:t>
            </w: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25,932</w:t>
            </w:r>
          </w:p>
        </w:tc>
        <w:tc>
          <w:tcPr>
            <w:tcW w:w="2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24,368</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21,885</w:t>
            </w: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35,803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31,761</w:t>
            </w: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25,946</w:t>
            </w: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24,379</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21,894</w:t>
            </w:r>
          </w:p>
        </w:tc>
      </w:tr>
      <w:tr>
        <w:trPr>
          <w:trHeight w:val="33"/>
        </w:trPr>
        <w:tc>
          <w:tcPr>
            <w:tcW w:w="2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2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3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Post-employment benefit liability</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1,391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1,488</w:t>
            </w:r>
          </w:p>
        </w:tc>
        <w:tc>
          <w:tcPr>
            <w:tcW w:w="2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1,340</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1,272</w:t>
            </w: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1,391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1,488</w:t>
            </w: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1,340</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1,272</w:t>
            </w:r>
          </w:p>
        </w:tc>
      </w:tr>
      <w:tr>
        <w:trPr>
          <w:trHeight w:val="33"/>
        </w:trPr>
        <w:tc>
          <w:tcPr>
            <w:tcW w:w="2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Debt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11,588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9,295</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9,873</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7,831</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7,902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11,588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9,289</w:t>
            </w:r>
          </w:p>
        </w:tc>
        <w:tc>
          <w:tcPr>
            <w:tcW w:w="10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9,865</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7,821</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7,891</w:t>
            </w:r>
          </w:p>
        </w:tc>
      </w:tr>
      <w:tr>
        <w:trPr>
          <w:trHeight w:val="216"/>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attributable to Icahn</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3"/>
        </w:trPr>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Enterprises/Icahn Enterprises</w:t>
            </w: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Holdings</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5,443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6,092</w:t>
            </w: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4,669</w:t>
            </w:r>
          </w:p>
        </w:tc>
        <w:tc>
          <w:tcPr>
            <w:tcW w:w="20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3,755</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3,183</w:t>
            </w:r>
          </w:p>
        </w:tc>
        <w:tc>
          <w:tcPr>
            <w:tcW w:w="1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5,466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6,114</w:t>
            </w: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4,691</w:t>
            </w:r>
          </w:p>
        </w:tc>
        <w:tc>
          <w:tcPr>
            <w:tcW w:w="16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3,776</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3,203</w:t>
            </w:r>
          </w:p>
        </w:tc>
      </w:tr>
    </w:tbl>
    <w:p>
      <w:pPr>
        <w:spacing w:after="0" w:line="1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EBITDA represents earnings before interest expense, income tax (benefit) expense and depreciation and amortization. We define Adjusted EBITDA as EBITDA excluding the effects of</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impairment, restructuring costs, certain pension plan expenses, OPEB curtailment gains, discontinued operations, losses on extinguishment of debt, FIFO impacts, major scheduled turnaround expense, unrealized gains/losses on certain derivative contracts, certain share-based compensation expenses related to a certain proxy matter, expenses related to a certain acquisition and loss on disposal of certain fixed assets and certain other charges. We present EBITDA and Adjusted EBITDA on a consolidated basis, net of the effect of non-controlling interests. We conduct substantially all of our operations through subsidiaries. The operating results of our subsidiaries may not be sufficient to make distributions to us. In addition, our subsidiaries are not obligated to make funds available to us for payment of our indebtedness, payment of distributions on our depositary units or otherwise, and distributions and intercompany transfers from our subsidiaries to us may be restricted by applicable law or covenants contained in debt agreements and other agreements to which these subsidiaries currently may be subject or into which they may enter into in the future. The terms of any borrowings of our subsidiaries or other entities in which we own equity may restrict dividends, distributions or loans to us.</w:t>
      </w:r>
    </w:p>
    <w:p>
      <w:pPr>
        <w:spacing w:after="0" w:line="13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4"/>
          <w:szCs w:val="14"/>
          <w:color w:val="auto"/>
        </w:rPr>
        <w:t>We believe that providing EBITDA and Adjusted EBITDA to investors has economic substance as these measures provide important supplemental information of our performance to investors and permits investors and management to evaluate the core operating performance of our business. Additionally, we believe this information is frequently used by securities analysts, investors and other interested parties in the evaluation of companies that have issued debt. Management uses, and believes that investors benefit from referring to these non-GAAP financial measures in assessing our operating results, as well as in planning, forecasting and analyzing future periods. Adjusting earnings for these charges allows investors to evaluate our performance from period to period, as well as our peers, without the effects of certain items that may vary depending on accounting methods and the book value of assets. Additionally, EBITDA and Adjusted EBITDA present meaningful measures of corporate performance exclusive of our capital structure and the method by which assets were acquired and financed.</w:t>
      </w:r>
    </w:p>
    <w:p>
      <w:pPr>
        <w:spacing w:after="0" w:line="13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4"/>
          <w:szCs w:val="14"/>
          <w:color w:val="auto"/>
        </w:rPr>
        <w:t>EBITDA and Adjusted EBITDA have limitations as analytical tools, and you should not consider them in isolation, or as substitutes for analysis of our results as reported under generally accepted accounting principles in the United States, or U.S. GAAP. For example, EBITDA and Adjusted EBITDA:</w:t>
      </w:r>
    </w:p>
    <w:p>
      <w:pPr>
        <w:spacing w:after="0" w:line="108" w:lineRule="exact"/>
        <w:rPr>
          <w:sz w:val="20"/>
          <w:szCs w:val="20"/>
          <w:color w:val="auto"/>
        </w:rPr>
      </w:pPr>
    </w:p>
    <w:p>
      <w:pPr>
        <w:ind w:left="700" w:hanging="368"/>
        <w:spacing w:after="0"/>
        <w:tabs>
          <w:tab w:leader="none" w:pos="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reflect our cash expenditures, or future requirements for capital expenditures, or contractual commitments;</w:t>
      </w:r>
    </w:p>
    <w:p>
      <w:pPr>
        <w:spacing w:after="0" w:line="203" w:lineRule="exact"/>
        <w:rPr>
          <w:rFonts w:ascii="Times New Roman" w:cs="Times New Roman" w:eastAsia="Times New Roman" w:hAnsi="Times New Roman"/>
          <w:sz w:val="14"/>
          <w:szCs w:val="14"/>
          <w:color w:val="auto"/>
        </w:rPr>
      </w:pPr>
    </w:p>
    <w:p>
      <w:pPr>
        <w:ind w:left="700" w:hanging="368"/>
        <w:spacing w:after="0"/>
        <w:tabs>
          <w:tab w:leader="none" w:pos="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reflect changes in, or cash requirements for, our working capital needs; and</w:t>
      </w:r>
    </w:p>
    <w:p>
      <w:pPr>
        <w:spacing w:after="0" w:line="203" w:lineRule="exact"/>
        <w:rPr>
          <w:rFonts w:ascii="Times New Roman" w:cs="Times New Roman" w:eastAsia="Times New Roman" w:hAnsi="Times New Roman"/>
          <w:sz w:val="14"/>
          <w:szCs w:val="14"/>
          <w:color w:val="auto"/>
        </w:rPr>
      </w:pPr>
    </w:p>
    <w:p>
      <w:pPr>
        <w:ind w:left="700" w:hanging="368"/>
        <w:spacing w:after="0"/>
        <w:tabs>
          <w:tab w:leader="none" w:pos="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reflect the significant interest expense, or the cash requirements necessary to service interest or principal payments on our debt.</w:t>
      </w:r>
    </w:p>
    <w:p>
      <w:pPr>
        <w:spacing w:after="0" w:line="204" w:lineRule="exact"/>
        <w:rPr>
          <w:sz w:val="20"/>
          <w:szCs w:val="20"/>
          <w:color w:val="auto"/>
        </w:rPr>
      </w:pPr>
    </w:p>
    <w:p>
      <w:pPr>
        <w:jc w:val="both"/>
        <w:ind w:right="320"/>
        <w:spacing w:after="0" w:line="255" w:lineRule="auto"/>
        <w:rPr>
          <w:sz w:val="20"/>
          <w:szCs w:val="20"/>
          <w:color w:val="auto"/>
        </w:rPr>
      </w:pPr>
      <w:r>
        <w:rPr>
          <w:rFonts w:ascii="Times New Roman" w:cs="Times New Roman" w:eastAsia="Times New Roman" w:hAnsi="Times New Roman"/>
          <w:sz w:val="14"/>
          <w:szCs w:val="14"/>
          <w:color w:val="auto"/>
        </w:rPr>
        <w:t>Although depreciation and amortization are non-cash charges, the assets being depreciated or amortized often will have to be replaced in the future, and EBITDA and Adjusted EBITDA do not reflect any cash requirements for such replacements. Other companies in the industries in which we operate may calculate EBITDA and Adjusted EBITDA differently than we do, limiting their usefulness as comparative measures. In addition, EBITDA and Adjusted EBITDA do not reflect the impact of earnings or charges resulting from matters we consider not to be indicative of our ongoing operations.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542" w:right="239" w:bottom="1440" w:gutter="0" w:footer="0" w:header="0"/>
        </w:sectPr>
      </w:pPr>
    </w:p>
    <w:bookmarkStart w:id="94" w:name="page95"/>
    <w:bookmarkEnd w:id="94"/>
    <w:p>
      <w:pPr>
        <w:spacing w:after="0" w:line="250" w:lineRule="auto"/>
        <w:rPr>
          <w:sz w:val="20"/>
          <w:szCs w:val="20"/>
          <w:color w:val="auto"/>
        </w:rPr>
      </w:pPr>
      <w:r>
        <w:rPr>
          <w:rFonts w:ascii="Times New Roman" w:cs="Times New Roman" w:eastAsia="Times New Roman" w:hAnsi="Times New Roman"/>
          <w:sz w:val="14"/>
          <w:szCs w:val="14"/>
          <w:color w:val="auto"/>
        </w:rPr>
        <w:t>EBITDA and Adjusted EBITDA are not measurements of our financial performance under U.S. GAAP and should not be considered as alternatives to net income or any other performance measures derived in accordance with U.S. GAAP or as alternatives to cash flow from operating activities as a measure of our liquidity. Given these limitations, we rely primarily on our U.S. GAAP results and use EBITDA and Adjusted EBITDA only as a supplemental measure of our financial performance. The following table reconciles, on a basis attributable to Icahn Enterprises/Icahn Enterprises Holdings, net income attributable to Icahn Enterprises/Icahn Enterprises Holdings, to EBITDA and EBITDA to Adjusted EBITDA for the periods indicated. In addition, Adjusted EBITDA for prior periods has been revised to conform to our current calculation. EBITDA results for prior periods have been adjusted in order to properly be reflected on a basis attributable to Icahn Enterprises/Icahn Enterprises Holdings.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6"/>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Icahn Enterprises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Icahn Enterprises Holdings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8"/>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8"/>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8"/>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2010</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Attributable to Icahn</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Enterprises/Icahn Enterprises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Holdings: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 depletion and</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w:t>
            </w:r>
          </w:p>
        </w:tc>
        <w:tc>
          <w:tcPr>
            <w:tcW w:w="18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33"/>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EBITDA attributable to Icahn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Enterprises/Icahn Enterprises</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705</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1,804</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1,158</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876</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1,804</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1,459</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877</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Holdings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Impairment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Restructuring</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Non-service cost of U.S. based</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pension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FIFO impact (favorable)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unfavorable</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OPEB curtailment gains</w:t>
            </w:r>
          </w:p>
        </w:tc>
        <w:tc>
          <w:tcPr>
            <w:tcW w:w="1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Certain share-based compensation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expense</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Major scheduled turnaround</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expense</w:t>
            </w:r>
          </w:p>
        </w:tc>
        <w:tc>
          <w:tcPr>
            <w:tcW w:w="18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Losses on divestitures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on extinguishment of debt</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Unrealized (gain)/loss on certain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derivatives</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EBITDA attributable to</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Icahn Enterprises/Icahn</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1,899</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1,546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1,541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939</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1,899</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1,542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1,541</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939</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Enterprises Holdings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522"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consolidated financial statements and the accompanying notes contained in this Annual Report on Form 10-K for the year ended December 31, 2014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378"/>
        <w:spacing w:after="0" w:line="266" w:lineRule="auto"/>
        <w:rPr>
          <w:sz w:val="20"/>
          <w:szCs w:val="20"/>
          <w:color w:val="auto"/>
        </w:rPr>
      </w:pPr>
      <w:r>
        <w:rPr>
          <w:rFonts w:ascii="Times New Roman" w:cs="Times New Roman" w:eastAsia="Times New Roman" w:hAnsi="Times New Roman"/>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68"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10, "Debt," to the consolidated financial statements, and to the allocation of the general partner interest, which is reflected as an aggregate 1.99% general partner interest in the financial statements of Icahn Enterprises. In addition to the above, Mr. Icahn and his affiliates owned 108,810,845, or approximately 88.4%, of Icahn Enterprises' outstanding depositary units as of December 31, 2014.</w:t>
      </w:r>
    </w:p>
    <w:p>
      <w:pPr>
        <w:spacing w:after="0" w:line="81" w:lineRule="exact"/>
        <w:rPr>
          <w:sz w:val="20"/>
          <w:szCs w:val="20"/>
          <w:color w:val="auto"/>
        </w:rPr>
      </w:pPr>
    </w:p>
    <w:p>
      <w:pPr>
        <w:ind w:right="20" w:firstLine="378"/>
        <w:spacing w:after="0" w:line="261" w:lineRule="auto"/>
        <w:rPr>
          <w:sz w:val="20"/>
          <w:szCs w:val="20"/>
          <w:color w:val="auto"/>
        </w:rPr>
      </w:pPr>
      <w:r>
        <w:rPr>
          <w:rFonts w:ascii="Times New Roman" w:cs="Times New Roman" w:eastAsia="Times New Roman" w:hAnsi="Times New Roman"/>
          <w:sz w:val="18"/>
          <w:szCs w:val="18"/>
          <w:color w:val="auto"/>
        </w:rPr>
        <w:t>We are a diversified holding company owning subsidiaries currently engaged in the following continuing operating businesses: Investment, Automotive, Energy, Metals, Railcar, Gaming,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Holding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Offerings</w:t>
      </w:r>
    </w:p>
    <w:p>
      <w:pPr>
        <w:spacing w:after="0" w:line="119" w:lineRule="exact"/>
        <w:rPr>
          <w:sz w:val="20"/>
          <w:szCs w:val="20"/>
          <w:color w:val="auto"/>
        </w:rPr>
      </w:pPr>
    </w:p>
    <w:p>
      <w:pPr>
        <w:ind w:right="120" w:firstLine="378"/>
        <w:spacing w:after="0" w:line="255" w:lineRule="auto"/>
        <w:rPr>
          <w:sz w:val="20"/>
          <w:szCs w:val="20"/>
          <w:color w:val="auto"/>
        </w:rPr>
      </w:pPr>
      <w:r>
        <w:rPr>
          <w:rFonts w:ascii="Times New Roman" w:cs="Times New Roman" w:eastAsia="Times New Roman" w:hAnsi="Times New Roman"/>
          <w:sz w:val="18"/>
          <w:szCs w:val="18"/>
          <w:color w:val="auto"/>
        </w:rPr>
        <w:t>On January 21, 2014, we and Icahn Enterprises Finance Corp. (“Icahn Enterprises Finance”) (collectively, the “Issuers”) closed on our sale of $1,200 million in aggregate principal amount of our 6.000% Senior Notes due 2020 (the “Additional 2020 Notes”), $1,275 million in aggregate principal amount of our 4.875% Senior Notes due 2019 (the “2019 Notes”) and $1,175 million in aggregate principal amount of our 3.500% Senior Notes due 2017 (the “2017 Notes” and together with the Additional 2020 Notes and the 2019 Notes, the “New Notes”) pursuant to the purchase agreement, dated January 8, 2014 (the “New Notes Purchase Agreement”), by and among the Issuers, Icahn Enterprises Holdings, as guarantor, and Citigroup Global Markets Inc., Credit Suisse Securities (USA) LLC, Morgan Stanley &amp; Co. LLC, Jefferies LLC and UBS Securities LLC, as initial purchasers (the “New Notes Purchasers”). The Additional 2020 Notes were priced at 102.000% of their face amount plus interest accrued from August 1, 2013 and each of the 2019 and the 2017 Notes were priced at 100.000% of their face amount.</w:t>
      </w:r>
    </w:p>
    <w:p>
      <w:pPr>
        <w:spacing w:after="0" w:line="77" w:lineRule="exact"/>
        <w:rPr>
          <w:sz w:val="20"/>
          <w:szCs w:val="20"/>
          <w:color w:val="auto"/>
        </w:rPr>
      </w:pPr>
    </w:p>
    <w:p>
      <w:pPr>
        <w:ind w:right="260" w:firstLine="378"/>
        <w:spacing w:after="0" w:line="261" w:lineRule="auto"/>
        <w:rPr>
          <w:sz w:val="20"/>
          <w:szCs w:val="20"/>
          <w:color w:val="auto"/>
        </w:rPr>
      </w:pPr>
      <w:r>
        <w:rPr>
          <w:rFonts w:ascii="Times New Roman" w:cs="Times New Roman" w:eastAsia="Times New Roman" w:hAnsi="Times New Roman"/>
          <w:sz w:val="18"/>
          <w:szCs w:val="18"/>
          <w:color w:val="auto"/>
        </w:rPr>
        <w:t>We used the proceeds from the issuance of the New Notes to refinance our 2010-2012 Notes (see Note 10, "Debt-Senior Unsecured Notes - Icahn Enterprises and Icahn Enterprises Holdings" for further discussion). As a result of this refinancing, we purchased $3,500 million aggregate principal of the 2010-2012 Notes and recognized a loss of $108 million on extinguishment of debt during the first quarter of 2014. The 2016 Notes and 2018 Notes comprising the 2010-2012 Notes were discharged in full on February 6, 2014.</w:t>
      </w:r>
    </w:p>
    <w:p>
      <w:pPr>
        <w:spacing w:after="0" w:line="72"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On January 29, 2014, the Issuers closed on the sale of $1.35 billion aggregate principal amount of 5.875% Senior Notes due 2022 (the “2022 Notes”) pursuant to the purchase agreement, dated January 22, 2014 (the “ 2022 Notes Purchase Agreement”), by and among the Issuers, Icahn Enterprises Holdings, as guarantor, and Jefferies LLC, as initial purchaser (the “2022 Notes Purchaser”). The 2022 Notes were priced at 100.000% of their face amount. The net proceeds from the sale of the 2022 Notes were approximately $1.34 billion after deducting the initial purchaser’s discount and commission and estimated fees and expenses related to the offering. Interest on the 2022 Notes is payable on February 1 and August 1 of each year, and commenced August 1, 2014. The 2022 Notes Purchase Agreement contains customary representations, warranties and covenants of the parties and indemnification and contribution provisions whereby the Issuers and the Guarantor, on the one hand, and the 2022 Notes Purchaser, on the other, have agreed to indemnify each other against certain liabilities.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00"/>
          </w:cols>
          <w:pgMar w:left="240" w:top="117" w:right="2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ind w:right="100" w:firstLine="378"/>
        <w:spacing w:after="0" w:line="261" w:lineRule="auto"/>
        <w:rPr>
          <w:sz w:val="20"/>
          <w:szCs w:val="20"/>
          <w:color w:val="auto"/>
        </w:rPr>
      </w:pPr>
      <w:r>
        <w:rPr>
          <w:rFonts w:ascii="Times New Roman" w:cs="Times New Roman" w:eastAsia="Times New Roman" w:hAnsi="Times New Roman"/>
          <w:sz w:val="18"/>
          <w:szCs w:val="18"/>
          <w:color w:val="auto"/>
        </w:rPr>
        <w:t>Our operating businesses are managed on a decentralized basis. Due to the structure of our business, we discuss the results of operations below by individual reportable segments. Refer to Note 3, “Operating Units,” to the consolidated financial statements for a description of each of our reporting segments and Note 13, "Segment and Geographic Reporting," for a reconciliation of each of our reporting segment's results of operations to our consolidated results.</w:t>
      </w:r>
    </w:p>
    <w:p>
      <w:pPr>
        <w:spacing w:after="0" w:line="72" w:lineRule="exact"/>
        <w:rPr>
          <w:sz w:val="20"/>
          <w:szCs w:val="20"/>
          <w:color w:val="auto"/>
        </w:rPr>
      </w:pPr>
    </w:p>
    <w:p>
      <w:pPr>
        <w:ind w:right="580" w:firstLine="37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total revenues, net income (loss) and net income (loss) attributable to Icahn Enterprises for each of our reporting segments and our Holding Company for the years ended December 31, 2014, 2013 and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Net Income (Loss) Attributable to</w:t>
            </w:r>
          </w:p>
        </w:tc>
      </w:tr>
      <w:tr>
        <w:trPr>
          <w:trHeight w:val="238"/>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6"/>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Net Income (Loss)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6"/>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Icahn Enterprises</w:t>
            </w:r>
          </w:p>
        </w:tc>
        <w:tc>
          <w:tcPr>
            <w:tcW w:w="760" w:type="dxa"/>
            <w:vAlign w:val="bottom"/>
          </w:tcPr>
          <w:p>
            <w:pPr>
              <w:spacing w:after="0"/>
              <w:rPr>
                <w:sz w:val="20"/>
                <w:szCs w:val="20"/>
                <w:color w:val="auto"/>
              </w:rPr>
            </w:pP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7"/>
          </w:tcPr>
          <w:p>
            <w:pPr>
              <w:spacing w:after="0"/>
              <w:rPr>
                <w:sz w:val="2"/>
                <w:szCs w:val="2"/>
                <w:color w:val="auto"/>
              </w:rPr>
            </w:pPr>
          </w:p>
        </w:tc>
      </w:tr>
      <w:tr>
        <w:trPr>
          <w:trHeight w:val="237"/>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00" w:type="dxa"/>
            <w:vAlign w:val="bottom"/>
          </w:tcPr>
          <w:p>
            <w:pPr>
              <w:spacing w:after="0"/>
              <w:rPr>
                <w:sz w:val="20"/>
                <w:szCs w:val="20"/>
                <w:color w:val="auto"/>
              </w:rPr>
            </w:pPr>
          </w:p>
        </w:tc>
        <w:tc>
          <w:tcPr>
            <w:tcW w:w="2840" w:type="dxa"/>
            <w:vAlign w:val="bottom"/>
            <w:gridSpan w:val="8"/>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80" w:type="dxa"/>
            <w:vAlign w:val="bottom"/>
          </w:tcPr>
          <w:p>
            <w:pPr>
              <w:spacing w:after="0"/>
              <w:rPr>
                <w:sz w:val="20"/>
                <w:szCs w:val="20"/>
                <w:color w:val="auto"/>
              </w:rPr>
            </w:pPr>
          </w:p>
        </w:tc>
        <w:tc>
          <w:tcPr>
            <w:tcW w:w="2880" w:type="dxa"/>
            <w:vAlign w:val="bottom"/>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5"/>
        </w:trPr>
        <w:tc>
          <w:tcPr>
            <w:tcW w:w="2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5"/>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r>
      <w:tr>
        <w:trPr>
          <w:trHeight w:val="24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Automotive</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1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Energy</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9,292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9,063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r>
      <w:tr>
        <w:trPr>
          <w:trHeight w:val="24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Railcar</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Gaming</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Food Packaging</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Home Fashion</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Holding Company</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2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2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hanging="170"/>
        <w:spacing w:after="0"/>
        <w:tabs>
          <w:tab w:leader="none" w:pos="340"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consolidated CVR effective May 4, 2012.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Icahn Enterprises Holdings</w:t>
      </w:r>
    </w:p>
    <w:p>
      <w:pPr>
        <w:spacing w:after="0" w:line="119" w:lineRule="exact"/>
        <w:rPr>
          <w:sz w:val="20"/>
          <w:szCs w:val="20"/>
          <w:color w:val="auto"/>
        </w:rPr>
      </w:pPr>
    </w:p>
    <w:p>
      <w:pPr>
        <w:ind w:right="160" w:firstLine="378"/>
        <w:spacing w:after="0" w:line="261" w:lineRule="auto"/>
        <w:rPr>
          <w:sz w:val="20"/>
          <w:szCs w:val="20"/>
          <w:color w:val="auto"/>
        </w:rPr>
      </w:pPr>
      <w:r>
        <w:rPr>
          <w:rFonts w:ascii="Times New Roman" w:cs="Times New Roman" w:eastAsia="Times New Roman" w:hAnsi="Times New Roman"/>
          <w:sz w:val="18"/>
          <w:szCs w:val="18"/>
          <w:color w:val="auto"/>
        </w:rPr>
        <w:t>Due to the structure of our business, the consolidated results of operations for Icahn Enterprises and Icahn Enterprises Holdings are substantially the same. Differences primarily relate to non-cash portions of interest expense, and are only reflected in the results of operations for our Holding Company. The following table summarizes total revenues, net income (loss) and net income (loss) attributable to Icahn Enterprises Holdings for our Holding Company and the consolidated totals with respect to Icahn Enterprises Holdings for the years ended December 31, 2014, 2013 and 2012.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Net Income (Loss) Attributable to</w:t>
            </w:r>
          </w:p>
        </w:tc>
      </w:tr>
      <w:tr>
        <w:trPr>
          <w:trHeight w:val="238"/>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6"/>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Net Income (Loss)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80" w:type="dxa"/>
            <w:vAlign w:val="bottom"/>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Icahn Enterprises Holdings</w:t>
            </w: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7"/>
          </w:tcPr>
          <w:p>
            <w:pPr>
              <w:spacing w:after="0"/>
              <w:rPr>
                <w:sz w:val="2"/>
                <w:szCs w:val="2"/>
                <w:color w:val="auto"/>
              </w:rPr>
            </w:pPr>
          </w:p>
        </w:tc>
      </w:tr>
      <w:tr>
        <w:trPr>
          <w:trHeight w:val="237"/>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00" w:type="dxa"/>
            <w:vAlign w:val="bottom"/>
          </w:tcPr>
          <w:p>
            <w:pPr>
              <w:spacing w:after="0"/>
              <w:rPr>
                <w:sz w:val="20"/>
                <w:szCs w:val="20"/>
                <w:color w:val="auto"/>
              </w:rPr>
            </w:pPr>
          </w:p>
        </w:tc>
        <w:tc>
          <w:tcPr>
            <w:tcW w:w="2840" w:type="dxa"/>
            <w:vAlign w:val="bottom"/>
            <w:gridSpan w:val="8"/>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80" w:type="dxa"/>
            <w:vAlign w:val="bottom"/>
          </w:tcPr>
          <w:p>
            <w:pPr>
              <w:spacing w:after="0"/>
              <w:rPr>
                <w:sz w:val="20"/>
                <w:szCs w:val="20"/>
                <w:color w:val="auto"/>
              </w:rPr>
            </w:pPr>
          </w:p>
        </w:tc>
        <w:tc>
          <w:tcPr>
            <w:tcW w:w="2880" w:type="dxa"/>
            <w:vAlign w:val="bottom"/>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5"/>
        </w:trPr>
        <w:tc>
          <w:tcPr>
            <w:tcW w:w="2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5"/>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Holding Company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57"/>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19,157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20,682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15,796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r>
      <w:tr>
        <w:trPr>
          <w:trHeight w:val="20"/>
        </w:trPr>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878"/>
        </w:trPr>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21" w:lineRule="exact"/>
        <w:rPr>
          <w:sz w:val="20"/>
          <w:szCs w:val="20"/>
          <w:color w:val="auto"/>
        </w:rPr>
      </w:pPr>
    </w:p>
    <w:p>
      <w:pPr>
        <w:ind w:right="40" w:firstLine="378"/>
        <w:spacing w:after="0" w:line="255" w:lineRule="auto"/>
        <w:rPr>
          <w:sz w:val="20"/>
          <w:szCs w:val="20"/>
          <w:color w:val="auto"/>
        </w:rPr>
      </w:pPr>
      <w:r>
        <w:rPr>
          <w:rFonts w:ascii="Times New Roman" w:cs="Times New Roman" w:eastAsia="Times New Roman" w:hAnsi="Times New Roman"/>
          <w:sz w:val="18"/>
          <w:szCs w:val="18"/>
          <w:color w:val="auto"/>
        </w:rPr>
        <w:t>Our Investment segment is comprised of various private investment funds, including Icahn Partners L.P. ("Icahn Partners"), Icahn Partners Master Fund LP, Icahn Partners Master Fund II LP and Icahn Partners Master Fund III LP (collectively, the "Master Funds", and together with Icahn Partners, the "Investment Funds"), through which we invest our proprietary capital. Effective January 1, 2014, Icahn Partners Master Fund II LP and Icahn Partners Master Fund III LP were merged with and into Icahn Partners. We and certain of Mr. Icahn's wholly owned affiliates are the sole investors in the Investment Funds. Icahn Onshore LP and Icahn Offshore LP (together, the "General Partners") act as the general partner of Icahn Partners and the Master Funds,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81" w:lineRule="exact"/>
        <w:rPr>
          <w:sz w:val="20"/>
          <w:szCs w:val="20"/>
          <w:color w:val="auto"/>
        </w:rPr>
      </w:pPr>
    </w:p>
    <w:p>
      <w:pPr>
        <w:ind w:right="60" w:firstLine="378"/>
        <w:spacing w:after="0" w:line="266" w:lineRule="auto"/>
        <w:rPr>
          <w:sz w:val="20"/>
          <w:szCs w:val="20"/>
          <w:color w:val="auto"/>
        </w:rPr>
      </w:pPr>
      <w:r>
        <w:rPr>
          <w:rFonts w:ascii="Times New Roman" w:cs="Times New Roman" w:eastAsia="Times New Roman" w:hAnsi="Times New Roman"/>
          <w:sz w:val="18"/>
          <w:szCs w:val="18"/>
          <w:color w:val="auto"/>
        </w:rPr>
        <w:t>Mr. Icahn, along with his affiliates (excluding Icahn Enterprises and Icahn Enterprises Holdings), makes investments in the Investment Funds. As of December 31, 2014 and 2013, the total fair market value of investments in the Investment Funds made by Mr. Icahn and his affiliates was approximately $4.8 billion and $4.7 billion,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Interests in the Investment Funds</w:t>
      </w:r>
    </w:p>
    <w:p>
      <w:pPr>
        <w:spacing w:after="0" w:line="119" w:lineRule="exact"/>
        <w:rPr>
          <w:sz w:val="20"/>
          <w:szCs w:val="20"/>
          <w:color w:val="auto"/>
        </w:rPr>
      </w:pPr>
    </w:p>
    <w:p>
      <w:pPr>
        <w:ind w:right="420" w:firstLine="378"/>
        <w:spacing w:after="0" w:line="282" w:lineRule="auto"/>
        <w:rPr>
          <w:sz w:val="20"/>
          <w:szCs w:val="20"/>
          <w:color w:val="auto"/>
        </w:rPr>
      </w:pPr>
      <w:r>
        <w:rPr>
          <w:rFonts w:ascii="Times New Roman" w:cs="Times New Roman" w:eastAsia="Times New Roman" w:hAnsi="Times New Roman"/>
          <w:sz w:val="18"/>
          <w:szCs w:val="18"/>
          <w:color w:val="auto"/>
        </w:rPr>
        <w:t>As of December 31, 2014 and 2013, we had investments with a fair market value of approximately $4.3 billion and $3.7 billion, respectively, in the Investment Funds.</w:t>
      </w:r>
    </w:p>
    <w:p>
      <w:pPr>
        <w:spacing w:after="0" w:line="54" w:lineRule="exact"/>
        <w:rPr>
          <w:sz w:val="20"/>
          <w:szCs w:val="20"/>
          <w:color w:val="auto"/>
        </w:rPr>
      </w:pPr>
    </w:p>
    <w:p>
      <w:pPr>
        <w:ind w:right="60" w:firstLine="378"/>
        <w:spacing w:after="0" w:line="282" w:lineRule="auto"/>
        <w:rPr>
          <w:sz w:val="20"/>
          <w:szCs w:val="20"/>
          <w:color w:val="auto"/>
        </w:rPr>
      </w:pPr>
      <w:r>
        <w:rPr>
          <w:rFonts w:ascii="Times New Roman" w:cs="Times New Roman" w:eastAsia="Times New Roman" w:hAnsi="Times New Roman"/>
          <w:sz w:val="18"/>
          <w:szCs w:val="18"/>
          <w:color w:val="auto"/>
        </w:rPr>
        <w:t>Our share of the Investment Funds' net (losses) profits through our interests in the Investment Funds was $(305) million, $812 million, and $157 million for the years ended December 31, 2014, 2013 and 2012,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Returns</w:t>
      </w:r>
    </w:p>
    <w:p>
      <w:pPr>
        <w:spacing w:after="0" w:line="119" w:lineRule="exact"/>
        <w:rPr>
          <w:sz w:val="20"/>
          <w:szCs w:val="20"/>
          <w:color w:val="auto"/>
        </w:rPr>
      </w:pPr>
    </w:p>
    <w:p>
      <w:pPr>
        <w:ind w:right="540" w:firstLine="378"/>
        <w:spacing w:after="0" w:line="282" w:lineRule="auto"/>
        <w:rPr>
          <w:sz w:val="20"/>
          <w:szCs w:val="20"/>
          <w:color w:val="auto"/>
        </w:rPr>
      </w:pPr>
      <w:r>
        <w:rPr>
          <w:rFonts w:ascii="Times New Roman" w:cs="Times New Roman" w:eastAsia="Times New Roman" w:hAnsi="Times New Roman"/>
          <w:sz w:val="18"/>
          <w:szCs w:val="18"/>
          <w:color w:val="auto"/>
        </w:rPr>
        <w:t>The following table sets forth performance information for the Investment Funds for the comparative periods presented. These returns represent a weighted-average composite of the average returns, net of expenses for the Investment Funds.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Returns</w:t>
            </w:r>
          </w:p>
        </w:tc>
        <w:tc>
          <w:tcPr>
            <w:tcW w:w="1320" w:type="dxa"/>
            <w:vAlign w:val="bottom"/>
          </w:tcPr>
          <w:p>
            <w:pPr>
              <w:spacing w:after="0"/>
              <w:rPr>
                <w:sz w:val="20"/>
                <w:szCs w:val="20"/>
                <w:color w:val="auto"/>
              </w:rPr>
            </w:pPr>
          </w:p>
        </w:tc>
      </w:tr>
      <w:tr>
        <w:trPr>
          <w:trHeight w:val="27"/>
        </w:trPr>
        <w:tc>
          <w:tcPr>
            <w:tcW w:w="6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76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20" w:type="dxa"/>
            <w:vAlign w:val="bottom"/>
          </w:tcPr>
          <w:p>
            <w:pPr>
              <w:spacing w:after="0"/>
              <w:rPr>
                <w:sz w:val="20"/>
                <w:szCs w:val="20"/>
                <w:color w:val="auto"/>
              </w:rPr>
            </w:pPr>
          </w:p>
        </w:tc>
      </w:tr>
      <w:tr>
        <w:trPr>
          <w:trHeight w:val="27"/>
        </w:trPr>
        <w:tc>
          <w:tcPr>
            <w:tcW w:w="6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62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90"/>
              <w:spacing w:after="0" w:line="264" w:lineRule="exact"/>
              <w:rPr>
                <w:sz w:val="20"/>
                <w:szCs w:val="20"/>
                <w:color w:val="auto"/>
              </w:rPr>
            </w:pPr>
            <w:r>
              <w:rPr>
                <w:rFonts w:ascii="Times New Roman" w:cs="Times New Roman" w:eastAsia="Times New Roman" w:hAnsi="Times New Roman"/>
                <w:sz w:val="18"/>
                <w:szCs w:val="18"/>
                <w:b w:val="1"/>
                <w:bCs w:val="1"/>
                <w:color w:val="auto"/>
              </w:rPr>
              <w:t>2012</w:t>
            </w:r>
            <w:r>
              <w:rPr>
                <w:rFonts w:ascii="Times New Roman" w:cs="Times New Roman" w:eastAsia="Times New Roman" w:hAnsi="Times New Roman"/>
                <w:sz w:val="25"/>
                <w:szCs w:val="25"/>
                <w:b w:val="1"/>
                <w:bCs w:val="1"/>
                <w:color w:val="auto"/>
                <w:vertAlign w:val="superscript"/>
              </w:rPr>
              <w:t>(1)</w:t>
            </w:r>
          </w:p>
        </w:tc>
      </w:tr>
      <w:tr>
        <w:trPr>
          <w:trHeight w:val="237"/>
        </w:trPr>
        <w:tc>
          <w:tcPr>
            <w:tcW w:w="7340" w:type="dxa"/>
            <w:vAlign w:val="bottom"/>
            <w:gridSpan w:val="2"/>
            <w:shd w:val="clear" w:color="auto" w:fill="CCEEFF"/>
          </w:tcPr>
          <w:p>
            <w:pPr>
              <w:jc w:val="right"/>
              <w:ind w:right="5930"/>
              <w:spacing w:after="0"/>
              <w:rPr>
                <w:sz w:val="20"/>
                <w:szCs w:val="20"/>
                <w:color w:val="auto"/>
              </w:rPr>
            </w:pPr>
            <w:r>
              <w:rPr>
                <w:rFonts w:ascii="Times New Roman" w:cs="Times New Roman" w:eastAsia="Times New Roman" w:hAnsi="Times New Roman"/>
                <w:sz w:val="18"/>
                <w:szCs w:val="18"/>
                <w:color w:val="auto"/>
              </w:rPr>
              <w:t>Investment Funds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6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Attribution</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performance attribution for the Investment Funds for the comparative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Performance Attribution</w:t>
            </w:r>
          </w:p>
        </w:tc>
        <w:tc>
          <w:tcPr>
            <w:tcW w:w="134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3900" w:type="dxa"/>
            <w:vAlign w:val="bottom"/>
            <w:tcBorders>
              <w:bottom w:val="single" w:sz="8" w:color="auto"/>
            </w:tcBorders>
            <w:gridSpan w:val="6"/>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3900" w:type="dxa"/>
            <w:vAlign w:val="bottom"/>
            <w:gridSpan w:val="6"/>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4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90"/>
              <w:spacing w:after="0" w:line="264" w:lineRule="exact"/>
              <w:rPr>
                <w:sz w:val="20"/>
                <w:szCs w:val="20"/>
                <w:color w:val="auto"/>
              </w:rPr>
            </w:pPr>
            <w:r>
              <w:rPr>
                <w:rFonts w:ascii="Times New Roman" w:cs="Times New Roman" w:eastAsia="Times New Roman" w:hAnsi="Times New Roman"/>
                <w:sz w:val="18"/>
                <w:szCs w:val="18"/>
                <w:b w:val="1"/>
                <w:bCs w:val="1"/>
                <w:color w:val="auto"/>
              </w:rPr>
              <w:t>2012</w:t>
            </w:r>
            <w:r>
              <w:rPr>
                <w:rFonts w:ascii="Times New Roman" w:cs="Times New Roman" w:eastAsia="Times New Roman" w:hAnsi="Times New Roman"/>
                <w:sz w:val="25"/>
                <w:szCs w:val="25"/>
                <w:b w:val="1"/>
                <w:bCs w:val="1"/>
                <w:color w:val="auto"/>
                <w:vertAlign w:val="superscript"/>
              </w:rPr>
              <w:t>(1)</w:t>
            </w: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 positions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 positions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7"/>
        </w:trPr>
        <w:tc>
          <w:tcPr>
            <w:tcW w:w="6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7"/>
        </w:trPr>
        <w:tc>
          <w:tcPr>
            <w:tcW w:w="618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7"/>
        </w:trPr>
        <w:tc>
          <w:tcPr>
            <w:tcW w:w="61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1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120" w:firstLine="8"/>
        <w:spacing w:after="0" w:line="282" w:lineRule="auto"/>
        <w:tabs>
          <w:tab w:leader="none" w:pos="127" w:val="left"/>
        </w:tabs>
        <w:numPr>
          <w:ilvl w:val="0"/>
          <w:numId w:val="3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Investments Funds' aggregate gross return would have been 20.2% if the Investment Funds had elected not to distribute shares of CVR to our subsidiary IEP Energy in 2012 and if additional purchases had been made by the Investment Funds instead of by Icahn Enterprises.</w:t>
      </w:r>
    </w:p>
    <w:p>
      <w:pPr>
        <w:spacing w:after="0" w:line="54" w:lineRule="exact"/>
        <w:rPr>
          <w:sz w:val="20"/>
          <w:szCs w:val="20"/>
          <w:color w:val="auto"/>
        </w:rPr>
      </w:pPr>
    </w:p>
    <w:p>
      <w:pPr>
        <w:ind w:right="160" w:firstLine="378"/>
        <w:spacing w:after="0" w:line="284" w:lineRule="auto"/>
        <w:rPr>
          <w:sz w:val="20"/>
          <w:szCs w:val="20"/>
          <w:color w:val="auto"/>
        </w:rPr>
      </w:pPr>
      <w:r>
        <w:rPr>
          <w:rFonts w:ascii="Times New Roman" w:cs="Times New Roman" w:eastAsia="Times New Roman" w:hAnsi="Times New Roman"/>
          <w:sz w:val="18"/>
          <w:szCs w:val="18"/>
          <w:color w:val="auto"/>
        </w:rPr>
        <w:t>The Investment Funds' aggregate gross return was -7.4% for 2014</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due to losses in their short equity exposure, primarily through broad market hedges, as well as other losses in long equity positions including energy. These losses were offset in part by gains in long equity positions in a few of their largest core holdings.</w:t>
      </w:r>
    </w:p>
    <w:p>
      <w:pPr>
        <w:spacing w:after="0" w:line="53" w:lineRule="exact"/>
        <w:rPr>
          <w:sz w:val="20"/>
          <w:szCs w:val="20"/>
          <w:color w:val="auto"/>
        </w:rPr>
      </w:pPr>
    </w:p>
    <w:p>
      <w:pPr>
        <w:ind w:right="360" w:firstLine="378"/>
        <w:spacing w:after="0" w:line="266" w:lineRule="auto"/>
        <w:rPr>
          <w:sz w:val="20"/>
          <w:szCs w:val="20"/>
          <w:color w:val="auto"/>
        </w:rPr>
      </w:pPr>
      <w:r>
        <w:rPr>
          <w:rFonts w:ascii="Times New Roman" w:cs="Times New Roman" w:eastAsia="Times New Roman" w:hAnsi="Times New Roman"/>
          <w:sz w:val="18"/>
          <w:szCs w:val="18"/>
          <w:color w:val="auto"/>
        </w:rPr>
        <w:t>The Investment Funds' aggregate gross return was 30.8% for 2013 primarily due to their long exposure to the equity markets by gains in long equity positions, primarily in a few of the largest core holdings. The Investment Funds' short equity exposure, including broad market hedges, was a negative contributor to performance as equity markets rallied in 2013.</w:t>
      </w:r>
    </w:p>
    <w:p>
      <w:pPr>
        <w:spacing w:after="0" w:line="68" w:lineRule="exact"/>
        <w:rPr>
          <w:sz w:val="20"/>
          <w:szCs w:val="20"/>
          <w:color w:val="auto"/>
        </w:rPr>
      </w:pPr>
    </w:p>
    <w:p>
      <w:pPr>
        <w:ind w:right="220" w:firstLine="378"/>
        <w:spacing w:after="0" w:line="282" w:lineRule="auto"/>
        <w:rPr>
          <w:sz w:val="20"/>
          <w:szCs w:val="20"/>
          <w:color w:val="auto"/>
        </w:rPr>
      </w:pPr>
      <w:r>
        <w:rPr>
          <w:rFonts w:ascii="Times New Roman" w:cs="Times New Roman" w:eastAsia="Times New Roman" w:hAnsi="Times New Roman"/>
          <w:sz w:val="18"/>
          <w:szCs w:val="18"/>
          <w:color w:val="auto"/>
        </w:rPr>
        <w:t>The Investment Funds' aggregate gross return was 6.6% for 2012 primarily due to their long exposure to the equity markets that were primarily driven by certain core holdings, partially offset by losses due to defensive short positions.</w:t>
      </w:r>
    </w:p>
    <w:p>
      <w:pPr>
        <w:spacing w:after="0" w:line="54" w:lineRule="exact"/>
        <w:rPr>
          <w:sz w:val="20"/>
          <w:szCs w:val="20"/>
          <w:color w:val="auto"/>
        </w:rPr>
      </w:pPr>
    </w:p>
    <w:p>
      <w:pPr>
        <w:ind w:right="880" w:firstLine="378"/>
        <w:spacing w:after="0" w:line="282" w:lineRule="auto"/>
        <w:rPr>
          <w:sz w:val="20"/>
          <w:szCs w:val="20"/>
          <w:color w:val="auto"/>
        </w:rPr>
      </w:pPr>
      <w:r>
        <w:rPr>
          <w:rFonts w:ascii="Times New Roman" w:cs="Times New Roman" w:eastAsia="Times New Roman" w:hAnsi="Times New Roman"/>
          <w:sz w:val="18"/>
          <w:szCs w:val="18"/>
          <w:color w:val="auto"/>
        </w:rPr>
        <w:t>Since inception in November 2004, the Investment Funds' gross return is 230.5%, representing an annualized rate of return of 12.5% through December 31, 2014.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468"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86"/>
        </w:trPr>
        <w:tc>
          <w:tcPr>
            <w:tcW w:w="6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gridSpan w:val="6"/>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20" w:type="dxa"/>
            <w:vAlign w:val="bottom"/>
          </w:tcPr>
          <w:p>
            <w:pPr>
              <w:spacing w:after="0"/>
              <w:rPr>
                <w:sz w:val="24"/>
                <w:szCs w:val="24"/>
                <w:color w:val="auto"/>
              </w:rPr>
            </w:pP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4"/>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5"/>
        </w:trPr>
        <w:tc>
          <w:tcPr>
            <w:tcW w:w="6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6,664</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5,753</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Federal-Mogul's Annual Report on Form 10-K contains a detailed description of its business, products, industry, operating strategy and associated risks.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Federal-Mogul's filings with the SEC are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right="40" w:firstLine="378"/>
        <w:spacing w:after="0" w:line="272" w:lineRule="auto"/>
        <w:rPr>
          <w:sz w:val="20"/>
          <w:szCs w:val="20"/>
          <w:color w:val="auto"/>
        </w:rPr>
      </w:pPr>
      <w:r>
        <w:rPr>
          <w:rFonts w:ascii="Times New Roman" w:cs="Times New Roman" w:eastAsia="Times New Roman" w:hAnsi="Times New Roman"/>
          <w:sz w:val="17"/>
          <w:szCs w:val="17"/>
          <w:color w:val="auto"/>
        </w:rPr>
        <w:t>Federal-Mogul is a leading global supplier of a broad range of components, accessories and systems to the automotive, small engine, heavy-duty, marine, railroad, agricultural, off-road, aerospace and energy, industrial and transport markets, including customers in both the original equipment manufacturers and servicers (“OE”) market and the replacement market (“aftermarket”). Federal-Mogul’s customers include the world’s largest automotive OEs and major distributors and retailers in the independent aftermarket. Geographically, Federal-Mogul derived 36% of its net sales in the United States and 64% internationally during the year ended December 31, 2014. Federal-Mogul has operations in established markets including Australia, Belgium, France, Germany, Italy, Japan, Spain, Sweden, the United Kingdom and the United States, and emerging markets including Argentina, Brazil, China, Czech Republic, Hungary, India, Korea, Mexico, Morocco, Poland, Romania, Russia, South Africa and Thailand. The attendant risks of Federal-Mogul's international operations are primarily related to currency fluctuations, changes in local economic and political conditions, and changes in laws and regulations.</w:t>
      </w:r>
    </w:p>
    <w:p>
      <w:pPr>
        <w:spacing w:after="0" w:line="64"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Federal-Mogul operates with two end-customer focused business segments. The Powertrain business focuses on original equipment products for automotive, heavy duty and industrial applications. The Motorparts business sells and distributes a broad portfolio of products in the global aftermarket, while also serving original equipment manufacturers with products including braking, chassis, wipers and other vehicle components. This organizational model allows for a strong product line focus benefitting both original equipment and aftermarket customers and enables the global Federal-Mogul teams to be responsive to customers’ needs for superior products and to promote greater identification with Federal-Mogul premium brands. Additionally, this organizational model enhances management focus to capitalize on opportunities for organic or acquisition growth, profit improvement, resource utilization and business model optimization in line with the unique requirements of the two different customer bases.</w:t>
      </w:r>
    </w:p>
    <w:p>
      <w:pPr>
        <w:spacing w:after="0" w:line="81" w:lineRule="exact"/>
        <w:rPr>
          <w:sz w:val="20"/>
          <w:szCs w:val="20"/>
          <w:color w:val="auto"/>
        </w:rPr>
      </w:pPr>
    </w:p>
    <w:p>
      <w:pPr>
        <w:ind w:right="240" w:firstLine="378"/>
        <w:spacing w:after="0" w:line="256" w:lineRule="auto"/>
        <w:rPr>
          <w:sz w:val="20"/>
          <w:szCs w:val="20"/>
          <w:color w:val="auto"/>
        </w:rPr>
      </w:pPr>
      <w:r>
        <w:rPr>
          <w:rFonts w:ascii="Times New Roman" w:cs="Times New Roman" w:eastAsia="Times New Roman" w:hAnsi="Times New Roman"/>
          <w:sz w:val="18"/>
          <w:szCs w:val="18"/>
          <w:color w:val="auto"/>
        </w:rPr>
        <w:t>On September 3, 2014, Federal-Mogul announced its plan to separate its Powertrain and Motorparts businesses into two independent, publicly-traded companies serving the global original equipment and aftermarket industries. The planned separation will be implemented through a tax-free distribution of Federal-Mogul’s Motorparts business to shareholders of Federal-Mogul Holdings Corporation. Completion of the transaction is subject to customary conditions, including among others, Federal-Mogul’s receipt of an IRS ruling or opinion of counsel to the effect that the distribution will qualify as a transaction that is generally tax-free for U.S. Federal Income tax purposes; as well as effectiveness of a Form 10 Registration Statement to be filed with the SEC.</w:t>
      </w:r>
    </w:p>
    <w:p>
      <w:pPr>
        <w:spacing w:after="0" w:line="80" w:lineRule="exact"/>
        <w:rPr>
          <w:sz w:val="20"/>
          <w:szCs w:val="20"/>
          <w:color w:val="auto"/>
        </w:rPr>
      </w:pPr>
    </w:p>
    <w:p>
      <w:pPr>
        <w:ind w:right="40" w:firstLine="378"/>
        <w:spacing w:after="0" w:line="255" w:lineRule="auto"/>
        <w:rPr>
          <w:sz w:val="20"/>
          <w:szCs w:val="20"/>
          <w:color w:val="auto"/>
        </w:rPr>
      </w:pPr>
      <w:r>
        <w:rPr>
          <w:rFonts w:ascii="Times New Roman" w:cs="Times New Roman" w:eastAsia="Times New Roman" w:hAnsi="Times New Roman"/>
          <w:sz w:val="18"/>
          <w:szCs w:val="18"/>
          <w:color w:val="auto"/>
        </w:rPr>
        <w:t>On February 24, 2015, Federal-Mogul announced that it would defer the previously announced spin-off of its Motorparts business to allow for the integration of its recently completed brake component, chassis and valvetrain acquisitions and to recognize the benefits of the strategic initiatives in the Motorparts business. As a result of the deferral and the recent closing of the acquisition of TRW Automotive Holdings Corp.'s valvetrain business, Federal-Mogul will commence a common stock rights offering to strengthen its balance sheet. Federal-Mogul’s board of directors intends to revisit the timing of the spin-off prior to year-end. Meanwhile Federal-Mogul will continue to operate as two separate, independent businesses. No assurances can be given regarding the ultimate timing of the separation or that it will be consummated. See Note 18, "Subsequent Events - Automotive," for further discussion regarding the common stock rights offering.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2014 Compared to the Year Ended December 31, 2013</w:t>
      </w:r>
    </w:p>
    <w:p>
      <w:pPr>
        <w:spacing w:after="0" w:line="119" w:lineRule="exact"/>
        <w:rPr>
          <w:sz w:val="20"/>
          <w:szCs w:val="20"/>
          <w:color w:val="auto"/>
        </w:rPr>
      </w:pPr>
    </w:p>
    <w:p>
      <w:pPr>
        <w:ind w:right="380" w:firstLine="378"/>
        <w:spacing w:after="0" w:line="261" w:lineRule="auto"/>
        <w:rPr>
          <w:sz w:val="20"/>
          <w:szCs w:val="20"/>
          <w:color w:val="auto"/>
        </w:rPr>
      </w:pPr>
      <w:r>
        <w:rPr>
          <w:rFonts w:ascii="Times New Roman" w:cs="Times New Roman" w:eastAsia="Times New Roman" w:hAnsi="Times New Roman"/>
          <w:sz w:val="18"/>
          <w:szCs w:val="18"/>
          <w:color w:val="auto"/>
        </w:rPr>
        <w:t>Consolidated net sales increased for the year ended December 31, 2014 by $412 million (6.0%) as compared to the corresponding prior year period. Excluding dispositions of $119 million and unfavorable foreign currency impacts of $51 million, sales organically increased by $582 million or 9% on a constant dollar basis. This increase is driven by sales growth in the Powertrain business of $301 million (8%) and an increase in sales in the Motorparts business of $281 million (10%), driven by the Affinia chassis and the Honeywell brake component business acquisitions.</w:t>
      </w:r>
    </w:p>
    <w:p>
      <w:pPr>
        <w:spacing w:after="0" w:line="72" w:lineRule="exact"/>
        <w:rPr>
          <w:sz w:val="20"/>
          <w:szCs w:val="20"/>
          <w:color w:val="auto"/>
        </w:rPr>
      </w:pPr>
    </w:p>
    <w:p>
      <w:pPr>
        <w:ind w:right="80" w:firstLine="378"/>
        <w:spacing w:after="0" w:line="266" w:lineRule="auto"/>
        <w:rPr>
          <w:sz w:val="20"/>
          <w:szCs w:val="20"/>
          <w:color w:val="auto"/>
        </w:rPr>
      </w:pPr>
      <w:r>
        <w:rPr>
          <w:rFonts w:ascii="Times New Roman" w:cs="Times New Roman" w:eastAsia="Times New Roman" w:hAnsi="Times New Roman"/>
          <w:sz w:val="18"/>
          <w:szCs w:val="18"/>
          <w:color w:val="auto"/>
        </w:rPr>
        <w:t>The Powertrain business' sales increase of $301 million is driven by an increase in sales volumes of $330 million, offset by customer price reductions of $29 million. This increase comes is attributable to higher sales volumes and market share gains across all regions of the world. In Europe, the Powertrain business sales increased by 6% compared to an increase in European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468" w:right="239" w:bottom="1440" w:gutter="0" w:footer="0" w:header="0"/>
        </w:sectPr>
      </w:pPr>
    </w:p>
    <w:bookmarkStart w:id="99" w:name="page100"/>
    <w:bookmarkEnd w:id="99"/>
    <w:p>
      <w:pPr>
        <w:spacing w:after="0" w:line="258" w:lineRule="auto"/>
        <w:rPr>
          <w:sz w:val="20"/>
          <w:szCs w:val="20"/>
          <w:color w:val="auto"/>
        </w:rPr>
      </w:pPr>
      <w:r>
        <w:rPr>
          <w:rFonts w:ascii="Times New Roman" w:cs="Times New Roman" w:eastAsia="Times New Roman" w:hAnsi="Times New Roman"/>
          <w:sz w:val="18"/>
          <w:szCs w:val="18"/>
          <w:color w:val="auto"/>
        </w:rPr>
        <w:t>light vehicle production of 4% and a decrease in commercial vehicle production of 9%. In North America, the Powertrain business sales increased by 9% compared to an increase in both light vehicle and commercial vehicle production of 5% and 12% respectively. In the rest of the world ("ROW"), as the Powertrain business' presence in the emerging light vehicle market continued to grow, its sales increased by 12%, compared to an increase in light vehicle production of 1% and a decline in commercial vehicle production of 2%. When taking into account the Powertrain business' regional and market mix, its sales therefore grew in excess of underlying market demand.</w:t>
      </w:r>
    </w:p>
    <w:p>
      <w:pPr>
        <w:spacing w:after="0" w:line="76" w:lineRule="exact"/>
        <w:rPr>
          <w:sz w:val="20"/>
          <w:szCs w:val="20"/>
          <w:color w:val="auto"/>
        </w:rPr>
      </w:pPr>
    </w:p>
    <w:p>
      <w:pPr>
        <w:ind w:right="220" w:firstLine="378"/>
        <w:spacing w:after="0" w:line="261" w:lineRule="auto"/>
        <w:rPr>
          <w:sz w:val="20"/>
          <w:szCs w:val="20"/>
          <w:color w:val="auto"/>
        </w:rPr>
      </w:pPr>
      <w:r>
        <w:rPr>
          <w:rFonts w:ascii="Times New Roman" w:cs="Times New Roman" w:eastAsia="Times New Roman" w:hAnsi="Times New Roman"/>
          <w:sz w:val="18"/>
          <w:szCs w:val="18"/>
          <w:color w:val="auto"/>
        </w:rPr>
        <w:t>Net sales in the Motorparts business increased by $281 million (10%) primarily due to the Affinia chassis and the Honeywell brake component acquisitions. This increase was partially offset by a decrease in sales in North America of 2% primarily due to the exit of certain unprofitable business. In Europe, the sales of the Motorparts business decreased by 3% primarily due to a decrease in sales in the eastern Europe region. Sales in ROW increased by 4% driven by stronger aftermarket demand in the China and India.</w:t>
      </w:r>
    </w:p>
    <w:p>
      <w:pPr>
        <w:spacing w:after="0" w:line="72" w:lineRule="exact"/>
        <w:rPr>
          <w:sz w:val="20"/>
          <w:szCs w:val="20"/>
          <w:color w:val="auto"/>
        </w:rPr>
      </w:pPr>
    </w:p>
    <w:p>
      <w:pPr>
        <w:ind w:right="240" w:firstLine="378"/>
        <w:spacing w:after="0" w:line="261" w:lineRule="auto"/>
        <w:rPr>
          <w:sz w:val="20"/>
          <w:szCs w:val="20"/>
          <w:color w:val="auto"/>
        </w:rPr>
      </w:pPr>
      <w:r>
        <w:rPr>
          <w:rFonts w:ascii="Times New Roman" w:cs="Times New Roman" w:eastAsia="Times New Roman" w:hAnsi="Times New Roman"/>
          <w:sz w:val="18"/>
          <w:szCs w:val="18"/>
          <w:color w:val="auto"/>
        </w:rPr>
        <w:t>Cost of products sold for the year ended December 31, 2014 increased by $375 million (6%) as compared to the corresponding prior year period. Including acquisitions, the increase in materials, labor and overhead as a direct result of external sales volumes/mix was $507 million. The impact from unfavorable productivity and Motorparts business' strategic initiatives and project costs of $38 million as well as an increase in depreciation of $26 million were partially offset by decreases due to dispositions of $119 million, savings in material costs of $34 million and foreign currency of $43 million.</w:t>
      </w:r>
    </w:p>
    <w:p>
      <w:pPr>
        <w:spacing w:after="0" w:line="72" w:lineRule="exact"/>
        <w:rPr>
          <w:sz w:val="20"/>
          <w:szCs w:val="20"/>
          <w:color w:val="auto"/>
        </w:rPr>
      </w:pPr>
    </w:p>
    <w:p>
      <w:pPr>
        <w:ind w:right="180" w:firstLine="378"/>
        <w:spacing w:after="0" w:line="281" w:lineRule="auto"/>
        <w:rPr>
          <w:sz w:val="20"/>
          <w:szCs w:val="20"/>
          <w:color w:val="auto"/>
        </w:rPr>
      </w:pPr>
      <w:r>
        <w:rPr>
          <w:rFonts w:ascii="Times New Roman" w:cs="Times New Roman" w:eastAsia="Times New Roman" w:hAnsi="Times New Roman"/>
          <w:sz w:val="17"/>
          <w:szCs w:val="17"/>
          <w:color w:val="auto"/>
        </w:rPr>
        <w:t>Gross margin for the year ended December 31, 2014 increased by $37 million (4%) as compared to the corresponding prior year period. The favorable impact on margins due to external sales volumes/mix was $107 million, including acquisitions. Favorable materials and services sourcing savings of $34 million were offset in part by unfavorable customer pricing of $30 million, project costs and costs related to the Motorparts business' strategic initiatives of $27 million, increased depreciation of $26 million, unfavorable productivity of $11 million and unfavorable foreign currency impact of $8 million.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2013 Compared to the Year Ended December 31, 2012</w:t>
      </w:r>
    </w:p>
    <w:p>
      <w:pPr>
        <w:spacing w:after="0" w:line="119" w:lineRule="exact"/>
        <w:rPr>
          <w:sz w:val="20"/>
          <w:szCs w:val="20"/>
          <w:color w:val="auto"/>
        </w:rPr>
      </w:pPr>
    </w:p>
    <w:p>
      <w:pPr>
        <w:ind w:right="180" w:firstLine="378"/>
        <w:spacing w:after="0" w:line="277" w:lineRule="auto"/>
        <w:rPr>
          <w:sz w:val="20"/>
          <w:szCs w:val="20"/>
          <w:color w:val="auto"/>
        </w:rPr>
      </w:pPr>
      <w:r>
        <w:rPr>
          <w:rFonts w:ascii="Times New Roman" w:cs="Times New Roman" w:eastAsia="Times New Roman" w:hAnsi="Times New Roman"/>
          <w:sz w:val="17"/>
          <w:szCs w:val="17"/>
          <w:color w:val="auto"/>
        </w:rPr>
        <w:t>Consolidated net sales increased for the year ended December 31, 2013 by $241 million (4%) as compared to the corresponding prior year period. The increase included a favorable foreign currency impact of $25 million. Excluding sales directly related to the acquisition of the spark plug business from BorgWarner, Inc. ("BWA") of $43 million, sales from the European distribution agreement for ignition products of $112 million and reduced sales of $103 million associated with dispositions, sales organically increased by $164 million, which is net of $19 million from customer price decreases. This organic growth is comprised of the Powertrain business' sales increases of $203 million partially offset by the Motorparts business' sales decreases of $39 million.</w:t>
      </w:r>
    </w:p>
    <w:p>
      <w:pPr>
        <w:spacing w:after="0" w:line="60" w:lineRule="exact"/>
        <w:rPr>
          <w:sz w:val="20"/>
          <w:szCs w:val="20"/>
          <w:color w:val="auto"/>
        </w:rPr>
      </w:pPr>
    </w:p>
    <w:p>
      <w:pPr>
        <w:ind w:right="40" w:firstLine="378"/>
        <w:spacing w:after="0" w:line="258" w:lineRule="auto"/>
        <w:rPr>
          <w:sz w:val="20"/>
          <w:szCs w:val="20"/>
          <w:color w:val="auto"/>
        </w:rPr>
      </w:pPr>
      <w:r>
        <w:rPr>
          <w:rFonts w:ascii="Times New Roman" w:cs="Times New Roman" w:eastAsia="Times New Roman" w:hAnsi="Times New Roman"/>
          <w:sz w:val="18"/>
          <w:szCs w:val="18"/>
          <w:color w:val="auto"/>
        </w:rPr>
        <w:t>Given the Powertrain business' weighted market presence in the light vehicle, commercial vehicle and industrial markets and the year-over-year changes in production rates for those markets, the expected Powertrain business' sales change would be negligible compared to the prior year. However, the Powertrain business' sales increased by 2%, excluding the impact on sales from the acquisition of the spark plug business from BWA , reflecting growth in excess of the underlying market. This was driven by an increase in sales in North America and ROW of 8% and 12%, respectively, partly offset by a decrease in sales in Europe of 3%.</w:t>
      </w:r>
    </w:p>
    <w:p>
      <w:pPr>
        <w:spacing w:after="0" w:line="76" w:lineRule="exact"/>
        <w:rPr>
          <w:sz w:val="20"/>
          <w:szCs w:val="20"/>
          <w:color w:val="auto"/>
        </w:rPr>
      </w:pPr>
    </w:p>
    <w:p>
      <w:pPr>
        <w:ind w:right="40" w:firstLine="378"/>
        <w:spacing w:after="0" w:line="258" w:lineRule="auto"/>
        <w:rPr>
          <w:sz w:val="20"/>
          <w:szCs w:val="20"/>
          <w:color w:val="auto"/>
        </w:rPr>
      </w:pPr>
      <w:r>
        <w:rPr>
          <w:rFonts w:ascii="Times New Roman" w:cs="Times New Roman" w:eastAsia="Times New Roman" w:hAnsi="Times New Roman"/>
          <w:sz w:val="18"/>
          <w:szCs w:val="18"/>
          <w:color w:val="auto"/>
        </w:rPr>
        <w:t>In the Motorparts business, external sales volumes decreased by $39 million excluding the impact of sales from the European distribution agreement for ignition products of $112 million and reduced sales of $20 million associated with dispositions. This was primarily attributable to the decrease in sales in North America of 4%. This reflects the exit of selected non-strategic business contracts as well as a softening in the export business, mainly in Venezuela as a result of a tightening of exchange rate control in that country. However, this was partly offset by an increase in sales in the Motorparts business in Europe of 4% resulting from aftermarket volume gains and improved market conditions.</w:t>
      </w:r>
    </w:p>
    <w:p>
      <w:pPr>
        <w:spacing w:after="0" w:line="76" w:lineRule="exact"/>
        <w:rPr>
          <w:sz w:val="20"/>
          <w:szCs w:val="20"/>
          <w:color w:val="auto"/>
        </w:rPr>
      </w:pPr>
    </w:p>
    <w:p>
      <w:pPr>
        <w:ind w:right="240" w:firstLine="378"/>
        <w:spacing w:after="0" w:line="258" w:lineRule="auto"/>
        <w:rPr>
          <w:sz w:val="20"/>
          <w:szCs w:val="20"/>
          <w:color w:val="auto"/>
        </w:rPr>
      </w:pPr>
      <w:r>
        <w:rPr>
          <w:rFonts w:ascii="Times New Roman" w:cs="Times New Roman" w:eastAsia="Times New Roman" w:hAnsi="Times New Roman"/>
          <w:sz w:val="18"/>
          <w:szCs w:val="18"/>
          <w:color w:val="auto"/>
        </w:rPr>
        <w:t>Cost of products sold for the year ended December 31, 2013 increased by $132 million (2%) as compared to the corresponding prior year period. The increase in materials, labor and overheads as a direct result of the increase in external and inter-segment sales volumes was $249 million. Other increases include currency movements of $24 million and increased depreciation of $12 million. These increases were partially offset by a decrease due to net acquisition/disposition activities of $74 million, materials and sourcing savings of $72 million, reduced pension expense of $6 million and favorable productivity of $1 million.</w:t>
      </w:r>
    </w:p>
    <w:p>
      <w:pPr>
        <w:spacing w:after="0" w:line="76"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Gross margin for the year ended December 31, 2013 increased by $109 million (12%) as compared to the corresponding prior year period, primarily due to materials and services sourcing savings of $72 million. The product mix issues experienced in the first half of the year due to commercial vehicle production declining to a greater extent than light vehicle production has stabilized. Therefore, the impact on margins due to volume increases was an increase of $58 million. Other factors contributing to the increased margin were $14 million from net acquisition/disposition activities, reduced pension expense of $6 million, favorable productivity of $1 million and currency movements of $1 million. These increases were offset in part by unfavorable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00"/>
          </w:cols>
          <w:pgMar w:left="240" w:top="472" w:right="2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customer pricing of $19 million, increased depreciation of $12 million and unabsorbed fixed costs on inter-segment sales volumes of $12 million.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78"/>
        </w:trPr>
        <w:tc>
          <w:tcPr>
            <w:tcW w:w="6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20" w:type="dxa"/>
            <w:vAlign w:val="bottom"/>
            <w:gridSpan w:val="6"/>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60" w:type="dxa"/>
            <w:vAlign w:val="bottom"/>
          </w:tcPr>
          <w:p>
            <w:pPr>
              <w:spacing w:after="0"/>
              <w:rPr>
                <w:sz w:val="24"/>
                <w:szCs w:val="24"/>
                <w:color w:val="auto"/>
              </w:rPr>
            </w:pP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64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50"/>
              <w:spacing w:after="0" w:line="264" w:lineRule="exact"/>
              <w:rPr>
                <w:sz w:val="20"/>
                <w:szCs w:val="20"/>
                <w:color w:val="auto"/>
              </w:rPr>
            </w:pPr>
            <w:r>
              <w:rPr>
                <w:rFonts w:ascii="Times New Roman" w:cs="Times New Roman" w:eastAsia="Times New Roman" w:hAnsi="Times New Roman"/>
                <w:sz w:val="18"/>
                <w:szCs w:val="18"/>
                <w:b w:val="1"/>
                <w:bCs w:val="1"/>
                <w:color w:val="auto"/>
              </w:rPr>
              <w:t>2012</w:t>
            </w:r>
            <w:r>
              <w:rPr>
                <w:rFonts w:ascii="Times New Roman" w:cs="Times New Roman" w:eastAsia="Times New Roman" w:hAnsi="Times New Roman"/>
                <w:sz w:val="25"/>
                <w:szCs w:val="25"/>
                <w:b w:val="1"/>
                <w:bCs w:val="1"/>
                <w:color w:val="auto"/>
                <w:vertAlign w:val="superscript"/>
              </w:rPr>
              <w:t>(1)</w:t>
            </w:r>
          </w:p>
        </w:tc>
      </w:tr>
      <w:tr>
        <w:trPr>
          <w:trHeight w:val="240"/>
        </w:trPr>
        <w:tc>
          <w:tcPr>
            <w:tcW w:w="6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Net Sales: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Petroleum</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5,519</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Fertilizer</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64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9,109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8,986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5,703</w:t>
            </w:r>
          </w:p>
        </w:tc>
      </w:tr>
      <w:tr>
        <w:trPr>
          <w:trHeight w:val="67"/>
        </w:trPr>
        <w:tc>
          <w:tcPr>
            <w:tcW w:w="64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305"/>
        </w:trPr>
        <w:tc>
          <w:tcPr>
            <w:tcW w:w="6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Cost of Goods Sold:</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Petroleum</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4,741</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Fertilizer</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64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8,774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8,204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4,848</w:t>
            </w:r>
          </w:p>
        </w:tc>
      </w:tr>
      <w:tr>
        <w:trPr>
          <w:trHeight w:val="67"/>
        </w:trPr>
        <w:tc>
          <w:tcPr>
            <w:tcW w:w="64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305"/>
        </w:trPr>
        <w:tc>
          <w:tcPr>
            <w:tcW w:w="6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Petroleum</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Fertilizer</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4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17145</wp:posOffset>
            </wp:positionV>
            <wp:extent cx="31813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5" w:lineRule="exact"/>
        <w:rPr>
          <w:sz w:val="20"/>
          <w:szCs w:val="20"/>
          <w:color w:val="auto"/>
        </w:rPr>
      </w:pPr>
    </w:p>
    <w:p>
      <w:pPr>
        <w:ind w:left="300" w:hanging="130"/>
        <w:spacing w:after="0"/>
        <w:tabs>
          <w:tab w:leader="none" w:pos="300" w:val="left"/>
        </w:tabs>
        <w:numPr>
          <w:ilvl w:val="0"/>
          <w:numId w:val="4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period May 5, 2012 (date of acquisition of a controlling interest) through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-95885</wp:posOffset>
            </wp:positionV>
            <wp:extent cx="31813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472" w:right="239" w:bottom="1440" w:gutter="0" w:footer="0" w:header="0"/>
        </w:sectPr>
      </w:pPr>
    </w:p>
    <w:bookmarkStart w:id="101" w:name="page102"/>
    <w:bookmarkEnd w:id="101"/>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our Energy segment's petroleum business' gross margin to refining margin and refining margin adjusted for FIFO impacts for the periods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40" w:type="dxa"/>
            <w:vAlign w:val="bottom"/>
            <w:gridSpan w:val="6"/>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6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64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294"/>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54"/>
              <w:spacing w:after="0" w:line="264" w:lineRule="exact"/>
              <w:rPr>
                <w:sz w:val="20"/>
                <w:szCs w:val="20"/>
                <w:color w:val="auto"/>
              </w:rPr>
            </w:pPr>
            <w:r>
              <w:rPr>
                <w:rFonts w:ascii="Times New Roman" w:cs="Times New Roman" w:eastAsia="Times New Roman" w:hAnsi="Times New Roman"/>
                <w:sz w:val="18"/>
                <w:szCs w:val="18"/>
                <w:b w:val="1"/>
                <w:bCs w:val="1"/>
                <w:color w:val="auto"/>
              </w:rPr>
              <w:t>2012</w:t>
            </w:r>
            <w:r>
              <w:rPr>
                <w:rFonts w:ascii="Times New Roman" w:cs="Times New Roman" w:eastAsia="Times New Roman" w:hAnsi="Times New Roman"/>
                <w:sz w:val="25"/>
                <w:szCs w:val="25"/>
                <w:b w:val="1"/>
                <w:bCs w:val="1"/>
                <w:color w:val="auto"/>
                <w:vertAlign w:val="superscript"/>
              </w:rPr>
              <w:t>(1)</w:t>
            </w:r>
          </w:p>
        </w:tc>
      </w:tr>
      <w:tr>
        <w:trPr>
          <w:trHeight w:val="245"/>
        </w:trPr>
        <w:tc>
          <w:tcPr>
            <w:tcW w:w="6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80" w:type="dxa"/>
            <w:vAlign w:val="bottom"/>
            <w:gridSpan w:val="7"/>
          </w:tcPr>
          <w:p>
            <w:pPr>
              <w:jc w:val="center"/>
              <w:ind w:left="835"/>
              <w:spacing w:after="0"/>
              <w:rPr>
                <w:sz w:val="20"/>
                <w:szCs w:val="20"/>
                <w:color w:val="auto"/>
              </w:rPr>
            </w:pPr>
            <w:r>
              <w:rPr>
                <w:rFonts w:ascii="Times New Roman" w:cs="Times New Roman" w:eastAsia="Times New Roman" w:hAnsi="Times New Roman"/>
                <w:sz w:val="14"/>
                <w:szCs w:val="14"/>
                <w:color w:val="auto"/>
              </w:rPr>
              <w:t>(in millions, except barrels metrics)</w:t>
            </w:r>
          </w:p>
        </w:tc>
        <w:tc>
          <w:tcPr>
            <w:tcW w:w="1260" w:type="dxa"/>
            <w:vAlign w:val="bottom"/>
          </w:tcPr>
          <w:p>
            <w:pPr>
              <w:spacing w:after="0"/>
              <w:rPr>
                <w:sz w:val="21"/>
                <w:szCs w:val="2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580" w:type="dxa"/>
            <w:vAlign w:val="bottom"/>
            <w:tcBorders>
              <w:bottom w:val="single" w:sz="8" w:color="CCEEFF"/>
            </w:tcBorders>
            <w:gridSpan w:val="3"/>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5,519</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Cost of goods sold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4,741</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Gross margin</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778</w:t>
            </w:r>
          </w:p>
        </w:tc>
      </w:tr>
      <w:tr>
        <w:trPr>
          <w:trHeight w:val="241"/>
        </w:trPr>
        <w:tc>
          <w:tcPr>
            <w:tcW w:w="64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Add back:</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9"/>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Direct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309</w:t>
            </w:r>
          </w:p>
        </w:tc>
      </w:tr>
      <w:tr>
        <w:trPr>
          <w:trHeight w:val="241"/>
        </w:trPr>
        <w:tc>
          <w:tcPr>
            <w:tcW w:w="6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92</w:t>
            </w:r>
          </w:p>
        </w:tc>
      </w:tr>
      <w:tr>
        <w:trPr>
          <w:trHeight w:val="29"/>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Fair value inventory adjustment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23</w:t>
            </w:r>
          </w:p>
        </w:tc>
      </w:tr>
      <w:tr>
        <w:trPr>
          <w:trHeight w:val="221"/>
        </w:trPr>
        <w:tc>
          <w:tcPr>
            <w:tcW w:w="64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Refining margin</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1,157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1,202</w:t>
            </w:r>
          </w:p>
        </w:tc>
      </w:tr>
      <w:tr>
        <w:trPr>
          <w:trHeight w:val="29"/>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FIFO impacts (favorable) unfavorable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71</w:t>
            </w:r>
          </w:p>
        </w:tc>
      </w:tr>
      <w:tr>
        <w:trPr>
          <w:trHeight w:val="284"/>
        </w:trPr>
        <w:tc>
          <w:tcPr>
            <w:tcW w:w="6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Refining margin adjusted for FIFO impacts</w:t>
            </w: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1,136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1,273</w:t>
            </w:r>
          </w:p>
        </w:tc>
      </w:tr>
      <w:tr>
        <w:trPr>
          <w:trHeight w:val="311"/>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1"/>
        </w:trPr>
        <w:tc>
          <w:tcPr>
            <w:tcW w:w="64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Gross margin per barrel</w:t>
            </w: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580" w:type="dxa"/>
            <w:vAlign w:val="bottom"/>
            <w:gridSpan w:val="3"/>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9.48</w:t>
            </w:r>
          </w:p>
        </w:tc>
        <w:tc>
          <w:tcPr>
            <w:tcW w:w="10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18.37</w:t>
            </w:r>
          </w:p>
        </w:tc>
      </w:tr>
      <w:tr>
        <w:trPr>
          <w:trHeight w:val="29"/>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Refining margin per barrel</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16.90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28.40</w:t>
            </w:r>
          </w:p>
        </w:tc>
      </w:tr>
      <w:tr>
        <w:trPr>
          <w:trHeight w:val="241"/>
        </w:trPr>
        <w:tc>
          <w:tcPr>
            <w:tcW w:w="64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Refining margin per barrel adjusted for FIFO impacts</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16.59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30.08</w:t>
            </w:r>
          </w:p>
        </w:tc>
      </w:tr>
      <w:tr>
        <w:trPr>
          <w:trHeight w:val="29"/>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1"/>
        </w:trPr>
        <w:tc>
          <w:tcPr>
            <w:tcW w:w="64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Total crude oil throughput (barrels per day)</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196,545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187,568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175,735</w:t>
            </w:r>
          </w:p>
        </w:tc>
      </w:tr>
    </w:tbl>
    <w:p>
      <w:pPr>
        <w:spacing w:after="0" w:line="6" w:lineRule="exact"/>
        <w:rPr>
          <w:sz w:val="20"/>
          <w:szCs w:val="20"/>
          <w:color w:val="auto"/>
        </w:rPr>
      </w:pPr>
    </w:p>
    <w:p>
      <w:pPr>
        <w:ind w:left="140" w:hanging="132"/>
        <w:spacing w:after="0"/>
        <w:tabs>
          <w:tab w:leader="none" w:pos="140" w:val="left"/>
        </w:tabs>
        <w:numPr>
          <w:ilvl w:val="0"/>
          <w:numId w:val="4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period May 5, 2012 (date of acquisition of a controlling interest) through December 31, 2012.</w:t>
      </w:r>
    </w:p>
    <w:p>
      <w:pPr>
        <w:spacing w:after="0" w:line="200" w:lineRule="exact"/>
        <w:rPr>
          <w:sz w:val="20"/>
          <w:szCs w:val="20"/>
          <w:color w:val="auto"/>
        </w:rPr>
      </w:pPr>
    </w:p>
    <w:p>
      <w:pPr>
        <w:spacing w:after="0" w:line="211" w:lineRule="exact"/>
        <w:rPr>
          <w:sz w:val="20"/>
          <w:szCs w:val="20"/>
          <w:color w:val="auto"/>
        </w:rPr>
      </w:pPr>
    </w:p>
    <w:p>
      <w:pPr>
        <w:ind w:right="280" w:firstLine="378"/>
        <w:spacing w:after="0" w:line="282" w:lineRule="auto"/>
        <w:rPr>
          <w:sz w:val="20"/>
          <w:szCs w:val="20"/>
          <w:color w:val="auto"/>
        </w:rPr>
      </w:pPr>
      <w:r>
        <w:rPr>
          <w:rFonts w:ascii="Times New Roman" w:cs="Times New Roman" w:eastAsia="Times New Roman" w:hAnsi="Times New Roman"/>
          <w:sz w:val="18"/>
          <w:szCs w:val="18"/>
          <w:color w:val="auto"/>
        </w:rPr>
        <w:t>CVR's Annual Report on Form 10-K contains a detailed description of its business, products, industry, operating strategy and associated risks. CVR's filings with the SEC are available on the SEC's website at www.sec.gov.</w:t>
      </w:r>
    </w:p>
    <w:p>
      <w:pPr>
        <w:spacing w:after="0" w:line="54" w:lineRule="exact"/>
        <w:rPr>
          <w:sz w:val="20"/>
          <w:szCs w:val="20"/>
          <w:color w:val="auto"/>
        </w:rPr>
      </w:pPr>
    </w:p>
    <w:p>
      <w:pPr>
        <w:ind w:right="40" w:firstLine="378"/>
        <w:spacing w:after="0" w:line="258" w:lineRule="auto"/>
        <w:rPr>
          <w:sz w:val="20"/>
          <w:szCs w:val="20"/>
          <w:color w:val="auto"/>
        </w:rPr>
      </w:pPr>
      <w:r>
        <w:rPr>
          <w:rFonts w:ascii="Times New Roman" w:cs="Times New Roman" w:eastAsia="Times New Roman" w:hAnsi="Times New Roman"/>
          <w:sz w:val="18"/>
          <w:szCs w:val="18"/>
          <w:color w:val="auto"/>
        </w:rPr>
        <w:t>We acquired a controlling interest in CVR on May 4, 2012. CVR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nitrogen fertilizers in the form of urea ammonium nitrate ("UAN") and ammonia. As of December 31, 2014, CVR owned 100% of the general partners of CVR Refining and CVR Partners and approximately 66% of the common units of CVR Refining and 53% of the common units of CVR Partners.</w:t>
      </w:r>
    </w:p>
    <w:p>
      <w:pPr>
        <w:spacing w:after="0" w:line="76" w:lineRule="exact"/>
        <w:rPr>
          <w:sz w:val="20"/>
          <w:szCs w:val="20"/>
          <w:color w:val="auto"/>
        </w:rPr>
      </w:pPr>
    </w:p>
    <w:p>
      <w:pPr>
        <w:ind w:firstLine="378"/>
        <w:spacing w:after="0" w:line="282" w:lineRule="auto"/>
        <w:rPr>
          <w:sz w:val="20"/>
          <w:szCs w:val="20"/>
          <w:color w:val="auto"/>
        </w:rPr>
      </w:pPr>
      <w:r>
        <w:rPr>
          <w:rFonts w:ascii="Times New Roman" w:cs="Times New Roman" w:eastAsia="Times New Roman" w:hAnsi="Times New Roman"/>
          <w:sz w:val="18"/>
          <w:szCs w:val="18"/>
          <w:color w:val="auto"/>
        </w:rPr>
        <w:t>As of December 31, 2014, we owned 82.0% of the total outstanding common stock of CVR. In addition, as of December 31, 2014, Icahn Enterprises and Icahn Enterprises Holdings directly owned approximately 4.0% of the total outstanding common stock of CVR Refining.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Influences on Results of Operations</w:t>
      </w:r>
    </w:p>
    <w:p>
      <w:pPr>
        <w:spacing w:after="0" w:line="119" w:lineRule="exact"/>
        <w:rPr>
          <w:sz w:val="20"/>
          <w:szCs w:val="20"/>
          <w:color w:val="auto"/>
        </w:rPr>
      </w:pPr>
    </w:p>
    <w:p>
      <w:pPr>
        <w:ind w:right="40" w:firstLine="378"/>
        <w:spacing w:after="0" w:line="255" w:lineRule="auto"/>
        <w:rPr>
          <w:sz w:val="20"/>
          <w:szCs w:val="20"/>
          <w:color w:val="auto"/>
        </w:rPr>
      </w:pPr>
      <w:r>
        <w:rPr>
          <w:rFonts w:ascii="Times New Roman" w:cs="Times New Roman" w:eastAsia="Times New Roman" w:hAnsi="Times New Roman"/>
          <w:sz w:val="18"/>
          <w:szCs w:val="18"/>
          <w:color w:val="auto"/>
        </w:rPr>
        <w:t>The earnings and cash flows of our Energy segment's petroleum business are primarily affected by the relationship between refined product prices and the prices for crude oil and other feedstocks that are processed and blended into refined products. The cost to acquire crude oil and other feedstocks and the price for which refined products are ultimately sold depend on factors beyond its control, including the supply of and demand for crude oil, as well as gasoline and other refined products which, in turn,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("FIFO") accounting to value its inventory, crude oil price movements may impact net income in the short term because of changes in the value of its unhedged on-hand inventory. The effect of changes in crude oil prices on our results of operations is influenced by the rate at which the prices of refined products adjust to reflect these changes.</w:t>
      </w:r>
    </w:p>
    <w:p>
      <w:pPr>
        <w:spacing w:after="0" w:line="77" w:lineRule="exact"/>
        <w:rPr>
          <w:sz w:val="20"/>
          <w:szCs w:val="20"/>
          <w:color w:val="auto"/>
        </w:rPr>
      </w:pPr>
    </w:p>
    <w:p>
      <w:pPr>
        <w:ind w:right="60" w:firstLine="378"/>
        <w:spacing w:after="0" w:line="261" w:lineRule="auto"/>
        <w:rPr>
          <w:sz w:val="20"/>
          <w:szCs w:val="20"/>
          <w:color w:val="auto"/>
        </w:rPr>
      </w:pPr>
      <w:r>
        <w:rPr>
          <w:rFonts w:ascii="Times New Roman" w:cs="Times New Roman" w:eastAsia="Times New Roman" w:hAnsi="Times New Roman"/>
          <w:sz w:val="18"/>
          <w:szCs w:val="18"/>
          <w:color w:val="auto"/>
        </w:rPr>
        <w:t>The prices of crude oil and other feedstocks and refined product prices are also affected by other factors, such as product pipeline capacity, local market conditions and the operating levels of competing refineries. Crude oil costs and the prices of refined products have historically been subject to wide fluctuations. Widespread expansion or upgrades of competitors' facilities, price volatility, international political and economic developments and other factors are likely to continue to play 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445" w:right="239" w:bottom="1440" w:gutter="0" w:footer="0" w:header="0"/>
        </w:sectPr>
      </w:pPr>
    </w:p>
    <w:bookmarkStart w:id="102" w:name="page103"/>
    <w:bookmarkEnd w:id="102"/>
    <w:p>
      <w:pPr>
        <w:spacing w:after="0" w:line="255" w:lineRule="auto"/>
        <w:rPr>
          <w:sz w:val="20"/>
          <w:szCs w:val="20"/>
          <w:color w:val="auto"/>
        </w:rPr>
      </w:pPr>
      <w:r>
        <w:rPr>
          <w:rFonts w:ascii="Times New Roman" w:cs="Times New Roman" w:eastAsia="Times New Roman" w:hAnsi="Times New Roman"/>
          <w:sz w:val="18"/>
          <w:szCs w:val="18"/>
          <w:color w:val="auto"/>
        </w:rPr>
        <w:t>important role in refining industry economics. These factors can impact, among other things, the level of inventories in the market, resulting in price volatility and a reduction in product margins. Moreover, the refining industry typically experiences seasonal fluctuations in demand for refined products, such as increases in the demand for gasoline during the summer driving season and for home heating oil during the winter, primarily in the Northeast. 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EPA’s Renewable Fuel Standard ("RFS"), which requires it to either blend "renewable fuels" in with its transportation fuels or purchase renewable fuel credits, known as renewable identification numbers ("RINs"), in lieu of blending.</w:t>
      </w:r>
    </w:p>
    <w:p>
      <w:pPr>
        <w:spacing w:after="0" w:line="81" w:lineRule="exact"/>
        <w:rPr>
          <w:sz w:val="20"/>
          <w:szCs w:val="20"/>
          <w:color w:val="auto"/>
        </w:rPr>
      </w:pPr>
    </w:p>
    <w:p>
      <w:pPr>
        <w:ind w:right="120" w:firstLine="378"/>
        <w:spacing w:after="0" w:line="261" w:lineRule="auto"/>
        <w:rPr>
          <w:sz w:val="20"/>
          <w:szCs w:val="20"/>
          <w:color w:val="auto"/>
        </w:rPr>
      </w:pPr>
      <w:r>
        <w:rPr>
          <w:rFonts w:ascii="Times New Roman" w:cs="Times New Roman" w:eastAsia="Times New Roman" w:hAnsi="Times New Roman"/>
          <w:sz w:val="18"/>
          <w:szCs w:val="18"/>
          <w:color w:val="auto"/>
        </w:rPr>
        <w:t>The EPA is required to determine and publish the applicable annual renewable fuel percentage standards for each compliance year by November 30 for the forthcoming year. The percentage standards represent the ratio of renewable fuel volume to gasoline and diesel volume. Beginning in 2011, the Coffeyville refinery was required to blend renewable fuels into its gasoline and diesel fuel or purchase RINs in lieu of blending. In 2013, the Wynnewood refinery was subject to the RFS for the first time.</w:t>
      </w:r>
    </w:p>
    <w:p>
      <w:pPr>
        <w:spacing w:after="0" w:line="72" w:lineRule="exact"/>
        <w:rPr>
          <w:sz w:val="20"/>
          <w:szCs w:val="20"/>
          <w:color w:val="auto"/>
        </w:rPr>
      </w:pPr>
    </w:p>
    <w:p>
      <w:pPr>
        <w:ind w:right="80" w:firstLine="378"/>
        <w:spacing w:after="0" w:line="254" w:lineRule="auto"/>
        <w:rPr>
          <w:sz w:val="20"/>
          <w:szCs w:val="20"/>
          <w:color w:val="auto"/>
        </w:rPr>
      </w:pPr>
      <w:r>
        <w:rPr>
          <w:rFonts w:ascii="Times New Roman" w:cs="Times New Roman" w:eastAsia="Times New Roman" w:hAnsi="Times New Roman"/>
          <w:sz w:val="18"/>
          <w:szCs w:val="18"/>
          <w:color w:val="auto"/>
        </w:rPr>
        <w:t>During 2013, the cost of RINs became extremely volatile as the EPA's proposed renewable fuel volume mandates approached the "blend wall." The blend wall refers to the point at which refiners are required to blend more ethanol into the transportation fuel supply than can be supported by the demand for E10 gasoline (gasoline containing 10 percent ethanol by volume). In November 2013, the EPA published the annual renewable fuel percentage standards for 2014, which acknowledged the blend wall and were generally lower than the volumes for 2013 and lower than statutory mandates. The price of RINs decreased significantly after the 2014 proposed mandate was published; however, RIN prices remained volatile and increased subsequently in 2014. In May 2014, the EPA lowered the 2013 cellulosic biofuel standard to 0.0005%, and, in June 2014, the EPA extended the compliance demonstration deadline for the 2013 RFS to September 30, 2014. In August 2014, the EPA further extended the compliance demonstration deadline for the 2013 RFS to 30 days following the publication of the final 2014 annual renewable fuel percentage standards. In November 2014, the EPA announced that it would not finalize the 2014 annual renewable fuel percentage standards before the end of 2014, thereby extending the compliance deadline for the 2013 RFS as well.</w:t>
      </w:r>
    </w:p>
    <w:p>
      <w:pPr>
        <w:spacing w:after="0" w:line="81"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The cost of RINs for the years ended December 31, 2014 and 2013 and for the period May 5, 2012 through December 31, 2012 was approximately $127 million, $181 million and $14 million, respectively. The future cost of RINs for the petroleum business is difficult to estimate, particularly until such time that the 2014 renewable fuel percentage standards are finalized and the 2015 renewable fuel percentage standards are announced. Additionally, the cost of RINs is dependent upon a variety of factors, which include EPA regulations, the availability of RINs for purchase, the price at which RINs can be purchased, transportation fuel production levels, the mix of the petroleum business’ petroleum products, as well as the fuel blending performed at its refineries, all of which can vary significantly from quarter to quarter. Based upon recent market prices of RINs and current estimates related to the other variable factors, the petroleum business estimates that the total cost of RINs will be approximately $95 million to $170 million for the year ending December 31, 2015.</w:t>
      </w:r>
    </w:p>
    <w:p>
      <w:pPr>
        <w:spacing w:after="0" w:line="81" w:lineRule="exact"/>
        <w:rPr>
          <w:sz w:val="20"/>
          <w:szCs w:val="20"/>
          <w:color w:val="auto"/>
        </w:rPr>
      </w:pPr>
    </w:p>
    <w:p>
      <w:pPr>
        <w:ind w:right="160" w:firstLine="378"/>
        <w:spacing w:after="0" w:line="258" w:lineRule="auto"/>
        <w:rPr>
          <w:sz w:val="20"/>
          <w:szCs w:val="20"/>
          <w:color w:val="auto"/>
        </w:rPr>
      </w:pPr>
      <w:r>
        <w:rPr>
          <w:rFonts w:ascii="Times New Roman" w:cs="Times New Roman" w:eastAsia="Times New Roman" w:hAnsi="Times New Roman"/>
          <w:sz w:val="18"/>
          <w:szCs w:val="18"/>
          <w:color w:val="auto"/>
        </w:rPr>
        <w:t>If sufficient RINs are unavailable for purchase at times when the petroleum business seeks to purchase RINs, or if the petroleum business has to pay a significantly higher price for RINs or if the petroleum business is subject to penalties as a result of delays in its ability to timely deliver RINs to the EPA, its business, financial condition and results of operations could be materially adversely affected. Many petroleum refiners blend renewable fuel into their transportation fuels and do not have to pass on the costs of compliance through the purchase of RINs to their customers. Therefore, it may be significantly harder for the petroleum business to pass on the costs of compliance with RFS to its customers.</w:t>
      </w:r>
    </w:p>
    <w:p>
      <w:pPr>
        <w:spacing w:after="0" w:line="76" w:lineRule="exact"/>
        <w:rPr>
          <w:sz w:val="20"/>
          <w:szCs w:val="20"/>
          <w:color w:val="auto"/>
        </w:rPr>
      </w:pPr>
    </w:p>
    <w:p>
      <w:pPr>
        <w:ind w:right="100" w:firstLine="378"/>
        <w:spacing w:after="0" w:line="254" w:lineRule="auto"/>
        <w:rPr>
          <w:sz w:val="20"/>
          <w:szCs w:val="20"/>
          <w:color w:val="auto"/>
        </w:rPr>
      </w:pPr>
      <w:r>
        <w:rPr>
          <w:rFonts w:ascii="Times New Roman" w:cs="Times New Roman" w:eastAsia="Times New Roman" w:hAnsi="Times New Roman"/>
          <w:sz w:val="18"/>
          <w:szCs w:val="18"/>
          <w:color w:val="auto"/>
        </w:rPr>
        <w:t>Refining margin per crude oil throughput barrel is a measurement calculated as the difference between net sales and cost of goods sold (exclusive of depreciation and amortization, direct operating expenses and fair value inventory adjustments) and refining margin per crude oil throughput barrel adjusted for FIFO impact is a measurement calculated as the difference between net sales and cost of goods sold (exclusive of depreciation and amortization, direct operating expenses and fair value inventory adjustments) adjusted for FIFO impacts. Refining margin and refining margin adjusted for FIFO impact are non-GAAP measures that we believe are important to investors in evaluating our Energy segment refineries' performance as a general indication of the amount above our Energy segment's cost of goods sold (taking into account the impact of utilization of FIFO) they are able to sell refined products. We believe that refining margin and refining margin per crude oil throughput barrel is important to enable investors to better understand and evaluate our Energy segment's ongoing operating results and allow for greater transparency in the review of our overall financial, operational and economic performance. In addition, we believe that presenting refining margin per crude oil throughput barrel adjusted for FIFO impact is useful to investors because this measure more accurately reflects the current operating environment.</w:t>
      </w:r>
    </w:p>
    <w:p>
      <w:pPr>
        <w:spacing w:after="0" w:line="78" w:lineRule="exact"/>
        <w:rPr>
          <w:sz w:val="20"/>
          <w:szCs w:val="20"/>
          <w:color w:val="auto"/>
        </w:rPr>
      </w:pPr>
    </w:p>
    <w:p>
      <w:pPr>
        <w:ind w:right="80" w:firstLine="378"/>
        <w:spacing w:after="0" w:line="282" w:lineRule="auto"/>
        <w:rPr>
          <w:sz w:val="20"/>
          <w:szCs w:val="20"/>
          <w:color w:val="auto"/>
        </w:rPr>
      </w:pPr>
      <w:r>
        <w:rPr>
          <w:rFonts w:ascii="Times New Roman" w:cs="Times New Roman" w:eastAsia="Times New Roman" w:hAnsi="Times New Roman"/>
          <w:sz w:val="18"/>
          <w:szCs w:val="18"/>
          <w:color w:val="auto"/>
        </w:rPr>
        <w:t>In order to derive the refining margin per crude oil throughput barrel, our Energy segment utilizes the total dollar figures for refining margin, as derived above, and divides that by the applicable number of crude oil throughput barrels for the period.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00"/>
          </w:cols>
          <w:pgMar w:left="240" w:top="472" w:right="259" w:bottom="1440" w:gutter="0" w:footer="0" w:header="0"/>
        </w:sectPr>
      </w:pPr>
    </w:p>
    <w:bookmarkStart w:id="103" w:name="page104"/>
    <w:bookmarkEnd w:id="103"/>
    <w:p>
      <w:pPr>
        <w:ind w:right="320"/>
        <w:spacing w:after="0" w:line="261" w:lineRule="auto"/>
        <w:rPr>
          <w:sz w:val="20"/>
          <w:szCs w:val="20"/>
          <w:color w:val="auto"/>
        </w:rPr>
      </w:pPr>
      <w:r>
        <w:rPr>
          <w:rFonts w:ascii="Times New Roman" w:cs="Times New Roman" w:eastAsia="Times New Roman" w:hAnsi="Times New Roman"/>
          <w:sz w:val="18"/>
          <w:szCs w:val="18"/>
          <w:color w:val="auto"/>
        </w:rPr>
        <w:t>Our Energy segment's calculation of refining margin and refining margin adjusted for FIFO impact may differ from calculations of other companies in the industry, thereby limiting its usefulness as a comparative measure. Under our Energy segment's FIFO accounting method, changes in crude oil prices can cause fluctuations in the inventory valuation of our Energy segment's crude oil, work in process and finished goods, thereby resulting in favorable FIFO impacts when crude oil prices increase and unfavorable FIFO impacts when crude oil prices decrease.</w:t>
      </w:r>
    </w:p>
    <w:p>
      <w:pPr>
        <w:spacing w:after="0" w:line="72" w:lineRule="exact"/>
        <w:rPr>
          <w:sz w:val="20"/>
          <w:szCs w:val="20"/>
          <w:color w:val="auto"/>
        </w:rPr>
      </w:pPr>
    </w:p>
    <w:p>
      <w:pPr>
        <w:jc w:val="both"/>
        <w:ind w:right="100" w:firstLine="378"/>
        <w:spacing w:after="0" w:line="255" w:lineRule="auto"/>
        <w:rPr>
          <w:sz w:val="20"/>
          <w:szCs w:val="20"/>
          <w:color w:val="auto"/>
        </w:rPr>
      </w:pPr>
      <w:r>
        <w:rPr>
          <w:rFonts w:ascii="Times New Roman" w:cs="Times New Roman" w:eastAsia="Times New Roman" w:hAnsi="Times New Roman"/>
          <w:sz w:val="18"/>
          <w:szCs w:val="18"/>
          <w:color w:val="auto"/>
        </w:rPr>
        <w:t>The petroleum business is significantly affected by developments in the markets in which it operates. For example, numerous pipeline projects in 2014 expanded the connectivity of the Cushing and Permian Basin markets to the gulf coast, resulting in a decrease in the domestic crude advantage. Additionally, in late 2014, market factors resulted in a rapid downward price adjustment in the oil and gas industry. The resultant spike in volatility continuing in 2015 has caused major adjustments in oil debt markets as well as announced and expected cuts in 2015 budgets in both North American shale and Canadian projects.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refining industry is directly impacted by these events and has seen a downward movement in refining margins as a result.</w:t>
      </w:r>
    </w:p>
    <w:p>
      <w:pPr>
        <w:spacing w:after="0" w:line="99" w:lineRule="exact"/>
        <w:rPr>
          <w:sz w:val="20"/>
          <w:szCs w:val="20"/>
          <w:color w:val="auto"/>
        </w:rPr>
      </w:pPr>
    </w:p>
    <w:p>
      <w:pPr>
        <w:ind w:right="220" w:firstLine="378"/>
        <w:spacing w:after="0" w:line="258" w:lineRule="auto"/>
        <w:rPr>
          <w:sz w:val="20"/>
          <w:szCs w:val="20"/>
          <w:color w:val="auto"/>
        </w:rPr>
      </w:pPr>
      <w:r>
        <w:rPr>
          <w:rFonts w:ascii="Times New Roman" w:cs="Times New Roman" w:eastAsia="Times New Roman" w:hAnsi="Times New Roman"/>
          <w:sz w:val="18"/>
          <w:szCs w:val="18"/>
          <w:color w:val="auto"/>
        </w:rPr>
        <w:t>In order to assess the operating performance of the nitrogen fertilizer business, CVR calculates the product pricing at gate as an input to determine its operating margin. Product pricing at gate per ton represents net sales less freight revenue divided by product sales volume in tons. CVR believes product pricing at gate is a meaningful measure because it sells products at its plant gate and terminal locations' gates (sold gate) and delivered to the customer's designated delivery site (sold delivered). The relative percentage of sold gate versus sold delivered can change period to period. The product pricing at gate provides a measure that is consistently comparable period to period.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2014 Compared to Year Ended December 31, 2013</w:t>
      </w:r>
    </w:p>
    <w:p>
      <w:pPr>
        <w:spacing w:after="0" w:line="119"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Net sales for the petroleum business, before eliminations, for the year ended December 31, 2014 as compared to the corresponding prior year period increased by $146 million (2%), primarily due to higher overall sales volume largely offset by lower sales prices for gasoline and distillates. Sales volume increased by approximately 8% for the year ended December 31, 2014 as compared to the corresponding prior year period. Current year sales volumes were impacted by reduced crude oil throughput and production as a result of the Coffeyville refinery shutdown following the isomerization unit fire during the third quarter of 2014 and fluid catalytic cracking unit ("FCCU") outage at the Wynnewood refinery during the fourth quarter of 2014. Sales volumes for 2013 were impacted by downtime associated with the FCCU outage at the Coffeyville refinery during the third quarter of 2013. For the year ended December 31, 2014, CVR's petroleum business sold approximately 40.3 million and 34.9 million barrels of gasoline and distillate, respectively, with an average sales price per gallon for gasoline and distillate of $2.53 and $2.81, respectively. For the year ended December 31, 2013, CVR's petroleum business sold approximately 37.8 million and 30.6 million barrels of gasoline and distillate, respectively, with an average sales price per gallon for gasoline and distillate of $2.72 and $3.02, respectively.</w:t>
      </w: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sales for the fertilizer business, before eliminations, for the year ended December 31, 2014 as compared to the corresponding prior year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decreased by $25 million (8%), primarily due to lower UAN sales prices and ammonia sales volumes, partially offset by higher UAN sales volumes.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2014, CVR sold 951,043 and 24,378 tons of UAN and ammonia, respectively, with a sales price of $288 and $536 per 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For the year ended December 31, 2013, CVR sold 904,596 and 40,535 tons of UAN and ammonia, respectively, with sales price of $315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$660 per ton, respectively. On-stream factors (total number of hours operated divided by total hours in the reporting period) for the gasification, ammonia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UAN units were 96.8%, 92.6% and 92.0%, respectively, for the year ended December 31, 2014 and 95.6%, 94.4% and 91.9%, respectively,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w:t>
      </w:r>
    </w:p>
    <w:p>
      <w:pPr>
        <w:spacing w:after="0" w:line="99" w:lineRule="exact"/>
        <w:rPr>
          <w:sz w:val="20"/>
          <w:szCs w:val="20"/>
          <w:color w:val="auto"/>
        </w:rPr>
      </w:pPr>
    </w:p>
    <w:p>
      <w:pPr>
        <w:ind w:firstLine="378"/>
        <w:spacing w:after="0" w:line="253" w:lineRule="auto"/>
        <w:rPr>
          <w:sz w:val="20"/>
          <w:szCs w:val="20"/>
          <w:color w:val="auto"/>
        </w:rPr>
      </w:pPr>
      <w:r>
        <w:rPr>
          <w:rFonts w:ascii="Times New Roman" w:cs="Times New Roman" w:eastAsia="Times New Roman" w:hAnsi="Times New Roman"/>
          <w:sz w:val="18"/>
          <w:szCs w:val="18"/>
          <w:color w:val="auto"/>
        </w:rPr>
        <w:t>Cost of goods sold for the petroleum business, before eliminations, for the year ended December 31, 2014 as compared to the corresponding prior year period increased by $550 million (7%), primarily due to an increase in cost of consumed oil and refined fuels purchased for resale. The average cost per barrel of crude oil consumed for the year ended December 31, 2014 was $92.57 compared to $95.05 for the comparable period of 2013, a decrease of approximately 3%. Sales volume of refined fuels increased by approximately 8%. The impact of FIFO accounting also impacted cost of product sold during the comparable periods. Under the FIFO accounting method, changes in crude oil prices can cause fluctuations in the inventory valuation of crude oil, work in process and finished goods, thereby resulting in a favorable FIFO inventory impact when crude oil prices increase and an unfavorable FIFO inventory impact when crude oil prices decrease. For the year ended December 31, 2014 and 2013, the petroleum business had an unfavorable FIFO inventory impact of $161 million and a favorable FIFO inventory impact of $21 million, respectively. The major factor contributing to the unfavorable FIFO impact for the year ended December 31, 2014 was the decline in the market price of WTI from $95.44 at the beginning of 2014 to $53.27 on December 31, 2014. The FIFO inventory impact for 2014 includes a lower of cost or market write-down of $37 million, which was recorded in the fourth quarter as a result of the significant decline in the market price of crude oil.</w:t>
      </w:r>
    </w:p>
    <w:p>
      <w:pPr>
        <w:spacing w:after="0" w:line="85" w:lineRule="exact"/>
        <w:rPr>
          <w:sz w:val="20"/>
          <w:szCs w:val="20"/>
          <w:color w:val="auto"/>
        </w:rPr>
      </w:pPr>
    </w:p>
    <w:p>
      <w:pPr>
        <w:ind w:right="320" w:firstLine="378"/>
        <w:spacing w:after="0" w:line="266" w:lineRule="auto"/>
        <w:rPr>
          <w:sz w:val="20"/>
          <w:szCs w:val="20"/>
          <w:color w:val="auto"/>
        </w:rPr>
      </w:pPr>
      <w:r>
        <w:rPr>
          <w:rFonts w:ascii="Times New Roman" w:cs="Times New Roman" w:eastAsia="Times New Roman" w:hAnsi="Times New Roman"/>
          <w:sz w:val="18"/>
          <w:szCs w:val="18"/>
          <w:color w:val="auto"/>
        </w:rPr>
        <w:t>Cost of goods sold for the petroleum business includes cost of crude oil, other feedstocks and blendstocks, purchased products for resale, RINs, transportation distribution costs, costs associated with the actual operations of CVR's refineries (such costs are collectively referred to as "direct operating expenses") such as energy and utility costs, property taxes, catalyst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472" w:right="239" w:bottom="1440" w:gutter="0" w:footer="0" w:header="0"/>
        </w:sectPr>
      </w:pPr>
    </w:p>
    <w:bookmarkStart w:id="104" w:name="page105"/>
    <w:bookmarkEnd w:id="104"/>
    <w:p>
      <w:pPr>
        <w:ind w:right="980"/>
        <w:spacing w:after="0" w:line="282" w:lineRule="auto"/>
        <w:rPr>
          <w:sz w:val="20"/>
          <w:szCs w:val="20"/>
          <w:color w:val="auto"/>
        </w:rPr>
      </w:pPr>
      <w:r>
        <w:rPr>
          <w:rFonts w:ascii="Times New Roman" w:cs="Times New Roman" w:eastAsia="Times New Roman" w:hAnsi="Times New Roman"/>
          <w:sz w:val="18"/>
          <w:szCs w:val="18"/>
          <w:color w:val="auto"/>
        </w:rPr>
        <w:t>chemical costs, repairs and maintenance and labor and environmental compliance costs. In addition, cost of goods sold includes depreciation and amortization.</w:t>
      </w:r>
    </w:p>
    <w:p>
      <w:pPr>
        <w:spacing w:after="0" w:line="54" w:lineRule="exact"/>
        <w:rPr>
          <w:sz w:val="20"/>
          <w:szCs w:val="20"/>
          <w:color w:val="auto"/>
        </w:rPr>
      </w:pPr>
    </w:p>
    <w:p>
      <w:pPr>
        <w:ind w:right="40" w:firstLine="378"/>
        <w:spacing w:after="0" w:line="256" w:lineRule="auto"/>
        <w:rPr>
          <w:sz w:val="20"/>
          <w:szCs w:val="20"/>
          <w:color w:val="auto"/>
        </w:rPr>
      </w:pPr>
      <w:r>
        <w:rPr>
          <w:rFonts w:ascii="Times New Roman" w:cs="Times New Roman" w:eastAsia="Times New Roman" w:hAnsi="Times New Roman"/>
          <w:sz w:val="18"/>
          <w:szCs w:val="18"/>
          <w:color w:val="auto"/>
        </w:rPr>
        <w:t>Refining margin per barrel of crude oil throughput decreased to $11.38 for the year ended December 31, 2014 from $16.90 for the corresponding prior year period. Refining margin adjusted for FIFO impact was $13.62 per crude oil throughput barrel for the year ended December 31, 2014 as compared to $16.59 per crude oil throughput barrel for the corresponding prior year period. Gross margin per barrel decreased to $3.42 for the year ended December 31, 2014 as compared to gross margin per barrel of $9.48 in the corresponding prior year period. The decrease in refining margin and gross margin per barrel was primarily due to a decrease in sales price for gasoline and distillate. The average sales price for both gasoline and distillates declined approximately 7% for the year ended December 31, 2014 as compared to the corresponding prior year period.</w:t>
      </w:r>
    </w:p>
    <w:p>
      <w:pPr>
        <w:spacing w:after="0" w:line="80" w:lineRule="exact"/>
        <w:rPr>
          <w:sz w:val="20"/>
          <w:szCs w:val="20"/>
          <w:color w:val="auto"/>
        </w:rPr>
      </w:pPr>
    </w:p>
    <w:p>
      <w:pPr>
        <w:ind w:right="180" w:firstLine="378"/>
        <w:spacing w:after="0" w:line="258" w:lineRule="auto"/>
        <w:rPr>
          <w:sz w:val="20"/>
          <w:szCs w:val="20"/>
          <w:color w:val="auto"/>
        </w:rPr>
      </w:pPr>
      <w:r>
        <w:rPr>
          <w:rFonts w:ascii="Times New Roman" w:cs="Times New Roman" w:eastAsia="Times New Roman" w:hAnsi="Times New Roman"/>
          <w:sz w:val="18"/>
          <w:szCs w:val="18"/>
          <w:color w:val="auto"/>
        </w:rPr>
        <w:t>The fertilizer business' cost of goods sold, before eliminations, for the year ended December 31, 2014 as compared to the corresponding prior year period increased by $18 million (9%), primarily due to increased distribution costs mostly due to the increase in railcar regulatory inspections and repairs as well as increased ammonia purchases, partially offset by lower freight and pet coke expenses. The increase in railcar regulatory inspections and repairs is related to a larger portion of the fertilizer business' fleet due for regulatory inspections and related repairs during the year ended December 31, 2014 as compared to the corresponding prior year period.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2013 Compared to the period May 5, 2012 through December 31, 2012</w:t>
      </w:r>
    </w:p>
    <w:p>
      <w:pPr>
        <w:spacing w:after="0" w:line="119" w:lineRule="exact"/>
        <w:rPr>
          <w:sz w:val="20"/>
          <w:szCs w:val="20"/>
          <w:color w:val="auto"/>
        </w:rPr>
      </w:pPr>
    </w:p>
    <w:p>
      <w:pPr>
        <w:ind w:right="220" w:firstLine="378"/>
        <w:spacing w:after="0" w:line="282" w:lineRule="auto"/>
        <w:rPr>
          <w:sz w:val="20"/>
          <w:szCs w:val="20"/>
          <w:color w:val="auto"/>
        </w:rPr>
      </w:pPr>
      <w:r>
        <w:rPr>
          <w:rFonts w:ascii="Times New Roman" w:cs="Times New Roman" w:eastAsia="Times New Roman" w:hAnsi="Times New Roman"/>
          <w:sz w:val="18"/>
          <w:szCs w:val="18"/>
          <w:color w:val="auto"/>
        </w:rPr>
        <w:t>As noted above, we consolidated CVR effective May 4, 2012 and therefore, our Energy segment results for the year ended December 31, 2013 are not comparable to the prior year period.</w:t>
      </w:r>
    </w:p>
    <w:p>
      <w:pPr>
        <w:spacing w:after="0" w:line="54" w:lineRule="exact"/>
        <w:rPr>
          <w:sz w:val="20"/>
          <w:szCs w:val="20"/>
          <w:color w:val="auto"/>
        </w:rPr>
      </w:pPr>
    </w:p>
    <w:p>
      <w:pPr>
        <w:ind w:right="140" w:firstLine="378"/>
        <w:spacing w:after="0" w:line="255" w:lineRule="auto"/>
        <w:rPr>
          <w:sz w:val="20"/>
          <w:szCs w:val="20"/>
          <w:color w:val="auto"/>
        </w:rPr>
      </w:pPr>
      <w:r>
        <w:rPr>
          <w:rFonts w:ascii="Times New Roman" w:cs="Times New Roman" w:eastAsia="Times New Roman" w:hAnsi="Times New Roman"/>
          <w:sz w:val="18"/>
          <w:szCs w:val="18"/>
          <w:color w:val="auto"/>
        </w:rPr>
        <w:t>Net sales, before eliminations, for CVR's petroleum business for the year ended December 31, 2013 and the period May 5, 2012 through December 31, 2012 was approximately $8.7 billion and $5.5 billion, respectively. For the year ended December 31, 2013, CVR's petroleum business sold 37.8 million and 30.6 million barrels of gasoline and distillate, respectively, with an average sales price per gallon for gasoline and distillate of $2.72 and $3.02, respectively. The sales volumes for the year ended December 31, 2013 were impacted by the downtime associated with the fluid catalytic cracking unit outage at the Coffeyville refinery during the third quarter of 2013. For the period May 5, 2012 through December 31, 2012, CVR's petroleum business sold 23.8 million and 18.7 million barrels of gasoline and distillate, respectively, with an average sales price per gallon for gasoline and distillate of $2.83 and $3.05, respectively.</w:t>
      </w:r>
    </w:p>
    <w:p>
      <w:pPr>
        <w:spacing w:after="0" w:line="81"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Net sales, before eliminations, for the fertilizer business for the year ended December 31, 2013 was $324 million. For the year ended December 31, 2013, CVR sold 904,596 tons and 40,535 tons of UAN and ammonia, respectively, with a sales price of $315 and $660 per ton, respectively. The sales volume of UAN for the year ended December 31, 2013 benefited from the UAN expansion coming online during the first quarter of 2013. On-stream factors (total number of hours operated divided by total hours in the reporting period) for the gasification, ammonia and UAN units were 95.6%, 94.4% and 91.9%, respectively, for the year ended December 31, 2013. Excluding the impacts of the UAN expansion coming on-line, the planned downtime associated with the replacement of the damaged catalyst, the unplanned Linde air separation unit outages and the planned downtime associated with weather issues, the on-stream rates for the year ended December 31, 2013 for the gasification, ammonia and UAN units would have been 99.5%, 98.9% and 98.0%, respectively.</w:t>
      </w:r>
    </w:p>
    <w:p>
      <w:pPr>
        <w:spacing w:after="0" w:line="81"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Net sales, before eliminations, for the fertilizer business for the period May 5, 2012 through December 31, 2012 was $191 million. For the period May 5, 2012 through December 31, 2012, CVR sold 416,873 and 82,475 tons of UAN and ammonia, respectively, with a sales price of $298 and $621, respectively. Ammonia sales for the period May 5, 2012 through December 31, 2012 benefited from milder weather allowing for an earlier planting season in 2012. On-stream factors (total number of hours operated divided by total hours in the reporting period) for the gasification, ammonia and UAN units continue to demonstrate their reliability with the units reporting 91.3%, 89.7% and 85.9%, respectively, on-stream for the period May 5, 2012 through December 31, 2012.</w:t>
      </w:r>
    </w:p>
    <w:p>
      <w:pPr>
        <w:spacing w:after="0" w:line="80" w:lineRule="exact"/>
        <w:rPr>
          <w:sz w:val="20"/>
          <w:szCs w:val="20"/>
          <w:color w:val="auto"/>
        </w:rPr>
      </w:pPr>
    </w:p>
    <w:p>
      <w:pPr>
        <w:ind w:right="20" w:firstLine="378"/>
        <w:spacing w:after="0" w:line="254" w:lineRule="auto"/>
        <w:rPr>
          <w:sz w:val="20"/>
          <w:szCs w:val="20"/>
          <w:color w:val="auto"/>
        </w:rPr>
      </w:pPr>
      <w:r>
        <w:rPr>
          <w:rFonts w:ascii="Times New Roman" w:cs="Times New Roman" w:eastAsia="Times New Roman" w:hAnsi="Times New Roman"/>
          <w:sz w:val="18"/>
          <w:szCs w:val="18"/>
          <w:color w:val="auto"/>
        </w:rPr>
        <w:t>Cost of goods sold, before eliminations, for the petroleum business for the year ended December 31, 2013 and for the period May 5, 2012 through December 31, 2012 was approximately $8.0 billion and $4.7 billion, respectively. Cost of goods sold for the petroleum business includes cost of crude oil, other feedstocks and blendstocks, purchased products for resale, RINs, transportation distribution costs, costs associated with the actual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 The petroleum business' average cost per barrel of crude oil consumed for the year ended December 31, 2013 and for the period May 5, 2012 through December 31, 2012 was $95.05 and $87.21, respectively. The impact of FIFO accounting also impacted cost of product sold during the year ended December 31, 2013 and the period May 5, 2012 through December 31, 2012. Under the petroleum business' FIFO accounting method, changes in crude oil prices can cause fluctuations in the inventory valuation of its crude oil, work in process and finished goods, thereby resulting in a favorable FIFO inventory impact when crude oil prices increase and an unfavorable FIFO inventory impact when crude oil</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472" w:right="239" w:bottom="1440" w:gutter="0" w:footer="0" w:header="0"/>
        </w:sectPr>
      </w:pPr>
    </w:p>
    <w:bookmarkStart w:id="105" w:name="page106"/>
    <w:bookmarkEnd w:id="105"/>
    <w:p>
      <w:pPr>
        <w:ind w:right="320"/>
        <w:spacing w:after="0" w:line="282" w:lineRule="auto"/>
        <w:rPr>
          <w:sz w:val="20"/>
          <w:szCs w:val="20"/>
          <w:color w:val="auto"/>
        </w:rPr>
      </w:pPr>
      <w:r>
        <w:rPr>
          <w:rFonts w:ascii="Times New Roman" w:cs="Times New Roman" w:eastAsia="Times New Roman" w:hAnsi="Times New Roman"/>
          <w:sz w:val="18"/>
          <w:szCs w:val="18"/>
          <w:color w:val="auto"/>
        </w:rPr>
        <w:t>prices decrease. For the year ended December 31, 2013 and the period May 5, 2012 through December 31, 2012, the petroleum business had a (favorable) unfavorable FIFO inventory impact of approximately $(21) million and $71 million, respectively.</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Refining margin per barrel of crude oil throughput for the petroleum business was $16.90 and $28.40 and for the year ended December 31, 2013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May 5, 2012 through December 31, 2012, respectively. Refining margin adjusted for FIFO impact for CVR's petroleum business was $16.59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$30.08 per barrel of crude oil throughput barrel for the year ended December 31, 2013 and the period May 5, 2012 through December 31, 2012,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2013 and the period May 5, 2012 through December 31, 2012, the petroleum business had a (favorable) unfavorable FIFO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impact of approximately $(21) million and $71 million, respectively. Gross margin per barrel for our petroleum business was $9.48 and $18.37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ended December 31, 2013 and the period May 5, 2012 through December 31, 2012, respectively.</w:t>
      </w:r>
    </w:p>
    <w:p>
      <w:pPr>
        <w:spacing w:after="0" w:line="99" w:lineRule="exact"/>
        <w:rPr>
          <w:sz w:val="20"/>
          <w:szCs w:val="20"/>
          <w:color w:val="auto"/>
        </w:rPr>
      </w:pPr>
    </w:p>
    <w:p>
      <w:pPr>
        <w:ind w:right="40" w:firstLine="378"/>
        <w:spacing w:after="0" w:line="266" w:lineRule="auto"/>
        <w:rPr>
          <w:sz w:val="20"/>
          <w:szCs w:val="20"/>
          <w:color w:val="auto"/>
        </w:rPr>
      </w:pPr>
      <w:r>
        <w:rPr>
          <w:rFonts w:ascii="Times New Roman" w:cs="Times New Roman" w:eastAsia="Times New Roman" w:hAnsi="Times New Roman"/>
          <w:sz w:val="18"/>
          <w:szCs w:val="18"/>
          <w:color w:val="auto"/>
        </w:rPr>
        <w:t>The fertilizer business' cost of goods sold, before eliminations, for the year ended December 31, 2013 and for the period May 5, 2012 through December 31, 2012 was $191 million and $114 million, respectively. Cost of goods sold for the fertilizer business is primarily comprised of pet coke expense, freight expense, distribution expense, direct operating expenses and depreciation and amortization.</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Metal</w:t>
            </w:r>
            <w:r>
              <w:rPr>
                <w:rFonts w:ascii="Times New Roman" w:cs="Times New Roman" w:eastAsia="Times New Roman" w:hAnsi="Times New Roman"/>
                <w:sz w:val="19"/>
                <w:szCs w:val="19"/>
                <w:b w:val="1"/>
                <w:bCs w:val="1"/>
                <w:i w:val="1"/>
                <w:iCs w:val="1"/>
                <w:color w:val="auto"/>
              </w:rPr>
              <w:t>s</w:t>
            </w:r>
          </w:p>
        </w:tc>
        <w:tc>
          <w:tcPr>
            <w:tcW w:w="1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480"/>
        </w:trPr>
        <w:tc>
          <w:tcPr>
            <w:tcW w:w="6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8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20" w:type="dxa"/>
            <w:vAlign w:val="bottom"/>
          </w:tcPr>
          <w:p>
            <w:pPr>
              <w:spacing w:after="0"/>
              <w:rPr>
                <w:sz w:val="24"/>
                <w:szCs w:val="24"/>
                <w:color w:val="auto"/>
              </w:rPr>
            </w:pPr>
          </w:p>
        </w:tc>
      </w:tr>
      <w:tr>
        <w:trPr>
          <w:trHeight w:val="27"/>
        </w:trPr>
        <w:tc>
          <w:tcPr>
            <w:tcW w:w="64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4"/>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64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5"/>
        </w:trPr>
        <w:tc>
          <w:tcPr>
            <w:tcW w:w="6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1,102</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1,116</w:t>
            </w:r>
          </w:p>
        </w:tc>
      </w:tr>
      <w:tr>
        <w:trPr>
          <w:trHeight w:val="27"/>
        </w:trPr>
        <w:tc>
          <w:tcPr>
            <w:tcW w:w="64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6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Summarized ferrous tons and non-ferrous pounds sold for 2014, 2013 and 2012 are as follows:</w:t>
      </w:r>
    </w:p>
    <w:p>
      <w:pPr>
        <w:spacing w:after="0" w:line="167"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36830</wp:posOffset>
            </wp:positionV>
            <wp:extent cx="3181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5"/>
        </w:trPr>
        <w:tc>
          <w:tcPr>
            <w:tcW w:w="6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(in 000s)</w:t>
            </w:r>
          </w:p>
        </w:tc>
        <w:tc>
          <w:tcPr>
            <w:tcW w:w="1600" w:type="dxa"/>
            <w:vAlign w:val="bottom"/>
          </w:tcPr>
          <w:p>
            <w:pPr>
              <w:spacing w:after="0"/>
              <w:rPr>
                <w:sz w:val="21"/>
                <w:szCs w:val="2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Ferrous tons sold</w:t>
            </w: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51"/>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Non-ferrous pounds sold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147,443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230,571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241,332</w:t>
            </w:r>
          </w:p>
        </w:tc>
      </w:tr>
      <w:tr>
        <w:trPr>
          <w:trHeight w:val="20"/>
        </w:trPr>
        <w:tc>
          <w:tcPr>
            <w:tcW w:w="6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40" w:firstLine="378"/>
        <w:spacing w:after="0" w:line="266" w:lineRule="auto"/>
        <w:rPr>
          <w:sz w:val="20"/>
          <w:szCs w:val="20"/>
          <w:color w:val="auto"/>
        </w:rPr>
      </w:pPr>
      <w:r>
        <w:rPr>
          <w:rFonts w:ascii="Times New Roman" w:cs="Times New Roman" w:eastAsia="Times New Roman" w:hAnsi="Times New Roman"/>
          <w:sz w:val="18"/>
          <w:szCs w:val="18"/>
          <w:color w:val="auto"/>
        </w:rPr>
        <w:t>The scrap metals business is highly cyclical and is substantially dependent upon the overall economic conditions in the U.S. and other global markets. Ferrous and non-ferrous scrap has been historically vulnerable to significant declines in consumption and product pricing during prolonged periods of economic downturn or stagnation.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2014 Compared to the Year Ended December 31, 2013</w:t>
      </w:r>
    </w:p>
    <w:p>
      <w:pPr>
        <w:spacing w:after="0" w:line="119" w:lineRule="exact"/>
        <w:rPr>
          <w:sz w:val="20"/>
          <w:szCs w:val="20"/>
          <w:color w:val="auto"/>
        </w:rPr>
      </w:pPr>
    </w:p>
    <w:p>
      <w:pPr>
        <w:ind w:right="20" w:firstLine="378"/>
        <w:spacing w:after="0" w:line="266" w:lineRule="auto"/>
        <w:rPr>
          <w:sz w:val="20"/>
          <w:szCs w:val="20"/>
          <w:color w:val="auto"/>
        </w:rPr>
      </w:pPr>
      <w:r>
        <w:rPr>
          <w:rFonts w:ascii="Times New Roman" w:cs="Times New Roman" w:eastAsia="Times New Roman" w:hAnsi="Times New Roman"/>
          <w:sz w:val="18"/>
          <w:szCs w:val="18"/>
          <w:color w:val="auto"/>
        </w:rPr>
        <w:t>Net sales for the year ended December 31, 2014 decreased by $218 million (23)% compared to the prior year. The decrease was primarily driven by lower ferrous and non-ferrous shipment volumes and selling prices. Shipment volumes were lower in 2014 than in 2013 for all product lines except secondary plate, and average prices were lower for all product lines except brokerage.</w:t>
      </w:r>
    </w:p>
    <w:p>
      <w:pPr>
        <w:spacing w:after="0" w:line="68" w:lineRule="exact"/>
        <w:rPr>
          <w:sz w:val="20"/>
          <w:szCs w:val="20"/>
          <w:color w:val="auto"/>
        </w:rPr>
      </w:pPr>
    </w:p>
    <w:p>
      <w:pPr>
        <w:ind w:right="60" w:firstLine="378"/>
        <w:spacing w:after="0" w:line="255" w:lineRule="auto"/>
        <w:rPr>
          <w:sz w:val="20"/>
          <w:szCs w:val="20"/>
          <w:color w:val="auto"/>
        </w:rPr>
      </w:pPr>
      <w:r>
        <w:rPr>
          <w:rFonts w:ascii="Times New Roman" w:cs="Times New Roman" w:eastAsia="Times New Roman" w:hAnsi="Times New Roman"/>
          <w:sz w:val="18"/>
          <w:szCs w:val="18"/>
          <w:color w:val="auto"/>
        </w:rPr>
        <w:t>Ferrous shipments decreased by 235,000 gross tons (16%) while average pricing was $4 per gross ton (1%) higher during the year ended December 31, 2014 as compared to the prior. The volume decrease was largely attributable to raw material shortages and transportation problems caused by severe weather conditions during the first quarter of 2014, to general material supply constraints, and to a poor export market that increased competition for limited domestic demand. The increase in average pricing for 2014 as compared to the prior year period was largely driven by higher market prices (4%) for ferrous scrap during the first nine months of 2014. A $50 per gross ton market price drop in the fourth quarter of 2014 reduced the full year-over-year price differential to 1% favorable. Non-ferrous shipment volumes decreased by 83,128,000 pounds (36%), primarily driven by lower shipments of aluminum products due to the exit from aluminum tolling activities at the end of the first quarter of 2014 and to a refocus of aluminum shredding capacity in 2014. Average selling prices for non-ferrous decreased $0.03 per pound (3%) due to lower market pricing.</w:t>
      </w:r>
    </w:p>
    <w:p>
      <w:pPr>
        <w:spacing w:after="0" w:line="77" w:lineRule="exact"/>
        <w:rPr>
          <w:sz w:val="20"/>
          <w:szCs w:val="20"/>
          <w:color w:val="auto"/>
        </w:rPr>
      </w:pPr>
    </w:p>
    <w:p>
      <w:pPr>
        <w:ind w:right="120" w:firstLine="378"/>
        <w:spacing w:after="0" w:line="282" w:lineRule="auto"/>
        <w:rPr>
          <w:sz w:val="20"/>
          <w:szCs w:val="20"/>
          <w:color w:val="auto"/>
        </w:rPr>
      </w:pPr>
      <w:r>
        <w:rPr>
          <w:rFonts w:ascii="Times New Roman" w:cs="Times New Roman" w:eastAsia="Times New Roman" w:hAnsi="Times New Roman"/>
          <w:sz w:val="18"/>
          <w:szCs w:val="18"/>
          <w:color w:val="auto"/>
        </w:rPr>
        <w:t>Cost of goods sold for the year ended December 31, 2014 decreased by $220 million (23)% compared to the prior year. The decrease was primarily due to lower shipment volumes and lower material and processing costs. Gross margin as 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472" w:right="239" w:bottom="1440" w:gutter="0" w:footer="0" w:header="0"/>
        </w:sectPr>
      </w:pPr>
    </w:p>
    <w:bookmarkStart w:id="106" w:name="page107"/>
    <w:bookmarkEnd w:id="106"/>
    <w:p>
      <w:pPr>
        <w:ind w:right="80"/>
        <w:spacing w:after="0" w:line="282" w:lineRule="auto"/>
        <w:rPr>
          <w:sz w:val="20"/>
          <w:szCs w:val="20"/>
          <w:color w:val="auto"/>
        </w:rPr>
      </w:pPr>
      <w:r>
        <w:rPr>
          <w:rFonts w:ascii="Times New Roman" w:cs="Times New Roman" w:eastAsia="Times New Roman" w:hAnsi="Times New Roman"/>
          <w:sz w:val="18"/>
          <w:szCs w:val="18"/>
          <w:color w:val="auto"/>
        </w:rPr>
        <w:t>percentage of net sales was a loss of 2% for each of the years ended December 31, 2014 and 2013, as margins continue to be negatively impacted by ongoing competitive pressure for shredder feedstock.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2013 Compared to the Year Ended December 31, 2012</w:t>
      </w:r>
    </w:p>
    <w:p>
      <w:pPr>
        <w:spacing w:after="0" w:line="119" w:lineRule="exact"/>
        <w:rPr>
          <w:sz w:val="20"/>
          <w:szCs w:val="20"/>
          <w:color w:val="auto"/>
        </w:rPr>
      </w:pPr>
    </w:p>
    <w:p>
      <w:pPr>
        <w:ind w:right="20" w:firstLine="378"/>
        <w:spacing w:after="0" w:line="266" w:lineRule="auto"/>
        <w:rPr>
          <w:sz w:val="20"/>
          <w:szCs w:val="20"/>
          <w:color w:val="auto"/>
        </w:rPr>
      </w:pPr>
      <w:r>
        <w:rPr>
          <w:rFonts w:ascii="Times New Roman" w:cs="Times New Roman" w:eastAsia="Times New Roman" w:hAnsi="Times New Roman"/>
          <w:sz w:val="18"/>
          <w:szCs w:val="18"/>
          <w:color w:val="auto"/>
        </w:rPr>
        <w:t>Net sales for the year ended December 31, 2013 decreased by $173 million (16)% compared to the prior year. The decrease was primarily driven by lower ferrous and non-ferrous shipment volumes and selling prices. Shipment volumes were lower in 2013 than in 2012 for all product lines except secondary plate, and average prices were lower for all product lines except brokerage.</w:t>
      </w:r>
    </w:p>
    <w:p>
      <w:pPr>
        <w:spacing w:after="0" w:line="68" w:lineRule="exact"/>
        <w:rPr>
          <w:sz w:val="20"/>
          <w:szCs w:val="20"/>
          <w:color w:val="auto"/>
        </w:rPr>
      </w:pPr>
    </w:p>
    <w:p>
      <w:pPr>
        <w:ind w:right="320" w:firstLine="378"/>
        <w:spacing w:after="0" w:line="258" w:lineRule="auto"/>
        <w:rPr>
          <w:sz w:val="20"/>
          <w:szCs w:val="20"/>
          <w:color w:val="auto"/>
        </w:rPr>
      </w:pPr>
      <w:r>
        <w:rPr>
          <w:rFonts w:ascii="Times New Roman" w:cs="Times New Roman" w:eastAsia="Times New Roman" w:hAnsi="Times New Roman"/>
          <w:sz w:val="18"/>
          <w:szCs w:val="18"/>
          <w:color w:val="auto"/>
        </w:rPr>
        <w:t>Ferrous shipments decreased by 148,000 gross tons (9%) and average pricing was $29 per gross ton (8%) lower during the year ended December 31, 2013 compared to the prior. The volume decrease was largely attributed to lower market demand and material supply constraints. The decrease in average pricing for 2013 compared to 2012 was largely driven by lower market prices for ferrous scrap during most of the first nine months of 2013. Non-ferrous shipment volumes decreased by 10,761,000 pounds (4%), primarily driven by lower shipments of aluminum products and material supply constraints. Average selling prices for non-ferrous decreased $0.10 per pound (10%) due to lower market pricing.</w:t>
      </w:r>
    </w:p>
    <w:p>
      <w:pPr>
        <w:spacing w:after="0" w:line="76" w:lineRule="exact"/>
        <w:rPr>
          <w:sz w:val="20"/>
          <w:szCs w:val="20"/>
          <w:color w:val="auto"/>
        </w:rPr>
      </w:pPr>
    </w:p>
    <w:p>
      <w:pPr>
        <w:ind w:right="120" w:firstLine="378"/>
        <w:spacing w:after="0" w:line="258" w:lineRule="auto"/>
        <w:rPr>
          <w:sz w:val="20"/>
          <w:szCs w:val="20"/>
          <w:color w:val="auto"/>
        </w:rPr>
      </w:pPr>
      <w:r>
        <w:rPr>
          <w:rFonts w:ascii="Times New Roman" w:cs="Times New Roman" w:eastAsia="Times New Roman" w:hAnsi="Times New Roman"/>
          <w:sz w:val="18"/>
          <w:szCs w:val="18"/>
          <w:color w:val="auto"/>
        </w:rPr>
        <w:t>Cost of goods sold for the year ended December 31, 2013 decreased by $168 million (15)% compared to the prior year. The decrease was primarily due to lower shipment volumes and lower material and processing costs. Gross margin as a percentage of net sales was a loss of 2% for the year ended December 31, 2013 compared to a loss of 1% for the prior year. The compressed margin rate in 2013 compared to the prior year were primarily driven by lower selling prices and competitive pressures from material supply constraints that continued to drive scrap acquisition prices and inventory costs higher in relation to selling prices.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Railcar</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0" w:type="dxa"/>
            <w:vAlign w:val="bottom"/>
            <w:gridSpan w:val="6"/>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Net Sales/Other Revenues From Operations:</w:t>
            </w: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Manufacturing</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Railcar leasing</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Railcar services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Cost of Goods Sold/Other Expenses From Operations: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Manufacturing</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Railcar leasing</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Railcar services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Manufacturing</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Railcar leasing</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Railcar services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80" w:firstLine="378"/>
        <w:spacing w:after="0" w:line="282" w:lineRule="auto"/>
        <w:rPr>
          <w:sz w:val="20"/>
          <w:szCs w:val="20"/>
          <w:color w:val="auto"/>
        </w:rPr>
      </w:pPr>
      <w:r>
        <w:rPr>
          <w:rFonts w:ascii="Times New Roman" w:cs="Times New Roman" w:eastAsia="Times New Roman" w:hAnsi="Times New Roman"/>
          <w:sz w:val="18"/>
          <w:szCs w:val="18"/>
          <w:color w:val="auto"/>
        </w:rPr>
        <w:t>We conduct our Railcar segment through our majority ownership interests in American Railcar Industries, Inc. ("ARI") and American Railcar Leasing, LLC ("ARL").</w:t>
      </w:r>
    </w:p>
    <w:p>
      <w:pPr>
        <w:spacing w:after="0" w:line="54" w:lineRule="exact"/>
        <w:rPr>
          <w:sz w:val="20"/>
          <w:szCs w:val="20"/>
          <w:color w:val="auto"/>
        </w:rPr>
      </w:pPr>
    </w:p>
    <w:p>
      <w:pPr>
        <w:ind w:right="400" w:firstLine="378"/>
        <w:spacing w:after="0" w:line="282" w:lineRule="auto"/>
        <w:rPr>
          <w:sz w:val="20"/>
          <w:szCs w:val="20"/>
          <w:color w:val="auto"/>
        </w:rPr>
      </w:pPr>
      <w:r>
        <w:rPr>
          <w:rFonts w:ascii="Times New Roman" w:cs="Times New Roman" w:eastAsia="Times New Roman" w:hAnsi="Times New Roman"/>
          <w:sz w:val="18"/>
          <w:szCs w:val="18"/>
          <w:color w:val="auto"/>
        </w:rPr>
        <w:t>ARI's Annual Report on Form 10-K contains a detailed description of its business, products, industry, operating strategy and associated risks. ARI's filings with the SEC are available on the SEC's website at www.sec.gov.</w:t>
      </w:r>
    </w:p>
    <w:p>
      <w:pPr>
        <w:spacing w:after="0" w:line="54" w:lineRule="exact"/>
        <w:rPr>
          <w:sz w:val="20"/>
          <w:szCs w:val="20"/>
          <w:color w:val="auto"/>
        </w:rPr>
      </w:pPr>
    </w:p>
    <w:p>
      <w:pPr>
        <w:ind w:right="160" w:firstLine="378"/>
        <w:spacing w:after="0" w:line="282" w:lineRule="auto"/>
        <w:rPr>
          <w:sz w:val="20"/>
          <w:szCs w:val="20"/>
          <w:color w:val="auto"/>
        </w:rPr>
      </w:pPr>
      <w:r>
        <w:rPr>
          <w:rFonts w:ascii="Times New Roman" w:cs="Times New Roman" w:eastAsia="Times New Roman" w:hAnsi="Times New Roman"/>
          <w:sz w:val="18"/>
          <w:szCs w:val="18"/>
          <w:color w:val="auto"/>
        </w:rPr>
        <w:t>The North American railcar market has been, and we expect it to continue to be, highly cyclical. The railcar market continues to experience high levels of demand with an industry backlog at its highest point in history. Heightened concerns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20"/>
          </w:cols>
          <w:pgMar w:left="240" w:top="472" w:right="239" w:bottom="1440" w:gutter="0" w:footer="0" w:header="0"/>
        </w:sectPr>
      </w:pPr>
    </w:p>
    <w:bookmarkStart w:id="107" w:name="page108"/>
    <w:bookmarkEnd w:id="107"/>
    <w:p>
      <w:pPr>
        <w:ind w:right="60"/>
        <w:spacing w:after="0" w:line="258" w:lineRule="auto"/>
        <w:rPr>
          <w:sz w:val="20"/>
          <w:szCs w:val="20"/>
          <w:color w:val="auto"/>
        </w:rPr>
      </w:pPr>
      <w:r>
        <w:rPr>
          <w:rFonts w:ascii="Times New Roman" w:cs="Times New Roman" w:eastAsia="Times New Roman" w:hAnsi="Times New Roman"/>
          <w:sz w:val="18"/>
          <w:szCs w:val="18"/>
          <w:color w:val="auto"/>
        </w:rPr>
        <w:t>surrounding the energy markets, given the recent decline in oil prices, as well as potential regulations related to tank railcars in the U.S. and Canada, have led to uncertainty in the railcar industry. As a result, certain customers may be delaying further inquiries for tank railcars for crude and ethanol service until the regulations are finalized. However, ARI continues to see inquiries for pressure tank railcars and general service tank railcars. Inquiries for hopper railcars servicing various commodities remain strong. Consistent with industry expectations, ARI believes strong demand for hopper railcars will continue for the next several quarters.</w:t>
      </w:r>
    </w:p>
    <w:p>
      <w:pPr>
        <w:spacing w:after="0" w:line="76"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ARI currently anticipates that the proposed tank railcar regulations will be finalized in the U.S. and Canada during the second quarter of 2015. ARI believes its efforts to increase flexibility at its plants while it continues to focus on its core business of tank and hopper railcar manufacturing will position it to meet any increase in demand for new railcars, as well as retrofit and maintenance work to existing railcars, that may result from these new regulations. ARI cannot assure you of the scope, timing or impact of any potential regulatory change affecting the North American railcar industry or its business. Similarly, ARI cannot assure that hopper or tank railcar demand will continue at strong levels, that demand for any railcar types will improve, or that its railcar backlog, orders or shipments will track industry-wide trends.</w:t>
      </w:r>
    </w:p>
    <w:p>
      <w:pPr>
        <w:spacing w:after="0" w:line="80" w:lineRule="exact"/>
        <w:rPr>
          <w:sz w:val="20"/>
          <w:szCs w:val="20"/>
          <w:color w:val="auto"/>
        </w:rPr>
      </w:pPr>
    </w:p>
    <w:p>
      <w:pPr>
        <w:ind w:right="40" w:firstLine="378"/>
        <w:spacing w:after="0" w:line="261" w:lineRule="auto"/>
        <w:rPr>
          <w:sz w:val="20"/>
          <w:szCs w:val="20"/>
          <w:color w:val="auto"/>
        </w:rPr>
      </w:pPr>
      <w:r>
        <w:rPr>
          <w:rFonts w:ascii="Times New Roman" w:cs="Times New Roman" w:eastAsia="Times New Roman" w:hAnsi="Times New Roman"/>
          <w:sz w:val="18"/>
          <w:szCs w:val="18"/>
          <w:color w:val="auto"/>
        </w:rPr>
        <w:t>Railcar shipments for the year ended December 31, 2014 were approximately 7,970 railcars, including approximately 5,230 railcars to leasing customers, as compared to 6,900 railcars for the prior year, of which approximately 3,960 railcars were to leasing customers. (Shipments of railcars for lease are included in manufacturing operations' net sales in the table above however they are eliminated from net sales in consolidation as they represent shipments to ARI's leasing business and ARL).</w:t>
      </w:r>
    </w:p>
    <w:p>
      <w:pPr>
        <w:spacing w:after="0" w:line="72" w:lineRule="exact"/>
        <w:rPr>
          <w:sz w:val="20"/>
          <w:szCs w:val="20"/>
          <w:color w:val="auto"/>
        </w:rPr>
      </w:pPr>
    </w:p>
    <w:p>
      <w:pPr>
        <w:jc w:val="center"/>
        <w:ind w:right="280"/>
        <w:spacing w:after="0" w:line="282" w:lineRule="auto"/>
        <w:rPr>
          <w:sz w:val="20"/>
          <w:szCs w:val="20"/>
          <w:color w:val="auto"/>
        </w:rPr>
      </w:pPr>
      <w:r>
        <w:rPr>
          <w:rFonts w:ascii="Times New Roman" w:cs="Times New Roman" w:eastAsia="Times New Roman" w:hAnsi="Times New Roman"/>
          <w:sz w:val="18"/>
          <w:szCs w:val="18"/>
          <w:color w:val="auto"/>
        </w:rPr>
        <w:t>As of December 31, 2014, our Railcar segment had a backlog of approximately 11,730 railcars, including approximately 4,910 railcars for lease customers as compared to a backlog of approximately 8,560 railcars as of December 31, 2013, including approximately 3,570 railcars for lease customers.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2014 Compared to the Year Ended December 31, 2013</w:t>
      </w:r>
    </w:p>
    <w:p>
      <w:pPr>
        <w:spacing w:after="0" w:line="119" w:lineRule="exact"/>
        <w:rPr>
          <w:sz w:val="20"/>
          <w:szCs w:val="20"/>
          <w:color w:val="auto"/>
        </w:rPr>
      </w:pPr>
    </w:p>
    <w:p>
      <w:pPr>
        <w:ind w:right="100" w:firstLine="378"/>
        <w:spacing w:after="0" w:line="261" w:lineRule="auto"/>
        <w:rPr>
          <w:sz w:val="20"/>
          <w:szCs w:val="20"/>
          <w:color w:val="auto"/>
        </w:rPr>
      </w:pPr>
      <w:r>
        <w:rPr>
          <w:rFonts w:ascii="Times New Roman" w:cs="Times New Roman" w:eastAsia="Times New Roman" w:hAnsi="Times New Roman"/>
          <w:sz w:val="18"/>
          <w:szCs w:val="18"/>
          <w:color w:val="auto"/>
        </w:rPr>
        <w:t>Total manufacturing revenues, before elimination of railcar sales to our Railcar segment's leasing operations, for the year ended December 31, 2014 increased by $156 million (18%) over the comparable prior year period. The increase was primarily due to increased hopper railcar shipments and strong market conditions for tank railcars. Manufacturing revenues for the year ended December 31, 2014 include revenues of $641 million relating to railcars built for our Railcar segment's leasing operations, compared to $456 million for the comparable prior year period.</w:t>
      </w:r>
    </w:p>
    <w:p>
      <w:pPr>
        <w:spacing w:after="0" w:line="72" w:lineRule="exact"/>
        <w:rPr>
          <w:sz w:val="20"/>
          <w:szCs w:val="20"/>
          <w:color w:val="auto"/>
        </w:rPr>
      </w:pPr>
    </w:p>
    <w:p>
      <w:pPr>
        <w:ind w:right="60" w:firstLine="378"/>
        <w:spacing w:after="0" w:line="256" w:lineRule="auto"/>
        <w:rPr>
          <w:sz w:val="20"/>
          <w:szCs w:val="20"/>
          <w:color w:val="auto"/>
        </w:rPr>
      </w:pPr>
      <w:r>
        <w:rPr>
          <w:rFonts w:ascii="Times New Roman" w:cs="Times New Roman" w:eastAsia="Times New Roman" w:hAnsi="Times New Roman"/>
          <w:sz w:val="18"/>
          <w:szCs w:val="18"/>
          <w:color w:val="auto"/>
        </w:rPr>
        <w:t>Gross margin from manufacturing operations, before eliminations relating to railcar sales to our Railcar segment's leasing operations, for the year ended December 31, 2014 was $271 million compared to $197 million for the comparable prior year period. Gross margin from manufacturing operations as a percentage of manufacturing revenues was 27% for the year ended December 31, 2014 compared to 23% for the comparable prior year period. The improved margin was primarily due to ramped up production at our Railcar segment's hopper railcar manufacturing facility that created operating efficiencies and leveraged overhead costs. This is in addition to efficiencies that our Railcar segment continues to generate at its tank railcar manufacturing facility due to continued high production volumes.</w:t>
      </w:r>
    </w:p>
    <w:p>
      <w:pPr>
        <w:spacing w:after="0" w:line="80" w:lineRule="exact"/>
        <w:rPr>
          <w:sz w:val="20"/>
          <w:szCs w:val="20"/>
          <w:color w:val="auto"/>
        </w:rPr>
      </w:pPr>
    </w:p>
    <w:p>
      <w:pPr>
        <w:jc w:val="both"/>
        <w:ind w:right="460" w:firstLine="378"/>
        <w:spacing w:after="0" w:line="266" w:lineRule="auto"/>
        <w:rPr>
          <w:sz w:val="20"/>
          <w:szCs w:val="20"/>
          <w:color w:val="auto"/>
        </w:rPr>
      </w:pPr>
      <w:r>
        <w:rPr>
          <w:rFonts w:ascii="Times New Roman" w:cs="Times New Roman" w:eastAsia="Times New Roman" w:hAnsi="Times New Roman"/>
          <w:sz w:val="18"/>
          <w:szCs w:val="18"/>
          <w:color w:val="auto"/>
        </w:rPr>
        <w:t>Railcar leasing revenues increased for the year ended December 31, 2014 as compared to the corresponding prior year period due to an increase in number of railcars leased to customers and an increase in the average lease rate. Total railcars on lease at the end of 2014 were approximately 39,700 as compared to approximately 34,700 at the end of 2013.</w:t>
      </w:r>
    </w:p>
    <w:p>
      <w:pPr>
        <w:spacing w:after="0" w:line="68" w:lineRule="exact"/>
        <w:rPr>
          <w:sz w:val="20"/>
          <w:szCs w:val="20"/>
          <w:color w:val="auto"/>
        </w:rPr>
      </w:pPr>
    </w:p>
    <w:p>
      <w:pPr>
        <w:ind w:right="340" w:firstLine="378"/>
        <w:spacing w:after="0" w:line="261" w:lineRule="auto"/>
        <w:rPr>
          <w:sz w:val="20"/>
          <w:szCs w:val="20"/>
          <w:color w:val="auto"/>
        </w:rPr>
      </w:pPr>
      <w:r>
        <w:rPr>
          <w:rFonts w:ascii="Times New Roman" w:cs="Times New Roman" w:eastAsia="Times New Roman" w:hAnsi="Times New Roman"/>
          <w:sz w:val="18"/>
          <w:szCs w:val="18"/>
          <w:color w:val="auto"/>
        </w:rPr>
        <w:t>Railcar services revenues decreased for the year ended December 31, 2014 as compared the corresponding prior year period primarily due to certain repair projects being performed at our Railcar segment's hopper railcar manufacturing facility during 2013 that did not continue into 2014. In 2014, production of hopper railcars has ramped up due to increased demand, thus these repair projects are no longer being performed at our Railcar segment's manufacturing facilities.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2013 Compared to the Year Ended December 31, 2012</w:t>
      </w:r>
    </w:p>
    <w:p>
      <w:pPr>
        <w:spacing w:after="0" w:line="119" w:lineRule="exact"/>
        <w:rPr>
          <w:sz w:val="20"/>
          <w:szCs w:val="20"/>
          <w:color w:val="auto"/>
        </w:rPr>
      </w:pPr>
    </w:p>
    <w:p>
      <w:pPr>
        <w:ind w:right="60" w:firstLine="378"/>
        <w:spacing w:after="0" w:line="258" w:lineRule="auto"/>
        <w:rPr>
          <w:sz w:val="20"/>
          <w:szCs w:val="20"/>
          <w:color w:val="auto"/>
        </w:rPr>
      </w:pPr>
      <w:r>
        <w:rPr>
          <w:rFonts w:ascii="Times New Roman" w:cs="Times New Roman" w:eastAsia="Times New Roman" w:hAnsi="Times New Roman"/>
          <w:sz w:val="18"/>
          <w:szCs w:val="18"/>
          <w:color w:val="auto"/>
        </w:rPr>
        <w:t>Total manufacturing revenues, before elimination of railcar sales to our Railcar segment's leasing operations, for the year ended December 31, 2013 increased by $11 million (1%) over the comparable prior year period. The increase was primarily due to higher mix of tank railcars sold, which generally sell at higher prices due to more material and labor content, and improved general market conditions. Manufacturing revenues for the year ended December 31, 2013 include revenues of $456 million relating to railcars built for our Railcar segment's leasing operations, compared to $323 million for the comparable prior year period.</w:t>
      </w:r>
    </w:p>
    <w:p>
      <w:pPr>
        <w:spacing w:after="0" w:line="76" w:lineRule="exact"/>
        <w:rPr>
          <w:sz w:val="20"/>
          <w:szCs w:val="20"/>
          <w:color w:val="auto"/>
        </w:rPr>
      </w:pPr>
    </w:p>
    <w:p>
      <w:pPr>
        <w:ind w:right="60" w:firstLine="378"/>
        <w:spacing w:after="0" w:line="258" w:lineRule="auto"/>
        <w:rPr>
          <w:sz w:val="20"/>
          <w:szCs w:val="20"/>
          <w:color w:val="auto"/>
        </w:rPr>
      </w:pPr>
      <w:r>
        <w:rPr>
          <w:rFonts w:ascii="Times New Roman" w:cs="Times New Roman" w:eastAsia="Times New Roman" w:hAnsi="Times New Roman"/>
          <w:sz w:val="18"/>
          <w:szCs w:val="18"/>
          <w:color w:val="auto"/>
        </w:rPr>
        <w:t>Gross margin from manufacturing operations, before eliminations relating to railcar sales to our Railcar segment's leasing operations, for the year ended December 31, 2013 was $197 million compared to $163 million for the comparable prior year period. Gross margin from manufacturing operations as a percentage of manufacturing revenues was 23% for the year ended December 31, 2013 compared to 19% for the comparable prior year period. The increase in gross margin percentage over the respective periods was primarily due to improved general market conditions, a shift in the sales mix to a higher concentration of tank railcars and increased operating leverage and efficiencies.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00"/>
          </w:cols>
          <w:pgMar w:left="240" w:top="472" w:right="259" w:bottom="1440" w:gutter="0" w:footer="0" w:header="0"/>
        </w:sectPr>
      </w:pPr>
    </w:p>
    <w:bookmarkStart w:id="108" w:name="page109"/>
    <w:bookmarkEnd w:id="108"/>
    <w:p>
      <w:pPr>
        <w:ind w:right="480" w:firstLine="378"/>
        <w:spacing w:after="0" w:line="266" w:lineRule="auto"/>
        <w:rPr>
          <w:sz w:val="20"/>
          <w:szCs w:val="20"/>
          <w:color w:val="auto"/>
        </w:rPr>
      </w:pPr>
      <w:r>
        <w:rPr>
          <w:rFonts w:ascii="Times New Roman" w:cs="Times New Roman" w:eastAsia="Times New Roman" w:hAnsi="Times New Roman"/>
          <w:sz w:val="18"/>
          <w:szCs w:val="18"/>
          <w:color w:val="auto"/>
        </w:rPr>
        <w:t>Railcar leasing revenues increased for the year ended December 31, 2013 as compared to the corresponding prior year period due to an increase in number of railcars leased to customers and an increase in the average lease rate. Total railcars on lease at the end of 2013 were approximately 34,700, compared to approximately 30,000 at the end of 2012.</w:t>
      </w:r>
    </w:p>
    <w:p>
      <w:pPr>
        <w:spacing w:after="0" w:line="68" w:lineRule="exact"/>
        <w:rPr>
          <w:sz w:val="20"/>
          <w:szCs w:val="20"/>
          <w:color w:val="auto"/>
        </w:rPr>
      </w:pPr>
    </w:p>
    <w:p>
      <w:pPr>
        <w:ind w:right="380" w:firstLine="378"/>
        <w:spacing w:after="0" w:line="282" w:lineRule="auto"/>
        <w:rPr>
          <w:sz w:val="20"/>
          <w:szCs w:val="20"/>
          <w:color w:val="auto"/>
        </w:rPr>
      </w:pPr>
      <w:r>
        <w:rPr>
          <w:rFonts w:ascii="Times New Roman" w:cs="Times New Roman" w:eastAsia="Times New Roman" w:hAnsi="Times New Roman"/>
          <w:sz w:val="18"/>
          <w:szCs w:val="18"/>
          <w:color w:val="auto"/>
        </w:rPr>
        <w:t>Railcar services revenues increased for the year ended December 31, 2013 as compared to the prior year period was primarily due to an increase in certain railcar repair projects performed at ARI's hopper railcar manufacturing facility and higher demand for paint and lining work at its repair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Segments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Tropicana's Annual Report on Form 10-K contains a detailed description of its business, products, industry, operating strategy and associated risks.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Tropicana's filings with the SEC are available on the SEC's website at www.sec.gov.</w:t>
      </w:r>
    </w:p>
    <w:p>
      <w:pPr>
        <w:spacing w:after="0" w:line="99" w:lineRule="exact"/>
        <w:rPr>
          <w:sz w:val="20"/>
          <w:szCs w:val="20"/>
          <w:color w:val="auto"/>
        </w:rPr>
      </w:pPr>
    </w:p>
    <w:p>
      <w:pPr>
        <w:ind w:firstLine="378"/>
        <w:spacing w:after="0" w:line="266" w:lineRule="auto"/>
        <w:rPr>
          <w:sz w:val="20"/>
          <w:szCs w:val="20"/>
          <w:color w:val="auto"/>
        </w:rPr>
      </w:pPr>
      <w:r>
        <w:rPr>
          <w:rFonts w:ascii="Times New Roman" w:cs="Times New Roman" w:eastAsia="Times New Roman" w:hAnsi="Times New Roman"/>
          <w:sz w:val="18"/>
          <w:szCs w:val="18"/>
          <w:color w:val="auto"/>
        </w:rPr>
        <w:t>Current economic conditions continue to adversely impact Tropicana and the gaming industry as a whole. Tropicana believes its guests have reduced their discretionary spending as a result of uncertainty and instability relating to employment and the investment and housing markets. While general economic conditions have modestly improved, we cannot assure that they will continue to improve or will not worsen in the future.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2014 Compared to the Year Ended December 31, 2013</w:t>
      </w:r>
    </w:p>
    <w:p>
      <w:pPr>
        <w:spacing w:after="0" w:line="119" w:lineRule="exact"/>
        <w:rPr>
          <w:sz w:val="20"/>
          <w:szCs w:val="20"/>
          <w:color w:val="auto"/>
        </w:rPr>
      </w:pPr>
    </w:p>
    <w:p>
      <w:pPr>
        <w:ind w:right="40" w:firstLine="378"/>
        <w:spacing w:after="0" w:line="258" w:lineRule="auto"/>
        <w:rPr>
          <w:sz w:val="20"/>
          <w:szCs w:val="20"/>
          <w:color w:val="auto"/>
        </w:rPr>
      </w:pPr>
      <w:r>
        <w:rPr>
          <w:rFonts w:ascii="Times New Roman" w:cs="Times New Roman" w:eastAsia="Times New Roman" w:hAnsi="Times New Roman"/>
          <w:sz w:val="18"/>
          <w:szCs w:val="18"/>
          <w:color w:val="auto"/>
        </w:rPr>
        <w:t>Casino revenues are one of Tropicana's main performance indicators and account for a significant portion of its net revenues. The increase in casino revenues for the year ended December 31, 2014 as compared to the comparable prior year period was primarily due to an increase in consolidated gaming volumes of 25.9%, primarily due to the Lumière acquisition on April 1, 2014, coupled with higher gaming volumes at Tropicana Casino and Resort, Atlantic City ("Tropicana AC"). Tropicana's slot hold percentage was 9.5% and 9.4% for the years ended December 31, 2014 and 2013, respectively. Tropicana's table game hold percentage was 17.6% and 14.2% for the years ended December 31, 2014 and 2013, respectively.</w:t>
      </w:r>
    </w:p>
    <w:p>
      <w:pPr>
        <w:spacing w:after="0" w:line="76" w:lineRule="exact"/>
        <w:rPr>
          <w:sz w:val="20"/>
          <w:szCs w:val="20"/>
          <w:color w:val="auto"/>
        </w:rPr>
      </w:pPr>
    </w:p>
    <w:p>
      <w:pPr>
        <w:ind w:right="40" w:firstLine="378"/>
        <w:spacing w:after="0" w:line="255" w:lineRule="auto"/>
        <w:rPr>
          <w:sz w:val="20"/>
          <w:szCs w:val="20"/>
          <w:color w:val="auto"/>
        </w:rPr>
      </w:pPr>
      <w:r>
        <w:rPr>
          <w:rFonts w:ascii="Times New Roman" w:cs="Times New Roman" w:eastAsia="Times New Roman" w:hAnsi="Times New Roman"/>
          <w:sz w:val="18"/>
          <w:szCs w:val="18"/>
          <w:color w:val="auto"/>
        </w:rPr>
        <w:t>Net revenues from Tropicana AC comprise approximately 40% and 43% of our Gaming segment's net revenues for the year ended December 31, 2014 and 2013, respectively. Tropicana AC casino revenues increased for the year ended December 31, 2014 as compared to the corresponding prior year period as a result of increased customer volumes due, in part, to the closure of one of Tropicana AC's competitors in Atlantic City in January 2014. In addition, during the third quarter of 2014, three additional competitors ceased operations in Atlantic City. Based on market data, the Atlantic City market experienced year over year declines in casino win of 8.5% and 6.2% for the year ended December 31, 2014 and 2013, respectively. In addition, Tropicana AC casino revenues increased primarily due to 17.9% higher slot volumes and 4.3 percentage point increase in the table hold percentage, partially offset by 16.0% lower table game volumes, including lower volumes of high-end play for the year ended December 31, 2014. Internet gaming, which commenced in November 2013, also contributed to the increase in casino revenues.</w:t>
      </w:r>
    </w:p>
    <w:p>
      <w:pPr>
        <w:spacing w:after="0" w:line="77" w:lineRule="exact"/>
        <w:rPr>
          <w:sz w:val="20"/>
          <w:szCs w:val="20"/>
          <w:color w:val="auto"/>
        </w:rPr>
      </w:pPr>
    </w:p>
    <w:p>
      <w:pPr>
        <w:ind w:right="360" w:firstLine="378"/>
        <w:spacing w:after="0" w:line="266" w:lineRule="auto"/>
        <w:rPr>
          <w:sz w:val="20"/>
          <w:szCs w:val="20"/>
          <w:color w:val="auto"/>
        </w:rPr>
      </w:pPr>
      <w:r>
        <w:rPr>
          <w:rFonts w:ascii="Times New Roman" w:cs="Times New Roman" w:eastAsia="Times New Roman" w:hAnsi="Times New Roman"/>
          <w:sz w:val="18"/>
          <w:szCs w:val="18"/>
          <w:color w:val="auto"/>
        </w:rPr>
        <w:t>Revenues from rooms increased for the year ended December 31, 2014 as compared to the corresponding prior year period, primarily due to the acquisition of the Lumière in April 2014. The average daily room rate and occupancy rate across all of Tropicana's gaming properties were $79 and 66%, respectively, for the year ended December 31, 2014 as compared to $69 and 60%, respectively, for the comparable prior year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2013 Compared to the Year Ended December 31, 2012</w:t>
      </w:r>
    </w:p>
    <w:p>
      <w:pPr>
        <w:spacing w:after="0" w:line="119" w:lineRule="exact"/>
        <w:rPr>
          <w:sz w:val="20"/>
          <w:szCs w:val="20"/>
          <w:color w:val="auto"/>
        </w:rPr>
      </w:pPr>
    </w:p>
    <w:p>
      <w:pPr>
        <w:ind w:right="280" w:firstLine="378"/>
        <w:spacing w:after="0" w:line="261" w:lineRule="auto"/>
        <w:rPr>
          <w:sz w:val="20"/>
          <w:szCs w:val="20"/>
          <w:color w:val="auto"/>
        </w:rPr>
      </w:pPr>
      <w:r>
        <w:rPr>
          <w:rFonts w:ascii="Times New Roman" w:cs="Times New Roman" w:eastAsia="Times New Roman" w:hAnsi="Times New Roman"/>
          <w:sz w:val="18"/>
          <w:szCs w:val="18"/>
          <w:color w:val="auto"/>
        </w:rPr>
        <w:t>The decrease in casino revenues for the December 31, 2013 as compared to the comparable prior year period was primarily due to a 7.6% decrease in consolidated gaming volumes, primarily due to lower gaming volumes at Tropicana AC and Baton Rouge. Tropicana's slot hold percentage was 9.4% and 9.2% for the years ended December 31, 2013 and 2012, respectively. Tropicana's table game hold percentage was 14.2% and 14.3% for the years ended December 31, 2013 and 2012, respectively.</w:t>
      </w:r>
    </w:p>
    <w:p>
      <w:pPr>
        <w:spacing w:after="0" w:line="72" w:lineRule="exact"/>
        <w:rPr>
          <w:sz w:val="20"/>
          <w:szCs w:val="20"/>
          <w:color w:val="auto"/>
        </w:rPr>
      </w:pPr>
    </w:p>
    <w:p>
      <w:pPr>
        <w:ind w:right="140" w:firstLine="378"/>
        <w:spacing w:after="0" w:line="258" w:lineRule="auto"/>
        <w:rPr>
          <w:sz w:val="20"/>
          <w:szCs w:val="20"/>
          <w:color w:val="auto"/>
        </w:rPr>
      </w:pPr>
      <w:r>
        <w:rPr>
          <w:rFonts w:ascii="Times New Roman" w:cs="Times New Roman" w:eastAsia="Times New Roman" w:hAnsi="Times New Roman"/>
          <w:sz w:val="18"/>
          <w:szCs w:val="18"/>
          <w:color w:val="auto"/>
        </w:rPr>
        <w:t>Net revenues from Tropicana AC comprise approximately 43% of Tropicana's total net revenues for each of the years ended December 31, 2013 and 2012. Based on market data, the Atlantic City market experienced year over year declines in casino win of 6.2% and 8.0% for the years ended December 31, 2013 and 2012, respectively. Tropicana AC's gaming results were negatively impacted by lower table games and slot volumes primarily due to the increased competition coupled with the lingering effects of Super Storm Sandy which occurred in late October 2012. Although Tropicana AC did not suffer any significant damage, the severity of the property damage to a large portion of the Atlantic City feeder markets resulted in long term business interruption.</w:t>
      </w:r>
    </w:p>
    <w:p>
      <w:pPr>
        <w:spacing w:after="0" w:line="76" w:lineRule="exact"/>
        <w:rPr>
          <w:sz w:val="20"/>
          <w:szCs w:val="20"/>
          <w:color w:val="auto"/>
        </w:rPr>
      </w:pPr>
    </w:p>
    <w:p>
      <w:pPr>
        <w:ind w:right="40" w:firstLine="378"/>
        <w:spacing w:after="0" w:line="282" w:lineRule="auto"/>
        <w:rPr>
          <w:sz w:val="20"/>
          <w:szCs w:val="20"/>
          <w:color w:val="auto"/>
        </w:rPr>
      </w:pPr>
      <w:r>
        <w:rPr>
          <w:rFonts w:ascii="Times New Roman" w:cs="Times New Roman" w:eastAsia="Times New Roman" w:hAnsi="Times New Roman"/>
          <w:sz w:val="18"/>
          <w:szCs w:val="18"/>
          <w:color w:val="auto"/>
        </w:rPr>
        <w:t>Revenues from rooms decreased for the year ended December 31, 2013 as compared to the corresponding prior year period. The average daily room rate and occupancy across all of Tropicana's gaming properties were $69 and 60%,</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472"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respectively, for the year ended December 31, 2013 as compared to $69 and 61%, respectively, for the comparable prior year period.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Food Packaging</w:t>
      </w:r>
    </w:p>
    <w:p>
      <w:pPr>
        <w:spacing w:after="0" w:line="119" w:lineRule="exact"/>
        <w:rPr>
          <w:sz w:val="20"/>
          <w:szCs w:val="20"/>
          <w:color w:val="auto"/>
        </w:rPr>
      </w:pPr>
    </w:p>
    <w:p>
      <w:pPr>
        <w:ind w:right="40" w:firstLine="378"/>
        <w:spacing w:after="0" w:line="261" w:lineRule="auto"/>
        <w:rPr>
          <w:sz w:val="20"/>
          <w:szCs w:val="20"/>
          <w:color w:val="auto"/>
        </w:rPr>
      </w:pPr>
      <w:r>
        <w:rPr>
          <w:rFonts w:ascii="Times New Roman" w:cs="Times New Roman" w:eastAsia="Times New Roman" w:hAnsi="Times New Roman"/>
          <w:sz w:val="18"/>
          <w:szCs w:val="18"/>
          <w:color w:val="auto"/>
        </w:rPr>
        <w:t>Our Food Packaging segment is affected by changes in foreign exchange rates. In addition to those markets in which Viskase prices its products in U.S. dollars, it prices its products in certain of its foreign operations in euros and Brazilian reals. As a result, a decline in the value of the U.S. dollar relative to local currencies of profitable foreign subsidiaries can have a favorable effect on Viskase's profitability. Conversely, an increase in the value of the U.S. dollar relative to the local currencies of profitable foreign subsidiaries can have a negative effect on the profitability of our Food Packaging segment.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2014 Compared to the Year Ended December 31, 2013</w:t>
      </w:r>
    </w:p>
    <w:p>
      <w:pPr>
        <w:spacing w:after="0" w:line="119" w:lineRule="exact"/>
        <w:rPr>
          <w:sz w:val="20"/>
          <w:szCs w:val="20"/>
          <w:color w:val="auto"/>
        </w:rPr>
      </w:pPr>
    </w:p>
    <w:p>
      <w:pPr>
        <w:ind w:right="480" w:firstLine="378"/>
        <w:spacing w:after="0" w:line="282" w:lineRule="auto"/>
        <w:rPr>
          <w:sz w:val="20"/>
          <w:szCs w:val="20"/>
          <w:color w:val="auto"/>
        </w:rPr>
      </w:pPr>
      <w:r>
        <w:rPr>
          <w:rFonts w:ascii="Times New Roman" w:cs="Times New Roman" w:eastAsia="Times New Roman" w:hAnsi="Times New Roman"/>
          <w:sz w:val="18"/>
          <w:szCs w:val="18"/>
          <w:color w:val="auto"/>
        </w:rPr>
        <w:t>Net sales for the year ended December 31, 2014 decreased by $6 million (2%) compared to the prior year. The decrease in net sales was due to $4 million attributable to sales volume and $2 million attributable to foreign currency translation.</w:t>
      </w:r>
    </w:p>
    <w:p>
      <w:pPr>
        <w:spacing w:after="0" w:line="54" w:lineRule="exact"/>
        <w:rPr>
          <w:sz w:val="20"/>
          <w:szCs w:val="20"/>
          <w:color w:val="auto"/>
        </w:rPr>
      </w:pPr>
    </w:p>
    <w:p>
      <w:pPr>
        <w:ind w:right="160" w:firstLine="378"/>
        <w:spacing w:after="0" w:line="266" w:lineRule="auto"/>
        <w:rPr>
          <w:sz w:val="20"/>
          <w:szCs w:val="20"/>
          <w:color w:val="auto"/>
        </w:rPr>
      </w:pPr>
      <w:r>
        <w:rPr>
          <w:rFonts w:ascii="Times New Roman" w:cs="Times New Roman" w:eastAsia="Times New Roman" w:hAnsi="Times New Roman"/>
          <w:sz w:val="18"/>
          <w:szCs w:val="18"/>
          <w:color w:val="auto"/>
        </w:rPr>
        <w:t>Cost of goods sold for the year ended December 31, 2014 decreased by $10 million (4%) as compared to the prior year. While cost of goods sold decreased primarily due to sales volume, gross margin as a percent of net sales was 25% and 23% for 2014 and 2013, respectively. The improvement in the gross margin as a percent of net sales over the comparable period was due to improved plant performance.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2013 Compared to the Year Ended December 31, 2012</w:t>
      </w:r>
    </w:p>
    <w:p>
      <w:pPr>
        <w:spacing w:after="0" w:line="119" w:lineRule="exact"/>
        <w:rPr>
          <w:sz w:val="20"/>
          <w:szCs w:val="20"/>
          <w:color w:val="auto"/>
        </w:rPr>
      </w:pPr>
    </w:p>
    <w:p>
      <w:pPr>
        <w:ind w:right="240" w:firstLine="378"/>
        <w:spacing w:after="0" w:line="266" w:lineRule="auto"/>
        <w:rPr>
          <w:sz w:val="20"/>
          <w:szCs w:val="20"/>
          <w:color w:val="auto"/>
        </w:rPr>
      </w:pPr>
      <w:r>
        <w:rPr>
          <w:rFonts w:ascii="Times New Roman" w:cs="Times New Roman" w:eastAsia="Times New Roman" w:hAnsi="Times New Roman"/>
          <w:sz w:val="18"/>
          <w:szCs w:val="18"/>
          <w:color w:val="auto"/>
        </w:rPr>
        <w:t>Net sales for the year ended December 31, 2013 increased by $28 million (8%) compared to the prior year. The increase in net sales was due to an increase of $26 million attributable to sales volume and $3 million attributable to price and product mix, offset in part by $1 million attributable to foreign currency translation.</w:t>
      </w:r>
    </w:p>
    <w:p>
      <w:pPr>
        <w:spacing w:after="0" w:line="68" w:lineRule="exact"/>
        <w:rPr>
          <w:sz w:val="20"/>
          <w:szCs w:val="20"/>
          <w:color w:val="auto"/>
        </w:rPr>
      </w:pPr>
    </w:p>
    <w:p>
      <w:pPr>
        <w:ind w:right="560" w:firstLine="378"/>
        <w:spacing w:after="0" w:line="282" w:lineRule="auto"/>
        <w:rPr>
          <w:sz w:val="20"/>
          <w:szCs w:val="20"/>
          <w:color w:val="auto"/>
        </w:rPr>
      </w:pPr>
      <w:r>
        <w:rPr>
          <w:rFonts w:ascii="Times New Roman" w:cs="Times New Roman" w:eastAsia="Times New Roman" w:hAnsi="Times New Roman"/>
          <w:sz w:val="18"/>
          <w:szCs w:val="18"/>
          <w:color w:val="auto"/>
        </w:rPr>
        <w:t>Cost of goods sold for the year ended December 31, 2013 increased by $22 million (8%) as compared to the prior year. While cost of goods sold increased primarily due to sales volume, gross margin as a percent of net sales was 23% for both 2013 and 2012.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119" w:lineRule="exact"/>
        <w:rPr>
          <w:sz w:val="20"/>
          <w:szCs w:val="20"/>
          <w:color w:val="auto"/>
        </w:rPr>
      </w:pPr>
    </w:p>
    <w:p>
      <w:pPr>
        <w:jc w:val="both"/>
        <w:ind w:right="200" w:firstLine="378"/>
        <w:spacing w:after="0" w:line="266" w:lineRule="auto"/>
        <w:rPr>
          <w:sz w:val="20"/>
          <w:szCs w:val="20"/>
          <w:color w:val="auto"/>
        </w:rPr>
      </w:pPr>
      <w:r>
        <w:rPr>
          <w:rFonts w:ascii="Times New Roman" w:cs="Times New Roman" w:eastAsia="Times New Roman" w:hAnsi="Times New Roman"/>
          <w:sz w:val="18"/>
          <w:szCs w:val="18"/>
          <w:color w:val="auto"/>
        </w:rPr>
        <w:t>Real Estate revenues and expenses include results from resort operations, sales of residential units, and rental income and expenses, including income from financing leases. Sales of residential units are included in net sales in our consolidated financial statements. Results from resort and rental operations, including financing lease income, are included in other revenues from operations in our consolidated 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2014 Compared to the Year Ended December 31, 2013</w:t>
      </w:r>
    </w:p>
    <w:p>
      <w:pPr>
        <w:spacing w:after="0" w:line="119" w:lineRule="exact"/>
        <w:rPr>
          <w:sz w:val="20"/>
          <w:szCs w:val="20"/>
          <w:color w:val="auto"/>
        </w:rPr>
      </w:pPr>
    </w:p>
    <w:p>
      <w:pPr>
        <w:jc w:val="both"/>
        <w:ind w:right="180" w:firstLine="378"/>
        <w:spacing w:after="0" w:line="266" w:lineRule="auto"/>
        <w:rPr>
          <w:sz w:val="20"/>
          <w:szCs w:val="20"/>
          <w:color w:val="auto"/>
        </w:rPr>
      </w:pPr>
      <w:r>
        <w:rPr>
          <w:rFonts w:ascii="Times New Roman" w:cs="Times New Roman" w:eastAsia="Times New Roman" w:hAnsi="Times New Roman"/>
          <w:sz w:val="18"/>
          <w:szCs w:val="18"/>
          <w:color w:val="auto"/>
        </w:rPr>
        <w:t>Revenues from our real estate operations for each of the years ended December 31, 2014 and 2013 are substantially derived from our resort and rental operations. Revenues from sales of residential units in our real estate development operations represent 15% and less than 5% of total Real Estate revenues for the years ended December 31, 2014 and 2013,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2013 Compared to the Year Ended December 31, 2012</w:t>
      </w:r>
    </w:p>
    <w:p>
      <w:pPr>
        <w:spacing w:after="0" w:line="119" w:lineRule="exact"/>
        <w:rPr>
          <w:sz w:val="20"/>
          <w:szCs w:val="20"/>
          <w:color w:val="auto"/>
        </w:rPr>
      </w:pPr>
    </w:p>
    <w:p>
      <w:pPr>
        <w:ind w:right="40" w:firstLine="378"/>
        <w:spacing w:after="0" w:line="266" w:lineRule="auto"/>
        <w:rPr>
          <w:sz w:val="20"/>
          <w:szCs w:val="20"/>
          <w:color w:val="auto"/>
        </w:rPr>
      </w:pPr>
      <w:r>
        <w:rPr>
          <w:rFonts w:ascii="Times New Roman" w:cs="Times New Roman" w:eastAsia="Times New Roman" w:hAnsi="Times New Roman"/>
          <w:sz w:val="18"/>
          <w:szCs w:val="18"/>
          <w:color w:val="auto"/>
        </w:rPr>
        <w:t>Revenues from our real estate operations for each of the years ended December 31, 2013 and 2012 are substantially derived from our resort and rental operations. Revenues from sales of residential units in our real estate development operations represent less than 5% of total Real Estate revenues for each of the years ended December 31, 2013 and 2012.</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Fashion</w:t>
      </w:r>
    </w:p>
    <w:p>
      <w:pPr>
        <w:spacing w:after="0" w:line="119" w:lineRule="exact"/>
        <w:rPr>
          <w:sz w:val="20"/>
          <w:szCs w:val="20"/>
          <w:color w:val="auto"/>
        </w:rPr>
      </w:pPr>
    </w:p>
    <w:p>
      <w:pPr>
        <w:ind w:right="140" w:firstLine="378"/>
        <w:spacing w:after="0" w:line="261" w:lineRule="auto"/>
        <w:rPr>
          <w:sz w:val="20"/>
          <w:szCs w:val="20"/>
          <w:color w:val="auto"/>
        </w:rPr>
      </w:pPr>
      <w:r>
        <w:rPr>
          <w:rFonts w:ascii="Times New Roman" w:cs="Times New Roman" w:eastAsia="Times New Roman" w:hAnsi="Times New Roman"/>
          <w:sz w:val="18"/>
          <w:szCs w:val="18"/>
          <w:color w:val="auto"/>
        </w:rPr>
        <w:t>The business of WestPoint Home LLC ("WPH") is significantly influenced by the overall economic environment, including consumer spending, at the retail level, for home textile products. Many of the larger retailers are customers of WPH. WPH will continue to realign its manufacturing operations and streamline its merchandising, sales and customer service divisions to improve its cost structure and better serve its customers. Given the uncertainty and volatility in the macroeconomic conditions, we cannot predict if WPH's financial performance will continue to improve.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2014 Compared to the Year Ended December 31, 2013</w:t>
      </w:r>
    </w:p>
    <w:p>
      <w:pPr>
        <w:spacing w:after="0" w:line="119" w:lineRule="exact"/>
        <w:rPr>
          <w:sz w:val="20"/>
          <w:szCs w:val="20"/>
          <w:color w:val="auto"/>
        </w:rPr>
      </w:pPr>
    </w:p>
    <w:p>
      <w:pPr>
        <w:ind w:firstLine="378"/>
        <w:spacing w:after="0" w:line="266" w:lineRule="auto"/>
        <w:rPr>
          <w:sz w:val="20"/>
          <w:szCs w:val="20"/>
          <w:color w:val="auto"/>
        </w:rPr>
      </w:pPr>
      <w:r>
        <w:rPr>
          <w:rFonts w:ascii="Times New Roman" w:cs="Times New Roman" w:eastAsia="Times New Roman" w:hAnsi="Times New Roman"/>
          <w:sz w:val="18"/>
          <w:szCs w:val="18"/>
          <w:color w:val="auto"/>
        </w:rPr>
        <w:t>Net sales for 2014 decreased by $8 million (4%) compared to 2013. The decrease was primarily due to reduction in sales volume in certain low margin programs. Cost of goods sold for 2014 decreased by $9 million (6%) compared to 2013. The decrease was primarily due to lower sales volume. Gross margin for 2014 increased by $1 million (4%) compared to 2013.</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360"/>
          </w:cols>
          <w:pgMar w:left="240" w:top="472" w:right="299" w:bottom="1440" w:gutter="0" w:footer="0" w:header="0"/>
        </w:sectPr>
      </w:pPr>
    </w:p>
    <w:bookmarkStart w:id="110" w:name="page111"/>
    <w:bookmarkEnd w:id="110"/>
    <w:p>
      <w:pPr>
        <w:ind w:right="160"/>
        <w:spacing w:after="0" w:line="282" w:lineRule="auto"/>
        <w:rPr>
          <w:sz w:val="20"/>
          <w:szCs w:val="20"/>
          <w:color w:val="auto"/>
        </w:rPr>
      </w:pPr>
      <w:r>
        <w:rPr>
          <w:rFonts w:ascii="Times New Roman" w:cs="Times New Roman" w:eastAsia="Times New Roman" w:hAnsi="Times New Roman"/>
          <w:sz w:val="18"/>
          <w:szCs w:val="18"/>
          <w:color w:val="auto"/>
        </w:rPr>
        <w:t>Gross margin as a percentage of net sales was 14% for 2014 as compared to 12% for 2013. The improvement was primarily due to higher margins on more profitable programs and customers.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2013 Compared to the Year Ended December 31, 2012</w:t>
      </w:r>
    </w:p>
    <w:p>
      <w:pPr>
        <w:spacing w:after="0" w:line="119" w:lineRule="exact"/>
        <w:rPr>
          <w:sz w:val="20"/>
          <w:szCs w:val="20"/>
          <w:color w:val="auto"/>
        </w:rPr>
      </w:pPr>
    </w:p>
    <w:p>
      <w:pPr>
        <w:ind w:right="140" w:firstLine="378"/>
        <w:spacing w:after="0" w:line="261" w:lineRule="auto"/>
        <w:rPr>
          <w:sz w:val="20"/>
          <w:szCs w:val="20"/>
          <w:color w:val="auto"/>
        </w:rPr>
      </w:pPr>
      <w:r>
        <w:rPr>
          <w:rFonts w:ascii="Times New Roman" w:cs="Times New Roman" w:eastAsia="Times New Roman" w:hAnsi="Times New Roman"/>
          <w:sz w:val="18"/>
          <w:szCs w:val="18"/>
          <w:color w:val="auto"/>
        </w:rPr>
        <w:t>Net sales for 2013 decreased by $44 million (19%) compared to 2012. The decrease was primarily due to the effects of exiting certain unprofitable programs and customers, including licenses products. Cost of goods sold for 2013 decreased by $45 million (22%) compared to 2012. The decrease was primarily due to lower sales volume. Gross margin for 2013 increased by $1 million (5%) compared to 2012. Gross margin as a percentage of net sales was 12% for 2013 as compared to 10% for 2012. The improvement was primarily due to the effects of exiting certain unprofitable programs and customers.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Holding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2014 Compared to the Year Ended December 31, 2013</w:t>
      </w:r>
    </w:p>
    <w:p>
      <w:pPr>
        <w:spacing w:after="0" w:line="119" w:lineRule="exact"/>
        <w:rPr>
          <w:sz w:val="20"/>
          <w:szCs w:val="20"/>
          <w:color w:val="auto"/>
        </w:rPr>
      </w:pPr>
    </w:p>
    <w:p>
      <w:pPr>
        <w:ind w:right="120" w:firstLine="378"/>
        <w:spacing w:after="0" w:line="258" w:lineRule="auto"/>
        <w:rPr>
          <w:sz w:val="20"/>
          <w:szCs w:val="20"/>
          <w:color w:val="auto"/>
        </w:rPr>
      </w:pPr>
      <w:r>
        <w:rPr>
          <w:rFonts w:ascii="Times New Roman" w:cs="Times New Roman" w:eastAsia="Times New Roman" w:hAnsi="Times New Roman"/>
          <w:sz w:val="18"/>
          <w:szCs w:val="18"/>
          <w:color w:val="auto"/>
        </w:rPr>
        <w:t>Net loss from investment activities was $137 million for the year ended December 31, 2014 as compared to $158 million for the corresponding prior year period. The net loss from investment activities for the year ended December 31, 2014 and 2013 include realized and unrealized losses from certain derivative swaps that were assigned to the Holding Company from the Investment segment during August 2013. These derivative swaps were closed out during the third quarter of 2014. See Note 7, "Financial Instruments - Investment Segment and Holding Company," for further discussion. In addition, there were unrealized losses related to other securities held by the Holding Company.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2013 Compared to the Year Ended December 31, 2012</w:t>
      </w:r>
    </w:p>
    <w:p>
      <w:pPr>
        <w:spacing w:after="0" w:line="119" w:lineRule="exact"/>
        <w:rPr>
          <w:sz w:val="20"/>
          <w:szCs w:val="20"/>
          <w:color w:val="auto"/>
        </w:rPr>
      </w:pPr>
    </w:p>
    <w:p>
      <w:pPr>
        <w:jc w:val="both"/>
        <w:ind w:right="300" w:firstLine="378"/>
        <w:spacing w:after="0" w:line="261" w:lineRule="auto"/>
        <w:rPr>
          <w:sz w:val="20"/>
          <w:szCs w:val="20"/>
          <w:color w:val="auto"/>
        </w:rPr>
      </w:pPr>
      <w:r>
        <w:rPr>
          <w:rFonts w:ascii="Times New Roman" w:cs="Times New Roman" w:eastAsia="Times New Roman" w:hAnsi="Times New Roman"/>
          <w:sz w:val="18"/>
          <w:szCs w:val="18"/>
          <w:color w:val="auto"/>
        </w:rPr>
        <w:t>Net (loss) gain from investment activities were $(158) million and $27 million for the years ended December 31, 2013 and 2012. The net loss from investment for 2013 was primarily due to unrealized losses from certain swaps that were assigned to the Holding Company from the Investment segment during August 2013. See Note 7, "Financial Instruments - Investment Segment and Holding Company," for further discussion. The net gain for 2012 was primarily due to net unrealized gains related to certain investments held by the Holding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(Loss),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2014 Compared to the Year Ended December 31, 2013</w:t>
      </w:r>
    </w:p>
    <w:p>
      <w:pPr>
        <w:spacing w:after="0" w:line="119" w:lineRule="exact"/>
        <w:rPr>
          <w:sz w:val="20"/>
          <w:szCs w:val="20"/>
          <w:color w:val="auto"/>
        </w:rPr>
      </w:pPr>
    </w:p>
    <w:p>
      <w:pPr>
        <w:jc w:val="both"/>
        <w:ind w:right="80" w:firstLine="378"/>
        <w:spacing w:after="0" w:line="266" w:lineRule="auto"/>
        <w:rPr>
          <w:sz w:val="20"/>
          <w:szCs w:val="20"/>
          <w:color w:val="auto"/>
        </w:rPr>
      </w:pPr>
      <w:r>
        <w:rPr>
          <w:rFonts w:ascii="Times New Roman" w:cs="Times New Roman" w:eastAsia="Times New Roman" w:hAnsi="Times New Roman"/>
          <w:sz w:val="18"/>
          <w:szCs w:val="18"/>
          <w:color w:val="auto"/>
        </w:rPr>
        <w:t>Our consolidated other income (loss), net for the year ended December 31, 2014 and 2013 was $182 million and $21 million, respectively. Included in our consolidated other income (loss), net are gains and losses related to certain of our derivatives and loss on extinguishment of debt. See Note 7, "Financial Instruments," and Note 16, "Other Income (Loss), Net," to the consolidated financial statements for further discussion.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2013 Compared to the Year Ended December 31, 2012</w:t>
      </w:r>
    </w:p>
    <w:p>
      <w:pPr>
        <w:spacing w:after="0" w:line="119" w:lineRule="exact"/>
        <w:rPr>
          <w:sz w:val="20"/>
          <w:szCs w:val="20"/>
          <w:color w:val="auto"/>
        </w:rPr>
      </w:pPr>
    </w:p>
    <w:p>
      <w:pPr>
        <w:ind w:firstLine="378"/>
        <w:spacing w:after="0" w:line="266" w:lineRule="auto"/>
        <w:rPr>
          <w:sz w:val="20"/>
          <w:szCs w:val="20"/>
          <w:color w:val="auto"/>
        </w:rPr>
      </w:pPr>
      <w:r>
        <w:rPr>
          <w:rFonts w:ascii="Times New Roman" w:cs="Times New Roman" w:eastAsia="Times New Roman" w:hAnsi="Times New Roman"/>
          <w:sz w:val="18"/>
          <w:szCs w:val="18"/>
          <w:color w:val="auto"/>
        </w:rPr>
        <w:t>Our consolidated other income (loss), net for the year ended December 31, 2013 and 2012 was $21 million and $(175) million, respectively. Included in our consolidated other income (loss), net are gains and losses related to certain of our derivatives. See Note 7, "Financial Instruments," and Note 16, "Other Income (Loss), Net," to the consolidated financial statements for further discussion.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2014 Compared to the Year Ended December 31, 2013</w:t>
      </w:r>
    </w:p>
    <w:p>
      <w:pPr>
        <w:spacing w:after="0" w:line="119" w:lineRule="exact"/>
        <w:rPr>
          <w:sz w:val="20"/>
          <w:szCs w:val="20"/>
          <w:color w:val="auto"/>
        </w:rPr>
      </w:pPr>
    </w:p>
    <w:p>
      <w:pPr>
        <w:ind w:right="40" w:firstLine="378"/>
        <w:spacing w:after="0" w:line="258" w:lineRule="auto"/>
        <w:rPr>
          <w:sz w:val="20"/>
          <w:szCs w:val="20"/>
          <w:color w:val="auto"/>
        </w:rPr>
      </w:pPr>
      <w:r>
        <w:rPr>
          <w:rFonts w:ascii="Times New Roman" w:cs="Times New Roman" w:eastAsia="Times New Roman" w:hAnsi="Times New Roman"/>
          <w:sz w:val="18"/>
          <w:szCs w:val="18"/>
          <w:color w:val="auto"/>
        </w:rPr>
        <w:t>Our consolidated SG&amp;A for the year ended December 31, 2014 increased by $208 million (15%) as compared to the comparable prior year period. The increase was primarily due to an increase of $89 million from our Gaming segment primarily due to inclusion of the Lumière acquisition during the second quarter of 2014, $76 million from our Automotive segment primarily due to the recognition of an OPEB curtailment gain during the second quarter of 2013 (which reduced SG&amp;A in 2013), and the inclusion of the Affinia and Honeywell Acquisitions during the second quarter and third quarter of 2014, respectively, and an increase of $48 million from our Investment segment due to higher compensation expense attributable to a certain fund performance.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2013 Compared to the Year Ended December 31, 2012</w:t>
      </w:r>
    </w:p>
    <w:p>
      <w:pPr>
        <w:spacing w:after="0" w:line="119" w:lineRule="exact"/>
        <w:rPr>
          <w:sz w:val="20"/>
          <w:szCs w:val="20"/>
          <w:color w:val="auto"/>
        </w:rPr>
      </w:pPr>
    </w:p>
    <w:p>
      <w:pPr>
        <w:ind w:right="40" w:firstLine="378"/>
        <w:spacing w:after="0" w:line="266" w:lineRule="auto"/>
        <w:rPr>
          <w:sz w:val="20"/>
          <w:szCs w:val="20"/>
          <w:color w:val="auto"/>
        </w:rPr>
      </w:pPr>
      <w:r>
        <w:rPr>
          <w:rFonts w:ascii="Times New Roman" w:cs="Times New Roman" w:eastAsia="Times New Roman" w:hAnsi="Times New Roman"/>
          <w:sz w:val="18"/>
          <w:szCs w:val="18"/>
          <w:color w:val="auto"/>
        </w:rPr>
        <w:t>Our consolidated SG&amp;A for the year ended December 31, 2013 increased by $142 million (11%) as compared to the comparable prior year period. The increase was primarily due to an increase of $95 million by our Investment segment due to an increase in compensation expense as a result of certain fund performance during 2013. In addition, SG&amp;A increased by $39</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340"/>
          </w:cols>
          <w:pgMar w:left="240" w:top="472" w:right="319" w:bottom="1440" w:gutter="0" w:footer="0" w:header="0"/>
        </w:sectPr>
      </w:pPr>
    </w:p>
    <w:bookmarkStart w:id="111" w:name="page112"/>
    <w:bookmarkEnd w:id="111"/>
    <w:p>
      <w:pPr>
        <w:ind w:right="20"/>
        <w:spacing w:after="0" w:line="256" w:lineRule="auto"/>
        <w:rPr>
          <w:sz w:val="20"/>
          <w:szCs w:val="20"/>
          <w:color w:val="auto"/>
        </w:rPr>
      </w:pPr>
      <w:r>
        <w:rPr>
          <w:rFonts w:ascii="Times New Roman" w:cs="Times New Roman" w:eastAsia="Times New Roman" w:hAnsi="Times New Roman"/>
          <w:sz w:val="18"/>
          <w:szCs w:val="18"/>
          <w:color w:val="auto"/>
        </w:rPr>
        <w:t>million related to the SG&amp;A expenses of our Automotive segment, which included a net decrease of OPEB curtailment gains of $32 million over the respective periods (the effect of which represents an increase in SG&amp;A over the comparable periods). In addition, SG&amp;A increased by $25 million of SG&amp;A related to our Energy segment for the year ended December 31, 2013 for which there are limited comparable results in the comparable prior year period as we consolidated CVR effective May 4, 2012. This was offset in part by a decrease of $12 million related to SG&amp;A expenses of our Gaming segment primarily due to certain cost cutting measures and decrease in real estate taxes due to a favorable tax settlement and a decrease in our Home Fashion segment of $6 million primarily due to cost cutting measures.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2014 Compared to the Year Ended December 31, 2013</w:t>
      </w:r>
    </w:p>
    <w:p>
      <w:pPr>
        <w:spacing w:after="0" w:line="119" w:lineRule="exact"/>
        <w:rPr>
          <w:sz w:val="20"/>
          <w:szCs w:val="20"/>
          <w:color w:val="auto"/>
        </w:rPr>
      </w:pPr>
    </w:p>
    <w:p>
      <w:pPr>
        <w:ind w:right="560" w:firstLine="378"/>
        <w:spacing w:after="0" w:line="282" w:lineRule="auto"/>
        <w:rPr>
          <w:sz w:val="20"/>
          <w:szCs w:val="20"/>
          <w:color w:val="auto"/>
        </w:rPr>
      </w:pPr>
      <w:r>
        <w:rPr>
          <w:rFonts w:ascii="Times New Roman" w:cs="Times New Roman" w:eastAsia="Times New Roman" w:hAnsi="Times New Roman"/>
          <w:sz w:val="18"/>
          <w:szCs w:val="18"/>
          <w:color w:val="auto"/>
        </w:rPr>
        <w:t>Our consolidated restructuring costs were $84 million and $50 million for the year ended December 31, 2014 and 2013, respectively, which were primarily attributable to our Automotive segment in each of the respective periods as discussed below.</w:t>
      </w:r>
    </w:p>
    <w:p>
      <w:pPr>
        <w:spacing w:after="0" w:line="54"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Federal-Mogul has approved and initiated restructuring activities as a part of a broader initiative to improve operating performance and reduce costs. As such, Federal-Mogul will continue to evaluate its activities and opportunities to align its business with its executive management's strategy. The total expected cost for certain restructuring programs that commenced in the first quarter of 2013 is $134 million, of which $127 million pertains to employee costs and $7 million pertains to facility closure and other exit costs. In connection with these restructuring programs, Federal-Mogul recorded $82 million and $39 million in charges for the year ended December 31, 2014 and 2013, respectively, substantially all of which pertain to employee costs, with an estimated future additional restructuring cost of $13 million, all of which pertain to employee costs.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2013 Compared to the Year Ended December 31, 2012</w:t>
      </w:r>
    </w:p>
    <w:p>
      <w:pPr>
        <w:spacing w:after="0" w:line="119" w:lineRule="exact"/>
        <w:rPr>
          <w:sz w:val="20"/>
          <w:szCs w:val="20"/>
          <w:color w:val="auto"/>
        </w:rPr>
      </w:pPr>
    </w:p>
    <w:p>
      <w:pPr>
        <w:ind w:right="380" w:firstLine="378"/>
        <w:spacing w:after="0" w:line="266" w:lineRule="auto"/>
        <w:rPr>
          <w:sz w:val="20"/>
          <w:szCs w:val="20"/>
          <w:color w:val="auto"/>
        </w:rPr>
      </w:pPr>
      <w:r>
        <w:rPr>
          <w:rFonts w:ascii="Times New Roman" w:cs="Times New Roman" w:eastAsia="Times New Roman" w:hAnsi="Times New Roman"/>
          <w:sz w:val="18"/>
          <w:szCs w:val="18"/>
          <w:color w:val="auto"/>
        </w:rPr>
        <w:t>Our consolidated restructuring costs were $50 million and $31 million for the year ended December 31, 2013 and 2012, respectively, which were primarily attributable to our Automotive segment in each of the respective periods. During the year ended December 31, 2013 and 2012, our Automotive segment recorded $40 million and $26 million in restructuring charges, respectively, as further discussed below.</w:t>
      </w:r>
    </w:p>
    <w:p>
      <w:pPr>
        <w:spacing w:after="0" w:line="68" w:lineRule="exact"/>
        <w:rPr>
          <w:sz w:val="20"/>
          <w:szCs w:val="20"/>
          <w:color w:val="auto"/>
        </w:rPr>
      </w:pPr>
    </w:p>
    <w:p>
      <w:pPr>
        <w:ind w:right="60" w:firstLine="378"/>
        <w:spacing w:after="0" w:line="282" w:lineRule="auto"/>
        <w:rPr>
          <w:sz w:val="20"/>
          <w:szCs w:val="20"/>
          <w:color w:val="auto"/>
        </w:rPr>
      </w:pPr>
      <w:r>
        <w:rPr>
          <w:rFonts w:ascii="Times New Roman" w:cs="Times New Roman" w:eastAsia="Times New Roman" w:hAnsi="Times New Roman"/>
          <w:sz w:val="18"/>
          <w:szCs w:val="18"/>
          <w:color w:val="auto"/>
        </w:rPr>
        <w:t>Federal-Mogul has approved and initiated restructuring activities as a part of a broader initiative to improve operating performance and reduce costs. As such, Federal-Mogul will continue to evaluate its activities and opportunities to align its business with its executive management's strategy.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2014 Compared to the Year Ended December 31, 2013</w:t>
      </w:r>
    </w:p>
    <w:p>
      <w:pPr>
        <w:spacing w:after="0" w:line="119" w:lineRule="exact"/>
        <w:rPr>
          <w:sz w:val="20"/>
          <w:szCs w:val="20"/>
          <w:color w:val="auto"/>
        </w:rPr>
      </w:pPr>
    </w:p>
    <w:p>
      <w:pPr>
        <w:jc w:val="both"/>
        <w:ind w:right="340" w:firstLine="378"/>
        <w:spacing w:after="0" w:line="266" w:lineRule="auto"/>
        <w:rPr>
          <w:sz w:val="20"/>
          <w:szCs w:val="20"/>
          <w:color w:val="auto"/>
        </w:rPr>
      </w:pPr>
      <w:r>
        <w:rPr>
          <w:rFonts w:ascii="Times New Roman" w:cs="Times New Roman" w:eastAsia="Times New Roman" w:hAnsi="Times New Roman"/>
          <w:sz w:val="18"/>
          <w:szCs w:val="18"/>
          <w:color w:val="auto"/>
        </w:rPr>
        <w:t>Our consolidated impairment for the year ended December 31, 2014 increased by $119 million (744%) as compared to the corresponding prior year period. The increase was primarily due to impairment of goodwill by our Energy segment of $103 million during the year ended December 31, 2014. See Note 6, "Fair Value Measurements," and Note 8, "Goodwill and Intangible Assets, Net - Energy," for further discussion.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2013 Compared to the Year Ended December 31, 2012</w:t>
      </w:r>
    </w:p>
    <w:p>
      <w:pPr>
        <w:spacing w:after="0" w:line="119" w:lineRule="exact"/>
        <w:rPr>
          <w:sz w:val="20"/>
          <w:szCs w:val="20"/>
          <w:color w:val="auto"/>
        </w:rPr>
      </w:pPr>
    </w:p>
    <w:p>
      <w:pPr>
        <w:ind w:right="60" w:firstLine="378"/>
        <w:spacing w:after="0" w:line="261" w:lineRule="auto"/>
        <w:rPr>
          <w:sz w:val="20"/>
          <w:szCs w:val="20"/>
          <w:color w:val="auto"/>
        </w:rPr>
      </w:pPr>
      <w:r>
        <w:rPr>
          <w:rFonts w:ascii="Times New Roman" w:cs="Times New Roman" w:eastAsia="Times New Roman" w:hAnsi="Times New Roman"/>
          <w:sz w:val="18"/>
          <w:szCs w:val="18"/>
          <w:color w:val="auto"/>
        </w:rPr>
        <w:t>Our consolidated impairment for the year ended December 31, 2013 decreased by $113 million (88%) as compared to the corresponding prior year period. The decrease was primarily due to our Automotive segment. During the years ended December 31, 2013 and 2012, our Automotive segment had total impairment charges of $8 million and $98 million, respectively. The impairment charges for 2012 primarily related to intangibles and property plant and equipment.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2014 Compared to the Year Ended December 31, 2013</w:t>
      </w:r>
    </w:p>
    <w:p>
      <w:pPr>
        <w:spacing w:after="0" w:line="119"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Interest expense for both Icahn Enterprises and Icahn Enterprises Holdings during 2014 increased by $287 million (51%) as compared the corresponding prior year period. The increase was primarily due to higher interest expense from our Investment segment attributable to due to broker balances, higher interest expense from our Automotive segment due to refinancing of its term loans in April 2014, higher interest expense from our Railcar segment due to higher debt balances over the respective periods, offset in part by lower interest expense from our Energy segment due to overall lower interest rate on outstanding debt balances and higher capitalized interest, lower interest expense from our Food Packaging segment due to lower interest rate on outstanding debt balances and lower interest on debt refinancing from the Holding Company during the first quarter of 2014.</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2013 Compared to the Year Ended December 31, 2012</w:t>
      </w:r>
    </w:p>
    <w:p>
      <w:pPr>
        <w:spacing w:after="0" w:line="119" w:lineRule="exact"/>
        <w:rPr>
          <w:sz w:val="20"/>
          <w:szCs w:val="20"/>
          <w:color w:val="auto"/>
        </w:rPr>
      </w:pPr>
    </w:p>
    <w:p>
      <w:pPr>
        <w:ind w:right="180" w:firstLine="378"/>
        <w:spacing w:after="0" w:line="282" w:lineRule="auto"/>
        <w:rPr>
          <w:sz w:val="20"/>
          <w:szCs w:val="20"/>
          <w:color w:val="auto"/>
        </w:rPr>
      </w:pPr>
      <w:r>
        <w:rPr>
          <w:rFonts w:ascii="Times New Roman" w:cs="Times New Roman" w:eastAsia="Times New Roman" w:hAnsi="Times New Roman"/>
          <w:sz w:val="18"/>
          <w:szCs w:val="18"/>
          <w:color w:val="auto"/>
        </w:rPr>
        <w:t>Interest expense for both Icahn Enterprises and Icahn Enterprises Holdings during 2013 increased by $12 million (2%) compared to the corresponding prior year period. The decrease was primarily due to lower interest expense incurred by our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00"/>
          </w:cols>
          <w:pgMar w:left="240" w:top="472" w:right="259" w:bottom="1440" w:gutter="0" w:footer="0" w:header="0"/>
        </w:sectPr>
      </w:pPr>
    </w:p>
    <w:bookmarkStart w:id="112" w:name="page113"/>
    <w:bookmarkEnd w:id="112"/>
    <w:p>
      <w:pPr>
        <w:ind w:right="40"/>
        <w:spacing w:after="0" w:line="277" w:lineRule="auto"/>
        <w:rPr>
          <w:sz w:val="20"/>
          <w:szCs w:val="20"/>
          <w:color w:val="auto"/>
        </w:rPr>
      </w:pPr>
      <w:r>
        <w:rPr>
          <w:rFonts w:ascii="Times New Roman" w:cs="Times New Roman" w:eastAsia="Times New Roman" w:hAnsi="Times New Roman"/>
          <w:sz w:val="17"/>
          <w:szCs w:val="17"/>
          <w:color w:val="auto"/>
        </w:rPr>
        <w:t>Automotive segment as a result of the expiration of certain interest swaps during the first quarter of 2013, lower interest expense incurred by our Railcar segment as a result of a lower interest rate secured on its lease fleet financing and lower average debt balance due to the voluntary early redemption of its senior unsecured notes, offset in part higher interest expense incurred on certain Holding Company debt issued during the third quarter of 2012 and net higher interest rate incurred on certain debt issued in the third quarter of 2013 (our variable rate notes matured on August 15, 2013), the inclusion of interest expense related to CVR's debt effective May 4, 2012 and higher interest expense incurred by our Investment segment attributable to due to higher broker balances.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right="260" w:firstLine="378"/>
        <w:spacing w:after="0" w:line="258" w:lineRule="auto"/>
        <w:rPr>
          <w:sz w:val="20"/>
          <w:szCs w:val="20"/>
          <w:color w:val="auto"/>
        </w:rPr>
      </w:pPr>
      <w:r>
        <w:rPr>
          <w:rFonts w:ascii="Times New Roman" w:cs="Times New Roman" w:eastAsia="Times New Roman" w:hAnsi="Times New Roman"/>
          <w:sz w:val="18"/>
          <w:szCs w:val="18"/>
          <w:color w:val="auto"/>
        </w:rPr>
        <w:t>In September 2013, the Treasury Department and the Internal Revenue Service released final regulations that provided guidance on the application of IRC Section 263(a) for amounts paid to acquire, produce, or improve tangible property, as well as the rules for materials and supplies and proposed regulations addressing dispositions and general asset accounts. The final regulations are generally effective for tax years beginning on or after January 1, 2014. We are currently evaluating the impact of these new regulations and do not expect them to have a material impact to our consolidated financial statements.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2014 Compared to the Year Ended December 31, 2013</w:t>
      </w:r>
    </w:p>
    <w:p>
      <w:pPr>
        <w:spacing w:after="0" w:line="119" w:lineRule="exact"/>
        <w:rPr>
          <w:sz w:val="20"/>
          <w:szCs w:val="20"/>
          <w:color w:val="auto"/>
        </w:rPr>
      </w:pPr>
    </w:p>
    <w:p>
      <w:pPr>
        <w:ind w:right="200" w:firstLine="378"/>
        <w:spacing w:after="0" w:line="266" w:lineRule="auto"/>
        <w:rPr>
          <w:sz w:val="20"/>
          <w:szCs w:val="20"/>
          <w:color w:val="auto"/>
        </w:rPr>
      </w:pPr>
      <w:r>
        <w:rPr>
          <w:rFonts w:ascii="Times New Roman" w:cs="Times New Roman" w:eastAsia="Times New Roman" w:hAnsi="Times New Roman"/>
          <w:sz w:val="18"/>
          <w:szCs w:val="18"/>
          <w:color w:val="auto"/>
        </w:rPr>
        <w:t>For 2014, Icahn Enterprises recorded an income tax benefit of $103 million on pre-tax loss of $632 million compared to an income tax benefit of $118 million on pre-tax income of approximately $2.3 billion for 2013. Icahn Enterprises' effective income tax rate was 16.3% and 5.1% for 2014 and 2013, respectively.</w:t>
      </w:r>
    </w:p>
    <w:p>
      <w:pPr>
        <w:spacing w:after="0" w:line="68" w:lineRule="exact"/>
        <w:rPr>
          <w:sz w:val="20"/>
          <w:szCs w:val="20"/>
          <w:color w:val="auto"/>
        </w:rPr>
      </w:pPr>
    </w:p>
    <w:p>
      <w:pPr>
        <w:ind w:right="80" w:firstLine="378"/>
        <w:spacing w:after="0" w:line="266" w:lineRule="auto"/>
        <w:rPr>
          <w:sz w:val="20"/>
          <w:szCs w:val="20"/>
          <w:color w:val="auto"/>
        </w:rPr>
      </w:pPr>
      <w:r>
        <w:rPr>
          <w:rFonts w:ascii="Times New Roman" w:cs="Times New Roman" w:eastAsia="Times New Roman" w:hAnsi="Times New Roman"/>
          <w:sz w:val="18"/>
          <w:szCs w:val="18"/>
          <w:color w:val="auto"/>
        </w:rPr>
        <w:t>For 2014, Icahn Enterprises Holdings recorded an income tax benefit of $103 million on pre-tax loss of $631 million compared to an income tax benefit of $118 million on pre-tax income of approximately $2.3 billion for 2013. Icahn Enterprises Holdings' effective income tax rate was 16.3% and (5.1)% for 2014 and 2013, respectively.</w:t>
      </w:r>
    </w:p>
    <w:p>
      <w:pPr>
        <w:spacing w:after="0" w:line="68" w:lineRule="exact"/>
        <w:rPr>
          <w:sz w:val="20"/>
          <w:szCs w:val="20"/>
          <w:color w:val="auto"/>
        </w:rPr>
      </w:pPr>
    </w:p>
    <w:p>
      <w:pPr>
        <w:ind w:right="400" w:firstLine="378"/>
        <w:spacing w:after="0" w:line="282" w:lineRule="auto"/>
        <w:rPr>
          <w:sz w:val="20"/>
          <w:szCs w:val="20"/>
          <w:color w:val="auto"/>
        </w:rPr>
      </w:pPr>
      <w:r>
        <w:rPr>
          <w:rFonts w:ascii="Times New Roman" w:cs="Times New Roman" w:eastAsia="Times New Roman" w:hAnsi="Times New Roman"/>
          <w:sz w:val="18"/>
          <w:szCs w:val="18"/>
          <w:color w:val="auto"/>
        </w:rPr>
        <w:t>The difference between the effective tax rate and statutory federal rate of 35% is principally due to changes in valuation allowances and partnership income not subject to taxation, as such taxes are the responsibility of the partners.</w:t>
      </w:r>
    </w:p>
    <w:p>
      <w:pPr>
        <w:spacing w:after="0" w:line="54" w:lineRule="exact"/>
        <w:rPr>
          <w:sz w:val="20"/>
          <w:szCs w:val="20"/>
          <w:color w:val="auto"/>
        </w:rPr>
      </w:pPr>
    </w:p>
    <w:p>
      <w:pPr>
        <w:ind w:right="340" w:firstLine="378"/>
        <w:spacing w:after="0" w:line="282" w:lineRule="auto"/>
        <w:rPr>
          <w:sz w:val="20"/>
          <w:szCs w:val="20"/>
          <w:color w:val="auto"/>
        </w:rPr>
      </w:pPr>
      <w:r>
        <w:rPr>
          <w:rFonts w:ascii="Times New Roman" w:cs="Times New Roman" w:eastAsia="Times New Roman" w:hAnsi="Times New Roman"/>
          <w:sz w:val="18"/>
          <w:szCs w:val="18"/>
          <w:color w:val="auto"/>
        </w:rPr>
        <w:t>For 2014, Icahn Enterprises and Icahn Enterprises Holdings recognized a deferred tax benefit on its pre-tax loss primarily due to income tax benefits recorded on a release of valuation allowance on the deferred tax assets in our Gaming segment of $196 million.</w:t>
      </w:r>
    </w:p>
    <w:p>
      <w:pPr>
        <w:spacing w:after="0" w:line="54"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Our Gaming segment has federal net operating loss ("NOL") carryforwards pursuant to the purchase of Adamar of New Jersey, Inc. (“Adamar”). Internal Revenue Code Section 382 (“Code 382”) places certain limitations on the annual amount of NOL carryforwards that can be utilized when a change of ownership occurs. Our Gaming segment believes its purchase of Adamar was a change in ownership pursuant to Code 382. As a result of the annual limitation, the NOL carryforward amount available to be used in future periods is $161 million and will begin to expire in the year 2028 and forward. As of March 8, 2010, Tropicana had various net deferred tax assets made up primarily of the expected future tax benefit of net operating loss carryforwards and excess tax basis not yet deductible for tax purposes. A valuation allowance was provided in full against these net deferred tax assets upon emergence from bankruptcy. During the year ended December 31, 2014, our Gaming segment reversed the valuation allowance related to the net deferred tax assets by $196 million. The reduction in the valuation allowance is a result of our Gaming segment analyzing all positive and negative evidence and concluding that it is more likely than not to realize the benefit of this portion of its net deferred tax assets. The reduction in the valuation allowance was recorded as an income tax benefit during the year ended December 31, 2014.</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2013 Compared to the Year Ended December 31, 2012</w:t>
      </w:r>
    </w:p>
    <w:p>
      <w:pPr>
        <w:spacing w:after="0" w:line="119" w:lineRule="exact"/>
        <w:rPr>
          <w:sz w:val="20"/>
          <w:szCs w:val="20"/>
          <w:color w:val="auto"/>
        </w:rPr>
      </w:pPr>
    </w:p>
    <w:p>
      <w:pPr>
        <w:jc w:val="both"/>
        <w:ind w:right="100" w:firstLine="378"/>
        <w:spacing w:after="0" w:line="266" w:lineRule="auto"/>
        <w:rPr>
          <w:sz w:val="20"/>
          <w:szCs w:val="20"/>
          <w:color w:val="auto"/>
        </w:rPr>
      </w:pPr>
      <w:r>
        <w:rPr>
          <w:rFonts w:ascii="Times New Roman" w:cs="Times New Roman" w:eastAsia="Times New Roman" w:hAnsi="Times New Roman"/>
          <w:sz w:val="18"/>
          <w:szCs w:val="18"/>
          <w:color w:val="auto"/>
        </w:rPr>
        <w:t>For 2013, Icahn Enterprises recorded an income tax benefit of $118 million on pre-tax income of approximately $2.3 billion compared to an income tax expense of $81 million on pre-tax income of $681 million for 2012. Icahn Enterprises' effective income tax rate was (5.1)% and (11.9)% for 2013 and 2012, respectively.</w:t>
      </w:r>
    </w:p>
    <w:p>
      <w:pPr>
        <w:spacing w:after="0" w:line="68" w:lineRule="exact"/>
        <w:rPr>
          <w:sz w:val="20"/>
          <w:szCs w:val="20"/>
          <w:color w:val="auto"/>
        </w:rPr>
      </w:pPr>
    </w:p>
    <w:p>
      <w:pPr>
        <w:ind w:right="80" w:firstLine="378"/>
        <w:spacing w:after="0" w:line="266" w:lineRule="auto"/>
        <w:rPr>
          <w:sz w:val="20"/>
          <w:szCs w:val="20"/>
          <w:color w:val="auto"/>
        </w:rPr>
      </w:pPr>
      <w:r>
        <w:rPr>
          <w:rFonts w:ascii="Times New Roman" w:cs="Times New Roman" w:eastAsia="Times New Roman" w:hAnsi="Times New Roman"/>
          <w:sz w:val="18"/>
          <w:szCs w:val="18"/>
          <w:color w:val="auto"/>
        </w:rPr>
        <w:t>For 2013, Icahn Enterprises Holdings recorded an income tax benefit of $118 million on pre-tax income of approximately $2.3 billion compared to an income tax expense of $81 million on pre-tax income of $682 million for 2012. Icahn Enterprises' effective income tax rate was (5.1)% and (11.9)% for 2013 and 2012, respectively.</w:t>
      </w:r>
    </w:p>
    <w:p>
      <w:pPr>
        <w:spacing w:after="0" w:line="68" w:lineRule="exact"/>
        <w:rPr>
          <w:sz w:val="20"/>
          <w:szCs w:val="20"/>
          <w:color w:val="auto"/>
        </w:rPr>
      </w:pPr>
    </w:p>
    <w:p>
      <w:pPr>
        <w:ind w:right="400" w:firstLine="378"/>
        <w:spacing w:after="0" w:line="282" w:lineRule="auto"/>
        <w:rPr>
          <w:sz w:val="20"/>
          <w:szCs w:val="20"/>
          <w:color w:val="auto"/>
        </w:rPr>
      </w:pPr>
      <w:r>
        <w:rPr>
          <w:rFonts w:ascii="Times New Roman" w:cs="Times New Roman" w:eastAsia="Times New Roman" w:hAnsi="Times New Roman"/>
          <w:sz w:val="18"/>
          <w:szCs w:val="18"/>
          <w:color w:val="auto"/>
        </w:rPr>
        <w:t>The difference between the effective tax rate and statutory federal rate of 35% is principally due to changes in valuation allowances and partnership income not subject to taxation, as such taxes are the responsibility of the partners.</w:t>
      </w:r>
    </w:p>
    <w:p>
      <w:pPr>
        <w:spacing w:after="0" w:line="54"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For 2013, Icahn Enterprises and Icahn Enterprises Holdings recognized a deferred tax benefit on its pre-tax earnings primarily due to income tax benefits recorded on a release of valuation allowance on the deferred tax assets in our Automotive and Food Packaging segments of $287 million and $51 million, respectively. During 2013, IEH FM Holdings LLC, the parent company of Federal-Mogul, was contributed to American Entertainment Properties Corp. (“AEPC”), an indirect subsidiary of ours, in a tax-free transaction. Pursuant to the contribution, AEPC owned a controlling interest in Federal-Mogul and Federal-Mogul became part of the federal income tax consolidated group of AEPC. Positive and negative evidence was evaluated and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472" w:right="239" w:bottom="1440" w:gutter="0" w:footer="0" w:header="0"/>
        </w:sectPr>
      </w:pPr>
    </w:p>
    <w:bookmarkStart w:id="113" w:name="page114"/>
    <w:bookmarkEnd w:id="113"/>
    <w:p>
      <w:pPr>
        <w:ind w:right="120"/>
        <w:spacing w:after="0" w:line="261" w:lineRule="auto"/>
        <w:rPr>
          <w:sz w:val="20"/>
          <w:szCs w:val="20"/>
          <w:color w:val="auto"/>
        </w:rPr>
      </w:pPr>
      <w:r>
        <w:rPr>
          <w:rFonts w:ascii="Times New Roman" w:cs="Times New Roman" w:eastAsia="Times New Roman" w:hAnsi="Times New Roman"/>
          <w:sz w:val="18"/>
          <w:szCs w:val="18"/>
          <w:color w:val="auto"/>
        </w:rPr>
        <w:t>AEPC was able to conclude that it was more likely than not to realize a portion of the Federal-Mogul deferred tax assets as part of the consolidated U.S. tax filing and released $287 million of the Federal-Mogul valuation allowance. Additionally, in 2013, Viskase's management evaluated the positive and negative evidence concerning the expected realization of its deferred tax assets and was able to conclude that it was more likely than not that all of the deferred tax assets will be realized and fully released its $51 million valuation allowance.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2014, our Holding Company had investments in the Investment Funds with a total fair market value of approximately $4.3 billion.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2014, our Holding Company had cash and cash equivalents of approximately $1.1 billion and total debt of approximately $5.5 billion.</w:t>
      </w:r>
    </w:p>
    <w:p>
      <w:pPr>
        <w:spacing w:after="0" w:line="99" w:lineRule="exact"/>
        <w:rPr>
          <w:sz w:val="20"/>
          <w:szCs w:val="20"/>
          <w:color w:val="auto"/>
        </w:rPr>
      </w:pPr>
    </w:p>
    <w:p>
      <w:pPr>
        <w:ind w:right="100" w:firstLine="378"/>
        <w:spacing w:after="0" w:line="272" w:lineRule="auto"/>
        <w:rPr>
          <w:sz w:val="20"/>
          <w:szCs w:val="20"/>
          <w:color w:val="auto"/>
        </w:rPr>
      </w:pPr>
      <w:r>
        <w:rPr>
          <w:rFonts w:ascii="Times New Roman" w:cs="Times New Roman" w:eastAsia="Times New Roman" w:hAnsi="Times New Roman"/>
          <w:sz w:val="17"/>
          <w:szCs w:val="17"/>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from subsidiaries, obtaining loans or other financings based on the asset values of subsidiaries, or selling debt or equity securities of subsidiaries through capital markets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64" w:lineRule="exact"/>
        <w:rPr>
          <w:sz w:val="20"/>
          <w:szCs w:val="20"/>
          <w:color w:val="auto"/>
        </w:rPr>
      </w:pPr>
    </w:p>
    <w:p>
      <w:pPr>
        <w:ind w:right="120" w:firstLine="378"/>
        <w:spacing w:after="0" w:line="282" w:lineRule="auto"/>
        <w:rPr>
          <w:sz w:val="20"/>
          <w:szCs w:val="20"/>
          <w:color w:val="auto"/>
        </w:rPr>
      </w:pPr>
      <w:r>
        <w:rPr>
          <w:rFonts w:ascii="Times New Roman" w:cs="Times New Roman" w:eastAsia="Times New Roman" w:hAnsi="Times New Roman"/>
          <w:sz w:val="18"/>
          <w:szCs w:val="18"/>
          <w:color w:val="auto"/>
        </w:rPr>
        <w:t>As of December 31, 2014 based on covenants in the indenture governing our senior notes, we could incur approximately $930 million in additional indebtedness. See Note 10, “Debt,” to the consolidated financial statements for additional information concerning credit facilities for us and our subsidiaries.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CVR Dividends and CVR Refining Distributions</w:t>
      </w:r>
    </w:p>
    <w:p>
      <w:pPr>
        <w:spacing w:after="0" w:line="119"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On January 24, 2013, the board of directors of CVR adopted a quarterly cash dividend policy. CVR began paying regular quarterly dividends in the second quarter of 2013. Dividends are subject to change at the discretion of CVR's board of directors and may change from quarter to quarter. As we currently own approximately 82.0% of the common shares of CVR, the majority of CVR's dividend will directly upstream to us. For the years ended December 31, 2014 and 2013, we received an aggregate of $374 million and approximately $1.0 billion, respectively, in dividends from CVR and distributions from CVR Refining, including one special dividend during 2014 and two special dividends during 2013 from CVR, as discussed below. Subsequent to December 31, 2014, CVR and CVR Refining declared a quarterly dividend/distribution which will result in an additional aggregate $38 million in dividends/distributions paid to us in the first quarter of 2015.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 on Depositary Units</w:t>
      </w:r>
    </w:p>
    <w:p>
      <w:pPr>
        <w:spacing w:after="0" w:line="119"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On February 11, 2013, we announced that the board of directors of our general partner approved a modification to our distribution policy to provide for an increase in the annual distribution from $1.40, comprised of $0.40 in cash and $1.00 in depositary units, to $4.00 per depositary unit, payable in either cash or additional depositary units, at the election of each depositary unitholder. On May 29, 2013, the board of directors of our general partner further modified our distribution policy to increase our annual distribution from $4.00 per depositary unit to $5.00 per depositary unit. Further, on March 3, 2014, the board of directors of our general partner announced an increase in our annualized distribution from $5.00 per depositary unit to $6.00 per depositary unit.</w:t>
      </w:r>
    </w:p>
    <w:p>
      <w:pPr>
        <w:spacing w:after="0" w:line="76" w:lineRule="exact"/>
        <w:rPr>
          <w:sz w:val="20"/>
          <w:szCs w:val="20"/>
          <w:color w:val="auto"/>
        </w:rPr>
      </w:pPr>
    </w:p>
    <w:p>
      <w:pPr>
        <w:ind w:right="80" w:firstLine="378"/>
        <w:spacing w:after="0" w:line="255" w:lineRule="auto"/>
        <w:rPr>
          <w:sz w:val="20"/>
          <w:szCs w:val="20"/>
          <w:color w:val="auto"/>
        </w:rPr>
      </w:pPr>
      <w:r>
        <w:rPr>
          <w:rFonts w:ascii="Times New Roman" w:cs="Times New Roman" w:eastAsia="Times New Roman" w:hAnsi="Times New Roman"/>
          <w:sz w:val="18"/>
          <w:szCs w:val="18"/>
          <w:color w:val="auto"/>
        </w:rPr>
        <w:t>On February 20, 2015, the board of directors of the general partner of Icahn Enterprises declared a quarterly distribution in the amount of $1.50 per depositary unit, which will be paid on or about April 22, 2015 to depositary unitholders of record at the close of business on March 9, 2015. Depositary unitholders will have until April 2, 2015 to make an election to receive either cash or additional depositary units; if a holder does not make an election, it will automatically be deemed to have elected to receive the dividend in cash. Depositary unitholders who elect to receive additional depositary units will receive units valued at the volume weighted average trading price of the units on NASDAQ during the 10 consecutive trading days ending April 17, 2015. No fractional depositary units will be issued pursuant to the distribution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77" w:lineRule="exact"/>
        <w:rPr>
          <w:sz w:val="20"/>
          <w:szCs w:val="20"/>
          <w:color w:val="auto"/>
        </w:rPr>
      </w:pPr>
    </w:p>
    <w:p>
      <w:pPr>
        <w:ind w:right="260" w:firstLine="378"/>
        <w:spacing w:after="0" w:line="266" w:lineRule="auto"/>
        <w:rPr>
          <w:sz w:val="20"/>
          <w:szCs w:val="20"/>
          <w:color w:val="auto"/>
        </w:rPr>
      </w:pPr>
      <w:r>
        <w:rPr>
          <w:rFonts w:ascii="Times New Roman" w:cs="Times New Roman" w:eastAsia="Times New Roman" w:hAnsi="Times New Roman"/>
          <w:sz w:val="18"/>
          <w:szCs w:val="18"/>
          <w:color w:val="auto"/>
        </w:rPr>
        <w:t>During 2014, we declared four quarterly distributions aggregating $6.00 per depositary unit. Depositary unitholders were given the option to make an election to receive the distributions in either cash or additional depositary units; if a holder did not make an election, it was automatically deemed to have elected to receive the distributions in cash. All four distributions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20"/>
          </w:cols>
          <w:pgMar w:left="240" w:top="472" w:right="239" w:bottom="1440" w:gutter="0" w:footer="0" w:header="0"/>
        </w:sectPr>
      </w:pPr>
    </w:p>
    <w:bookmarkStart w:id="114" w:name="page115"/>
    <w:bookmarkEnd w:id="114"/>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declared in 2014 were paid in 2014. Additionally, the fourth quarterly distribution declared in 2013 was paid in January 2014. Therefore, during 2014, we distributed and aggregate 7,203,105 of depositary units to those Depositary unitholders who elected to receive such distributions in additional depositary units. In addition, during 2014 we paid $123 million to those Depositary unitholders who had elected to receive such distributions in cash.</w:t>
      </w:r>
    </w:p>
    <w:p>
      <w:pPr>
        <w:spacing w:after="0" w:line="68" w:lineRule="exact"/>
        <w:rPr>
          <w:sz w:val="20"/>
          <w:szCs w:val="20"/>
          <w:color w:val="auto"/>
        </w:rPr>
      </w:pPr>
    </w:p>
    <w:p>
      <w:pPr>
        <w:jc w:val="both"/>
        <w:ind w:right="240" w:firstLine="378"/>
        <w:spacing w:after="0" w:line="261" w:lineRule="auto"/>
        <w:rPr>
          <w:sz w:val="20"/>
          <w:szCs w:val="20"/>
          <w:color w:val="auto"/>
        </w:rPr>
      </w:pPr>
      <w:r>
        <w:rPr>
          <w:rFonts w:ascii="Times New Roman" w:cs="Times New Roman" w:eastAsia="Times New Roman" w:hAnsi="Times New Roman"/>
          <w:sz w:val="18"/>
          <w:szCs w:val="18"/>
          <w:color w:val="auto"/>
        </w:rPr>
        <w:t>During 2014, Mr. Icahn and his affiliates elected to receive a majority of their proportionate share of these distributions in depositary units. Mr. Icahn and his affiliates owned approximately 88.4% of Icahn Enterprises' outstanding depositary units as of December 31, 2014. Mr. Icahn and his affiliates have indicated that it is their present intention to elect to continue to receive the increase in Icahn Enterprises’ cash distribution in additional depositary units for the foreseeable future.</w:t>
      </w:r>
    </w:p>
    <w:p>
      <w:pPr>
        <w:spacing w:after="0" w:line="72"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The declaration and payment of distributions is reviewed quarterly by Icahn Enterprises GP's board of directors based upon a review of our balance sheet and cash flow, the ratio of current assets to current liabilities,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Offerings</w:t>
      </w:r>
    </w:p>
    <w:p>
      <w:pPr>
        <w:spacing w:after="0" w:line="119" w:lineRule="exact"/>
        <w:rPr>
          <w:sz w:val="20"/>
          <w:szCs w:val="20"/>
          <w:color w:val="auto"/>
        </w:rPr>
      </w:pPr>
    </w:p>
    <w:p>
      <w:pPr>
        <w:ind w:right="80" w:firstLine="378"/>
        <w:spacing w:after="0" w:line="258" w:lineRule="auto"/>
        <w:rPr>
          <w:sz w:val="20"/>
          <w:szCs w:val="20"/>
          <w:color w:val="auto"/>
        </w:rPr>
      </w:pPr>
      <w:r>
        <w:rPr>
          <w:rFonts w:ascii="Times New Roman" w:cs="Times New Roman" w:eastAsia="Times New Roman" w:hAnsi="Times New Roman"/>
          <w:sz w:val="18"/>
          <w:szCs w:val="18"/>
          <w:color w:val="auto"/>
        </w:rPr>
        <w:t>As discussed elsewhere in this Report, on January 21, 2014, the Issuers closed on their sale of $3.65 billion in aggregate principal amount of their New Notes. We used the proceeds from the issuance of the Initial New Notes to refinance our 2016 and 2018 Notes. See Note 10, "Debt-Senior Unsecured Notes - Icahn Enterprises and Icahn Enterprises Holdings" for further discussion regarding our 2016 and 2018 Notes. As a result of this refinancing, we purchased $3,500 million aggregate principal of the 2016 and 2018 Notes and recognized a loss of approximately $108 million on extinguishment of debt during the first quarter of 2014. The 2016 Notes and 2018 Notes were discharged in full on February 6, 2014.</w:t>
      </w:r>
    </w:p>
    <w:p>
      <w:pPr>
        <w:spacing w:after="0" w:line="76" w:lineRule="exact"/>
        <w:rPr>
          <w:sz w:val="20"/>
          <w:szCs w:val="20"/>
          <w:color w:val="auto"/>
        </w:rPr>
      </w:pPr>
    </w:p>
    <w:p>
      <w:pPr>
        <w:ind w:right="220" w:firstLine="378"/>
        <w:spacing w:after="0" w:line="266" w:lineRule="auto"/>
        <w:rPr>
          <w:sz w:val="20"/>
          <w:szCs w:val="20"/>
          <w:color w:val="auto"/>
        </w:rPr>
      </w:pPr>
      <w:r>
        <w:rPr>
          <w:rFonts w:ascii="Times New Roman" w:cs="Times New Roman" w:eastAsia="Times New Roman" w:hAnsi="Times New Roman"/>
          <w:sz w:val="18"/>
          <w:szCs w:val="18"/>
          <w:color w:val="auto"/>
        </w:rPr>
        <w:t>As discussed elsewhere in this Report, on January 29, 2014, the Issuers closed on the sale of $1.350 billion aggregate principal amount of the 2022 Notes. The net proceeds from the sale of the 2022 Notes were approximately $1.340 billion after deducting the initial purchaser’s discount and commission and estimated fees and expenses related to the offering.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20"/>
          </w:cols>
          <w:pgMar w:left="240" w:top="472" w:right="2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121" w:lineRule="exact"/>
        <w:rPr>
          <w:sz w:val="20"/>
          <w:szCs w:val="20"/>
          <w:color w:val="auto"/>
        </w:rPr>
      </w:pPr>
    </w:p>
    <w:p>
      <w:pPr>
        <w:jc w:val="right"/>
        <w:ind w:right="8340"/>
        <w:spacing w:after="0"/>
        <w:rPr>
          <w:sz w:val="20"/>
          <w:szCs w:val="20"/>
          <w:color w:val="auto"/>
        </w:rPr>
      </w:pPr>
      <w:r>
        <w:rPr>
          <w:rFonts w:ascii="Times New Roman" w:cs="Times New Roman" w:eastAsia="Times New Roman" w:hAnsi="Times New Roman"/>
          <w:sz w:val="18"/>
          <w:szCs w:val="18"/>
          <w:color w:val="auto"/>
        </w:rPr>
        <w:t>Debt consists of the following:</w:t>
      </w:r>
    </w:p>
    <w:p>
      <w:pPr>
        <w:sectPr>
          <w:pgSz w:w="11900" w:h="16838" w:orient="portrait"/>
          <w:cols w:equalWidth="0" w:num="1">
            <w:col w:w="10940"/>
          </w:cols>
          <w:pgMar w:left="240" w:top="468" w:right="719" w:bottom="1440" w:gutter="0" w:footer="0" w:header="0"/>
        </w:sectPr>
      </w:pPr>
    </w:p>
    <w:p>
      <w:pPr>
        <w:spacing w:after="0" w:line="167"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Icahn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36830</wp:posOffset>
            </wp:positionV>
            <wp:extent cx="1749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57"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36830</wp:posOffset>
            </wp:positionV>
            <wp:extent cx="1749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57" w:lineRule="exact"/>
        <w:rPr>
          <w:sz w:val="20"/>
          <w:szCs w:val="20"/>
          <w:color w:val="auto"/>
        </w:rPr>
      </w:pPr>
    </w:p>
    <w:p>
      <w:pPr>
        <w:ind w:left="5820"/>
        <w:spacing w:after="0"/>
        <w:tabs>
          <w:tab w:leader="none" w:pos="7220" w:val="left"/>
        </w:tabs>
        <w:rPr>
          <w:sz w:val="20"/>
          <w:szCs w:val="20"/>
          <w:color w:val="auto"/>
        </w:rPr>
      </w:pPr>
      <w:r>
        <w:rPr>
          <w:rFonts w:ascii="Times New Roman" w:cs="Times New Roman" w:eastAsia="Times New Roman" w:hAnsi="Times New Roman"/>
          <w:sz w:val="18"/>
          <w:szCs w:val="18"/>
          <w:b w:val="1"/>
          <w:bCs w:val="1"/>
          <w:color w:val="auto"/>
        </w:rPr>
        <w:t>2014</w:t>
      </w:r>
      <w:r>
        <w:rPr>
          <w:sz w:val="20"/>
          <w:szCs w:val="20"/>
          <w:color w:val="auto"/>
        </w:rPr>
        <w:tab/>
      </w:r>
      <w:r>
        <w:rPr>
          <w:rFonts w:ascii="Times New Roman" w:cs="Times New Roman" w:eastAsia="Times New Roman" w:hAnsi="Times New Roman"/>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36830</wp:posOffset>
            </wp:positionV>
            <wp:extent cx="1749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1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4"/>
          <w:szCs w:val="14"/>
          <w:color w:val="auto"/>
        </w:rPr>
        <w:t>(in millions)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Icahn Enterprises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36830</wp:posOffset>
            </wp:positionV>
            <wp:extent cx="1749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36830</wp:posOffset>
            </wp:positionV>
            <wp:extent cx="17494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57" w:lineRule="exact"/>
        <w:rPr>
          <w:sz w:val="20"/>
          <w:szCs w:val="20"/>
          <w:color w:val="auto"/>
        </w:rPr>
      </w:pPr>
    </w:p>
    <w:p>
      <w:pPr>
        <w:ind w:left="1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2014</w:t>
      </w:r>
      <w:r>
        <w:rPr>
          <w:sz w:val="20"/>
          <w:szCs w:val="20"/>
          <w:color w:val="auto"/>
        </w:rPr>
        <w:tab/>
      </w:r>
      <w:r>
        <w:rPr>
          <w:rFonts w:ascii="Times New Roman" w:cs="Times New Roman" w:eastAsia="Times New Roman" w:hAnsi="Times New Roman"/>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36830</wp:posOffset>
            </wp:positionV>
            <wp:extent cx="17494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(in millions)</w:t>
      </w:r>
    </w:p>
    <w:p>
      <w:pPr>
        <w:spacing w:after="0" w:line="47" w:lineRule="exact"/>
        <w:rPr>
          <w:sz w:val="20"/>
          <w:szCs w:val="20"/>
          <w:color w:val="auto"/>
        </w:rPr>
      </w:pPr>
    </w:p>
    <w:p>
      <w:pPr>
        <w:sectPr>
          <w:pgSz w:w="11900" w:h="16838" w:orient="portrait"/>
          <w:cols w:equalWidth="0" w:num="2">
            <w:col w:w="7800" w:space="720"/>
            <w:col w:w="2420"/>
          </w:cols>
          <w:pgMar w:left="240" w:top="468" w:right="71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5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5.875% senior unsecured notes due 2022 - Icahn Enterprises/Icahn</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41"/>
        </w:trPr>
        <w:tc>
          <w:tcPr>
            <w:tcW w:w="5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Enterprises Holdings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 senior unsecured notes due 2020 - Icahn Enterprises/Icahn</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Enterprises Holdings</w:t>
            </w:r>
          </w:p>
        </w:tc>
        <w:tc>
          <w:tcPr>
            <w:tcW w:w="4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r>
      <w:tr>
        <w:trPr>
          <w:trHeight w:val="27"/>
        </w:trPr>
        <w:tc>
          <w:tcPr>
            <w:tcW w:w="5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5"/>
        </w:trPr>
        <w:tc>
          <w:tcPr>
            <w:tcW w:w="5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4.875% senior unsecured notes due 2019 - Icahn Enterprises/Icahn</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1"/>
        </w:trPr>
        <w:tc>
          <w:tcPr>
            <w:tcW w:w="5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Enterprises Holdings</w:t>
            </w: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 senior unsecured notes due 2018 - Icahn Enterprises/Icahn</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Enterprises Holdings</w:t>
            </w:r>
          </w:p>
        </w:tc>
        <w:tc>
          <w:tcPr>
            <w:tcW w:w="4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2,470</w:t>
            </w:r>
          </w:p>
        </w:tc>
      </w:tr>
      <w:tr>
        <w:trPr>
          <w:trHeight w:val="27"/>
        </w:trPr>
        <w:tc>
          <w:tcPr>
            <w:tcW w:w="5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5"/>
        </w:trPr>
        <w:tc>
          <w:tcPr>
            <w:tcW w:w="5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3.50% senior unsecured notes due 2017 - Icahn Enterprises/Icahn</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1"/>
        </w:trPr>
        <w:tc>
          <w:tcPr>
            <w:tcW w:w="5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Enterprises Holdings</w:t>
            </w: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7.75% senior unsecured notes due 2016 - Icahn Enterprises/Icahn</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Enterprises Holdings</w:t>
            </w:r>
          </w:p>
        </w:tc>
        <w:tc>
          <w:tcPr>
            <w:tcW w:w="4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1,047</w:t>
            </w:r>
          </w:p>
        </w:tc>
      </w:tr>
      <w:tr>
        <w:trPr>
          <w:trHeight w:val="27"/>
        </w:trPr>
        <w:tc>
          <w:tcPr>
            <w:tcW w:w="5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facilities - Automotive</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2,494</w:t>
            </w:r>
          </w:p>
        </w:tc>
      </w:tr>
      <w:tr>
        <w:trPr>
          <w:trHeight w:val="24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and credit facilities - Energy</w:t>
            </w: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w:t>
            </w:r>
          </w:p>
        </w:tc>
      </w:tr>
      <w:tr>
        <w:trPr>
          <w:trHeight w:val="27"/>
        </w:trPr>
        <w:tc>
          <w:tcPr>
            <w:tcW w:w="5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and credit facilities - Railcar</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1,448</w:t>
            </w:r>
          </w:p>
        </w:tc>
      </w:tr>
      <w:tr>
        <w:trPr>
          <w:trHeight w:val="24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facilities - Gaming</w:t>
            </w: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5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secured notes and revolving credit facility - Food Packaging</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r>
      <w:tr>
        <w:trPr>
          <w:trHeight w:val="24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Mortgages payable - Real Estate</w:t>
            </w: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5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r>
      <w:tr>
        <w:trPr>
          <w:trHeight w:val="237"/>
        </w:trPr>
        <w:tc>
          <w:tcPr>
            <w:tcW w:w="53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11,588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9,295</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11,588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9,289</w:t>
            </w:r>
          </w:p>
        </w:tc>
      </w:tr>
      <w:tr>
        <w:trPr>
          <w:trHeight w:val="27"/>
        </w:trPr>
        <w:tc>
          <w:tcPr>
            <w:tcW w:w="5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360" w:firstLine="378"/>
        <w:spacing w:after="0" w:line="282" w:lineRule="auto"/>
        <w:rPr>
          <w:sz w:val="20"/>
          <w:szCs w:val="20"/>
          <w:color w:val="auto"/>
        </w:rPr>
      </w:pPr>
      <w:r>
        <w:rPr>
          <w:rFonts w:ascii="Times New Roman" w:cs="Times New Roman" w:eastAsia="Times New Roman" w:hAnsi="Times New Roman"/>
          <w:sz w:val="18"/>
          <w:szCs w:val="18"/>
          <w:color w:val="auto"/>
        </w:rPr>
        <w:t>See Note 10, “Debt,” to the consolidated financial statements contained elsewhere in this Report for additional information concerning terms, restrictions and covenants of our debt. As of December 31, 2014, we are in compliance with all debt covenants.</w:t>
      </w:r>
    </w:p>
    <w:p>
      <w:pPr>
        <w:spacing w:after="0" w:line="200" w:lineRule="exact"/>
        <w:rPr>
          <w:sz w:val="20"/>
          <w:szCs w:val="20"/>
          <w:color w:val="auto"/>
        </w:rPr>
      </w:pPr>
    </w:p>
    <w:p>
      <w:pPr>
        <w:spacing w:after="0" w:line="2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940"/>
          </w:cols>
          <w:pgMar w:left="240" w:top="468" w:right="71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 and Contingencies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reflects, at December 31, 2014, our contractual cash obligations, subject to certain conditions, due over the indicated periods: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5"/>
        </w:trPr>
        <w:tc>
          <w:tcPr>
            <w:tcW w:w="3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5"/>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11,561</w:t>
            </w: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payments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3,140</w:t>
            </w:r>
          </w:p>
        </w:tc>
      </w:tr>
      <w:tr>
        <w:trPr>
          <w:trHeight w:val="225"/>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 and other post-employment benefit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plans</w:t>
            </w:r>
          </w:p>
        </w:tc>
        <w:tc>
          <w:tcPr>
            <w:tcW w:w="24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815</w:t>
            </w: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w:t>
            </w: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obligations</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1,308</w:t>
            </w: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Letters of credit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70"/>
        </w:trPr>
        <w:tc>
          <w:tcPr>
            <w:tcW w:w="34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w:t>
            </w:r>
          </w:p>
        </w:tc>
      </w:tr>
      <w:tr>
        <w:trPr>
          <w:trHeight w:val="257"/>
        </w:trPr>
        <w:tc>
          <w:tcPr>
            <w:tcW w:w="3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8,914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17,994</w:t>
            </w:r>
          </w:p>
        </w:tc>
      </w:tr>
      <w:tr>
        <w:trPr>
          <w:trHeight w:val="20"/>
        </w:trPr>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Includes amount related to Federal-Mogul's acquisition of certain business assets of the TRW Automotive Holdings Corp.'s engine components business for $313 million and Icahn Enterprises'</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acquisition of Uni-Select USA for $340 million. These transactions are expected to close during 2015, although we and Federal-Mogul can make no assurances that the acquisitions will be consummated in a timely manner, if at all. See Note 18, "Subsequent Events," to the consolidated financial statements for further discussions regarding these acquisitions.</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to the amounts in the table above, our Energy segment has $27 million in standby letters of credit to secure transportation services for crude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w:t>
      </w:r>
    </w:p>
    <w:p>
      <w:pPr>
        <w:spacing w:after="0" w:line="99" w:lineRule="exact"/>
        <w:rPr>
          <w:sz w:val="20"/>
          <w:szCs w:val="20"/>
          <w:color w:val="auto"/>
        </w:rPr>
      </w:pPr>
    </w:p>
    <w:p>
      <w:pPr>
        <w:ind w:right="60" w:firstLine="378"/>
        <w:spacing w:after="0" w:line="282" w:lineRule="auto"/>
        <w:rPr>
          <w:sz w:val="20"/>
          <w:szCs w:val="20"/>
          <w:color w:val="auto"/>
        </w:rPr>
      </w:pPr>
      <w:r>
        <w:rPr>
          <w:rFonts w:ascii="Times New Roman" w:cs="Times New Roman" w:eastAsia="Times New Roman" w:hAnsi="Times New Roman"/>
          <w:sz w:val="18"/>
          <w:szCs w:val="18"/>
          <w:color w:val="auto"/>
        </w:rPr>
        <w:t>As further discussed in Note 18, "Subsequent Events - Railcar," to the consolidated financial statements, a certain subsidiary of ARI completed a private placement of $626 million in aggregate principal amount of notes in January 2015. The contractual commitment table above excludes this transaction.</w:t>
      </w:r>
    </w:p>
    <w:p>
      <w:pPr>
        <w:spacing w:after="0" w:line="54" w:lineRule="exact"/>
        <w:rPr>
          <w:sz w:val="20"/>
          <w:szCs w:val="20"/>
          <w:color w:val="auto"/>
        </w:rPr>
      </w:pPr>
    </w:p>
    <w:p>
      <w:pPr>
        <w:ind w:right="80" w:firstLine="378"/>
        <w:spacing w:after="0" w:line="258" w:lineRule="auto"/>
        <w:rPr>
          <w:sz w:val="20"/>
          <w:szCs w:val="20"/>
          <w:color w:val="auto"/>
        </w:rPr>
      </w:pPr>
      <w:r>
        <w:rPr>
          <w:rFonts w:ascii="Times New Roman" w:cs="Times New Roman" w:eastAsia="Times New Roman" w:hAnsi="Times New Roman"/>
          <w:sz w:val="18"/>
          <w:szCs w:val="18"/>
          <w:color w:val="auto"/>
        </w:rPr>
        <w:t>Certain of PSC Metals' and Federal-Mogul's facilities are environmentally impaired. PSC Metals and Federal-Mogul have estimated their liability to remediate these sites to be $28 million and $15 million, respectively, at December 31, 2014. Additionally, Federal-Mogul has identified sites with contractual obligations and sites that are closed or expected to be closed and sold in connection with its restructuring activities and has accrued $24 million as of December 31, 2014, primarily related to removing hazardous materials in buildings. For further discussion regarding these commitments, among others, see Note 17, “Commitments and Contingencies,” to the consolidated financial statements.</w:t>
      </w:r>
    </w:p>
    <w:p>
      <w:pPr>
        <w:spacing w:after="0" w:line="76" w:lineRule="exact"/>
        <w:rPr>
          <w:sz w:val="20"/>
          <w:szCs w:val="20"/>
          <w:color w:val="auto"/>
        </w:rPr>
      </w:pPr>
    </w:p>
    <w:p>
      <w:pPr>
        <w:ind w:right="180" w:firstLine="378"/>
        <w:spacing w:after="0" w:line="266" w:lineRule="auto"/>
        <w:rPr>
          <w:sz w:val="20"/>
          <w:szCs w:val="20"/>
          <w:color w:val="auto"/>
        </w:rPr>
      </w:pPr>
      <w:r>
        <w:rPr>
          <w:rFonts w:ascii="Times New Roman" w:cs="Times New Roman" w:eastAsia="Times New Roman" w:hAnsi="Times New Roman"/>
          <w:sz w:val="18"/>
          <w:szCs w:val="18"/>
          <w:color w:val="auto"/>
        </w:rPr>
        <w:t>As discussed in Note 5, “Investments and Related Matters,” to the consolidated financial statements, we have contractual liabilities of approximately $337 million related to securities sold, not yet purchased as of December 31, 2014. This amount has not been included in the table above as their maturity is not subject to a contract and cannot be properly estimated.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340" w:firstLine="378"/>
        <w:spacing w:after="0" w:line="266" w:lineRule="auto"/>
        <w:rPr>
          <w:sz w:val="20"/>
          <w:szCs w:val="20"/>
          <w:color w:val="auto"/>
        </w:rPr>
      </w:pPr>
      <w:r>
        <w:rPr>
          <w:rFonts w:ascii="Times New Roman" w:cs="Times New Roman" w:eastAsia="Times New Roman" w:hAnsi="Times New Roman"/>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refer to Note 7, “Financial Instruments,” to the consolidated financial statements contained elsewhere in this Report.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20"/>
          </w:cols>
          <w:pgMar w:left="240" w:top="468"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Cash Flows</w:t>
      </w:r>
    </w:p>
    <w:p>
      <w:pPr>
        <w:spacing w:after="0" w:line="121" w:lineRule="exact"/>
        <w:rPr>
          <w:sz w:val="20"/>
          <w:szCs w:val="20"/>
          <w:color w:val="auto"/>
        </w:rPr>
      </w:pPr>
    </w:p>
    <w:p>
      <w:pPr>
        <w:ind w:right="220" w:firstLine="378"/>
        <w:spacing w:after="0" w:line="282" w:lineRule="auto"/>
        <w:rPr>
          <w:sz w:val="20"/>
          <w:szCs w:val="20"/>
          <w:color w:val="auto"/>
        </w:rPr>
      </w:pPr>
      <w:r>
        <w:rPr>
          <w:rFonts w:ascii="Times New Roman" w:cs="Times New Roman" w:eastAsia="Times New Roman" w:hAnsi="Times New Roman"/>
          <w:sz w:val="18"/>
          <w:szCs w:val="18"/>
          <w:color w:val="auto"/>
        </w:rPr>
        <w:t>The following table summarizes cash flow information for the year ended December 31, 2014 and cash and cash equivalents as of December 31, 2014 for each of Icahn Enterprises' operating segments and the Holding Company: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2014</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Net Cash (Used In) Provided By</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Cash and Cash</w:t>
            </w:r>
          </w:p>
        </w:tc>
        <w:tc>
          <w:tcPr>
            <w:tcW w:w="0" w:type="dxa"/>
            <w:vAlign w:val="bottom"/>
          </w:tcPr>
          <w:p>
            <w:pPr>
              <w:spacing w:after="0"/>
              <w:rPr>
                <w:sz w:val="1"/>
                <w:szCs w:val="1"/>
                <w:color w:val="auto"/>
              </w:rPr>
            </w:pPr>
          </w:p>
        </w:tc>
      </w:tr>
      <w:tr>
        <w:trPr>
          <w:trHeight w:val="214"/>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Investing</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18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Activities</w:t>
            </w:r>
          </w:p>
        </w:tc>
        <w:tc>
          <w:tcPr>
            <w:tcW w:w="2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Activities</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Activities</w:t>
            </w: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5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Automotive</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Metals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Railcar</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Gaming</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Food Packaging</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Home Fashion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Holding Company</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520" w:firstLine="378"/>
        <w:spacing w:after="0" w:line="266" w:lineRule="auto"/>
        <w:rPr>
          <w:sz w:val="20"/>
          <w:szCs w:val="20"/>
          <w:color w:val="auto"/>
        </w:rPr>
      </w:pPr>
      <w:r>
        <w:rPr>
          <w:rFonts w:ascii="Times New Roman" w:cs="Times New Roman" w:eastAsia="Times New Roman" w:hAnsi="Times New Roman"/>
          <w:sz w:val="18"/>
          <w:szCs w:val="18"/>
          <w:color w:val="auto"/>
        </w:rPr>
        <w:t>The consolidated cash flows of Icahn Enterprises Holdings and Icahn Enterprises are substantially the same. The minor differences between Icahn Enterprises Holdings' and Icahn Enterprises' consolidated statements of cash flows primarily relate to non-cash charges for interest expense which is presented in net cash flows used in operating activities. Therefore, we discuss only the consolidated cash flows of Icahn Enterprises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20" w:firstLine="37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2014 of $390 million was primarily attributable to our Investment segment and the Holding Company, offset in part by our Energy, Automotive and Railcar segments. Our Investment segment had net cash used in operating activities of $1.5 billion primarily relating to its investment transactions. Additionally, our Holding Company had net cash used in operating activities of $362 million primarily due to the payments of interest expense on its debt.</w:t>
      </w:r>
    </w:p>
    <w:p>
      <w:pPr>
        <w:spacing w:after="0" w:line="72" w:lineRule="exact"/>
        <w:rPr>
          <w:sz w:val="20"/>
          <w:szCs w:val="20"/>
          <w:color w:val="auto"/>
        </w:rPr>
      </w:pPr>
    </w:p>
    <w:p>
      <w:pPr>
        <w:jc w:val="both"/>
        <w:ind w:right="60" w:firstLine="378"/>
        <w:spacing w:after="0" w:line="266" w:lineRule="auto"/>
        <w:rPr>
          <w:sz w:val="20"/>
          <w:szCs w:val="20"/>
          <w:color w:val="auto"/>
        </w:rPr>
      </w:pPr>
      <w:r>
        <w:rPr>
          <w:rFonts w:ascii="Times New Roman" w:cs="Times New Roman" w:eastAsia="Times New Roman" w:hAnsi="Times New Roman"/>
          <w:sz w:val="18"/>
          <w:szCs w:val="18"/>
          <w:color w:val="auto"/>
        </w:rPr>
        <w:t>Our Investment segment's and Holding Company's combined net cash used in operating activities of approximately $1.9 billion was offset in part by our remaining segments' aggregate net cash provided from operating activities of approximately $1.5 billion, which was primarily due to earnings after adjusting for non-cash charges for depreciation and amortization, impairment, losses on extinguishment of debt and deferred income taxes.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0" w:firstLine="37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2014 of approximately $2.0 billion was primarily due to consolidated capital expenditures of approximately $1.4 billion, of which $626 million was related to our Railcar segment, $418 million was related to our Automotive segment and $218 million was related to our Energy segment. Capital expenditures for our Railcar segment for 2014 included $601 million for manufacturing railcars for lease to others, which are included in property, plant and equipment, net in our consolidated balance sheets.</w:t>
      </w:r>
    </w:p>
    <w:p>
      <w:pPr>
        <w:spacing w:after="0" w:line="72" w:lineRule="exact"/>
        <w:rPr>
          <w:sz w:val="20"/>
          <w:szCs w:val="20"/>
          <w:color w:val="auto"/>
        </w:rPr>
      </w:pPr>
    </w:p>
    <w:p>
      <w:pPr>
        <w:ind w:right="540" w:firstLine="378"/>
        <w:spacing w:after="0" w:line="282" w:lineRule="auto"/>
        <w:rPr>
          <w:sz w:val="20"/>
          <w:szCs w:val="20"/>
          <w:color w:val="auto"/>
        </w:rPr>
      </w:pPr>
      <w:r>
        <w:rPr>
          <w:rFonts w:ascii="Times New Roman" w:cs="Times New Roman" w:eastAsia="Times New Roman" w:hAnsi="Times New Roman"/>
          <w:sz w:val="18"/>
          <w:szCs w:val="18"/>
          <w:color w:val="auto"/>
        </w:rPr>
        <w:t>Additionally, during 2014, our gaming segment acquired Lumière for $237 million, net of cash acquired and our Automotive segment had several acquisitions of businesses, including the Affinia and Honeywell acquisitions, for an aggregate of $321 million, net of cash acquired.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40" w:firstLine="37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2014 of approximately $2.0 billion was primarily attributable to certain debt refinancing activities of the Holding Company, resulting in net proceeds of approximately $1.4 billion, coupled with aggregate net proceeds of $786 million from certain debt refinancing activities at our Railcar, Food Packaging and Automotive segments.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20"/>
          </w:cols>
          <w:pgMar w:left="240" w:top="468" w:right="239" w:bottom="1440" w:gutter="0" w:footer="0" w:header="0"/>
        </w:sectPr>
      </w:pPr>
    </w:p>
    <w:bookmarkStart w:id="118" w:name="page119"/>
    <w:bookmarkEnd w:id="118"/>
    <w:p>
      <w:pPr>
        <w:ind w:right="160"/>
        <w:spacing w:after="0" w:line="282" w:lineRule="auto"/>
        <w:rPr>
          <w:sz w:val="20"/>
          <w:szCs w:val="20"/>
          <w:color w:val="auto"/>
        </w:rPr>
      </w:pPr>
      <w:r>
        <w:rPr>
          <w:rFonts w:ascii="Times New Roman" w:cs="Times New Roman" w:eastAsia="Times New Roman" w:hAnsi="Times New Roman"/>
          <w:sz w:val="18"/>
          <w:szCs w:val="18"/>
          <w:color w:val="auto"/>
        </w:rPr>
        <w:t>In addition, a non-consolidated affiliate of Mr. Icahn invested $500 million in the Investment Funds. These were offset in part by $381 paid to an affiliate of Mr. Icahn in connection with our purchase of a 75% economic interest in ARL.</w:t>
      </w:r>
    </w:p>
    <w:p>
      <w:pPr>
        <w:spacing w:after="0" w:line="54" w:lineRule="exact"/>
        <w:rPr>
          <w:sz w:val="20"/>
          <w:szCs w:val="20"/>
          <w:color w:val="auto"/>
        </w:rPr>
      </w:pPr>
    </w:p>
    <w:p>
      <w:pPr>
        <w:ind w:right="80" w:firstLine="378"/>
        <w:spacing w:after="0" w:line="282" w:lineRule="auto"/>
        <w:rPr>
          <w:sz w:val="20"/>
          <w:szCs w:val="20"/>
          <w:color w:val="auto"/>
        </w:rPr>
      </w:pPr>
      <w:r>
        <w:rPr>
          <w:rFonts w:ascii="Times New Roman" w:cs="Times New Roman" w:eastAsia="Times New Roman" w:hAnsi="Times New Roman"/>
          <w:sz w:val="18"/>
          <w:szCs w:val="18"/>
          <w:color w:val="auto"/>
        </w:rPr>
        <w:t>During 2014, we paid dividends and distributions to non-controlling interests in certain of our subsidiaries of $642 million, primarily within our Energy segment, as well as distributions to our unitholders of $125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Segment 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119" w:lineRule="exact"/>
        <w:rPr>
          <w:sz w:val="20"/>
          <w:szCs w:val="20"/>
          <w:color w:val="auto"/>
        </w:rPr>
      </w:pPr>
    </w:p>
    <w:p>
      <w:pPr>
        <w:ind w:right="220" w:firstLine="378"/>
        <w:spacing w:after="0" w:line="266" w:lineRule="auto"/>
        <w:rPr>
          <w:sz w:val="20"/>
          <w:szCs w:val="20"/>
          <w:color w:val="auto"/>
        </w:rPr>
      </w:pPr>
      <w:r>
        <w:rPr>
          <w:rFonts w:ascii="Times New Roman" w:cs="Times New Roman" w:eastAsia="Times New Roman" w:hAnsi="Times New Roman"/>
          <w:sz w:val="18"/>
          <w:szCs w:val="18"/>
          <w:color w:val="auto"/>
        </w:rPr>
        <w:t>As of December 31, 2014, the Investment Funds' net notional exposure was 14%. The Investment Funds' long exposure was 160% (152% long equity and 8% long credit) and the Investment Funds' short exposure was 146% (129% short equity and 17% short credit). The notional exposure represents the ratio of the notional exposure of the Investment Funds' invested capital to the net asset value of the Investment Funds at December 31, 2014.</w:t>
      </w:r>
    </w:p>
    <w:p>
      <w:pPr>
        <w:spacing w:after="0" w:line="68"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Of our long exposure of 160%, the fair value of our long positions (with certain adjustments) represented 154% of our long exposure. The notional value of our long derivative positions, which primarily included single name equity and credit default swaps and OTC option contracts, represented 6% of our long exposure.</w:t>
      </w:r>
    </w:p>
    <w:p>
      <w:pPr>
        <w:spacing w:after="0" w:line="68" w:lineRule="exact"/>
        <w:rPr>
          <w:sz w:val="20"/>
          <w:szCs w:val="20"/>
          <w:color w:val="auto"/>
        </w:rPr>
      </w:pPr>
    </w:p>
    <w:p>
      <w:pPr>
        <w:ind w:right="20" w:firstLine="378"/>
        <w:spacing w:after="0" w:line="266" w:lineRule="auto"/>
        <w:rPr>
          <w:sz w:val="20"/>
          <w:szCs w:val="20"/>
          <w:color w:val="auto"/>
        </w:rPr>
      </w:pPr>
      <w:r>
        <w:rPr>
          <w:rFonts w:ascii="Times New Roman" w:cs="Times New Roman" w:eastAsia="Times New Roman" w:hAnsi="Times New Roman"/>
          <w:sz w:val="18"/>
          <w:szCs w:val="18"/>
          <w:color w:val="auto"/>
        </w:rPr>
        <w:t>Of our short exposure of 146%, the fair value of our short positions represented 4% of our short exposure. The notional value of our short derivative positions, which primarily included short credit default swap contracts and short broad market index swap derivative positions, represented 142% of our short exposure.</w:t>
      </w:r>
    </w:p>
    <w:p>
      <w:pPr>
        <w:spacing w:after="0" w:line="68" w:lineRule="exact"/>
        <w:rPr>
          <w:sz w:val="20"/>
          <w:szCs w:val="20"/>
          <w:color w:val="auto"/>
        </w:rPr>
      </w:pPr>
    </w:p>
    <w:p>
      <w:pPr>
        <w:ind w:right="240" w:firstLine="378"/>
        <w:spacing w:after="0" w:line="261" w:lineRule="auto"/>
        <w:rPr>
          <w:sz w:val="20"/>
          <w:szCs w:val="20"/>
          <w:color w:val="auto"/>
        </w:rPr>
      </w:pPr>
      <w:r>
        <w:rPr>
          <w:rFonts w:ascii="Times New Roman" w:cs="Times New Roman" w:eastAsia="Times New Roman" w:hAnsi="Times New Roman"/>
          <w:sz w:val="18"/>
          <w:szCs w:val="18"/>
          <w:color w:val="auto"/>
        </w:rPr>
        <w:t>With respect to both our long positions that are not notionalized (154% long) and our short positions that are not notionalized (4% short), each 1% change in exposure as a result of purchases or sales (assuming no change in value) would have a 1% impact on our cash and cash equivalents. Changes in exposure as a result of purchases and sales as well as adverse changes in market value would also have an effect on funds available to us pursuant to prime brokerage lines of credit.</w:t>
      </w:r>
    </w:p>
    <w:p>
      <w:pPr>
        <w:spacing w:after="0" w:line="72" w:lineRule="exact"/>
        <w:rPr>
          <w:sz w:val="20"/>
          <w:szCs w:val="20"/>
          <w:color w:val="auto"/>
        </w:rPr>
      </w:pPr>
    </w:p>
    <w:p>
      <w:pPr>
        <w:ind w:right="60" w:firstLine="378"/>
        <w:spacing w:after="0" w:line="256" w:lineRule="auto"/>
        <w:rPr>
          <w:sz w:val="20"/>
          <w:szCs w:val="20"/>
          <w:color w:val="auto"/>
        </w:rPr>
      </w:pPr>
      <w:r>
        <w:rPr>
          <w:rFonts w:ascii="Times New Roman" w:cs="Times New Roman" w:eastAsia="Times New Roman" w:hAnsi="Times New Roman"/>
          <w:sz w:val="18"/>
          <w:szCs w:val="18"/>
          <w:color w:val="auto"/>
        </w:rPr>
        <w:t>With respect to the notional value of our short derivative swap positions (142% short exposure), our liquidity would decrease by the balance sheet unrealized loss if we were to close the positions at year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80" w:lineRule="exact"/>
        <w:rPr>
          <w:sz w:val="20"/>
          <w:szCs w:val="20"/>
          <w:color w:val="auto"/>
        </w:rPr>
      </w:pPr>
    </w:p>
    <w:p>
      <w:pPr>
        <w:ind w:right="220" w:firstLine="378"/>
        <w:spacing w:after="0" w:line="282" w:lineRule="auto"/>
        <w:rPr>
          <w:sz w:val="20"/>
          <w:szCs w:val="20"/>
          <w:color w:val="auto"/>
        </w:rPr>
      </w:pPr>
      <w:r>
        <w:rPr>
          <w:rFonts w:ascii="Times New Roman" w:cs="Times New Roman" w:eastAsia="Times New Roman" w:hAnsi="Times New Roman"/>
          <w:sz w:val="18"/>
          <w:szCs w:val="18"/>
          <w:color w:val="auto"/>
        </w:rPr>
        <w:t>The Investment Funds historically have had access to significant amounts of cash available from prime brokerage lines of credit, subject to customary terms and market conditions.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119" w:lineRule="exact"/>
        <w:rPr>
          <w:sz w:val="20"/>
          <w:szCs w:val="20"/>
          <w:color w:val="auto"/>
        </w:rPr>
      </w:pPr>
    </w:p>
    <w:p>
      <w:pPr>
        <w:ind w:right="80" w:firstLine="378"/>
        <w:spacing w:after="0" w:line="255" w:lineRule="auto"/>
        <w:rPr>
          <w:sz w:val="20"/>
          <w:szCs w:val="20"/>
          <w:color w:val="auto"/>
        </w:rPr>
      </w:pPr>
      <w:r>
        <w:rPr>
          <w:rFonts w:ascii="Times New Roman" w:cs="Times New Roman" w:eastAsia="Times New Roman" w:hAnsi="Times New Roman"/>
          <w:sz w:val="18"/>
          <w:szCs w:val="18"/>
          <w:color w:val="auto"/>
        </w:rPr>
        <w:t>On December 6, 2013, Federal-Mogul entered into an amendment (the “Federal-Mogul Revolver Amendment”) of its Term Loan and Revolving Credit Agreement dated as of December 27, 2007 (as amended, the “Federal-Mogul Credit Agreement”), among Federal-Mogul, the lenders party thereto, Citicorp USA, Inc., as Administrative Agent, JPMorgan Chase Bank, N.A., as Syndication Agent, and Wachovia Capital Finance Corporation and Wells Fargo Foothill, LLC, as Co-Documentation Agents, to amend its existing revolving credit facility to provide for a replacement revolving credit facility (the “Federal-Mogul Replacement Revolving Facility”). The Federal-Mogul Revolver Amendment, among other things, (i) increased the aggregate commitments available under the Federal-Mogul Replacement Revolving Facility from $540 million to $550 million, (ii) extended the maturity date of the Federal-Mogul Replacement Revolving Facility to December 6, 2018, subject to certain limited exceptions described below, and (iii) amended Federal-Mogul’s borrowing base to provide it with additional liquidity.</w:t>
      </w:r>
    </w:p>
    <w:p>
      <w:pPr>
        <w:spacing w:after="0" w:line="77" w:lineRule="exact"/>
        <w:rPr>
          <w:sz w:val="20"/>
          <w:szCs w:val="20"/>
          <w:color w:val="auto"/>
        </w:rPr>
      </w:pPr>
    </w:p>
    <w:p>
      <w:pPr>
        <w:ind w:right="100" w:firstLine="378"/>
        <w:spacing w:after="0" w:line="258" w:lineRule="auto"/>
        <w:rPr>
          <w:sz w:val="20"/>
          <w:szCs w:val="20"/>
          <w:color w:val="auto"/>
        </w:rPr>
      </w:pPr>
      <w:r>
        <w:rPr>
          <w:rFonts w:ascii="Times New Roman" w:cs="Times New Roman" w:eastAsia="Times New Roman" w:hAnsi="Times New Roman"/>
          <w:sz w:val="18"/>
          <w:szCs w:val="18"/>
          <w:color w:val="auto"/>
        </w:rPr>
        <w:t>Advances under the Federal-Mogul Replacement Revolving Facility generally bear interest at a variable rate per annum equal to (i) the Alternate Base Rate (as defined in the Federal-Mogul Credit Agreement) plus an adjustable margin of 0.50% to 1.00% based on the average monthly availability under the Federal-Mogul Replacement Revolving Facility or (ii) Adjusted LIBOR Rate (as defined in the Federal-Mogul Credit Agreement) plus a margin of 1.50% to 2.00%based on the average monthly availability under the Federal-Mogul Replacement Revolving Facility. An unused commitment fee of 0.375% also is payable under the terms of the Federal-Mogul Replacement Revolving Facility.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400"/>
          </w:cols>
          <w:pgMar w:left="240" w:top="472" w:right="2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Amendment to Credit Agreement</w:t>
      </w:r>
    </w:p>
    <w:p>
      <w:pPr>
        <w:spacing w:after="0" w:line="121" w:lineRule="exact"/>
        <w:rPr>
          <w:sz w:val="20"/>
          <w:szCs w:val="20"/>
          <w:color w:val="auto"/>
        </w:rPr>
      </w:pPr>
    </w:p>
    <w:p>
      <w:pPr>
        <w:ind w:firstLine="378"/>
        <w:spacing w:after="0" w:line="252" w:lineRule="auto"/>
        <w:rPr>
          <w:sz w:val="20"/>
          <w:szCs w:val="20"/>
          <w:color w:val="auto"/>
        </w:rPr>
      </w:pPr>
      <w:r>
        <w:rPr>
          <w:rFonts w:ascii="Times New Roman" w:cs="Times New Roman" w:eastAsia="Times New Roman" w:hAnsi="Times New Roman"/>
          <w:sz w:val="18"/>
          <w:szCs w:val="18"/>
          <w:color w:val="auto"/>
        </w:rPr>
        <w:t>On April 15, 2014, Federal-Mogul entered into a new tranche B term loan facility (the “New Tranche B Facility”) and a new tranche C term loan facility (the “New Tranche C Facility,” and together with the New Tranche B Facility, the “New Federal-Mogul Term Facilities”), which were arranged by Citigroup Global Markets Inc. and Credit Suisse Securities (USA) LLC (the "Term Arrangers"), and assumed all of the obligations of Federal-Mogul Corporation with respect to the Federal-Mogul Replacement Revolving Facility. The New Federal-Mogul Term Facilities were entered into, and the Federal-Mogul Replacement Revolving Facility was assumed, by Federal-Mogul Holdings Corporation, pursuant to an amendment dated as of April 15, 2014 to the previously existing Term Loan and Federal-Mogul Credit Agreement dated December 27, 2007 among Federal-Mogul Corporation, the lenders party thereto (listed below), Citibank, N.A., as Revolving Administrative Agent, Citibank, N.A., as Tranche B Term Administrative Agent, Credit Suisse AG, as Tranche C Term Administrative Agent, Citigroup Global Markets Inc., Credit Suisse Securities (USA) LLC and Wells Fargo Bank, N.A., as Joint Lead Arrangers and Joint Bookrunners with respect to the Federal-Mogul Credit Agreement and Wells Fargo Bank, N.A., as sole Documentation Agent with respect to the Federal-Mogul Credit Agreement. Immediately following the closing of the New Federal-Mogul Term Facilities, Federal-Mogul Holdings Corporation contributed all of the net proceeds from the New Facilities to Federal-Mogul Corporation, and Federal-Mogul Corporation repaid its existing outstanding indebtedness as a borrower under the tranche B and tranche C term loan facilities. In connection with this debt refinancing, our Automotive segment recognized a non-cash loss on debt extinguishment of approximately $36 million during the second quarter of 2014, which was primarily attributable to the write-off of debt discounts, and is reflected in other income, net in the consolidated statements of operations.</w:t>
      </w:r>
    </w:p>
    <w:p>
      <w:pPr>
        <w:spacing w:after="0" w:line="91" w:lineRule="exact"/>
        <w:rPr>
          <w:sz w:val="20"/>
          <w:szCs w:val="20"/>
          <w:color w:val="auto"/>
        </w:rPr>
      </w:pPr>
    </w:p>
    <w:p>
      <w:pPr>
        <w:ind w:right="20" w:firstLine="378"/>
        <w:spacing w:after="0" w:line="254" w:lineRule="auto"/>
        <w:rPr>
          <w:sz w:val="20"/>
          <w:szCs w:val="20"/>
          <w:color w:val="auto"/>
        </w:rPr>
      </w:pPr>
      <w:r>
        <w:rPr>
          <w:rFonts w:ascii="Times New Roman" w:cs="Times New Roman" w:eastAsia="Times New Roman" w:hAnsi="Times New Roman"/>
          <w:sz w:val="18"/>
          <w:szCs w:val="18"/>
          <w:color w:val="auto"/>
        </w:rPr>
        <w:t>The New Federal-Mogul Term Facilities, among other things, (i) provide for aggregate commitments under the New Tranche B Facility of $700 million with a maturity date of April 15, 2018, (ii) provide for aggregate commitments under the New Tranche C Facility of approximately $1.9 billion with a maturity date of April 15, 2021, (iii) increase the interest rates applicable to the New Federal-Mogul Facilities as described below, (iv) provide that for all outstanding letters of credit there is a corresponding decrease in borrowings available under the Federal-Mogul Replacement Revolving Facility, (v) provide that in the event that as of a particular determination date more than $700 million aggregate principal amount of existing term loans and certain related refinancing indebtedness will become due within 91 days of such determination date, the Federal-Mogul Replacement Revolving Facility will mature on such determination date, (vi) provide for additional incremental indebtedness, secured on a pari passu basis, of an unlimited amount of additional indebtedness if Federal-Mogul meets a financial covenant incurrence test, and (vii) amend certain other restrictive covenants. Pursuant to the New Federal-Mogul Term Facilities, Federal-Mogul Holdings Corporation assumed all of the obligations of Federal-Mogul Corporation with respect to the Federal-Mogul Replacement Revolving Facility.</w:t>
      </w:r>
    </w:p>
    <w:p>
      <w:pPr>
        <w:spacing w:after="0" w:line="78" w:lineRule="exact"/>
        <w:rPr>
          <w:sz w:val="20"/>
          <w:szCs w:val="20"/>
          <w:color w:val="auto"/>
        </w:rPr>
      </w:pPr>
    </w:p>
    <w:p>
      <w:pPr>
        <w:ind w:right="220" w:firstLine="378"/>
        <w:spacing w:after="0" w:line="256" w:lineRule="auto"/>
        <w:rPr>
          <w:sz w:val="20"/>
          <w:szCs w:val="20"/>
          <w:color w:val="auto"/>
        </w:rPr>
      </w:pPr>
      <w:r>
        <w:rPr>
          <w:rFonts w:ascii="Times New Roman" w:cs="Times New Roman" w:eastAsia="Times New Roman" w:hAnsi="Times New Roman"/>
          <w:sz w:val="18"/>
          <w:szCs w:val="18"/>
          <w:color w:val="auto"/>
        </w:rPr>
        <w:t>Advances under the New Tranche B Facility generally bear interest at a variable rate per annum equal to (i) the Alternate Base Rate plus a margin of 2.00% or (ii) the Adjusted LIBOR Rate plus a margin of 3.00%, subject, in each case, to a minimum rate of 1.00% plus the applicable margin. Advances under the New Tranche C Facility generally bear interest at a variable rate per annum equal to (i) the Alternate Base Rate plus a margin of 2.75% or (ii) the Adjusted LIBOR Rate plus a margin of 3.75%, subject, in each case, to a minimum rate of 1.00% plus the applicable margin. Due to the refinancing of Federal-Mogul's term loans, the backstop commitment letter provided to Federal-Mogul on December 6, 2013 from High River Limited Partnership, an affiliate of Mr. Carl C. Icahn, was terminated.</w:t>
      </w:r>
    </w:p>
    <w:p>
      <w:pPr>
        <w:spacing w:after="0" w:line="80" w:lineRule="exact"/>
        <w:rPr>
          <w:sz w:val="20"/>
          <w:szCs w:val="20"/>
          <w:color w:val="auto"/>
        </w:rPr>
      </w:pPr>
    </w:p>
    <w:p>
      <w:pPr>
        <w:jc w:val="both"/>
        <w:ind w:right="40" w:firstLine="378"/>
        <w:spacing w:after="0" w:line="266" w:lineRule="auto"/>
        <w:rPr>
          <w:sz w:val="20"/>
          <w:szCs w:val="20"/>
          <w:color w:val="auto"/>
        </w:rPr>
      </w:pPr>
      <w:r>
        <w:rPr>
          <w:rFonts w:ascii="Times New Roman" w:cs="Times New Roman" w:eastAsia="Times New Roman" w:hAnsi="Times New Roman"/>
          <w:sz w:val="18"/>
          <w:szCs w:val="18"/>
          <w:color w:val="auto"/>
        </w:rPr>
        <w:t>The obligations of Federal-Mogul under the Federal-Mogul Credit Agreement are guaranteed by substantially all of its domestic subsidiaries and certain foreign subsidiaries, and are secured by substantially all personal property and certain real property of Federal-Mogul and such guarantors, subject to certain limitations. The liens granted to secure these obligations and certain cash management and hedging obligations have first priority.</w:t>
      </w:r>
    </w:p>
    <w:p>
      <w:pPr>
        <w:spacing w:after="0" w:line="68" w:lineRule="exact"/>
        <w:rPr>
          <w:sz w:val="20"/>
          <w:szCs w:val="20"/>
          <w:color w:val="auto"/>
        </w:rPr>
      </w:pPr>
    </w:p>
    <w:p>
      <w:pPr>
        <w:jc w:val="both"/>
        <w:ind w:right="20" w:firstLine="378"/>
        <w:spacing w:after="0" w:line="261" w:lineRule="auto"/>
        <w:rPr>
          <w:sz w:val="20"/>
          <w:szCs w:val="20"/>
          <w:color w:val="auto"/>
        </w:rPr>
      </w:pPr>
      <w:r>
        <w:rPr>
          <w:rFonts w:ascii="Times New Roman" w:cs="Times New Roman" w:eastAsia="Times New Roman" w:hAnsi="Times New Roman"/>
          <w:sz w:val="18"/>
          <w:szCs w:val="18"/>
          <w:color w:val="auto"/>
        </w:rPr>
        <w:t>The Federal-Mogul Credit Agreement contains certain affirmative and negative covenants and events of default, including, subject to certain exceptions, restrictions on incurring additional indebtedness, mandatory prepayment provisions associated with specified asset sales and dispositions, and limitations on:</w:t>
      </w:r>
    </w:p>
    <w:p>
      <w:pPr>
        <w:jc w:val="both"/>
        <w:ind w:right="40" w:firstLine="8"/>
        <w:spacing w:after="0" w:line="255" w:lineRule="auto"/>
        <w:tabs>
          <w:tab w:leader="none" w:pos="1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ii) certain acquisitions, mergers or consolidations; iii) sale and leaseback transactions; iv) certain transactions with affiliates; and v) dividends and other payments in respect of capital stock. Pursuant to the terms of the credit facility, $50 million of the tranche C term loan proceeds were deposited in a term letter of credit account. At December 31, 2014 and 2013, Federal-Mogul was in compliance with all debt covenants.</w:t>
      </w:r>
    </w:p>
    <w:p>
      <w:pPr>
        <w:spacing w:after="0" w:line="78" w:lineRule="exact"/>
        <w:rPr>
          <w:sz w:val="20"/>
          <w:szCs w:val="20"/>
          <w:color w:val="auto"/>
        </w:rPr>
      </w:pPr>
    </w:p>
    <w:p>
      <w:pPr>
        <w:ind w:right="260" w:firstLine="378"/>
        <w:spacing w:after="0" w:line="266" w:lineRule="auto"/>
        <w:rPr>
          <w:sz w:val="20"/>
          <w:szCs w:val="20"/>
          <w:color w:val="auto"/>
        </w:rPr>
      </w:pPr>
      <w:r>
        <w:rPr>
          <w:rFonts w:ascii="Times New Roman" w:cs="Times New Roman" w:eastAsia="Times New Roman" w:hAnsi="Times New Roman"/>
          <w:sz w:val="18"/>
          <w:szCs w:val="18"/>
          <w:color w:val="auto"/>
        </w:rPr>
        <w:t>As of December 31, 2014 and 2013, the borrowing availability under the Federal-Mogul Replacement Revolving Facility was $516 million and $550 million, respectively. Federal-Mogul had $34 million and $39 million of letters of credit outstanding as of December 31, 2014 and 2013, respectively, pertaining to the term loan credit facility. To the extent letters of</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00"/>
          </w:cols>
          <w:pgMar w:left="240" w:top="468" w:right="259" w:bottom="1440" w:gutter="0" w:footer="0" w:header="0"/>
        </w:sectPr>
      </w:pPr>
    </w:p>
    <w:bookmarkStart w:id="120" w:name="page121"/>
    <w:bookmarkEnd w:id="120"/>
    <w:p>
      <w:pPr>
        <w:ind w:right="340"/>
        <w:spacing w:after="0" w:line="282" w:lineRule="auto"/>
        <w:rPr>
          <w:sz w:val="20"/>
          <w:szCs w:val="20"/>
          <w:color w:val="auto"/>
        </w:rPr>
      </w:pPr>
      <w:r>
        <w:rPr>
          <w:rFonts w:ascii="Times New Roman" w:cs="Times New Roman" w:eastAsia="Times New Roman" w:hAnsi="Times New Roman"/>
          <w:sz w:val="18"/>
          <w:szCs w:val="18"/>
          <w:color w:val="auto"/>
        </w:rPr>
        <w:t>credit associated with the Federal-Mogul Replacement Revolving Facility are issued, there is a corresponding decrease in borrowings available under this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Matters</w:t>
      </w:r>
    </w:p>
    <w:p>
      <w:pPr>
        <w:spacing w:after="0" w:line="121" w:lineRule="exact"/>
        <w:rPr>
          <w:sz w:val="20"/>
          <w:szCs w:val="20"/>
          <w:color w:val="auto"/>
        </w:rPr>
      </w:pPr>
    </w:p>
    <w:p>
      <w:pPr>
        <w:jc w:val="both"/>
        <w:ind w:right="240" w:firstLine="378"/>
        <w:spacing w:after="0" w:line="258" w:lineRule="auto"/>
        <w:rPr>
          <w:sz w:val="20"/>
          <w:szCs w:val="20"/>
          <w:color w:val="auto"/>
        </w:rPr>
      </w:pPr>
      <w:r>
        <w:rPr>
          <w:rFonts w:ascii="Times New Roman" w:cs="Times New Roman" w:eastAsia="Times New Roman" w:hAnsi="Times New Roman"/>
          <w:sz w:val="18"/>
          <w:szCs w:val="18"/>
          <w:color w:val="auto"/>
        </w:rPr>
        <w:t>As of December 31, 2014, Federal-Mogul had $332 million of cash and cash equivalents, of which $138 million was held by foreign subsidiaries. In accordance with FASB ASC 740-30-25-17 through 19, Federal-Mogul asserts that these funds are indefinitely reinvested due to operational and investing needs of the foreign locations. Furthermore, Federal-Mogul will accrue any applicable taxes in the period when it no longer intends to indefinitely reinvest these funds. Federal-Mogul would expect that the impact on cash taxes would be immaterial due to: the availability of net operation loss carryforwards and related valuation allowances; earnings considered previously taxed; and applicable tax treaties.</w:t>
      </w:r>
    </w:p>
    <w:p>
      <w:pPr>
        <w:spacing w:after="0" w:line="76" w:lineRule="exact"/>
        <w:rPr>
          <w:sz w:val="20"/>
          <w:szCs w:val="20"/>
          <w:color w:val="auto"/>
        </w:rPr>
      </w:pPr>
    </w:p>
    <w:p>
      <w:pPr>
        <w:ind w:right="140" w:firstLine="378"/>
        <w:spacing w:after="0" w:line="261" w:lineRule="auto"/>
        <w:rPr>
          <w:sz w:val="20"/>
          <w:szCs w:val="20"/>
          <w:color w:val="auto"/>
        </w:rPr>
      </w:pPr>
      <w:r>
        <w:rPr>
          <w:rFonts w:ascii="Times New Roman" w:cs="Times New Roman" w:eastAsia="Times New Roman" w:hAnsi="Times New Roman"/>
          <w:sz w:val="18"/>
          <w:szCs w:val="18"/>
          <w:color w:val="auto"/>
        </w:rPr>
        <w:t>Federal-Mogul maintains investments in several non-consolidated affiliates, which are located in China, France, Germany, Korea, German, France Turkey, India and the United States, with direct ownership ranging from 2% to 100% as of December 31, 2014. Federal-Mogul generally equates control to ownership percentage whereby investments that are more than 50% owned are consolidated. The aggregate investments in these affiliates were $269 million and $253 million at December 31, 2014 and 2013, respectively.</w:t>
      </w:r>
    </w:p>
    <w:p>
      <w:pPr>
        <w:spacing w:after="0" w:line="72" w:lineRule="exact"/>
        <w:rPr>
          <w:sz w:val="20"/>
          <w:szCs w:val="20"/>
          <w:color w:val="auto"/>
        </w:rPr>
      </w:pPr>
    </w:p>
    <w:p>
      <w:pPr>
        <w:jc w:val="both"/>
        <w:ind w:right="120" w:firstLine="378"/>
        <w:spacing w:after="0" w:line="266" w:lineRule="auto"/>
        <w:rPr>
          <w:sz w:val="20"/>
          <w:szCs w:val="20"/>
          <w:color w:val="auto"/>
        </w:rPr>
      </w:pPr>
      <w:r>
        <w:rPr>
          <w:rFonts w:ascii="Times New Roman" w:cs="Times New Roman" w:eastAsia="Times New Roman" w:hAnsi="Times New Roman"/>
          <w:sz w:val="18"/>
          <w:szCs w:val="18"/>
          <w:color w:val="auto"/>
        </w:rPr>
        <w:t>Federal-Mogul does not hold a controlling interest in an entity based on exposure to economic risks and potential rewards (variable interests) for which it is the primary beneficiary. Further, Federal-Mogul’s affiliations are businesses established and maintained in connection with its operating strategy and are not special purpose entities.</w:t>
      </w:r>
    </w:p>
    <w:p>
      <w:pPr>
        <w:spacing w:after="0" w:line="68"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Federal-Mogul holds a 50% non-controlling interest in a joint venture located in Turkey (the "Turkey JV"). The Turkey JV was established in 1995 for the purpose of manufacturing and marketing automotive parts, including pistons, piston rings, piston pins, and cylinder liners to original equipment and aftermarket customers. Federal-Mogul purchases/sells inventory from/to the Turkey JV. Purchases from the Turkey JV for the years ended December 31, 2014, 2013 and 2012 were $180 million, $152 million and $150 million, respectively. Sales to the Turkey JV for the years ended December 31, 2014, 2013, and 2012 were $45 million, $44 million and $45 million, respectively. Federal-Mogul had net accounts payable balances with the Turkey JV of $5 million and $6 million as of December 31, 2014 and 2013, respectively.</w:t>
      </w:r>
    </w:p>
    <w:p>
      <w:pPr>
        <w:spacing w:after="0" w:line="80" w:lineRule="exact"/>
        <w:rPr>
          <w:sz w:val="20"/>
          <w:szCs w:val="20"/>
          <w:color w:val="auto"/>
        </w:rPr>
      </w:pPr>
    </w:p>
    <w:p>
      <w:pPr>
        <w:ind w:right="40" w:firstLine="378"/>
        <w:spacing w:after="0" w:line="255" w:lineRule="auto"/>
        <w:rPr>
          <w:sz w:val="20"/>
          <w:szCs w:val="20"/>
          <w:color w:val="auto"/>
        </w:rPr>
      </w:pPr>
      <w:r>
        <w:rPr>
          <w:rFonts w:ascii="Times New Roman" w:cs="Times New Roman" w:eastAsia="Times New Roman" w:hAnsi="Times New Roman"/>
          <w:sz w:val="18"/>
          <w:szCs w:val="18"/>
          <w:color w:val="auto"/>
        </w:rPr>
        <w:t xml:space="preserve">Federal-Mogul's subsidiaries in Brazil, France, Germany, Italy, Japan and the United States are party to accounts receivable factoring and securitization facilities. Gross accounts receivable transferred under these facilities were $306 million and $271 million as of December 31, 2014 and 2013, respectively. Of those gross amounts, $293 million and $258 million, respectively, qualify as sales as defined in FASB ASC Topic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The remaining transferred receivables were pledged as collateral and accounted for as secured borrowings and recorded in the consolidated balance sheets within accounts receivable, net and debt. Under the terms of these facilities, Federal-Mogul is not obligated to draw cash immediately upon the transfer of accounts receivable; however, as of both December 31, 2014 and 2013, Federal-Mogul had had drawn all such cash. Proceeds from the transfers of accounts receivable qualifying as sales were $1.7 billion, $1.5 billion and $1.5 billion for the years ended December 31, 2014, 2013 and 2012, respectively.</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Certain of the facilities contain terms that require Federal-Mogul to share in the credit risk of the sold receivables. The maximum exposures to Federal-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Mogul associated with certain of these facilities' terms were $17 million and $21 million at December 31, 2014 and 2013, respectively. Based on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Mogul's analysis of the creditworthiness of its customers on which such receivables were sold and outstanding as of December 31, 2014 and 2013,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Mogul estimated the loss to be immaterial.</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Federal-Mogul estimates its 2015 capital expenditures to be in the range of $450 million to $500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119" w:lineRule="exact"/>
        <w:rPr>
          <w:sz w:val="20"/>
          <w:szCs w:val="20"/>
          <w:color w:val="auto"/>
        </w:rPr>
      </w:pPr>
    </w:p>
    <w:p>
      <w:pPr>
        <w:ind w:right="160" w:firstLine="378"/>
        <w:spacing w:after="0" w:line="266" w:lineRule="auto"/>
        <w:rPr>
          <w:sz w:val="20"/>
          <w:szCs w:val="20"/>
          <w:color w:val="auto"/>
        </w:rPr>
      </w:pPr>
      <w:r>
        <w:rPr>
          <w:rFonts w:ascii="Times New Roman" w:cs="Times New Roman" w:eastAsia="Times New Roman" w:hAnsi="Times New Roman"/>
          <w:sz w:val="18"/>
          <w:szCs w:val="18"/>
          <w:color w:val="auto"/>
        </w:rPr>
        <w:t>As of December 31, 2014, CVR Refining had no amounts outstanding and availability of $373 million under its Amended and Restated ABL Credit Facility and had letters of credit outstanding of approximately $27 million. In addition, as of December 31, 2014, CVR Partners had $25 million availability under its revolving credit facility, with an uncommitted incremental facility of up to $50 million.</w:t>
      </w:r>
    </w:p>
    <w:p>
      <w:pPr>
        <w:spacing w:after="0" w:line="68" w:lineRule="exact"/>
        <w:rPr>
          <w:sz w:val="20"/>
          <w:szCs w:val="20"/>
          <w:color w:val="auto"/>
        </w:rPr>
      </w:pPr>
    </w:p>
    <w:p>
      <w:pPr>
        <w:ind w:right="100" w:firstLine="378"/>
        <w:spacing w:after="0" w:line="258" w:lineRule="auto"/>
        <w:rPr>
          <w:sz w:val="20"/>
          <w:szCs w:val="20"/>
          <w:color w:val="auto"/>
        </w:rPr>
      </w:pPr>
      <w:r>
        <w:rPr>
          <w:rFonts w:ascii="Times New Roman" w:cs="Times New Roman" w:eastAsia="Times New Roman" w:hAnsi="Times New Roman"/>
          <w:sz w:val="18"/>
          <w:szCs w:val="18"/>
          <w:color w:val="auto"/>
        </w:rPr>
        <w:t>On October 23, 2012, Refining LLC and its wholly-owned subsidiary, Coffeyville Finance Inc., completed a private offering of $500 million in aggregate principal amount of 6.50% Senior Notes due 2022 (the "2022 Notes"). The 2022 Notes were issued at par. Refining LLC received approximately $493 million of cash proceeds, net of the underwriting fees, but before deducting other third-party fees and expenses associated with the offering. The 2022 Notes were secured by substantially the same assets that secured the then outstanding CVR Second Lien Notes, subject to exceptions, until such time that the outstanding CVR Second Lien Notes were satisfied and discharged in full which occurred on January 23, 2013. 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420"/>
          </w:cols>
          <w:pgMar w:left="240" w:top="472" w:right="239" w:bottom="1440" w:gutter="0" w:footer="0" w:header="0"/>
        </w:sectPr>
      </w:pPr>
    </w:p>
    <w:bookmarkStart w:id="121" w:name="page122"/>
    <w:bookmarkEnd w:id="121"/>
    <w:p>
      <w:pPr>
        <w:ind w:right="240"/>
        <w:spacing w:after="0" w:line="282" w:lineRule="auto"/>
        <w:rPr>
          <w:sz w:val="20"/>
          <w:szCs w:val="20"/>
          <w:color w:val="auto"/>
        </w:rPr>
      </w:pPr>
      <w:r>
        <w:rPr>
          <w:rFonts w:ascii="Times New Roman" w:cs="Times New Roman" w:eastAsia="Times New Roman" w:hAnsi="Times New Roman"/>
          <w:sz w:val="18"/>
          <w:szCs w:val="18"/>
          <w:color w:val="auto"/>
        </w:rPr>
        <w:t>October 23, 2012, CVR repurchased approximately $323 million of its First Lien Notes (as defined elsewhere in this Report) pursuant to a tender offer and issued a notice of redemption to redeem the remaining $124 million of outstanding First Lien Notes not tendered, on November 23, 2012.</w:t>
      </w:r>
    </w:p>
    <w:p>
      <w:pPr>
        <w:spacing w:after="0" w:line="54" w:lineRule="exact"/>
        <w:rPr>
          <w:sz w:val="20"/>
          <w:szCs w:val="20"/>
          <w:color w:val="auto"/>
        </w:rPr>
      </w:pPr>
    </w:p>
    <w:p>
      <w:pPr>
        <w:ind w:firstLine="378"/>
        <w:spacing w:after="0" w:line="282" w:lineRule="auto"/>
        <w:rPr>
          <w:sz w:val="20"/>
          <w:szCs w:val="20"/>
          <w:color w:val="auto"/>
        </w:rPr>
      </w:pPr>
      <w:r>
        <w:rPr>
          <w:rFonts w:ascii="Times New Roman" w:cs="Times New Roman" w:eastAsia="Times New Roman" w:hAnsi="Times New Roman"/>
          <w:sz w:val="18"/>
          <w:szCs w:val="18"/>
          <w:color w:val="auto"/>
        </w:rPr>
        <w:t>See Note 10, “Debt-Energy," to our consolidated financial statements for further discussion regarding CVR's credit facilities, including the Amended and Restated ABL Credit Facility.</w:t>
      </w:r>
    </w:p>
    <w:p>
      <w:pPr>
        <w:spacing w:after="0" w:line="54"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On January 24, 2013, the board of directors of CVR adopted a quarterly cash dividend policy. CVR began paying regular quarterly dividends in the second quarter of 2013. Dividends are subject to change at the discretion of CVR's board of directors and may change from quarter to quarter. In addition, the current policy of the respective board of directors of CVR Refining and CVR Partners is to distribute all of the respective available cash of CVR Refining and CVR Partners each quarter. CVR Refining and CVR Partners do not have a legal obligation to pay distributions and there is no guarantee that they will pay any distributions on the units in any quarter.</w:t>
      </w:r>
    </w:p>
    <w:p>
      <w:pPr>
        <w:spacing w:after="0" w:line="76" w:lineRule="exact"/>
        <w:rPr>
          <w:sz w:val="20"/>
          <w:szCs w:val="20"/>
          <w:color w:val="auto"/>
        </w:rPr>
      </w:pPr>
    </w:p>
    <w:p>
      <w:pPr>
        <w:ind w:right="140" w:firstLine="378"/>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2014 and 2013, we received an aggregate of $374 million and approximately $1.0 billion, respectively, in dividends from CVR and distributions from CVR Refining, including one special dividend during 2014 and two special dividends during 2013 from CVR. Subsequent to December 31, 2014, CVR and CVR Refining declared a quarterly dividend/distribution which will result in an additional aggregate $38 million in dividends/distributions paid to us in the first quarter of 2015.</w:t>
      </w:r>
    </w:p>
    <w:p>
      <w:pPr>
        <w:spacing w:after="0" w:line="72" w:lineRule="exact"/>
        <w:rPr>
          <w:sz w:val="20"/>
          <w:szCs w:val="20"/>
          <w:color w:val="auto"/>
        </w:rPr>
      </w:pPr>
    </w:p>
    <w:p>
      <w:pPr>
        <w:ind w:right="280" w:firstLine="378"/>
        <w:spacing w:after="0" w:line="258" w:lineRule="auto"/>
        <w:rPr>
          <w:sz w:val="20"/>
          <w:szCs w:val="20"/>
          <w:color w:val="auto"/>
        </w:rPr>
      </w:pPr>
      <w:r>
        <w:rPr>
          <w:rFonts w:ascii="Times New Roman" w:cs="Times New Roman" w:eastAsia="Times New Roman" w:hAnsi="Times New Roman"/>
          <w:sz w:val="18"/>
          <w:szCs w:val="18"/>
          <w:color w:val="auto"/>
        </w:rPr>
        <w:t>CVR divides the petroleum business and the nitrogen fertilizer business' capital spending needs into two categories: maintenance and growth. Maintenance capital spending includes only non-discretionary maintenance projects and projects required to comply with environmental, health and safety regulations. CVR undertakes discretionary capital spending based on the expected return on incremental capital employed. Discretionary capital projects generally involve an expansion of existing capacity, improvement in product yields, and/or a reduction in direct operating expenses. Major scheduled turnaround expenses are expensed when incurred.</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CVR estimates that its aggregate capital spending in 2015 will range between $280 million to $320 million.</w:t>
      </w:r>
    </w:p>
    <w:p>
      <w:pPr>
        <w:spacing w:after="0" w:line="117" w:lineRule="exact"/>
        <w:rPr>
          <w:sz w:val="20"/>
          <w:szCs w:val="20"/>
          <w:color w:val="auto"/>
        </w:rPr>
      </w:pPr>
    </w:p>
    <w:p>
      <w:pPr>
        <w:ind w:right="60" w:firstLine="378"/>
        <w:spacing w:after="0" w:line="258" w:lineRule="auto"/>
        <w:rPr>
          <w:sz w:val="20"/>
          <w:szCs w:val="20"/>
          <w:color w:val="auto"/>
        </w:rPr>
      </w:pPr>
      <w:r>
        <w:rPr>
          <w:rFonts w:ascii="Times New Roman" w:cs="Times New Roman" w:eastAsia="Times New Roman" w:hAnsi="Times New Roman"/>
          <w:sz w:val="18"/>
          <w:szCs w:val="18"/>
          <w:color w:val="auto"/>
        </w:rPr>
        <w:t>The petroleum business' and the nitrogen fertilizer business' estimated capital expenditures are subject to change due to unanticipated increases in the cost, scope and completion time for capital projects. For example, they may experience increases in labor or equipment costs necessary to comply with government regulations or to complete projects that sustain or improve the profitability of the refineries or nitrogen fertilizer plant. Capital spending for CVR Partners' nitrogen fertilizer business and CVR Refining's petroleum business is determined by each partnership's respective board of directors of its general partner.</w:t>
      </w:r>
    </w:p>
    <w:p>
      <w:pPr>
        <w:spacing w:after="0" w:line="76" w:lineRule="exact"/>
        <w:rPr>
          <w:sz w:val="20"/>
          <w:szCs w:val="20"/>
          <w:color w:val="auto"/>
        </w:rPr>
      </w:pPr>
    </w:p>
    <w:p>
      <w:pPr>
        <w:jc w:val="both"/>
        <w:ind w:right="40" w:firstLine="378"/>
        <w:spacing w:after="0" w:line="281" w:lineRule="auto"/>
        <w:rPr>
          <w:sz w:val="20"/>
          <w:szCs w:val="20"/>
          <w:color w:val="auto"/>
        </w:rPr>
      </w:pPr>
      <w:r>
        <w:rPr>
          <w:rFonts w:ascii="Times New Roman" w:cs="Times New Roman" w:eastAsia="Times New Roman" w:hAnsi="Times New Roman"/>
          <w:sz w:val="17"/>
          <w:szCs w:val="17"/>
          <w:color w:val="auto"/>
        </w:rPr>
        <w:t>In October 2014, the board of directors of the general partner of CVR Refining approved the construction of a hydrogen plant at the Coffeyville refinery. The hydrogen plant will increase the overall plant liquid volume recovery and provide additional hydrogen that is needed for environmental compliance. The estimated cost of this project, excluding capitalized interest, is approximately $123 million with an anticipated completion date in the second quarter of 2016. For the year ended December 31, 2014, CVR Refining incurred costs of approximately $10 million, excluding capitalized interest, for the hydrogen plant.</w:t>
      </w:r>
    </w:p>
    <w:p>
      <w:pPr>
        <w:spacing w:after="0" w:line="57" w:lineRule="exact"/>
        <w:rPr>
          <w:sz w:val="20"/>
          <w:szCs w:val="20"/>
          <w:color w:val="auto"/>
        </w:rPr>
      </w:pPr>
    </w:p>
    <w:p>
      <w:pPr>
        <w:ind w:right="40" w:firstLine="378"/>
        <w:spacing w:after="0" w:line="289" w:lineRule="auto"/>
        <w:rPr>
          <w:sz w:val="20"/>
          <w:szCs w:val="20"/>
          <w:color w:val="auto"/>
        </w:rPr>
      </w:pPr>
      <w:r>
        <w:rPr>
          <w:rFonts w:ascii="Times New Roman" w:cs="Times New Roman" w:eastAsia="Times New Roman" w:hAnsi="Times New Roman"/>
          <w:sz w:val="17"/>
          <w:szCs w:val="17"/>
          <w:color w:val="auto"/>
        </w:rPr>
        <w:t>In February 2013, the nitrogen fertilizer business completed a significant two-year plant expansion, which increased its UAN production capacity by 400,000 tons, or approximately 50% per year. The UAN expansion provides the nitrogen fertilizer business with the ability to upgrade substantially all of its ammonia production to UAN. Total capital expenditures associated with the UAN expansion were approximately $130 million, excluding capitalized interest.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Railcar</w:t>
      </w:r>
    </w:p>
    <w:p>
      <w:pPr>
        <w:spacing w:after="0" w:line="119" w:lineRule="exact"/>
        <w:rPr>
          <w:sz w:val="20"/>
          <w:szCs w:val="20"/>
          <w:color w:val="auto"/>
        </w:rPr>
      </w:pPr>
    </w:p>
    <w:p>
      <w:pPr>
        <w:ind w:right="220" w:firstLine="378"/>
        <w:spacing w:after="0" w:line="254" w:lineRule="auto"/>
        <w:rPr>
          <w:sz w:val="20"/>
          <w:szCs w:val="20"/>
          <w:color w:val="auto"/>
        </w:rPr>
      </w:pPr>
      <w:r>
        <w:rPr>
          <w:rFonts w:ascii="Times New Roman" w:cs="Times New Roman" w:eastAsia="Times New Roman" w:hAnsi="Times New Roman"/>
          <w:sz w:val="18"/>
          <w:szCs w:val="18"/>
          <w:color w:val="auto"/>
        </w:rPr>
        <w:t>In January 2015, Longtrain Leasing III, a subsidiary of ARI, completed a private placement of approximately $626 million in aggregate principal amount of notes consisting of $250 million in aggregate principal amount of its 2.98% Fixed Rate Secured Railcar Equipment Notes, Class A-1 (Class A-1 Notes) and approximately $376 million in aggregate principal amount of its 4.06% Fixed Rate Secured Railcar Equipment Notes, Class A-2 (Class A-2 Notes, and collectively with the Class A-1 Notes, the ARI Notes). The ARI Notes have a legal final maturity date of January 17, 2045 and an expected principal repayment date of January 15, 2025. The ARI Notes are obligations of Longtrain Leasing III only and are secured by, among other things, a portfolio of railcars and leases thereon acquired by Longtrain Leasing III pursuant to a contribution and sale agreement between Longtrain Leasing III and ARI. Additionally, in connection with the ARI Notes offering, Longtrain Leasing III entered into a railcar management agreement with ARL, as manager, under which ARL will manage, operate, market, store, lease, re-lease, sublease and service the subject railcars on behalf of Longtrain Leasing III. See Note 18, "Subsequent Events - Railcar,” to the consolidated financial statements for further discussion.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420"/>
          </w:cols>
          <w:pgMar w:left="240" w:top="472" w:right="239" w:bottom="1440" w:gutter="0" w:footer="0" w:header="0"/>
        </w:sectPr>
      </w:pPr>
    </w:p>
    <w:bookmarkStart w:id="122" w:name="page123"/>
    <w:bookmarkEnd w:id="122"/>
    <w:p>
      <w:pPr>
        <w:ind w:right="420" w:firstLine="378"/>
        <w:spacing w:after="0" w:line="266" w:lineRule="auto"/>
        <w:rPr>
          <w:sz w:val="20"/>
          <w:szCs w:val="20"/>
          <w:color w:val="auto"/>
        </w:rPr>
      </w:pPr>
      <w:r>
        <w:rPr>
          <w:rFonts w:ascii="Times New Roman" w:cs="Times New Roman" w:eastAsia="Times New Roman" w:hAnsi="Times New Roman"/>
          <w:sz w:val="18"/>
          <w:szCs w:val="18"/>
          <w:color w:val="auto"/>
        </w:rPr>
        <w:t>Additionally, our Railcar segment expects its future cash flows from operations could be impacted by the state of the credit markets and the overall economy, the number of our Railcar segment's railcar orders and shipments and its production rates. Our Railcar segment's future liquidity may also be impacted by the number of new railcar orders leased versus sold.</w:t>
      </w:r>
    </w:p>
    <w:p>
      <w:pPr>
        <w:spacing w:after="0" w:line="68" w:lineRule="exact"/>
        <w:rPr>
          <w:sz w:val="20"/>
          <w:szCs w:val="20"/>
          <w:color w:val="auto"/>
        </w:rPr>
      </w:pPr>
    </w:p>
    <w:p>
      <w:pPr>
        <w:ind w:firstLine="378"/>
        <w:spacing w:after="0" w:line="261" w:lineRule="auto"/>
        <w:rPr>
          <w:sz w:val="20"/>
          <w:szCs w:val="20"/>
          <w:color w:val="auto"/>
        </w:rPr>
      </w:pPr>
      <w:r>
        <w:rPr>
          <w:rFonts w:ascii="Times New Roman" w:cs="Times New Roman" w:eastAsia="Times New Roman" w:hAnsi="Times New Roman"/>
          <w:sz w:val="18"/>
          <w:szCs w:val="18"/>
          <w:color w:val="auto"/>
        </w:rPr>
        <w:t>Our Railcar segment's current capital expenditure plans for 2015 include projects that our Railcar segment expects will expand capabilities, maintain equipment, improve efficiencies and reduce costs. Our Railcar segment also plans to increase its railcar lease fleet in 2015 to meet customer demand for leased railcars that have been ordered. Capital expenditures for 2015 are projected to be approximately $570 million to $620 million, which includes expected additions to our Railcar segment's lease fleet of approximately $530 million to $555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w:t>
      </w:r>
    </w:p>
    <w:p>
      <w:pPr>
        <w:spacing w:after="0" w:line="119" w:lineRule="exact"/>
        <w:rPr>
          <w:sz w:val="20"/>
          <w:szCs w:val="20"/>
          <w:color w:val="auto"/>
        </w:rPr>
      </w:pPr>
    </w:p>
    <w:p>
      <w:pPr>
        <w:ind w:right="40" w:firstLine="378"/>
        <w:spacing w:after="0" w:line="261" w:lineRule="auto"/>
        <w:rPr>
          <w:sz w:val="20"/>
          <w:szCs w:val="20"/>
          <w:color w:val="auto"/>
        </w:rPr>
      </w:pPr>
      <w:r>
        <w:rPr>
          <w:rFonts w:ascii="Times New Roman" w:cs="Times New Roman" w:eastAsia="Times New Roman" w:hAnsi="Times New Roman"/>
          <w:sz w:val="18"/>
          <w:szCs w:val="18"/>
          <w:color w:val="auto"/>
        </w:rPr>
        <w:t>Tropicana's cash flows are and will continue to be affected by a variety of factors, many of which are outside of its control, including regulatory restrictions, competition and other general business conditions. Tropicana repaid its existing credit facilities in November 2013 with a portion of the proceeds from the Term Loan Facility as discussed below. Tropicana believes that it will have sufficient liquidity through a combination of available cash, credit facilities and cash flow from its properties to fund its cash requirements and capital expenditures for its normal operating activities.</w:t>
      </w:r>
    </w:p>
    <w:p>
      <w:pPr>
        <w:spacing w:after="0" w:line="72" w:lineRule="exact"/>
        <w:rPr>
          <w:sz w:val="20"/>
          <w:szCs w:val="20"/>
          <w:color w:val="auto"/>
        </w:rPr>
      </w:pPr>
    </w:p>
    <w:p>
      <w:pPr>
        <w:ind w:right="100" w:firstLine="378"/>
        <w:spacing w:after="0" w:line="261" w:lineRule="auto"/>
        <w:rPr>
          <w:sz w:val="20"/>
          <w:szCs w:val="20"/>
          <w:color w:val="auto"/>
        </w:rPr>
      </w:pPr>
      <w:r>
        <w:rPr>
          <w:rFonts w:ascii="Times New Roman" w:cs="Times New Roman" w:eastAsia="Times New Roman" w:hAnsi="Times New Roman"/>
          <w:sz w:val="18"/>
          <w:szCs w:val="18"/>
          <w:color w:val="auto"/>
        </w:rPr>
        <w:t>Part of Tropicana's overall strategy includes consideration of expansion opportunities in new gaming jurisdictions, underserved markets and acquisition and other strategic opportunities that may arise periodically. Tropicana may require additional funds in order to execute on such strategic growth, and may incur additional debt or issue additional equity to finance any such transactions. We cannot assure you that Tropicana will be able to incur such debt or issue any such additional equity on acceptable terms or at all.</w:t>
      </w:r>
    </w:p>
    <w:p>
      <w:pPr>
        <w:spacing w:after="0" w:line="72" w:lineRule="exact"/>
        <w:rPr>
          <w:sz w:val="20"/>
          <w:szCs w:val="20"/>
          <w:color w:val="auto"/>
        </w:rPr>
      </w:pPr>
    </w:p>
    <w:p>
      <w:pPr>
        <w:ind w:right="160" w:firstLine="378"/>
        <w:spacing w:after="0" w:line="255" w:lineRule="auto"/>
        <w:rPr>
          <w:sz w:val="20"/>
          <w:szCs w:val="20"/>
          <w:color w:val="auto"/>
        </w:rPr>
      </w:pPr>
      <w:r>
        <w:rPr>
          <w:rFonts w:ascii="Times New Roman" w:cs="Times New Roman" w:eastAsia="Times New Roman" w:hAnsi="Times New Roman"/>
          <w:sz w:val="18"/>
          <w:szCs w:val="18"/>
          <w:color w:val="auto"/>
        </w:rPr>
        <w:t>In November 2013, Tropicana entered into (i) a senior secured first lien term loan facility in an aggregate principal amount of $300 million, issued at a discount of 0.5% (the “Term Loan Facility”) and (ii) a senior secured first lien revolving credit facility in an aggregate principal amount of $15 million (the “Revolving Facility” and, together with the Term Loan Facility, the “Credit Facilities”). Commencing on December 31, 2013, the Term Loan Facility will amortize in equal quarterly installments in an amount of $750,000, with any remaining balance payable on November 27, 2020. Amounts under the Revolving Facility are available to be borrowed and re-borrowed until its termination on November 27, 2018. As of December 31, 2014, the Revolving Facility was undrawn and had $15 million of availability. See Note 10, "Debt - Gaming" in the consolidated financial statements for further discussion regarding the Credit Facilities.</w:t>
      </w:r>
    </w:p>
    <w:p>
      <w:pPr>
        <w:spacing w:after="0" w:line="81" w:lineRule="exact"/>
        <w:rPr>
          <w:sz w:val="20"/>
          <w:szCs w:val="20"/>
          <w:color w:val="auto"/>
        </w:rPr>
      </w:pPr>
    </w:p>
    <w:p>
      <w:pPr>
        <w:ind w:right="20" w:firstLine="378"/>
        <w:spacing w:after="0" w:line="282" w:lineRule="auto"/>
        <w:rPr>
          <w:sz w:val="20"/>
          <w:szCs w:val="20"/>
          <w:color w:val="auto"/>
        </w:rPr>
      </w:pPr>
      <w:r>
        <w:rPr>
          <w:rFonts w:ascii="Times New Roman" w:cs="Times New Roman" w:eastAsia="Times New Roman" w:hAnsi="Times New Roman"/>
          <w:sz w:val="18"/>
          <w:szCs w:val="18"/>
          <w:color w:val="auto"/>
        </w:rPr>
        <w:t>Tropicana estimates that its aggregate capital expenditures for 2015 will be $96 million (of which approximately $19 million will be reimbursed through certain deposits made with the New Jersey Casino Reinvestment Development Authority).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Food Packaging</w:t>
      </w:r>
    </w:p>
    <w:p>
      <w:pPr>
        <w:spacing w:after="0" w:line="119" w:lineRule="exact"/>
        <w:rPr>
          <w:sz w:val="20"/>
          <w:szCs w:val="20"/>
          <w:color w:val="auto"/>
        </w:rPr>
      </w:pPr>
    </w:p>
    <w:p>
      <w:pPr>
        <w:ind w:right="60" w:firstLine="378"/>
        <w:spacing w:after="0" w:line="254" w:lineRule="auto"/>
        <w:rPr>
          <w:sz w:val="20"/>
          <w:szCs w:val="20"/>
          <w:color w:val="auto"/>
        </w:rPr>
      </w:pPr>
      <w:r>
        <w:rPr>
          <w:rFonts w:ascii="Times New Roman" w:cs="Times New Roman" w:eastAsia="Times New Roman" w:hAnsi="Times New Roman"/>
          <w:sz w:val="18"/>
          <w:szCs w:val="18"/>
          <w:color w:val="auto"/>
        </w:rPr>
        <w:t>In connection with certain financing transactions, on January 30, 2014, Viskase entered into a Credit Agreement with UBS AG, Stamford Branch, as Administrative Agent and Collateral Agent, and the Lenders parties thereto, providing for a $275 million senior secured covenant lite term loan facility (“Term Loan”). A portion of the proceeds from the Term Loan was used to satisfy and discharge all of the existing Viskase 9.875% Notes and Viskase recorded a loss on debt extinguishment of approximately $16 million. The Term Loan bears interest at a LIBOR Rate plus 3.25% (with the LIBOR Rate carrying a 1.00% floor), or at a Base Rate equal to the sum of (1) the greatest of (a) the Prime Rate, (b) the Federal Funds Effective Rate plus 0.50%, (c) one-month LIBOR plus 1.0%, or (d) 2.0%, plus (2) 2.25%. The Term Loan has a 1% per annum amortization with a maturity date of January 30, 2021. The Term Loan is subject to certain additional mandatory prepayments upon asset sales, incurrence of indebtedness not otherwise permitted, and based upon a percentage of excess cash flow. Prepayments on the Term Loan may be made at any time, subject to a prepayment premium of 1% for certain prepayments during the first six months of the term.</w:t>
      </w:r>
    </w:p>
    <w:p>
      <w:pPr>
        <w:spacing w:after="0" w:line="81" w:lineRule="exact"/>
        <w:rPr>
          <w:sz w:val="20"/>
          <w:szCs w:val="20"/>
          <w:color w:val="auto"/>
        </w:rPr>
      </w:pPr>
    </w:p>
    <w:p>
      <w:pPr>
        <w:ind w:right="80" w:firstLine="378"/>
        <w:spacing w:after="0" w:line="256" w:lineRule="auto"/>
        <w:rPr>
          <w:sz w:val="20"/>
          <w:szCs w:val="20"/>
          <w:color w:val="auto"/>
        </w:rPr>
      </w:pPr>
      <w:r>
        <w:rPr>
          <w:rFonts w:ascii="Times New Roman" w:cs="Times New Roman" w:eastAsia="Times New Roman" w:hAnsi="Times New Roman"/>
          <w:sz w:val="18"/>
          <w:szCs w:val="18"/>
          <w:color w:val="auto"/>
        </w:rPr>
        <w:t>Indebtedness under the Term Loan is secured by liens on substantially all of Viskase’s domestic and Mexican assets, with liens on (i) the Fixed Asset Priority Collateral, to be contractually senior to the liens securing the Revolving Credit Facility pursuant to the intercreditor agreement, (ii) the ABL Priority Collateral, to be contractually subordinate to the liens securing the Revolving Credit Facility pursuant to the intercreditor agreement, and (iii) all other assets, to be contractually pari passu with the liens securing the Revolving Credit Facility pursuant to the intercreditor agreement. Our future direct or indirect material domestic subsidiaries are required to guarantee the obligations under the Term Loan, and to provide security by liens on their assets as described above.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400"/>
          </w:cols>
          <w:pgMar w:left="240" w:top="472" w:right="2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“Summary of Significant Accounting Policies,” to the consolidated financial statements. Our consolidated financial statements have been prepared in accordance with U.S. GAAP. The preparation of financial statements in conformity with U.S. GAAP requires management to make estimates and assumptions that affect the reported amounts of assets, liabilities, revenues and expenses and the disclosure of contingent assets and liabilities. Among others, estimates are used when accounting for valuation of investments and pension expense. Estimates used in determining fair value measurements include, but are not limited to, expected future cash flow assumptions, market rate assumptions for contractual obligations, actuarial assumptions for benefit plans, settlement plans for litigation and contingencies, and appropriate discount rates. Estimates and assumptions are evaluated on an ongoing basis and are based on historical and other factors believed to be reasonable under the circumstances. The results of these estimates may form the basis of the carrying value of certain assets and liabilities and may not be readily apparent from other sources. Actual results, under conditions and circumstances different from those assumed, may differ from estimates.</w:t>
      </w:r>
    </w:p>
    <w:p>
      <w:pPr>
        <w:spacing w:after="0" w:line="81" w:lineRule="exact"/>
        <w:rPr>
          <w:sz w:val="20"/>
          <w:szCs w:val="20"/>
          <w:color w:val="auto"/>
        </w:rPr>
      </w:pPr>
    </w:p>
    <w:p>
      <w:pPr>
        <w:ind w:right="260" w:firstLine="378"/>
        <w:spacing w:after="0" w:line="282" w:lineRule="auto"/>
        <w:rPr>
          <w:sz w:val="20"/>
          <w:szCs w:val="20"/>
          <w:color w:val="auto"/>
        </w:rPr>
      </w:pPr>
      <w:r>
        <w:rPr>
          <w:rFonts w:ascii="Times New Roman" w:cs="Times New Roman" w:eastAsia="Times New Roman" w:hAnsi="Times New Roman"/>
          <w:sz w:val="18"/>
          <w:szCs w:val="18"/>
          <w:color w:val="auto"/>
        </w:rPr>
        <w:t>We believe the following accounting policies are critical to our business operations and the understanding of results of operations and affect the more significant judgments and estimates used in the preparation of our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Investments</w:t>
      </w:r>
    </w:p>
    <w:p>
      <w:pPr>
        <w:spacing w:after="0" w:line="121"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The fair value of our investments, including securities sold, not yet purchased, is based on observable market prices when available. Securities owned by the Investment Funds that are listed on a securities exchange are valued at their last sales price on the primary 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applicable general partner.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and Goodwill</w:t>
      </w:r>
    </w:p>
    <w:p>
      <w:pPr>
        <w:spacing w:after="0" w:line="121"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Long-lived assets held and used by our various operating segments and long-lived assets to be disposed of are reviewed for impairment whenever events or changes in circumstances, such as vacancies and rejected leases and reduced production capacity, indicate that the carrying amount of an asset may not be recoverable. In performing the review for recoverability, we estimate the future cash flows expected to result from the use of the asset and its eventual disposition. If the sum of the expected future cash flows, undiscounted and without interest charges, is less than the carrying amount of the asset an impairment loss is recognized.</w:t>
      </w:r>
    </w:p>
    <w:p>
      <w:pPr>
        <w:spacing w:after="0" w:line="76" w:lineRule="exact"/>
        <w:rPr>
          <w:sz w:val="20"/>
          <w:szCs w:val="20"/>
          <w:color w:val="auto"/>
        </w:rPr>
      </w:pPr>
    </w:p>
    <w:p>
      <w:pPr>
        <w:ind w:right="240" w:firstLine="378"/>
        <w:spacing w:after="0" w:line="282" w:lineRule="auto"/>
        <w:rPr>
          <w:sz w:val="20"/>
          <w:szCs w:val="20"/>
          <w:color w:val="auto"/>
        </w:rPr>
      </w:pPr>
      <w:r>
        <w:rPr>
          <w:rFonts w:ascii="Times New Roman" w:cs="Times New Roman" w:eastAsia="Times New Roman" w:hAnsi="Times New Roman"/>
          <w:sz w:val="18"/>
          <w:szCs w:val="18"/>
          <w:color w:val="auto"/>
        </w:rPr>
        <w:t>Measurement of an impairment loss for long-lived assets that we expect to hold and use is based on the fair value of the asset. Long-lived assets to be disposed of are reported at the lower of carrying amount or fair value less cost to sell.</w:t>
      </w:r>
    </w:p>
    <w:p>
      <w:pPr>
        <w:spacing w:after="0" w:line="54" w:lineRule="exact"/>
        <w:rPr>
          <w:sz w:val="20"/>
          <w:szCs w:val="20"/>
          <w:color w:val="auto"/>
        </w:rPr>
      </w:pPr>
    </w:p>
    <w:p>
      <w:pPr>
        <w:ind w:right="220" w:firstLine="378"/>
        <w:spacing w:after="0" w:line="282" w:lineRule="auto"/>
        <w:rPr>
          <w:sz w:val="20"/>
          <w:szCs w:val="20"/>
          <w:color w:val="auto"/>
        </w:rPr>
      </w:pPr>
      <w:r>
        <w:rPr>
          <w:rFonts w:ascii="Times New Roman" w:cs="Times New Roman" w:eastAsia="Times New Roman" w:hAnsi="Times New Roman"/>
          <w:sz w:val="18"/>
          <w:szCs w:val="18"/>
          <w:color w:val="auto"/>
        </w:rPr>
        <w:t>Definite-lived assets held by our various segments are periodically reviewed for impairment indicators. If impairment indicators exist, we perform the required analysis and record an impairment charge as required by applicable U.S. GAAP.</w:t>
      </w:r>
    </w:p>
    <w:p>
      <w:pPr>
        <w:spacing w:after="0" w:line="54"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Indefinite-lived intangible assets, such as goodwill and trademarks, held by our various segments are reviewed for impairment annually, or more frequently if impairment indicators exist. Goodwill impairment testing involves a two-step process. Step 1 compares the fair value of our reporting units to their carrying values. If the fair value of the reporting unit exceeds its carrying value, no further analysis is necessary. The reporting unit fair value is based upon consideration of various valuation methodologies, including guideline transaction multiples, multiples of current earnings, and projected future cash flows discounted at rates commensurate with the risk involved. If the carrying amount of the reporting unit exceeds its fair value, Step 2 must be completed to quantify the amount of impairment. Step 2 calculates the implied fair value of goodwill by deducting the fair value of all tangible and intangible assets, excluding goodwill, of the reporting unit, from the fair value of the reporting unit as determined in Step 1. The implied fair value of goodwill determined in this step is compared to the carrying value of goodwill. If the implied fair value of goodwill is less than the carrying value of goodwill, an impairment loss, equal to the difference, is recognized.</w:t>
      </w:r>
    </w:p>
    <w:p>
      <w:pPr>
        <w:spacing w:after="0" w:line="81" w:lineRule="exact"/>
        <w:rPr>
          <w:sz w:val="20"/>
          <w:szCs w:val="20"/>
          <w:color w:val="auto"/>
        </w:rPr>
      </w:pPr>
    </w:p>
    <w:p>
      <w:pPr>
        <w:ind w:right="300" w:firstLine="378"/>
        <w:spacing w:after="0" w:line="261" w:lineRule="auto"/>
        <w:rPr>
          <w:sz w:val="20"/>
          <w:szCs w:val="20"/>
          <w:color w:val="auto"/>
        </w:rPr>
      </w:pPr>
      <w:r>
        <w:rPr>
          <w:rFonts w:ascii="Times New Roman" w:cs="Times New Roman" w:eastAsia="Times New Roman" w:hAnsi="Times New Roman"/>
          <w:sz w:val="18"/>
          <w:szCs w:val="18"/>
          <w:color w:val="auto"/>
        </w:rPr>
        <w:t>The reporting unit fair values of our reporting segments are based upon consideration of various valuation methodologies, one of which is projecting future cash flows discounted at rates commensurate with the risks involved (“Discounted Cash Flow” or “DCF”). Assumptions used in a DCF require the exercise of significant judgment, including judgment about appropriate discount rates and terminal values, growth rates, and the amount and timing of expected future cash flows. The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400"/>
          </w:cols>
          <w:pgMar w:left="240" w:top="360" w:right="259" w:bottom="1440" w:gutter="0" w:footer="0" w:header="0"/>
        </w:sectPr>
      </w:pPr>
    </w:p>
    <w:bookmarkStart w:id="124" w:name="page125"/>
    <w:bookmarkEnd w:id="124"/>
    <w:p>
      <w:pPr>
        <w:ind w:right="120"/>
        <w:spacing w:after="0" w:line="258" w:lineRule="auto"/>
        <w:rPr>
          <w:sz w:val="20"/>
          <w:szCs w:val="20"/>
          <w:color w:val="auto"/>
        </w:rPr>
      </w:pPr>
      <w:r>
        <w:rPr>
          <w:rFonts w:ascii="Times New Roman" w:cs="Times New Roman" w:eastAsia="Times New Roman" w:hAnsi="Times New Roman"/>
          <w:sz w:val="18"/>
          <w:szCs w:val="18"/>
          <w:color w:val="auto"/>
        </w:rPr>
        <w:t>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(“WACC”) of a market participant. Such estimates are derived from our analysis of peer companies and consider the industry weighted average return on debt and equity from a market participant perspective.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119" w:lineRule="exact"/>
        <w:rPr>
          <w:sz w:val="20"/>
          <w:szCs w:val="20"/>
          <w:color w:val="auto"/>
        </w:rPr>
      </w:pPr>
    </w:p>
    <w:p>
      <w:pPr>
        <w:ind w:right="360" w:firstLine="378"/>
        <w:spacing w:after="0" w:line="261" w:lineRule="auto"/>
        <w:rPr>
          <w:sz w:val="20"/>
          <w:szCs w:val="20"/>
          <w:color w:val="auto"/>
        </w:rPr>
      </w:pPr>
      <w:r>
        <w:rPr>
          <w:rFonts w:ascii="Times New Roman" w:cs="Times New Roman" w:eastAsia="Times New Roman" w:hAnsi="Times New Roman"/>
          <w:sz w:val="18"/>
          <w:szCs w:val="18"/>
          <w:color w:val="auto"/>
        </w:rPr>
        <w:t>Both of our Automotive reporting units with goodwill passed "Step 1" of our October 1, 2014 goodwill impairment analysis. Powertrain and Motorparts, representing our Automotive segment reporting units, had fair values that were substantially in excess of their carrying values. Based on the results of our "Step 1" goodwill impairment analysis for our Automotive segment, we concluded that no impairment existed and therefore "Step 2" of the goodwill impairment analysis was not necessary.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119" w:lineRule="exact"/>
        <w:rPr>
          <w:sz w:val="20"/>
          <w:szCs w:val="20"/>
          <w:color w:val="auto"/>
        </w:rPr>
      </w:pPr>
    </w:p>
    <w:p>
      <w:pPr>
        <w:ind w:right="80" w:firstLine="378"/>
        <w:spacing w:after="0" w:line="254" w:lineRule="auto"/>
        <w:rPr>
          <w:sz w:val="20"/>
          <w:szCs w:val="20"/>
          <w:color w:val="auto"/>
        </w:rPr>
      </w:pPr>
      <w:r>
        <w:rPr>
          <w:rFonts w:ascii="Times New Roman" w:cs="Times New Roman" w:eastAsia="Times New Roman" w:hAnsi="Times New Roman"/>
          <w:sz w:val="18"/>
          <w:szCs w:val="18"/>
          <w:color w:val="auto"/>
        </w:rPr>
        <w:t>During the fourth quarter of 2014, based on certain negative trends occurring in the energy markets, particularly with respect to the significant volatility in the oil markets as a result of a drop in forecasted worldwide demand for crude oil supply and inventories, we determined that goodwill impairment indicators existed in both of our Energy segment's Petroleum and Fertilizer reporting units. Accordingly, we performed a "Step 1" goodwill impairment analysis for our Energy segment's reporting units as of December 1, 2014. Our Energy segment’s petroleum reporting unit passed “Step 1” of the goodwill impairment analysis, and therefore, we did not perform “Step 2” of the goodwill impairment analysis for this reporting unit. Because our Energy segment's Fertilizer reporting unit failed "Step 1" of the goodwill impairment analysis, we therefore, performed "Step 2" of the goodwill impairment analysis. Based on "Step 2" results of the goodwill impairment analysis we recognized a preliminary impairment charge of $103 million for our Energy segment's Fertilizer reporting unit for the year ended December 31, 2014. Due to the complexity inherent in the "Step 2" goodwill impairment test, we expect to finalize the assessment of Energy segment's goodwill impairment during the first quarter of 2015 and any resulting difference in the amount of the impairment will be adjusted at that time.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 - Litigation</w:t>
      </w:r>
    </w:p>
    <w:p>
      <w:pPr>
        <w:spacing w:after="0" w:line="121" w:lineRule="exact"/>
        <w:rPr>
          <w:sz w:val="20"/>
          <w:szCs w:val="20"/>
          <w:color w:val="auto"/>
        </w:rPr>
      </w:pPr>
    </w:p>
    <w:p>
      <w:pPr>
        <w:ind w:right="20" w:firstLine="378"/>
        <w:spacing w:after="0" w:line="256" w:lineRule="auto"/>
        <w:rPr>
          <w:sz w:val="20"/>
          <w:szCs w:val="20"/>
          <w:color w:val="auto"/>
        </w:rPr>
      </w:pPr>
      <w:r>
        <w:rPr>
          <w:rFonts w:ascii="Times New Roman" w:cs="Times New Roman" w:eastAsia="Times New Roman" w:hAnsi="Times New Roman"/>
          <w:sz w:val="18"/>
          <w:szCs w:val="18"/>
          <w:color w:val="auto"/>
        </w:rPr>
        <w:t>On an ongoing basis, we assess the potential liabilities related to any lawsuits or claims brought against us. While it is typically very difficult to determine the timing and ultimate outcome of such actions, we use our best judgment to determine if it is probable that we will incur an expense related to the settlement or final adjudication of such matters and whether a reasonable estimation of such probable loss, if any, can be made. In assessing probable losses, we make estimates of the amount of insurance recoveries, if any. We accrue a liability when we believe a loss is probable and the amount of loss can be reasonably estimated. Due to the inherent uncertainties related to the eventual outcome of litigation and potential insurance recovery, it is possible that certain matters may be resolved for amounts materially different from any provisions or disclosures that we have previously made.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Plans and Other Post-employment Benefit Plans</w:t>
      </w:r>
    </w:p>
    <w:p>
      <w:pPr>
        <w:spacing w:after="0" w:line="121" w:lineRule="exact"/>
        <w:rPr>
          <w:sz w:val="20"/>
          <w:szCs w:val="20"/>
          <w:color w:val="auto"/>
        </w:rPr>
      </w:pPr>
    </w:p>
    <w:p>
      <w:pPr>
        <w:ind w:right="180" w:firstLine="378"/>
        <w:spacing w:after="0" w:line="261" w:lineRule="auto"/>
        <w:rPr>
          <w:sz w:val="20"/>
          <w:szCs w:val="20"/>
          <w:color w:val="auto"/>
        </w:rPr>
      </w:pPr>
      <w:r>
        <w:rPr>
          <w:rFonts w:ascii="Times New Roman" w:cs="Times New Roman" w:eastAsia="Times New Roman" w:hAnsi="Times New Roman"/>
          <w:sz w:val="18"/>
          <w:szCs w:val="18"/>
          <w:color w:val="auto"/>
        </w:rPr>
        <w:t xml:space="preserve">Federal-Mogul sponsors defined benefit pension plans (“Pension Benefits”) and post-employment health care and life insurance benefits (“Other Post-employment Benefits” or “OPEB”) for certain employees and retirees around the world. Using appropriate actuarial methods and assumptions, Federal-Mogul's defined benefit pension plans and post-employment benefits other than pensions are accounted for in accordance with FASB ASC Topic 715, </w:t>
      </w:r>
      <w:r>
        <w:rPr>
          <w:rFonts w:ascii="Times New Roman" w:cs="Times New Roman" w:eastAsia="Times New Roman" w:hAnsi="Times New Roman"/>
          <w:sz w:val="18"/>
          <w:szCs w:val="18"/>
          <w:i w:val="1"/>
          <w:iCs w:val="1"/>
          <w:color w:val="auto"/>
        </w:rPr>
        <w:t xml:space="preserve">Compensation - Retirement Benefits </w:t>
      </w:r>
      <w:r>
        <w:rPr>
          <w:rFonts w:ascii="Times New Roman" w:cs="Times New Roman" w:eastAsia="Times New Roman" w:hAnsi="Times New Roman"/>
          <w:sz w:val="18"/>
          <w:szCs w:val="18"/>
          <w:color w:val="auto"/>
        </w:rPr>
        <w:t>(“FASB ASC 715”).</w:t>
      </w:r>
    </w:p>
    <w:p>
      <w:pPr>
        <w:spacing w:after="0" w:line="72" w:lineRule="exact"/>
        <w:rPr>
          <w:sz w:val="20"/>
          <w:szCs w:val="20"/>
          <w:color w:val="auto"/>
        </w:rPr>
      </w:pPr>
    </w:p>
    <w:p>
      <w:pPr>
        <w:ind w:right="100" w:firstLine="378"/>
        <w:spacing w:after="0" w:line="261" w:lineRule="auto"/>
        <w:rPr>
          <w:sz w:val="20"/>
          <w:szCs w:val="20"/>
          <w:color w:val="auto"/>
        </w:rPr>
      </w:pPr>
      <w:r>
        <w:rPr>
          <w:rFonts w:ascii="Times New Roman" w:cs="Times New Roman" w:eastAsia="Times New Roman" w:hAnsi="Times New Roman"/>
          <w:sz w:val="18"/>
          <w:szCs w:val="18"/>
          <w:color w:val="auto"/>
        </w:rPr>
        <w:t>Actual results that differ from assumptions used are accumulated and amortized over future periods and, accordingly, generally affect recognized expense and the recorded obligation in future periods. Therefore, assumptions used to calculate benefit obligations as of the end of a fiscal year directly impact the expense to be recognized in future periods. The primary assumptions affecting Federal-Mogul's accounting for employee benefits as of December 31, 2014 are as follows:</w:t>
      </w:r>
    </w:p>
    <w:p>
      <w:pPr>
        <w:spacing w:after="0" w:line="70" w:lineRule="exact"/>
        <w:rPr>
          <w:sz w:val="20"/>
          <w:szCs w:val="20"/>
          <w:color w:val="auto"/>
        </w:rPr>
      </w:pPr>
    </w:p>
    <w:p>
      <w:pPr>
        <w:ind w:left="660" w:hanging="247"/>
        <w:spacing w:after="0" w:line="259"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rate of return on plan assets</w:t>
      </w:r>
      <w:r>
        <w:rPr>
          <w:rFonts w:ascii="Times New Roman" w:cs="Times New Roman" w:eastAsia="Times New Roman" w:hAnsi="Times New Roman"/>
          <w:sz w:val="18"/>
          <w:szCs w:val="18"/>
          <w:color w:val="auto"/>
        </w:rPr>
        <w:t>: The required use of the expected long-term rate of return on plan assets may result in recognized returns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greater or less than the actual returns on those plan assets in any given year. While the development of the long-term rate of return on assets gives appropriate consideration to recent fund performance and historical returns, the assumption is designed to approximate a long-term prospective rate. The expected long-term rate of return used to calculate net periodic pension cost is 6.95% for U.S. plans and a weighted average of 4.18% for non-U.S. plans.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400"/>
          </w:cols>
          <w:pgMar w:left="240" w:top="472" w:right="259" w:bottom="1440" w:gutter="0" w:footer="0" w:header="0"/>
        </w:sectPr>
      </w:pPr>
    </w:p>
    <w:bookmarkStart w:id="125" w:name="page126"/>
    <w:bookmarkEnd w:id="125"/>
    <w:p>
      <w:pPr>
        <w:ind w:left="660" w:right="20" w:hanging="247"/>
        <w:spacing w:after="0" w:line="259" w:lineRule="auto"/>
        <w:tabs>
          <w:tab w:leader="none" w:pos="660"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Discount rate</w:t>
      </w:r>
      <w:r>
        <w:rPr>
          <w:rFonts w:ascii="Times New Roman" w:cs="Times New Roman" w:eastAsia="Times New Roman" w:hAnsi="Times New Roman"/>
          <w:sz w:val="18"/>
          <w:szCs w:val="18"/>
          <w:color w:val="auto"/>
        </w:rPr>
        <w:t>: The discount rate reflects the effective yield on high quality fixed income securities available in the marketplace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 to settle pension and post-employment benefit obligations. The weighted-average discount rate used to calculate net periodic pension cost is 4.55% for U.S. pension plans and a weighted average of 3.49% for non-U.S. plans and 4.45% for its OPEB. In calculating its benefit obligations, Federal-Mogul used a weighted-average discount rate of 3.85% for its U.S. pension plans, a weighted average discount rate of 1.77% for its non-U.S. pension plans and a discount rate of 3.84% for its OPEB.</w:t>
      </w:r>
    </w:p>
    <w:p>
      <w:pPr>
        <w:spacing w:after="0" w:line="71" w:lineRule="exact"/>
        <w:rPr>
          <w:rFonts w:ascii="Times New Roman" w:cs="Times New Roman" w:eastAsia="Times New Roman" w:hAnsi="Times New Roman"/>
          <w:sz w:val="18"/>
          <w:szCs w:val="18"/>
          <w:i w:val="1"/>
          <w:iCs w:val="1"/>
          <w:color w:val="auto"/>
        </w:rPr>
      </w:pPr>
    </w:p>
    <w:p>
      <w:pPr>
        <w:ind w:left="660" w:right="360" w:hanging="247"/>
        <w:spacing w:after="0" w:line="290" w:lineRule="auto"/>
        <w:tabs>
          <w:tab w:leader="none" w:pos="660" w:val="left"/>
        </w:tabs>
        <w:numPr>
          <w:ilvl w:val="0"/>
          <w:numId w:val="4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Health care cost trend</w:t>
      </w:r>
      <w:r>
        <w:rPr>
          <w:rFonts w:ascii="Times New Roman" w:cs="Times New Roman" w:eastAsia="Times New Roman" w:hAnsi="Times New Roman"/>
          <w:sz w:val="17"/>
          <w:szCs w:val="17"/>
          <w:color w:val="auto"/>
        </w:rPr>
        <w:t>: For post-employment health care plan accounting, Federal-Mogul reviews external data and company specific historical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trends for health care costs to determine the health care cost trend rate. The assumed health care cost trend rate used to measure next year’s post-employment health care benefits is 7.25% for health care and 7.25% for drug cost, both declining to an ultimate trend rate of 5.00% in 2022.</w:t>
      </w:r>
    </w:p>
    <w:p>
      <w:pPr>
        <w:spacing w:after="0" w:line="266" w:lineRule="exact"/>
        <w:rPr>
          <w:sz w:val="20"/>
          <w:szCs w:val="20"/>
          <w:color w:val="auto"/>
        </w:rPr>
      </w:pPr>
    </w:p>
    <w:p>
      <w:pPr>
        <w:ind w:right="100" w:firstLine="378"/>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sensitivity to a change in certain assumptions for projected benefit obligations (“PBO”), associated expense and other comprehensive loss (“OCL”). The changes in these assumptions have no impact on Federal-Mogul's funding requirements.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7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Other Post-Employment</w:t>
            </w:r>
          </w:p>
        </w:tc>
      </w:tr>
      <w:tr>
        <w:trPr>
          <w:trHeight w:val="237"/>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United States Plans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Non-U.S. Plans</w:t>
            </w:r>
          </w:p>
        </w:tc>
        <w:tc>
          <w:tcPr>
            <w:tcW w:w="120" w:type="dxa"/>
            <w:vAlign w:val="bottom"/>
          </w:tcPr>
          <w:p>
            <w:pPr>
              <w:spacing w:after="0"/>
              <w:rPr>
                <w:sz w:val="20"/>
                <w:szCs w:val="20"/>
                <w:color w:val="auto"/>
              </w:rPr>
            </w:pPr>
          </w:p>
        </w:tc>
        <w:tc>
          <w:tcPr>
            <w:tcW w:w="14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740" w:type="dxa"/>
            <w:vAlign w:val="bottom"/>
          </w:tcPr>
          <w:p>
            <w:pPr>
              <w:spacing w:after="0"/>
              <w:rPr>
                <w:sz w:val="20"/>
                <w:szCs w:val="20"/>
                <w:color w:val="auto"/>
              </w:rPr>
            </w:pPr>
          </w:p>
        </w:tc>
      </w:tr>
      <w:tr>
        <w:trPr>
          <w:trHeight w:val="27"/>
        </w:trPr>
        <w:tc>
          <w:tcPr>
            <w:tcW w:w="1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4"/>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16"/>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320" w:type="dxa"/>
            <w:vAlign w:val="bottom"/>
          </w:tcPr>
          <w:p>
            <w:pPr>
              <w:spacing w:after="0"/>
              <w:rPr>
                <w:sz w:val="18"/>
                <w:szCs w:val="18"/>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240" w:type="dxa"/>
            <w:vAlign w:val="bottom"/>
          </w:tcPr>
          <w:p>
            <w:pPr>
              <w:spacing w:after="0"/>
              <w:rPr>
                <w:sz w:val="18"/>
                <w:szCs w:val="18"/>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w:t>
            </w:r>
          </w:p>
        </w:tc>
        <w:tc>
          <w:tcPr>
            <w:tcW w:w="1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accumulated</w:t>
            </w:r>
          </w:p>
        </w:tc>
        <w:tc>
          <w:tcPr>
            <w:tcW w:w="12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2"/>
              </w:rPr>
              <w:t>in</w:t>
            </w:r>
          </w:p>
        </w:tc>
      </w:tr>
      <w:tr>
        <w:trPr>
          <w:trHeight w:val="238"/>
        </w:trPr>
        <w:tc>
          <w:tcPr>
            <w:tcW w:w="17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2015 expense</w:t>
            </w:r>
          </w:p>
        </w:tc>
        <w:tc>
          <w:tcPr>
            <w:tcW w:w="320" w:type="dxa"/>
            <w:vAlign w:val="bottom"/>
          </w:tcPr>
          <w:p>
            <w:pPr>
              <w:spacing w:after="0"/>
              <w:rPr>
                <w:sz w:val="20"/>
                <w:szCs w:val="20"/>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PBO</w:t>
            </w:r>
          </w:p>
        </w:tc>
        <w:tc>
          <w:tcPr>
            <w:tcW w:w="2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OCL</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2015 expense</w:t>
            </w:r>
          </w:p>
        </w:tc>
        <w:tc>
          <w:tcPr>
            <w:tcW w:w="240" w:type="dxa"/>
            <w:vAlign w:val="bottom"/>
          </w:tcPr>
          <w:p>
            <w:pPr>
              <w:spacing w:after="0"/>
              <w:rPr>
                <w:sz w:val="20"/>
                <w:szCs w:val="20"/>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PBO</w:t>
            </w:r>
          </w:p>
        </w:tc>
        <w:tc>
          <w:tcPr>
            <w:tcW w:w="18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OCL</w:t>
            </w:r>
          </w:p>
        </w:tc>
        <w:tc>
          <w:tcPr>
            <w:tcW w:w="12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2015 expense</w:t>
            </w:r>
          </w:p>
        </w:tc>
        <w:tc>
          <w:tcPr>
            <w:tcW w:w="7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PBO</w:t>
            </w:r>
          </w:p>
        </w:tc>
      </w:tr>
      <w:tr>
        <w:trPr>
          <w:trHeight w:val="27"/>
        </w:trPr>
        <w:tc>
          <w:tcPr>
            <w:tcW w:w="1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5"/>
        </w:trPr>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30"/>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25 bp decrease in</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41"/>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 bp increase in</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4"/>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14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5"/>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25 bp decrease in</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41"/>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return on assets rate</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 bp increase in</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4"/>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return on assets rate</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17" w:lineRule="exact"/>
        <w:rPr>
          <w:sz w:val="20"/>
          <w:szCs w:val="20"/>
          <w:color w:val="auto"/>
        </w:rPr>
      </w:pPr>
    </w:p>
    <w:p>
      <w:pPr>
        <w:ind w:right="80" w:firstLine="378"/>
        <w:spacing w:after="0" w:line="282" w:lineRule="auto"/>
        <w:rPr>
          <w:sz w:val="20"/>
          <w:szCs w:val="20"/>
          <w:color w:val="auto"/>
        </w:rPr>
      </w:pPr>
      <w:r>
        <w:rPr>
          <w:rFonts w:ascii="Times New Roman" w:cs="Times New Roman" w:eastAsia="Times New Roman" w:hAnsi="Times New Roman"/>
          <w:sz w:val="18"/>
          <w:szCs w:val="18"/>
          <w:color w:val="auto"/>
        </w:rPr>
        <w:t>The assumed health care trend rate has a significant impact on the amounts reported for non-pension plans. The following table illustrates the sensitivity to a change in the assumed health care trend rate: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54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Total Service and</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Interest Cost</w:t>
            </w:r>
          </w:p>
        </w:tc>
        <w:tc>
          <w:tcPr>
            <w:tcW w:w="46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APBO</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5"/>
        </w:trPr>
        <w:tc>
          <w:tcPr>
            <w:tcW w:w="8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1080" w:type="dxa"/>
            <w:vAlign w:val="bottom"/>
          </w:tcPr>
          <w:p>
            <w:pPr>
              <w:spacing w:after="0"/>
              <w:rPr>
                <w:sz w:val="21"/>
                <w:szCs w:val="2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100 bp increase in health care trend rate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100 bp decrease in health care trend rate</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ind w:right="100" w:firstLine="378"/>
        <w:spacing w:after="0" w:line="255" w:lineRule="auto"/>
        <w:rPr>
          <w:sz w:val="20"/>
          <w:szCs w:val="20"/>
          <w:color w:val="auto"/>
        </w:rPr>
      </w:pPr>
      <w:r>
        <w:rPr>
          <w:rFonts w:ascii="Times New Roman" w:cs="Times New Roman" w:eastAsia="Times New Roman" w:hAnsi="Times New Roman"/>
          <w:sz w:val="18"/>
          <w:szCs w:val="18"/>
          <w:color w:val="auto"/>
        </w:rPr>
        <w:t>Due to the nature of certain of our operations, we may be subject to environmental remediation claims. Certain of our operations are subject to federal, state, local and foreign environmental laws and regulations concerning discharges to the air, soil, surface and subsurface waters and the generation, handling, storage, transportation, treatment and disposal of waste materials and hazardous substances. Certain of our operations are also subject to other federal, state, local and foreign laws and regulations including those that require them to remove or mitigate the effects of the disposal or release of certain materials at various sites. While it is typically very difficult to determine the timing and ultimate outcome of such actions, if any, management uses its best judgment to determine if it is probable that it will incur an expense related to the settlement or final adjudication of such matters and whether a reasonable estimation of such probable loss, if any, can be made. In assessing probable losses, management makes estimates of the amount of insurance recoveries, if any. Certain of our operations accrue a</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420"/>
          </w:cols>
          <w:pgMar w:left="240" w:top="470" w:right="239" w:bottom="1440" w:gutter="0" w:footer="0" w:header="0"/>
        </w:sectPr>
      </w:pPr>
    </w:p>
    <w:bookmarkStart w:id="126" w:name="page127"/>
    <w:bookmarkEnd w:id="126"/>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liability when their management believes a loss is probable and the amount of loss can be reasonably estimated. Due to the inherent uncertainties related to the eventual outcome of litigation and potential insurance recovery, it is possible that certain matters may be resolved for amounts materially different from any provisions or disclosures that have previously been made.</w:t>
      </w:r>
    </w:p>
    <w:p>
      <w:pPr>
        <w:spacing w:after="0" w:line="68"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It is impossible to predict precisely what effect these laws and regulations will have on our operations in the future. Compliance with environmental laws and regulations may result in, among other things, capital expenditures, costs and liabilities. Management believes, based on past experience and its best assessment of future events, that these environmental liabilities and costs will be assessed and paid over an extended period of time. Management believes that recorded environmental liabilities will be adequate to cover estimated liability for exposure in respect to such matters. In the event that such liabilities were to significantly exceed the amounts recorded, our results of operations could be materially affected.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119" w:lineRule="exact"/>
        <w:rPr>
          <w:sz w:val="20"/>
          <w:szCs w:val="20"/>
          <w:color w:val="auto"/>
        </w:rPr>
      </w:pPr>
    </w:p>
    <w:p>
      <w:pPr>
        <w:ind w:right="140" w:firstLine="378"/>
        <w:spacing w:after="0" w:line="255" w:lineRule="auto"/>
        <w:rPr>
          <w:sz w:val="20"/>
          <w:szCs w:val="20"/>
          <w:color w:val="auto"/>
        </w:rPr>
      </w:pPr>
      <w:r>
        <w:rPr>
          <w:rFonts w:ascii="Times New Roman" w:cs="Times New Roman" w:eastAsia="Times New Roman" w:hAnsi="Times New Roman"/>
          <w:sz w:val="18"/>
          <w:szCs w:val="18"/>
          <w:color w:val="auto"/>
        </w:rPr>
        <w:t>Federal-Mogul is a defendant in lawsuits filed, or the recipient of administrative orders issued or demand letters received, in various jurisdictions pursuant to the Federal Comprehensive Environmental Response Compensation and Liability Act of 1980 (“CERCLA”) or other similar national, provincial or state environmental remedial laws. These laws provide that responsible parties may be liable to pay for remediating contamination resulting from hazardous substances that were discharged into the environment by them, by prior owners or occupants of property they currently own or operate, or by others to whom they sent such substances for treatment or other disposition at third party locations. Federal-Mogul has been notified by the United States Environmental Protection Agency, other national environmental agencies, and various provincial and state agencies that it may be a potentially responsible party (“PRP”) under such laws for the cost of remediating hazardous substances pursuant to CERCLA and other national and state or provincial environmental laws. PRP designation often results in the funding of site investigations and subsequent remedial activities.</w:t>
      </w:r>
    </w:p>
    <w:p>
      <w:pPr>
        <w:spacing w:after="0" w:line="77" w:lineRule="exact"/>
        <w:rPr>
          <w:sz w:val="20"/>
          <w:szCs w:val="20"/>
          <w:color w:val="auto"/>
        </w:rPr>
      </w:pPr>
    </w:p>
    <w:p>
      <w:pPr>
        <w:ind w:firstLine="378"/>
        <w:spacing w:after="0" w:line="261" w:lineRule="auto"/>
        <w:rPr>
          <w:sz w:val="20"/>
          <w:szCs w:val="20"/>
          <w:color w:val="auto"/>
        </w:rPr>
      </w:pPr>
      <w:r>
        <w:rPr>
          <w:rFonts w:ascii="Times New Roman" w:cs="Times New Roman" w:eastAsia="Times New Roman" w:hAnsi="Times New Roman"/>
          <w:sz w:val="18"/>
          <w:szCs w:val="18"/>
          <w:color w:val="auto"/>
        </w:rPr>
        <w:t>Many of the sites that are likely to be the costliest to remediate are often current or former commercial waste disposal facilities to which numerous companies sent wastes. Despite the potential joint and several liability which might be imposed on Federal-Mogul under CERCLA and some of the other laws pertaining to these sites, its share of the total waste sent to these sites has generally been small. Federal-Mogul believes its exposure for liability at these sites is limited.</w:t>
      </w:r>
    </w:p>
    <w:p>
      <w:pPr>
        <w:spacing w:after="0" w:line="72"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Federal-Mogul has also identified certain other present and former properties at which it may be responsible for cleaning up or addressing environmental contamination, in some cases as a result of contractual commitments and/or federal or state environmental laws. Federal-Mogul is actively seeking to resolve these actual and potential statutory, regulatory and contractual obligations. Although difficult to quantify based on the complexity of the issues, Federal-Mogul has accrued amounts corresponding to its best estimate of the costs associated with such regulatory and contractual obligations on the basis of available information from site investigations and best professional judgment of consultants.</w:t>
      </w:r>
    </w:p>
    <w:p>
      <w:pPr>
        <w:spacing w:after="0" w:line="76" w:lineRule="exact"/>
        <w:rPr>
          <w:sz w:val="20"/>
          <w:szCs w:val="20"/>
          <w:color w:val="auto"/>
        </w:rPr>
      </w:pPr>
    </w:p>
    <w:p>
      <w:pPr>
        <w:ind w:right="280" w:firstLine="378"/>
        <w:spacing w:after="0" w:line="282" w:lineRule="auto"/>
        <w:rPr>
          <w:sz w:val="20"/>
          <w:szCs w:val="20"/>
          <w:color w:val="auto"/>
        </w:rPr>
      </w:pPr>
      <w:r>
        <w:rPr>
          <w:rFonts w:ascii="Times New Roman" w:cs="Times New Roman" w:eastAsia="Times New Roman" w:hAnsi="Times New Roman"/>
          <w:sz w:val="18"/>
          <w:szCs w:val="18"/>
          <w:color w:val="auto"/>
        </w:rPr>
        <w:t>Total environmental liabilities, determined on an undiscounted basis, were $15 million and $14 million at December 31, 2014 and 2013, respectively, and are included in accrued expenses and other liabilities in our consolidated balance sheets.</w:t>
      </w:r>
    </w:p>
    <w:p>
      <w:pPr>
        <w:spacing w:after="0" w:line="54" w:lineRule="exact"/>
        <w:rPr>
          <w:sz w:val="20"/>
          <w:szCs w:val="20"/>
          <w:color w:val="auto"/>
        </w:rPr>
      </w:pPr>
    </w:p>
    <w:p>
      <w:pPr>
        <w:ind w:right="40" w:firstLine="378"/>
        <w:spacing w:after="0" w:line="261" w:lineRule="auto"/>
        <w:rPr>
          <w:sz w:val="20"/>
          <w:szCs w:val="20"/>
          <w:color w:val="auto"/>
        </w:rPr>
      </w:pPr>
      <w:r>
        <w:rPr>
          <w:rFonts w:ascii="Times New Roman" w:cs="Times New Roman" w:eastAsia="Times New Roman" w:hAnsi="Times New Roman"/>
          <w:sz w:val="18"/>
          <w:szCs w:val="18"/>
          <w:color w:val="auto"/>
        </w:rPr>
        <w:t>Federal-Mogul believes that recorded environmental liabilities will be adequate to cover its estimated liability for its exposure in respect to such matters. In the event that such liabilities were to significantly exceed the amounts recorded by Federal-Mogul, our Automotive segment's results of operations could be materially affected. At December 31, 2014, Federal-Mogul estimates reasonably possible material additional losses, above and beyond its best estimate of required remediation costs as recorded, to approximate $40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19" w:lineRule="exact"/>
        <w:rPr>
          <w:sz w:val="20"/>
          <w:szCs w:val="20"/>
          <w:color w:val="auto"/>
        </w:rPr>
      </w:pPr>
    </w:p>
    <w:p>
      <w:pPr>
        <w:ind w:right="20" w:firstLine="378"/>
        <w:spacing w:after="0" w:line="257" w:lineRule="auto"/>
        <w:rPr>
          <w:sz w:val="20"/>
          <w:szCs w:val="20"/>
          <w:color w:val="auto"/>
        </w:rPr>
      </w:pPr>
      <w:r>
        <w:rPr>
          <w:rFonts w:ascii="Times New Roman" w:cs="Times New Roman" w:eastAsia="Times New Roman" w:hAnsi="Times New Roman"/>
          <w:sz w:val="18"/>
          <w:szCs w:val="18"/>
          <w:color w:val="auto"/>
        </w:rPr>
        <w:t xml:space="preserve">Federal-Mogul records asset retirement obligations, or ARO, in accordance with FASB ASC Topic 410, </w:t>
      </w:r>
      <w:r>
        <w:rPr>
          <w:rFonts w:ascii="Times New Roman" w:cs="Times New Roman" w:eastAsia="Times New Roman" w:hAnsi="Times New Roman"/>
          <w:sz w:val="18"/>
          <w:szCs w:val="18"/>
          <w:i w:val="1"/>
          <w:iCs w:val="1"/>
          <w:color w:val="auto"/>
        </w:rPr>
        <w:t>Asset Retirement and Environmental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Federal-Mogul's primary ARO activities relate to the removal of hazardous building materials at its facilities. Federal-Mogul records an ARO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upon initial recognition when the amounts can be reasonably estimated, typically upon the expectation that an operating site may be closed or sold. Federal-Mogul has identified sites with contractual obligations and several sites that are closed or expected to be closed and sold. In connection with these sites, Federal-Mogul has accrued $24 million and $26 million as of December 31, 2014 and 2013, respectively, for ARO, primarily related to anticipated costs of removing hazardous building materials, and has considered impairment issues that may result from capitalization of ARO.</w:t>
      </w:r>
    </w:p>
    <w:p>
      <w:pPr>
        <w:spacing w:after="0" w:line="77" w:lineRule="exact"/>
        <w:rPr>
          <w:sz w:val="20"/>
          <w:szCs w:val="20"/>
          <w:color w:val="auto"/>
        </w:rPr>
      </w:pPr>
    </w:p>
    <w:p>
      <w:pPr>
        <w:ind w:firstLine="378"/>
        <w:spacing w:after="0" w:line="261" w:lineRule="auto"/>
        <w:rPr>
          <w:sz w:val="20"/>
          <w:szCs w:val="20"/>
          <w:color w:val="auto"/>
        </w:rPr>
      </w:pPr>
      <w:r>
        <w:rPr>
          <w:rFonts w:ascii="Times New Roman" w:cs="Times New Roman" w:eastAsia="Times New Roman" w:hAnsi="Times New Roman"/>
          <w:sz w:val="18"/>
          <w:szCs w:val="18"/>
          <w:color w:val="auto"/>
        </w:rPr>
        <w:t>In determining whether the fair value of ARO can reasonably be estimated, Federal-Mogul must determine if the obligation can be assessed in relation to the acquisition price of the related asset or if an active market exists to transfer the obligation. If the obligation cannot be assessed in connection with an acquisition price and if no market exists for the transfer of the obligation, Federal-Mogul must determine if it has sufficient information upon which to estimate the obligation using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420"/>
          </w:cols>
          <w:pgMar w:left="240" w:top="472" w:right="239" w:bottom="1440" w:gutter="0" w:footer="0" w:header="0"/>
        </w:sectPr>
      </w:pPr>
    </w:p>
    <w:bookmarkStart w:id="127" w:name="page128"/>
    <w:bookmarkEnd w:id="127"/>
    <w:p>
      <w:pPr>
        <w:ind w:right="720"/>
        <w:spacing w:after="0" w:line="282" w:lineRule="auto"/>
        <w:rPr>
          <w:sz w:val="20"/>
          <w:szCs w:val="20"/>
          <w:color w:val="auto"/>
        </w:rPr>
      </w:pPr>
      <w:r>
        <w:rPr>
          <w:rFonts w:ascii="Times New Roman" w:cs="Times New Roman" w:eastAsia="Times New Roman" w:hAnsi="Times New Roman"/>
          <w:sz w:val="18"/>
          <w:szCs w:val="18"/>
          <w:color w:val="auto"/>
        </w:rPr>
        <w:t>expected present value techniques. This determination requires Federal-Mogul to estimate the range of settlement dates and the potential methods of settlement, and then to assign the probabilities to the various potential settlement dates and methods.</w:t>
      </w:r>
    </w:p>
    <w:p>
      <w:pPr>
        <w:spacing w:after="0" w:line="54"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Federal-Mogul has conditional asset retirement obligations, or CARO, primarily related to removal costs of hazardous materials in buildings, for which it believes reasonable cost estimates cannot be made at this time because Federal-Mogul does not believe it has a reasonable basis to assign probabilities to a range of potential settlement dates for these retirement obligations. Accordingly, Federal-Mogul is currently unable to determine amounts to accrue for CARO at such sites. If new information were to become available whereby Federal-Mogul could make reasonable probability assessments for these CARO, the amount accrued for ARO could change significantly, which could materially impact our Automotive segment's statement of operations and/or financial position. Settlements of ARO in the near-future at amounts other than Federal-Mogul's best estimates as of December 31, 2014 also could materially impact our Automotive segment's future results of operations and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378"/>
        <w:spacing w:after="0" w:line="266" w:lineRule="auto"/>
        <w:rPr>
          <w:sz w:val="20"/>
          <w:szCs w:val="20"/>
          <w:color w:val="auto"/>
        </w:rPr>
      </w:pPr>
      <w:r>
        <w:rPr>
          <w:rFonts w:ascii="Times New Roman" w:cs="Times New Roman" w:eastAsia="Times New Roman" w:hAnsi="Times New Roman"/>
          <w:sz w:val="18"/>
          <w:szCs w:val="18"/>
          <w:color w:val="auto"/>
        </w:rPr>
        <w:t>Except as described below, no provision has been made for federal, state, local or foreign income taxes on the results of operations generated by partnership activities as such taxes are the responsibility of the partners. Our corporate subsidiaries account for their income taxes under the asset and liability method.</w:t>
      </w:r>
    </w:p>
    <w:p>
      <w:pPr>
        <w:spacing w:after="0" w:line="68" w:lineRule="exact"/>
        <w:rPr>
          <w:sz w:val="20"/>
          <w:szCs w:val="20"/>
          <w:color w:val="auto"/>
        </w:rPr>
      </w:pPr>
    </w:p>
    <w:p>
      <w:pPr>
        <w:ind w:right="400" w:firstLine="378"/>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w:t>
      </w:r>
    </w:p>
    <w:p>
      <w:pPr>
        <w:spacing w:after="0" w:line="54" w:lineRule="exact"/>
        <w:rPr>
          <w:sz w:val="20"/>
          <w:szCs w:val="20"/>
          <w:color w:val="auto"/>
        </w:rPr>
      </w:pPr>
    </w:p>
    <w:p>
      <w:pPr>
        <w:ind w:right="440" w:firstLine="378"/>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68" w:lineRule="exact"/>
        <w:rPr>
          <w:sz w:val="20"/>
          <w:szCs w:val="20"/>
          <w:color w:val="auto"/>
        </w:rPr>
      </w:pPr>
    </w:p>
    <w:p>
      <w:pPr>
        <w:ind w:right="40" w:firstLine="378"/>
        <w:spacing w:after="0" w:line="261" w:lineRule="auto"/>
        <w:rPr>
          <w:sz w:val="20"/>
          <w:szCs w:val="20"/>
          <w:color w:val="auto"/>
        </w:rPr>
      </w:pPr>
      <w:r>
        <w:rPr>
          <w:rFonts w:ascii="Times New Roman" w:cs="Times New Roman" w:eastAsia="Times New Roman" w:hAnsi="Times New Roman"/>
          <w:sz w:val="18"/>
          <w:szCs w:val="18"/>
          <w:color w:val="auto"/>
        </w:rPr>
        <w:t>Federal-Mogul and Viskase did not record taxes on its undistributed earnings of $902 million and $68 million, respectively, at December 31, 2014, since these earnings are considered to be permanently reinvested. If at some future date, these earnings cease to be permanently reinvested, Federal-Mogul and Viskase may be subject to U.S. income taxes and foreign withholding taxes on such amounts. Determining the unrecognized deferred tax liability on the potential distribution of these earnings is not practicable as such liability, if any, is dependent on circumstances existing when remittance occurs.</w:t>
      </w:r>
    </w:p>
    <w:p>
      <w:pPr>
        <w:spacing w:after="0" w:line="72" w:lineRule="exact"/>
        <w:rPr>
          <w:sz w:val="20"/>
          <w:szCs w:val="20"/>
          <w:color w:val="auto"/>
        </w:rPr>
      </w:pPr>
    </w:p>
    <w:p>
      <w:pPr>
        <w:ind w:right="120" w:firstLine="378"/>
        <w:spacing w:after="0" w:line="256" w:lineRule="auto"/>
        <w:rPr>
          <w:sz w:val="20"/>
          <w:szCs w:val="20"/>
          <w:color w:val="auto"/>
        </w:rPr>
      </w:pPr>
      <w:r>
        <w:rPr>
          <w:rFonts w:ascii="Times New Roman" w:cs="Times New Roman" w:eastAsia="Times New Roman" w:hAnsi="Times New Roman"/>
          <w:sz w:val="18"/>
          <w:szCs w:val="18"/>
          <w:color w:val="auto"/>
        </w:rPr>
        <w:t>Management periodically evaluates all evidence, both positive and negative, in determining whether a valuation allowance to reduce the carrying value of deferred tax assets is still needed. In 2014, 2013 and 2012, we concluded, based on the projections of taxable income, that certain of our corporate subsidiaries more likely than not will realize a partial benefit from their deferred tax assets and loss carry forwards. Ultimate realization of the deferred tax assets is dependent upon, among other factors, our corporate subsidiaries' ability to generate sufficient taxable income within the carryforward periods and is subject to change depending on the tax laws in effect in the years in which the carryforwards are used. See Note 14, "Income Taxes," to the consolidated financial statements for further discussion regarding the reversal of our Gaming segment's deferred tax assets during the year ended December 31, 2014.</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119" w:lineRule="exact"/>
        <w:rPr>
          <w:sz w:val="20"/>
          <w:szCs w:val="20"/>
          <w:color w:val="auto"/>
        </w:rPr>
      </w:pPr>
    </w:p>
    <w:p>
      <w:pPr>
        <w:ind w:right="40" w:firstLine="378"/>
        <w:spacing w:after="0" w:line="256" w:lineRule="auto"/>
        <w:rPr>
          <w:sz w:val="20"/>
          <w:szCs w:val="20"/>
          <w:color w:val="auto"/>
        </w:rPr>
      </w:pPr>
      <w:r>
        <w:rPr>
          <w:rFonts w:ascii="Times New Roman" w:cs="Times New Roman" w:eastAsia="Times New Roman" w:hAnsi="Times New Roman"/>
          <w:sz w:val="18"/>
          <w:szCs w:val="18"/>
          <w:color w:val="auto"/>
        </w:rPr>
        <w:t xml:space="preserve">Our Energy segment's petroleum business uses futures contracts, options, and forward contracts primarily to reduce exposure to changes in crude oil prices and finished goods product prices to provide economic hedges of inventory positions. Although management considers these derivatives economic hedges, these derivative instruments do not qualify as hedges for hedge accounting purposes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and accordingly are recorded at fair value in the balance sheet. Changes in the fair value of these derivative instruments are recorded into earnings as a component of other income (expense) in the period of change. The estimated fair values of forward and swap contracts are based on quoted market prices and assumptions for the estimated forward yield curves of related commodities in periods when quoted market prices are unavailable.</w:t>
      </w:r>
    </w:p>
    <w:p>
      <w:pPr>
        <w:spacing w:after="0" w:line="80" w:lineRule="exact"/>
        <w:rPr>
          <w:sz w:val="20"/>
          <w:szCs w:val="20"/>
          <w:color w:val="auto"/>
        </w:rPr>
      </w:pPr>
    </w:p>
    <w:p>
      <w:pPr>
        <w:ind w:right="180" w:firstLine="378"/>
        <w:spacing w:after="0" w:line="258" w:lineRule="auto"/>
        <w:rPr>
          <w:sz w:val="20"/>
          <w:szCs w:val="20"/>
          <w:color w:val="auto"/>
        </w:rPr>
      </w:pPr>
      <w:r>
        <w:rPr>
          <w:rFonts w:ascii="Times New Roman" w:cs="Times New Roman" w:eastAsia="Times New Roman" w:hAnsi="Times New Roman"/>
          <w:sz w:val="18"/>
          <w:szCs w:val="18"/>
          <w:color w:val="auto"/>
        </w:rPr>
        <w:t>Our Energy segment's nitrogen fertilizer business uses forward swap contracts primarily to reduce the exposure to changes in interest rates on its debt and to provide a cash flow hedge. These derivative instruments have been designated as hedges for accounting purposes. Accordingly, these instruments are recorded at fair value in the consolidated balance sheets at each reporting period end. The actual measurement of the cash flow hedge ineffectiveness is recognized in earnings, if applicable. The effective portion of the gain or loss on the swaps is reported in accumulated other comprehensive income (loss) ("AOCI"), in accordance with ASC 815.</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420"/>
          </w:cols>
          <w:pgMar w:left="240" w:top="472"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Updates</w:t>
      </w:r>
    </w:p>
    <w:p>
      <w:pPr>
        <w:spacing w:after="0" w:line="119" w:lineRule="exact"/>
        <w:rPr>
          <w:sz w:val="20"/>
          <w:szCs w:val="20"/>
          <w:color w:val="auto"/>
        </w:rPr>
      </w:pPr>
    </w:p>
    <w:p>
      <w:pPr>
        <w:ind w:right="100" w:firstLine="378"/>
        <w:spacing w:after="0" w:line="257" w:lineRule="auto"/>
        <w:rPr>
          <w:sz w:val="20"/>
          <w:szCs w:val="20"/>
          <w:color w:val="auto"/>
        </w:rPr>
      </w:pPr>
      <w:r>
        <w:rPr>
          <w:rFonts w:ascii="Times New Roman" w:cs="Times New Roman" w:eastAsia="Times New Roman" w:hAnsi="Times New Roman"/>
          <w:sz w:val="18"/>
          <w:szCs w:val="18"/>
          <w:color w:val="auto"/>
        </w:rPr>
        <w:t xml:space="preserve">In April 2014, the FASB issued ASU No. 2014-08, which amends FASB ASC Topic 205,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and FASB ASC Topic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This ASU is effective on a prospective basis applicable to activities that occur within annual periods beginning on or after December 15, 2014, and interim periods within those years, and changes the requirements for reporting discontinued operations. Early adoption is permitted, but only for disposals that have not been reported in financial statements previously issued or available for issuance. We believe that ASU No. 2014-08 will reduce the number of dispositions that would qualify for discontinued operations at our parent company level, thereby reducing the complexity associated with the reporting and disclosure requirements of discontinued operations that would have been otherwise required previously.</w:t>
      </w:r>
    </w:p>
    <w:p>
      <w:pPr>
        <w:spacing w:after="0" w:line="75"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creating a new topic,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superseding revenue recognition requirements in FASB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is effective for fiscal years, and interim reporting periods within those years, beginning after December 15, 2016, using one of two retrospective application methods. We are currently evaluating the impact that the adoption of this guidance will have on our consolidated financial position, results of operations, comprehensive income, cash flows and disclosures.</w:t>
      </w:r>
    </w:p>
    <w:p>
      <w:pPr>
        <w:spacing w:after="0" w:line="75" w:lineRule="exact"/>
        <w:rPr>
          <w:sz w:val="20"/>
          <w:szCs w:val="20"/>
          <w:color w:val="auto"/>
        </w:rPr>
      </w:pPr>
    </w:p>
    <w:p>
      <w:pPr>
        <w:ind w:firstLine="378"/>
        <w:spacing w:after="0" w:line="257" w:lineRule="auto"/>
        <w:rPr>
          <w:sz w:val="20"/>
          <w:szCs w:val="20"/>
          <w:color w:val="auto"/>
        </w:rPr>
      </w:pPr>
      <w:r>
        <w:rPr>
          <w:rFonts w:ascii="Times New Roman" w:cs="Times New Roman" w:eastAsia="Times New Roman" w:hAnsi="Times New Roman"/>
          <w:sz w:val="18"/>
          <w:szCs w:val="18"/>
          <w:color w:val="auto"/>
        </w:rPr>
        <w:t xml:space="preserve">In June 2014, the FASB issued ASU No. 2014-12, which amends FASB ASU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This ASU requires that a performance target that affects vesting and that could be achieved after the requisite service period be treated as a performance condition. A reporting entity should apply existing guidance in FASB ASC Topic 718 as it relates to awards with performance conditions that affect vesting to account for such awards. As such, the performance target should not be reflected in estimating the grant-date fair value of the award. This ASU is effective for fiscal years, and interim reporting periods within those years, beginning after December 15, 2015. We are currently evaluating the impact that the adoption of this guidance will have on our financial position, results of operations, comprehensive income, cash flows and/or disclosures.</w:t>
      </w:r>
    </w:p>
    <w:p>
      <w:pPr>
        <w:spacing w:after="0" w:line="75" w:lineRule="exact"/>
        <w:rPr>
          <w:sz w:val="20"/>
          <w:szCs w:val="20"/>
          <w:color w:val="auto"/>
        </w:rPr>
      </w:pPr>
    </w:p>
    <w:p>
      <w:pPr>
        <w:ind w:right="20" w:firstLine="378"/>
        <w:spacing w:after="0" w:line="261" w:lineRule="auto"/>
        <w:rPr>
          <w:sz w:val="20"/>
          <w:szCs w:val="20"/>
          <w:color w:val="auto"/>
        </w:rPr>
      </w:pPr>
      <w:r>
        <w:rPr>
          <w:rFonts w:ascii="Times New Roman" w:cs="Times New Roman" w:eastAsia="Times New Roman" w:hAnsi="Times New Roman"/>
          <w:sz w:val="18"/>
          <w:szCs w:val="18"/>
          <w:color w:val="auto"/>
        </w:rPr>
        <w:t xml:space="preserve">In November 2014, the FASB issued ASU No. 2014-17, which amends FASB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This ASU provides an acquired entity with an option to apply pushdown accounting in its separate financial statements upon occurrence of an event in which an acquirer obtains control of the acquired entity. The ASU is effective on November 18, 2014. The adoption of this guidance did not have any effect on our financial position, results of operations, comprehensive income, cash flows and disclosures.</w:t>
      </w:r>
    </w:p>
    <w:p>
      <w:pPr>
        <w:spacing w:after="0" w:line="72" w:lineRule="exact"/>
        <w:rPr>
          <w:sz w:val="20"/>
          <w:szCs w:val="20"/>
          <w:color w:val="auto"/>
        </w:rPr>
      </w:pPr>
    </w:p>
    <w:p>
      <w:pPr>
        <w:ind w:right="60" w:firstLine="378"/>
        <w:spacing w:after="0" w:line="255" w:lineRule="auto"/>
        <w:rPr>
          <w:sz w:val="20"/>
          <w:szCs w:val="20"/>
          <w:color w:val="auto"/>
        </w:rPr>
      </w:pPr>
      <w:r>
        <w:rPr>
          <w:rFonts w:ascii="Times New Roman" w:cs="Times New Roman" w:eastAsia="Times New Roman" w:hAnsi="Times New Roman"/>
          <w:sz w:val="18"/>
          <w:szCs w:val="18"/>
          <w:color w:val="auto"/>
        </w:rPr>
        <w:t xml:space="preserve">In January 2015, the FASB issued ASU No. 2015-01, which amends FASB ASU Topic 220-20, </w:t>
      </w:r>
      <w:r>
        <w:rPr>
          <w:rFonts w:ascii="Times New Roman" w:cs="Times New Roman" w:eastAsia="Times New Roman" w:hAnsi="Times New Roman"/>
          <w:sz w:val="18"/>
          <w:szCs w:val="18"/>
          <w:i w:val="1"/>
          <w:iCs w:val="1"/>
          <w:color w:val="auto"/>
        </w:rPr>
        <w:t>Income Statement - Extraordinary and Unusual Items</w:t>
      </w:r>
      <w:r>
        <w:rPr>
          <w:rFonts w:ascii="Times New Roman" w:cs="Times New Roman" w:eastAsia="Times New Roman" w:hAnsi="Times New Roman"/>
          <w:sz w:val="18"/>
          <w:szCs w:val="18"/>
          <w:color w:val="auto"/>
        </w:rPr>
        <w:t>. This ASU eliminates from GAAP the concept of extraordinary items. Although the ASU will eliminate the requirements in Subtopic 225-20 for reporting entities to consider whether an underlying event or transaction is extraordinary, the presentation and disclosure guidance for items that are unusual in nature or occur infrequently will be retained and will be expanded to include items that are both unusual in nature and infrequently occurring. This ASU is effective for fiscal years, and interim periods within those fiscal years, beginning after December 15, 2015. A reporting entity may apply the amendments prospectively. A reporting entity also may apply the amendments retrospectively to all prior periods presented in the financial statements. Early adoption is permitted provided that the guidance is applied from the beginning of the fiscal year of adoption. We currently anticipate that the adoption of this guidance will have no impact on our financial position, results of operations, comprehensive income, cash flows and disclosures.</w:t>
      </w:r>
    </w:p>
    <w:p>
      <w:pPr>
        <w:spacing w:after="0" w:line="77" w:lineRule="exact"/>
        <w:rPr>
          <w:sz w:val="20"/>
          <w:szCs w:val="20"/>
          <w:color w:val="auto"/>
        </w:rPr>
      </w:pPr>
    </w:p>
    <w:p>
      <w:pPr>
        <w:ind w:right="80" w:firstLine="378"/>
        <w:spacing w:after="0" w:line="254" w:lineRule="auto"/>
        <w:rPr>
          <w:sz w:val="20"/>
          <w:szCs w:val="20"/>
          <w:color w:val="auto"/>
        </w:rPr>
      </w:pPr>
      <w:r>
        <w:rPr>
          <w:rFonts w:ascii="Times New Roman" w:cs="Times New Roman" w:eastAsia="Times New Roman" w:hAnsi="Times New Roman"/>
          <w:sz w:val="18"/>
          <w:szCs w:val="18"/>
          <w:color w:val="auto"/>
        </w:rPr>
        <w:t xml:space="preserve">In February 2015, the FASB issued ASU No. 2015-02, which amends FASB ASU Topic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This ASU amends the current consolidation guidance, including introducing a separate consolidation analysis specific to limited partnerships and other similar entities. This ASU requires that limited partnerships and similar legal entities provide partners with either substantive substantive kick-out rights or substantive participating rights over the general partner in order to be considered a voting interest entity. The specialized consolidation model and guidance for limited partnerships and similar legal entities have been eliminated. There is no longer a presumption that a general partner should consolidate a limited partnership. For limited partnerships and similar legal entities that qualify as voting interest entities, a limited partner with a controlling financial interest should consolidate a limited partnership. A controlling financial interest may be achieved through holding a limited partner interest that provides substantive kick-out rights. The standard is effective for annual periods beginning after December 15, 2015. We are currently evaluating the standard and the impact on our consolidated financial statements and footnote disclosures.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380"/>
          </w:cols>
          <w:pgMar w:left="240" w:top="468" w:right="2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60" w:firstLine="378"/>
        <w:spacing w:after="0" w:line="266" w:lineRule="auto"/>
        <w:rPr>
          <w:sz w:val="20"/>
          <w:szCs w:val="20"/>
          <w:color w:val="auto"/>
        </w:rPr>
      </w:pPr>
      <w:r>
        <w:rPr>
          <w:rFonts w:ascii="Times New Roman" w:cs="Times New Roman" w:eastAsia="Times New Roman" w:hAnsi="Times New Roman"/>
          <w:sz w:val="18"/>
          <w:szCs w:val="18"/>
          <w:color w:val="auto"/>
        </w:rPr>
        <w:t>Statements included in “Management's Discussion and Analysis of Financial Condition and Results of Operations” which are not historical in nature are intended to be, and are hereby identified as, “forward-looking statements” for purposes of the safe harbor provided by Section 27A of the Securities Act and Section 21E of the Securities Exchange Act of 1934, as amended, or by Public Law 104-67.</w:t>
      </w:r>
    </w:p>
    <w:p>
      <w:pPr>
        <w:spacing w:after="0" w:line="68" w:lineRule="exact"/>
        <w:rPr>
          <w:sz w:val="20"/>
          <w:szCs w:val="20"/>
          <w:color w:val="auto"/>
        </w:rPr>
      </w:pPr>
    </w:p>
    <w:p>
      <w:pPr>
        <w:ind w:right="120" w:firstLine="378"/>
        <w:spacing w:after="0" w:line="266" w:lineRule="auto"/>
        <w:rPr>
          <w:sz w:val="20"/>
          <w:szCs w:val="20"/>
          <w:color w:val="auto"/>
        </w:rPr>
      </w:pPr>
      <w:r>
        <w:rPr>
          <w:rFonts w:ascii="Times New Roman" w:cs="Times New Roman" w:eastAsia="Times New Roman" w:hAnsi="Times New Roman"/>
          <w:sz w:val="18"/>
          <w:szCs w:val="18"/>
          <w:color w:val="auto"/>
        </w:rPr>
        <w:t>Forward-looking statements reflect our current views with respect to future events and are based on assumptions and subject to risks and uncertainties that may cause actual results to differ materially from trends, plans, or expectations set forth in the forward-looking statements. These risks and uncertainties may include the risks and uncertainties described in our Annual Report on Form 10-K for the year ended December 31,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21" w:lineRule="exact"/>
        <w:rPr>
          <w:sz w:val="20"/>
          <w:szCs w:val="20"/>
          <w:color w:val="auto"/>
        </w:rPr>
      </w:pPr>
    </w:p>
    <w:p>
      <w:pPr>
        <w:ind w:right="400" w:firstLine="378"/>
        <w:spacing w:after="0" w:line="282" w:lineRule="auto"/>
        <w:rPr>
          <w:sz w:val="20"/>
          <w:szCs w:val="20"/>
          <w:color w:val="auto"/>
        </w:rPr>
      </w:pPr>
      <w:r>
        <w:rPr>
          <w:rFonts w:ascii="Times New Roman" w:cs="Times New Roman" w:eastAsia="Times New Roman" w:hAnsi="Times New Roman"/>
          <w:sz w:val="18"/>
          <w:szCs w:val="18"/>
          <w:color w:val="auto"/>
        </w:rPr>
        <w:t>Our predominant exposure to market risk is related to our Investment segment and the sensitivities to movements in the fair value of the Investment Funds' investments.</w:t>
      </w:r>
    </w:p>
    <w:p>
      <w:pPr>
        <w:spacing w:after="0" w:line="54" w:lineRule="exact"/>
        <w:rPr>
          <w:sz w:val="20"/>
          <w:szCs w:val="20"/>
          <w:color w:val="auto"/>
        </w:rPr>
      </w:pPr>
    </w:p>
    <w:p>
      <w:pPr>
        <w:ind w:right="20" w:firstLine="378"/>
        <w:spacing w:after="0" w:line="256" w:lineRule="auto"/>
        <w:rPr>
          <w:sz w:val="20"/>
          <w:szCs w:val="20"/>
          <w:color w:val="auto"/>
        </w:rPr>
      </w:pPr>
      <w:r>
        <w:rPr>
          <w:rFonts w:ascii="Times New Roman" w:cs="Times New Roman" w:eastAsia="Times New Roman" w:hAnsi="Times New Roman"/>
          <w:sz w:val="18"/>
          <w:szCs w:val="18"/>
          <w:color w:val="auto"/>
        </w:rPr>
        <w:t>The fair value of the financial assets and liabilities of the Investment Funds primarily fluctuates in response to changes in the value of securities. The net effect of these fair value changes impacts the net gains from investment activities in our consolidated statements of operations. However, the majority of these fair value changes are absorbed by the non-controlling interest holders in the Investment Funds.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General Partners.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19" w:lineRule="exact"/>
        <w:rPr>
          <w:sz w:val="20"/>
          <w:szCs w:val="20"/>
          <w:color w:val="auto"/>
        </w:rPr>
      </w:pPr>
    </w:p>
    <w:p>
      <w:pPr>
        <w:ind w:right="40" w:firstLine="378"/>
        <w:spacing w:after="0" w:line="255" w:lineRule="auto"/>
        <w:rPr>
          <w:sz w:val="20"/>
          <w:szCs w:val="20"/>
          <w:color w:val="auto"/>
        </w:rPr>
      </w:pPr>
      <w:r>
        <w:rPr>
          <w:rFonts w:ascii="Times New Roman" w:cs="Times New Roman" w:eastAsia="Times New Roman" w:hAnsi="Times New Roman"/>
          <w:sz w:val="18"/>
          <w:szCs w:val="18"/>
          <w:color w:val="auto"/>
        </w:rPr>
        <w:t>The Investment Funds hold investments that are reported at fair value as of the reporting date, which include securities owned, securities sold, not yet purchased and derivatives as reported on our consolidated balance sheets. Based on their respective balances as of December 31, 2014, we estimate that in the event of a 10% adverse change in the fair value of these investments, the fair values of securities owned, securities sold, not yet purchased and derivatives would decrease by approximately $1.4 billion million, $34 million and $2.3 billion, respectively. However, as of December 31, 2014, we estimate that the impact to our share of the net gain from investment activities reported on our consolidated statement of operations would be significantly less than the change in fair value since we have an investment of approximately 47% in these Investment Funds, and the non-controlling interests in income would correspondingly offset approximately 53% of the change in fair value.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Rate Risk</w:t>
      </w:r>
    </w:p>
    <w:p>
      <w:pPr>
        <w:spacing w:after="0" w:line="119" w:lineRule="exact"/>
        <w:rPr>
          <w:sz w:val="20"/>
          <w:szCs w:val="20"/>
          <w:color w:val="auto"/>
        </w:rPr>
      </w:pPr>
    </w:p>
    <w:p>
      <w:pPr>
        <w:ind w:right="500" w:firstLine="378"/>
        <w:spacing w:after="0" w:line="282" w:lineRule="auto"/>
        <w:rPr>
          <w:sz w:val="20"/>
          <w:szCs w:val="20"/>
          <w:color w:val="auto"/>
        </w:rPr>
      </w:pPr>
      <w:r>
        <w:rPr>
          <w:rFonts w:ascii="Times New Roman" w:cs="Times New Roman" w:eastAsia="Times New Roman" w:hAnsi="Times New Roman"/>
          <w:sz w:val="18"/>
          <w:szCs w:val="18"/>
          <w:color w:val="auto"/>
        </w:rPr>
        <w:t>The Investment Funds are not materially exposed to foreign exchange risk since foreign investments are economically hedged by foreign currency forward contracts.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and certain of our consolidated Investment Funds are subject to certain inherent risks through our investments.</w:t>
      </w:r>
    </w:p>
    <w:p>
      <w:pPr>
        <w:spacing w:after="0" w:line="117" w:lineRule="exact"/>
        <w:rPr>
          <w:sz w:val="20"/>
          <w:szCs w:val="20"/>
          <w:color w:val="auto"/>
        </w:rPr>
      </w:pPr>
    </w:p>
    <w:p>
      <w:pPr>
        <w:ind w:right="120" w:firstLine="378"/>
        <w:spacing w:after="0" w:line="261" w:lineRule="auto"/>
        <w:rPr>
          <w:sz w:val="20"/>
          <w:szCs w:val="20"/>
          <w:color w:val="auto"/>
        </w:rPr>
      </w:pPr>
      <w:r>
        <w:rPr>
          <w:rFonts w:ascii="Times New Roman" w:cs="Times New Roman" w:eastAsia="Times New Roman" w:hAnsi="Times New Roman"/>
          <w:sz w:val="18"/>
          <w:szCs w:val="18"/>
          <w:color w:val="auto"/>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monitor performance and counterparty risk.</w:t>
      </w:r>
    </w:p>
    <w:p>
      <w:pPr>
        <w:spacing w:after="0" w:line="72"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the General Partners monitor the credit quality of such counterparty and seek to do business with creditworthy counterparties. Counterparty risk is monitored by obtaining and reviewing public information filed by the counterparties and others.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420"/>
          </w:cols>
          <w:pgMar w:left="240" w:top="576"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ind w:right="520" w:firstLine="378"/>
        <w:spacing w:after="0" w:line="282" w:lineRule="auto"/>
        <w:rPr>
          <w:sz w:val="20"/>
          <w:szCs w:val="20"/>
          <w:color w:val="auto"/>
        </w:rPr>
      </w:pPr>
      <w:r>
        <w:rPr>
          <w:rFonts w:ascii="Times New Roman" w:cs="Times New Roman" w:eastAsia="Times New Roman" w:hAnsi="Times New Roman"/>
          <w:sz w:val="18"/>
          <w:szCs w:val="18"/>
          <w:color w:val="auto"/>
        </w:rPr>
        <w:t>Refer to Note 7, “Financial Instruments-Automotive,” to the consolidated financial statements for discussion regarding our Automotive segment's interest rate risk, commodity price risk and foreign currency risk.</w:t>
      </w:r>
    </w:p>
    <w:p>
      <w:pPr>
        <w:spacing w:after="0" w:line="54"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The translated values of revenue and expense from our Automotive segment's international operations are subject to fluctuations due to changes in currency exchange rates. During the year ended December 31, 2014, our Automotive segment derived 36% of its sales in the United States and 64% internationally. Of these international sales, 57% were denominated in the euro, with no other single currency representing more than 10% of international sales. To minimize foreign currency risk, our Automotive segment generally maintains natural hedges within its non-U.S. activities, including the matching of operational revenues and costs. Where natural hedges are not in place, our Automotive segment manages certain aspects of its foreign currency activities and larger transactions through the use of foreign currency options or forward contracts. Our Automotive segment estimates that a hypothetical 10% adverse movement of all foreign currencies in the same direction against the U.S. dollar during the year ended December 31, 2014 would have increased the net loss attributable to Icahn Enterprises for our Automotive segment by approximately $7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21" w:lineRule="exact"/>
        <w:rPr>
          <w:sz w:val="20"/>
          <w:szCs w:val="20"/>
          <w:color w:val="auto"/>
        </w:rPr>
      </w:pPr>
    </w:p>
    <w:p>
      <w:pPr>
        <w:ind w:right="20" w:firstLine="378"/>
        <w:spacing w:after="0" w:line="282" w:lineRule="auto"/>
        <w:rPr>
          <w:sz w:val="20"/>
          <w:szCs w:val="20"/>
          <w:color w:val="auto"/>
        </w:rPr>
      </w:pPr>
      <w:r>
        <w:rPr>
          <w:rFonts w:ascii="Times New Roman" w:cs="Times New Roman" w:eastAsia="Times New Roman" w:hAnsi="Times New Roman"/>
          <w:sz w:val="18"/>
          <w:szCs w:val="18"/>
          <w:color w:val="auto"/>
        </w:rPr>
        <w:t>The risk inherent in our Energy segment's market risk sensitive instruments and positions is the potential loss from adverse changes in commodity prices and interest rates. None of our Energy segment's market risk sensitive instruments are held for trading.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119" w:lineRule="exact"/>
        <w:rPr>
          <w:sz w:val="20"/>
          <w:szCs w:val="20"/>
          <w:color w:val="auto"/>
        </w:rPr>
      </w:pPr>
    </w:p>
    <w:p>
      <w:pPr>
        <w:ind w:right="140" w:firstLine="378"/>
        <w:spacing w:after="0" w:line="258" w:lineRule="auto"/>
        <w:rPr>
          <w:sz w:val="20"/>
          <w:szCs w:val="20"/>
          <w:color w:val="auto"/>
        </w:rPr>
      </w:pPr>
      <w:r>
        <w:rPr>
          <w:rFonts w:ascii="Times New Roman" w:cs="Times New Roman" w:eastAsia="Times New Roman" w:hAnsi="Times New Roman"/>
          <w:sz w:val="18"/>
          <w:szCs w:val="18"/>
          <w:color w:val="auto"/>
        </w:rPr>
        <w:t>Our Energy segment's petroleum business, as a manufacturer of refined petroleum products, and the nitrogen fertilizer business, as a manufacturer of nitrogen fertilizer products, all of which are commodities, have exposure to market pricing for products sold in the future. In order to realize value from our Energy segment's processing capacity, a positive spread between the cost of raw materials and the value of finished products must be achieved (i.e., gross margin or crack spread). The physical commodities that comprise our raw materials and finished goods are typically bought and sold at a spot or index price that can be highly variable.</w:t>
      </w:r>
    </w:p>
    <w:p>
      <w:pPr>
        <w:spacing w:after="0" w:line="76"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Our Energy segment's petroleum business uses a crude oil purchasing intermediary, Vitol, to purchase the majority of its non-gathered crude oil inventory for the refineries, which allows it to take title to and price its crude oil at locations in close proximity to the refineries, as opposed to the crude oil origination point, reducing its risk associated with volatile commodity prices by shortening the commodity conversion cycle time. The commodity conversion cycle time refers to the time elapsed between raw material acquisition and the sale of finished goods. In addition, the petroleum business seeks to reduce the variability of commodity price exposure by engaging in hedging strategies and transactions that will serve to protect gross margins as forecasted in the annual operating plan. Accordingly, the petroleum business uses commodity derivative contracts to economically hedge future cash flows (i.e., gross margin or crack spreads) and product inventories. With regard to its hedging activities, the petroleum business may enter into, or have entered into, derivative instruments which serve to:</w:t>
      </w:r>
    </w:p>
    <w:p>
      <w:pPr>
        <w:spacing w:after="0" w:line="77" w:lineRule="exact"/>
        <w:rPr>
          <w:sz w:val="20"/>
          <w:szCs w:val="20"/>
          <w:color w:val="auto"/>
        </w:rPr>
      </w:pPr>
    </w:p>
    <w:p>
      <w:pPr>
        <w:ind w:left="660" w:right="300" w:hanging="247"/>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 in or fix a percentage of the anticipated or planned gross margin in future periods when the derivative market offers commodity spreads that generate positive cash flows;</w:t>
      </w:r>
    </w:p>
    <w:p>
      <w:pPr>
        <w:spacing w:after="0" w:line="5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 the value of inventories in excess of minimum required inventories; and</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existing derivative positions related to change in anticipated operations and market conditions.</w:t>
      </w:r>
    </w:p>
    <w:p>
      <w:pPr>
        <w:spacing w:after="0" w:line="117" w:lineRule="exact"/>
        <w:rPr>
          <w:sz w:val="20"/>
          <w:szCs w:val="20"/>
          <w:color w:val="auto"/>
        </w:rPr>
      </w:pPr>
    </w:p>
    <w:p>
      <w:pPr>
        <w:ind w:right="160" w:firstLine="378"/>
        <w:spacing w:after="0" w:line="282" w:lineRule="auto"/>
        <w:rPr>
          <w:sz w:val="20"/>
          <w:szCs w:val="20"/>
          <w:color w:val="auto"/>
        </w:rPr>
      </w:pPr>
      <w:r>
        <w:rPr>
          <w:rFonts w:ascii="Times New Roman" w:cs="Times New Roman" w:eastAsia="Times New Roman" w:hAnsi="Times New Roman"/>
          <w:sz w:val="18"/>
          <w:szCs w:val="18"/>
          <w:color w:val="auto"/>
        </w:rPr>
        <w:t>Further, CVR's petroleum business intends to engage only in risk-mitigating activities directly related to its businesses. The nitrogen fertilizer business has not historically hedged for commodity prices.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Risk</w:t>
      </w:r>
    </w:p>
    <w:p>
      <w:pPr>
        <w:spacing w:after="0" w:line="119" w:lineRule="exact"/>
        <w:rPr>
          <w:sz w:val="20"/>
          <w:szCs w:val="20"/>
          <w:color w:val="auto"/>
        </w:rPr>
      </w:pPr>
    </w:p>
    <w:p>
      <w:pPr>
        <w:ind w:right="100" w:firstLine="378"/>
        <w:spacing w:after="0" w:line="261" w:lineRule="auto"/>
        <w:rPr>
          <w:sz w:val="20"/>
          <w:szCs w:val="20"/>
          <w:color w:val="auto"/>
        </w:rPr>
      </w:pPr>
      <w:r>
        <w:rPr>
          <w:rFonts w:ascii="Times New Roman" w:cs="Times New Roman" w:eastAsia="Times New Roman" w:hAnsi="Times New Roman"/>
          <w:sz w:val="18"/>
          <w:szCs w:val="18"/>
          <w:color w:val="auto"/>
        </w:rPr>
        <w:t>The effectiveness of our Energy segment's derivative strategies is dependent upon the correlation of the price index utilized for the hedging activity and the cash or spot price of the physical commodity for which price risk is being mitigated. Basis risk is a term our Energy segment uses to define that relationship. Basis risk can exist due to several factors including time or location differences between the derivative instrument and the underlying physical commodity. The selection of the appropriate index to utilize in a hedging strategy is a prime consideration in our Energy segment's basis risk exposure.</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Examples of CVR's basis risk exposure are as follows:</w:t>
      </w:r>
    </w:p>
    <w:p>
      <w:pPr>
        <w:spacing w:after="0" w:line="117" w:lineRule="exact"/>
        <w:rPr>
          <w:sz w:val="20"/>
          <w:szCs w:val="20"/>
          <w:color w:val="auto"/>
        </w:rPr>
      </w:pPr>
    </w:p>
    <w:p>
      <w:pPr>
        <w:ind w:left="660" w:right="700" w:hanging="247"/>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Basis - In entering over-the-counter swap agreements, the settlement price of the swap is typically the average price of the underlying commodity for a designated calendar period. This settlement price is based on the assumption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400"/>
          </w:cols>
          <w:pgMar w:left="240" w:top="468" w:right="259" w:bottom="1440" w:gutter="0" w:footer="0" w:header="0"/>
        </w:sectPr>
      </w:pPr>
    </w:p>
    <w:bookmarkStart w:id="131" w:name="page132"/>
    <w:bookmarkEnd w:id="131"/>
    <w:p>
      <w:pPr>
        <w:ind w:left="660" w:right="480"/>
        <w:spacing w:after="0" w:line="329" w:lineRule="auto"/>
        <w:rPr>
          <w:sz w:val="20"/>
          <w:szCs w:val="20"/>
          <w:color w:val="auto"/>
        </w:rPr>
      </w:pPr>
      <w:r>
        <w:rPr>
          <w:rFonts w:ascii="Times New Roman" w:cs="Times New Roman" w:eastAsia="Times New Roman" w:hAnsi="Times New Roman"/>
          <w:sz w:val="18"/>
          <w:szCs w:val="18"/>
          <w:color w:val="auto"/>
        </w:rPr>
        <w:t>that the underlying physical commodity will price ratably over the swap period. If the commodity does not move ratably over the periods, then weighted-average physical prices will be weighted differently than the swap price as the result of timing.</w:t>
      </w:r>
    </w:p>
    <w:p>
      <w:pPr>
        <w:spacing w:after="0" w:line="27" w:lineRule="exact"/>
        <w:rPr>
          <w:sz w:val="20"/>
          <w:szCs w:val="20"/>
          <w:color w:val="auto"/>
        </w:rPr>
      </w:pPr>
    </w:p>
    <w:p>
      <w:pPr>
        <w:ind w:left="660" w:right="280" w:hanging="247"/>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Basis - In hedging NYMEX crack spreads, CVR may be subject to location basis as the settlement of NYMEX refined products (related more to New York Harbor cash markets) may differ from the prices of refined products in CVR's Group 3 pricing area.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 and Basis Risk Management Activities</w:t>
      </w:r>
    </w:p>
    <w:p>
      <w:pPr>
        <w:spacing w:after="0" w:line="119" w:lineRule="exact"/>
        <w:rPr>
          <w:sz w:val="20"/>
          <w:szCs w:val="20"/>
          <w:color w:val="auto"/>
        </w:rPr>
      </w:pPr>
    </w:p>
    <w:p>
      <w:pPr>
        <w:ind w:right="300" w:firstLine="378"/>
        <w:spacing w:after="0" w:line="266" w:lineRule="auto"/>
        <w:rPr>
          <w:sz w:val="20"/>
          <w:szCs w:val="20"/>
          <w:color w:val="auto"/>
        </w:rPr>
      </w:pPr>
      <w:r>
        <w:rPr>
          <w:rFonts w:ascii="Times New Roman" w:cs="Times New Roman" w:eastAsia="Times New Roman" w:hAnsi="Times New Roman"/>
          <w:sz w:val="18"/>
          <w:szCs w:val="18"/>
          <w:color w:val="auto"/>
        </w:rPr>
        <w:t>In the event CVR's inventories exceed its petroleum business' target base level of inventories, CVR may enter into commodity derivative contracts to manage price exposure to its inventory positions that are in excess of its base level. Excess inventories typically result from plant operations, such as a turnaround or other plant maintenance.</w:t>
      </w:r>
    </w:p>
    <w:p>
      <w:pPr>
        <w:spacing w:after="0" w:line="68"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To reduce the basis risk between the price of products for Group 3 and that of the NYMEX associated with selling forward derivative contracts for NYMEX crack spreads, the petroleum business may enter into basis swap positions to lock the price difference. If the difference between the price of products on the NYMEX and Group 3 (or some other price benchmark as specified in the swap) is different than the value contracted in the swap, then it will receive from or owe to the counterparty the difference on each unit of product contracted in the swap, thereby completing the locking of its margin. An example of the petroleum business' use of a basis swap is in the winter heating oil season. The risk associated with not hedging the basis when using NYMEX forward contracts to fix future margins is if the crack spread increases based on prices traded on NYMEX while Group 3 pricing remains flat or decreases then we would be in a position to lose money on the derivative position while not earning an offsetting additional margin on the physical position based on the Group 3 pricing.</w:t>
      </w:r>
    </w:p>
    <w:p>
      <w:pPr>
        <w:spacing w:after="0" w:line="77" w:lineRule="exact"/>
        <w:rPr>
          <w:sz w:val="20"/>
          <w:szCs w:val="20"/>
          <w:color w:val="auto"/>
        </w:rPr>
      </w:pPr>
    </w:p>
    <w:p>
      <w:pPr>
        <w:ind w:right="300" w:firstLine="378"/>
        <w:spacing w:after="0" w:line="261" w:lineRule="auto"/>
        <w:rPr>
          <w:sz w:val="20"/>
          <w:szCs w:val="20"/>
          <w:color w:val="auto"/>
        </w:rPr>
      </w:pPr>
      <w:r>
        <w:rPr>
          <w:rFonts w:ascii="Times New Roman" w:cs="Times New Roman" w:eastAsia="Times New Roman" w:hAnsi="Times New Roman"/>
          <w:sz w:val="18"/>
          <w:szCs w:val="18"/>
          <w:color w:val="auto"/>
        </w:rPr>
        <w:t>From time to time, the petroleum business also holds various NYMEX positions through a third-party clearing house. At December 31, 2014, CVR Refining had no open commodity positions. At December 31, 2014, CVR Refining's account balance maintained at the third-party clearing house totaled approximately $3 million, which is reflected on the consolidated balance sheets in cash and cash equivalents. NYMEX transactions conducted for the year ended December 31, 2014 resulted in gain on derivatives, net of less than $1 million.</w:t>
      </w:r>
    </w:p>
    <w:p>
      <w:pPr>
        <w:spacing w:after="0" w:line="72" w:lineRule="exact"/>
        <w:rPr>
          <w:sz w:val="20"/>
          <w:szCs w:val="20"/>
          <w:color w:val="auto"/>
        </w:rPr>
      </w:pPr>
    </w:p>
    <w:p>
      <w:pPr>
        <w:ind w:right="80" w:firstLine="378"/>
        <w:spacing w:after="0" w:line="255" w:lineRule="auto"/>
        <w:rPr>
          <w:sz w:val="20"/>
          <w:szCs w:val="20"/>
          <w:color w:val="auto"/>
        </w:rPr>
      </w:pPr>
      <w:r>
        <w:rPr>
          <w:rFonts w:ascii="Times New Roman" w:cs="Times New Roman" w:eastAsia="Times New Roman" w:hAnsi="Times New Roman"/>
          <w:sz w:val="18"/>
          <w:szCs w:val="18"/>
          <w:color w:val="auto"/>
        </w:rPr>
        <w:t>In addition, CVR Refining enters into commodity swap contracts in order to fix the margin on a portion of future production. The physical volumes are not exchanged and these contracts are net settled with cash. The contract fair value of the commodity swaps is reflected on the consolidated balance sheets with changes in fair value currently recognized in the consolidated statements of operations. At December 31, 2014, CVR Refining had open commodity hedging instruments consisting of 9.1 million barrels of crack spreads primarily to fix the margin on a portion of our future gasoline and distillate production. The fair value of the outstanding contracts at December 31, 2014 was a net unrealized gain of approximately $47 million. A change of $1.00 per barrel in the fair value of the crack spread swaps would result in an increase or decrease in the related fair values of commodity hedging instruments of approximately $9 million.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On June 30 and July 1, 2011, Coffeyville Resources Nitrogen Fertilizers, LLC ("CRNF") entered into two floating-to-fixed interest rate swap agreements for the purpose of hedging the interest rate risk associated with a portion of the nitrogen fertilizer business' $125 million floating rate term debt which matures in April 2016. The aggregate notional amount covered under these agreements, which commenced on August 12, 2011 and expire on February 12, 2016, totals $62.5 million (split evenly between the two agreement dates). Under the terms of the interest rate swap agreement entered into on June 30, 2011, CRNF receives a floating rate based on three month LIBOR and pays a fixed rate of 1.94%. Under the terms of the interest rate swap agreement entered into on July 1, 2011, CRNF receives a floating rate based on three month LIBOR and pays a fixed rate of 1.975%. Both swap agreements will be settled every</w:t>
      </w:r>
    </w:p>
    <w:p>
      <w:pPr>
        <w:ind w:right="20"/>
        <w:spacing w:after="0" w:line="253" w:lineRule="auto"/>
        <w:rPr>
          <w:sz w:val="20"/>
          <w:szCs w:val="20"/>
          <w:color w:val="auto"/>
        </w:rPr>
      </w:pPr>
      <w:r>
        <w:rPr>
          <w:rFonts w:ascii="Times New Roman" w:cs="Times New Roman" w:eastAsia="Times New Roman" w:hAnsi="Times New Roman"/>
          <w:sz w:val="18"/>
          <w:szCs w:val="18"/>
          <w:color w:val="auto"/>
        </w:rPr>
        <w:t>90 days. The effect of these swap agreements is to lock in a fixed rate of interest of approximately 1.96% plus the applicable margin paid to lenders over three month LIBOR as governed by the CRNF credit agreement. At December 31, 2014, the effective rate was approximately 4.56%. The agreements were designated as cash flow hedges at inception and accordingly, the effective portion of the gain or loss on the swap is reported as a component of accumulated other comprehensive income (loss) (“AOCI”), and will be reclassified into interest expense when the interest rate swap transaction affects earnings. Any ineffective portion of the gain or loss will be recognized immediately in current interest expense.</w:t>
      </w:r>
    </w:p>
    <w:p>
      <w:pPr>
        <w:spacing w:after="0" w:line="79" w:lineRule="exact"/>
        <w:rPr>
          <w:sz w:val="20"/>
          <w:szCs w:val="20"/>
          <w:color w:val="auto"/>
        </w:rPr>
      </w:pPr>
    </w:p>
    <w:p>
      <w:pPr>
        <w:ind w:right="180" w:firstLine="378"/>
        <w:spacing w:after="0" w:line="266" w:lineRule="auto"/>
        <w:rPr>
          <w:sz w:val="20"/>
          <w:szCs w:val="20"/>
          <w:color w:val="auto"/>
        </w:rPr>
      </w:pPr>
      <w:r>
        <w:rPr>
          <w:rFonts w:ascii="Times New Roman" w:cs="Times New Roman" w:eastAsia="Times New Roman" w:hAnsi="Times New Roman"/>
          <w:sz w:val="18"/>
          <w:szCs w:val="18"/>
          <w:color w:val="auto"/>
        </w:rPr>
        <w:t>CVR Partners still has exposure to interest rate risk on 50% of its $125.0 million floating rate term debt. A 1.0% increase over the Eurodollar floor spread of 3.5%, as specified in the credit agreement, would increase interest cost to our Energy segment by approximately $625,000 on an annualized basis, thus decreasing net income by the same amount.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420"/>
          </w:cols>
          <w:pgMar w:left="240" w:top="499" w:right="2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i w:val="1"/>
          <w:iCs w:val="1"/>
          <w:color w:val="auto"/>
        </w:rPr>
        <w:t>Railcar</w:t>
      </w:r>
    </w:p>
    <w:p>
      <w:pPr>
        <w:spacing w:after="0" w:line="121" w:lineRule="exact"/>
        <w:rPr>
          <w:sz w:val="20"/>
          <w:szCs w:val="20"/>
          <w:color w:val="auto"/>
        </w:rPr>
      </w:pPr>
    </w:p>
    <w:p>
      <w:pPr>
        <w:ind w:right="40" w:firstLine="378"/>
        <w:spacing w:after="0" w:line="254" w:lineRule="auto"/>
        <w:rPr>
          <w:sz w:val="20"/>
          <w:szCs w:val="20"/>
          <w:color w:val="auto"/>
        </w:rPr>
      </w:pPr>
      <w:r>
        <w:rPr>
          <w:rFonts w:ascii="Times New Roman" w:cs="Times New Roman" w:eastAsia="Times New Roman" w:hAnsi="Times New Roman"/>
          <w:sz w:val="18"/>
          <w:szCs w:val="18"/>
          <w:color w:val="auto"/>
        </w:rPr>
        <w:t>Our Railcar segment is exposed to price risks associated with the purchase of raw materials, especially steel and heavy castings. The cost of steel, heavy castings and all other materials used in the production of railcars represents more than half of the direct manufacturing costs per railcar. Given the significant volatility in the price of raw materials, this exposure can affect the costs of production. Our Railcar segment believes that the risk to its margins and profitability has been somewhat reduced by the variable pricing provisions generally included in its railcar sales contracts. These provisions adjust the purchase prices of the railcars to reflect fluctuations in the cost of certain raw materials and components on a dollar for dollar basis and, as a result, our Railcar segment is generally able to pass on to its customers most increases in raw material and component costs with respect to the railcars it plans to produce and deliver to them. Our Railcar segment believes that it currently has good supplier relationships and does not currently anticipate that material constraints will limit its production capacity. Such constraints may exist if railcar production were to increase beyond current levels, or other economic changes were to occur that affect the availability of certain raw materials.</w:t>
      </w:r>
    </w:p>
    <w:p>
      <w:pPr>
        <w:spacing w:after="0" w:line="81" w:lineRule="exact"/>
        <w:rPr>
          <w:sz w:val="20"/>
          <w:szCs w:val="20"/>
          <w:color w:val="auto"/>
        </w:rPr>
      </w:pPr>
    </w:p>
    <w:p>
      <w:pPr>
        <w:jc w:val="both"/>
        <w:ind w:right="420" w:firstLine="378"/>
        <w:spacing w:after="0" w:line="266" w:lineRule="auto"/>
        <w:rPr>
          <w:sz w:val="20"/>
          <w:szCs w:val="20"/>
          <w:color w:val="auto"/>
        </w:rPr>
      </w:pPr>
      <w:r>
        <w:rPr>
          <w:rFonts w:ascii="Times New Roman" w:cs="Times New Roman" w:eastAsia="Times New Roman" w:hAnsi="Times New Roman"/>
          <w:sz w:val="18"/>
          <w:szCs w:val="18"/>
          <w:color w:val="auto"/>
        </w:rPr>
        <w:t>Our Railcar segment's financial results could be affected by changes in interest rates due to the impact those changes have on its variable rate debt obligation as of December 31, 2014. A one percentage point increase in the rate would have had an $11 million impact on our Railcar segment's interest expense.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Gaming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40" w:firstLine="378"/>
        <w:spacing w:after="0" w:line="266" w:lineRule="auto"/>
        <w:rPr>
          <w:sz w:val="20"/>
          <w:szCs w:val="20"/>
          <w:color w:val="auto"/>
        </w:rPr>
      </w:pPr>
      <w:r>
        <w:rPr>
          <w:rFonts w:ascii="Times New Roman" w:cs="Times New Roman" w:eastAsia="Times New Roman" w:hAnsi="Times New Roman"/>
          <w:sz w:val="18"/>
          <w:szCs w:val="18"/>
          <w:color w:val="auto"/>
        </w:rPr>
        <w:t>Tropicana's primary exposure to market risk is interest rate risk associated with its New Term Loan Facility that bears interest based on floating rates. Based on Tropicana's borrowings as of December 31, 2014, assuming a 1% increase over the 4.0% floor specified in its New Term Loan Facility, Tropicana's annual interest cost would change by approximately $3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Holding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120" w:firstLine="378"/>
        <w:spacing w:after="0" w:line="255" w:lineRule="auto"/>
        <w:rPr>
          <w:sz w:val="20"/>
          <w:szCs w:val="20"/>
          <w:color w:val="auto"/>
        </w:rPr>
      </w:pPr>
      <w:r>
        <w:rPr>
          <w:rFonts w:ascii="Times New Roman" w:cs="Times New Roman" w:eastAsia="Times New Roman" w:hAnsi="Times New Roman"/>
          <w:sz w:val="18"/>
          <w:szCs w:val="18"/>
          <w:color w:val="auto"/>
        </w:rPr>
        <w:t>The fair values of our long-term debt and other borrowings will fluctuate in response to changes in market interest rates. Increases and decreases in prevailing interest rates generally translate into decreases and increases in fair values of those instruments. Additionally, fair values of interest rate sensitive instruments may be affected by the creditworthiness of the issuer, relative values of alternative investments, the liquidity of the instrument and other general market conditions. Historically, the Holding Company does not invest in derivative financial instruments, interest rate swaps or other investments that alter interest rate exposure. The Holding Company has predominately long-term fixed interest rate debt. Generally, the fair market value of debt securities with a fixed interest rate will increase as interest rates fall, and the fair market value will decrease as interest rates rise. At December 31, 2014, all of the Holding Company's debt had fixed rates and therefore would not be subject to fluctuations in interest rates.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19" w:lineRule="exact"/>
        <w:rPr>
          <w:sz w:val="20"/>
          <w:szCs w:val="20"/>
          <w:color w:val="auto"/>
        </w:rPr>
      </w:pPr>
    </w:p>
    <w:p>
      <w:pPr>
        <w:ind w:right="80" w:firstLine="378"/>
        <w:spacing w:after="0" w:line="258" w:lineRule="auto"/>
        <w:rPr>
          <w:sz w:val="20"/>
          <w:szCs w:val="20"/>
          <w:color w:val="auto"/>
        </w:rPr>
      </w:pPr>
      <w:r>
        <w:rPr>
          <w:rFonts w:ascii="Times New Roman" w:cs="Times New Roman" w:eastAsia="Times New Roman" w:hAnsi="Times New Roman"/>
          <w:sz w:val="18"/>
          <w:szCs w:val="18"/>
          <w:color w:val="auto"/>
        </w:rPr>
        <w:t>The carrying values of investments subject to equity price risks are based on quoted market prices or management's estimates of fair value as of the balance sheet dates.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76" w:lineRule="exact"/>
        <w:rPr>
          <w:sz w:val="20"/>
          <w:szCs w:val="20"/>
          <w:color w:val="auto"/>
        </w:rPr>
      </w:pPr>
    </w:p>
    <w:p>
      <w:pPr>
        <w:ind w:firstLine="378"/>
        <w:spacing w:after="0" w:line="266" w:lineRule="auto"/>
        <w:rPr>
          <w:sz w:val="20"/>
          <w:szCs w:val="20"/>
          <w:color w:val="auto"/>
        </w:rPr>
      </w:pPr>
      <w:r>
        <w:rPr>
          <w:rFonts w:ascii="Times New Roman" w:cs="Times New Roman" w:eastAsia="Times New Roman" w:hAnsi="Times New Roman"/>
          <w:sz w:val="18"/>
          <w:szCs w:val="18"/>
          <w:color w:val="auto"/>
        </w:rPr>
        <w:t>Based on sensitivity analysis for our equity price risks as of December 31, 2014, the effect of a hypothetical 10% adverse change in market prices would result in loss of approximately $13 million. The selected hypothetical change does not reflect what could be considered the best or worst case scenarios. Indeed, results could be far worse due to the nature of equity markets.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380"/>
          </w:cols>
          <w:pgMar w:left="240" w:top="468" w:right="2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Partners of</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Icahn Enterprises L.P.</w:t>
      </w:r>
    </w:p>
    <w:p>
      <w:pPr>
        <w:spacing w:after="0" w:line="3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Icahn Enterprises L.P. (a Delaware limited partnership) and subsidiaries (the “Partnership”) as of December 31, 2014 and 2013, and the related consolidated statements of operations, comprehensive income, changes in equity, and cash flows for each of the three years in the period ended December 31, 2014. Our audits of the basic consolidated financial statements included the financial statement schedule listed in the index appearing under Item 15(a)(2). These financial statements and financial statement schedule are the responsibility of the Partnership’s management. Our responsibility is to express an opinion on these financial statements and financial statement schedule based on our audits. We did not audit the consolidated financial statements of CVR Energy, Inc., a subsidiary, which statements reflect total revenues of $5.7 billion for the period from May 5, 2012 to December 31, 2012, of consolidated total revenues for the year ended December 31, 2012. Those statements were audited by other auditors, whose report has been furnished to us, and our opinion, insofar as it relates to the amounts included for CVR Energy, Inc., is based solely on the report of the other auditors.</w:t>
      </w:r>
    </w:p>
    <w:p>
      <w:pPr>
        <w:spacing w:after="0" w:line="8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the other auditors provide a reasonable basis for our opinion.</w:t>
      </w:r>
    </w:p>
    <w:p>
      <w:pPr>
        <w:spacing w:after="0" w:line="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our opinion, based on our audits and the report of the other auditors, the consolidated financial statements referred to above present fairly, in all material respects, the financial position of Icahn Enterprises L.P. and subsidiaries as of December 31, 2014 and 2013, and the results of their operations and their cash flows for each of the three years in the period ended December 31, 2014 in conformity with accounting principles generally accepted in the United States of America. Also in our opinion, which insofar as it relates to CVR Energy, Inc., is based on the report of other auditors, the related financial statement schedule, when considered in relation to the basic consolidated financial statements taken as a whole, presents fairly, in all material respects, the information set forth therein.</w:t>
      </w:r>
    </w:p>
    <w:p>
      <w:pPr>
        <w:spacing w:after="0" w:line="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the Partnership’s internal control over financial reporting as of December 31, 2014,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February 27, 2015 expressed an unqualified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420"/>
          </w:cols>
          <w:pgMar w:left="240" w:top="360" w:right="239" w:bottom="1440" w:gutter="0" w:footer="0" w:header="0"/>
        </w:sectPr>
      </w:pPr>
    </w:p>
    <w:bookmarkStart w:id="134" w:name="page135"/>
    <w:bookmarkEnd w:id="134"/>
    <w:p>
      <w:pPr>
        <w:ind w:left="29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Partners of</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Icahn Enterprises Holdings L.P.</w:t>
      </w:r>
    </w:p>
    <w:p>
      <w:pPr>
        <w:spacing w:after="0" w:line="31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Icahn Enterprises Holdings L.P. (a Delaware limited partnership) and subsidiaries (the “Partnership”) as of December 31, 2014 and 2013, and the related consolidated statements of operations, comprehensive income, changes in equity, and cash flows for each of the three years in the period ended December 31, 2014. Our audits of the basic consolidated financial statements included the financial statement schedule listed in the index appearing under Item 15(a)(2). These financial statements and financial statement schedule are the responsibility of the Partnership’s management. Our responsibility is to express an opinion on these financial statements and financial statement schedule based on our audits. We did not audit the consolidated financial statements of CVR Energy Inc., a subsidiary, which statements reflect total revenues of $5.7 billion for the period from May 5, 2012 to December 31, 2012, of consolidated total revenues for the year ended December 31, 2012. Those statements were audited by other auditors, whose report has been furnished to us, and our opinion, insofar as it relates to the amounts included for CVR Energy, Inc., is based solely on the report of the other auditors.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Partnership’s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Partnership’s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and the report of the other auditors provide a reasonable basis for our opinion.</w:t>
      </w:r>
    </w:p>
    <w:p>
      <w:pPr>
        <w:spacing w:after="0" w:line="7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our opinion, based on our audits and the report of the other auditors, the consolidated financial statements referred to above present fairly, in all material respects, the financial position of Icahn Enterprises Holdings L.P. and subsidiaries as of December 31, 2014 and 2013, and the results of their operations and their cash flows for each of the three years in the period ended December 31, 2014 in conformity with accounting principles generally accepted in the United States of America. Also in our opinion, which insofar as it relates to CVR Energy Inc., is based on the report of other auditors, the related financial statement schedule, when considered in relation to the basic consolidated financial statements taken as a whole, presents fairly, in all material respects, the information set forth therein.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360"/>
          </w:cols>
          <w:pgMar w:left="240" w:top="360" w:right="299" w:bottom="1440" w:gutter="0" w:footer="0" w:header="0"/>
        </w:sectPr>
      </w:pPr>
    </w:p>
    <w:bookmarkStart w:id="135" w:name="page136"/>
    <w:bookmarkEnd w:id="135"/>
    <w:p>
      <w:pPr>
        <w:ind w:left="29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CVR Energy, Inc.:</w:t>
      </w:r>
    </w:p>
    <w:p>
      <w:pPr>
        <w:spacing w:after="0" w:line="3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the consolidated balance sheet of CVR Energy, Inc. and subsidiaries (the Company) as of December 31, 2012, and the related consolidated statements of operations, comprehensive income, changes in equity, and cash flows for the period from May 5, 2012 to December 31, 2012 (not presented herein). These consolidated financial statements are the responsibility of the Company's management. Our responsibility is to express an opinion on these consolidated financial statements based on our audit.</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CVR Energy, Inc. and subsidiaries as of December 31, 2012, and the results of their operations and their cash flows for the period from May 5, 2012 to December 31, 2012, in conformity with U.S. generally accepted accounting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240" w:top="360" w:right="41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(In millions, except unit amounts)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36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held at consolidated affiliated partnerships and restricted cash</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12,261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8,955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8,077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97"/>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35,780</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31,745</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280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liability</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to brokers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Post-employment benefit liability</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11,588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9,295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23,390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18,436</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partners: Depositary units: 123,103,414 and 115,900,309 units issued and outstanding at</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2014 and 2013, respectively</w:t>
            </w:r>
          </w:p>
        </w:tc>
        <w:tc>
          <w:tcPr>
            <w:tcW w:w="108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5,672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attributable to Icahn Enterprises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5,443</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6,092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attributable to non-controlling interests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6,947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12,390</w:t>
            </w: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13,309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35,780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31,745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ectPr>
          <w:pgSz w:w="11900" w:h="16838" w:orient="portrait"/>
          <w:cols w:equalWidth="0" w:num="1">
            <w:col w:w="11420"/>
          </w:cols>
          <w:pgMar w:left="240" w:top="576" w:right="239" w:bottom="1440" w:gutter="0" w:footer="0" w:header="0"/>
          <w:type w:val="continuous"/>
        </w:sectPr>
      </w:pPr>
    </w:p>
    <w:bookmarkStart w:id="137" w:name="page138"/>
    <w:bookmarkEnd w:id="137"/>
    <w:p>
      <w:pPr>
        <w:ind w:left="372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 except per unit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18,072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14,574</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gain from investment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(loss), net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19,157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20,682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15,796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12,606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19,789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18,356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15,115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income before income tax benefit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Icahn Enterprises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Icahn Enterprises allocable to:</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Limited partners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partner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(loss) income per LP unit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weighted average LP units outstanding</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(loss) income per LP unit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Diluted weighted average LP units outstanding</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distributions declared per LP unit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420"/>
          </w:cols>
          <w:pgMar w:left="240" w:top="117" w:right="2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762</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Post-employment benefits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43"/>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Hedge instruments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Translation adjustments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635</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 interests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income attributable to Icahn Enterprises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income attributable to Icahn Enterprises allocable to:</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Limited partners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partner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 was $1,293 million and $805 million at December 31, 2014 and 2013,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420"/>
          </w:cols>
          <w:pgMar w:left="240" w:top="360" w:right="239" w:bottom="1440" w:gutter="0" w:footer="0" w:header="0"/>
        </w:sectPr>
      </w:pPr>
    </w:p>
    <w:bookmarkStart w:id="139" w:name="page140"/>
    <w:bookmarkEnd w:id="139"/>
    <w:p>
      <w:pPr>
        <w:ind w:left="372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18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units)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7"/>
          </w:tcPr>
          <w:p>
            <w:pPr>
              <w:ind w:left="140"/>
              <w:spacing w:after="0"/>
              <w:rPr>
                <w:sz w:val="20"/>
                <w:szCs w:val="20"/>
                <w:color w:val="auto"/>
              </w:rPr>
            </w:pPr>
            <w:r>
              <w:rPr>
                <w:rFonts w:ascii="Times New Roman" w:cs="Times New Roman" w:eastAsia="Times New Roman" w:hAnsi="Times New Roman"/>
                <w:sz w:val="16"/>
                <w:szCs w:val="16"/>
                <w:b w:val="1"/>
                <w:bCs w:val="1"/>
                <w:color w:val="auto"/>
              </w:rPr>
              <w:t>Equity Attributable to Icahn Enterprises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Held in Treasury</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General</w:t>
            </w: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Partner's</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Limited</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Partners'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Partners'</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controlling</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December 31, 2011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1,137,200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4,116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7,871</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762</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Cancellation of treasury units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(1,137,200)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Partnership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Partnership distributions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segment distributions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6"/>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paid to non-controlling interests in</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subsidiary</w:t>
            </w: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Acquisition of CVR</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984</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Changes in subsidiary equity and other</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December 31, 2012</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9,816</w:t>
            </w:r>
          </w:p>
        </w:tc>
        <w:tc>
          <w:tcPr>
            <w:tcW w:w="0" w:type="dxa"/>
            <w:vAlign w:val="bottom"/>
          </w:tcPr>
          <w:p>
            <w:pPr>
              <w:spacing w:after="0"/>
              <w:rPr>
                <w:sz w:val="1"/>
                <w:szCs w:val="1"/>
                <w:color w:val="auto"/>
              </w:rPr>
            </w:pPr>
          </w:p>
        </w:tc>
      </w:tr>
      <w:tr>
        <w:trPr>
          <w:trHeight w:val="21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1,005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2,444</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Acquisition of ARL</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Partnership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593</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Partnership distributions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6"/>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paid to non-controlling interests in</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subsidiary</w:t>
            </w: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subsidiary equity offerings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1,056</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Changes in subsidiary equity and other</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December 31, 2013</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13,309</w:t>
            </w:r>
          </w:p>
        </w:tc>
        <w:tc>
          <w:tcPr>
            <w:tcW w:w="0" w:type="dxa"/>
            <w:vAlign w:val="bottom"/>
          </w:tcPr>
          <w:p>
            <w:pPr>
              <w:spacing w:after="0"/>
              <w:rPr>
                <w:sz w:val="1"/>
                <w:szCs w:val="1"/>
                <w:color w:val="auto"/>
              </w:rPr>
            </w:pPr>
          </w:p>
        </w:tc>
      </w:tr>
      <w:tr>
        <w:trPr>
          <w:trHeight w:val="21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Partnership distributions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6"/>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to non-controlling interests in</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subsidiaries</w:t>
            </w: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subsidiary equity offering</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Changes in subsidiary equity and other</w:t>
            </w: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December 31, 2014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5,672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5,443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6,947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12,390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138</w:t>
      </w:r>
    </w:p>
    <w:p>
      <w:pPr>
        <w:sectPr>
          <w:pgSz w:w="11900" w:h="16838" w:orient="portrait"/>
          <w:cols w:equalWidth="0" w:num="1">
            <w:col w:w="11420"/>
          </w:cols>
          <w:pgMar w:left="240" w:top="117" w:right="239" w:bottom="1440" w:gutter="0" w:footer="0" w:header="0"/>
          <w:type w:val="continuous"/>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18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2"/>
        </w:trPr>
        <w:tc>
          <w:tcPr>
            <w:tcW w:w="70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income</w:t>
            </w: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2,444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762</w:t>
            </w: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5"/>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gain from securities transactions</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r>
      <w:tr>
        <w:trPr>
          <w:trHeight w:val="265"/>
        </w:trPr>
        <w:tc>
          <w:tcPr>
            <w:tcW w:w="7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securities</w:t>
            </w:r>
          </w:p>
        </w:tc>
        <w:tc>
          <w:tcPr>
            <w:tcW w:w="8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(6,523)</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(2,592)</w:t>
            </w:r>
          </w:p>
        </w:tc>
      </w:tr>
      <w:tr>
        <w:trPr>
          <w:trHeight w:val="275"/>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sales of securities</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5,079</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4,664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7,167</w:t>
            </w:r>
          </w:p>
        </w:tc>
      </w:tr>
      <w:tr>
        <w:trPr>
          <w:trHeight w:val="265"/>
        </w:trPr>
        <w:tc>
          <w:tcPr>
            <w:tcW w:w="7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to cover securities sold, not yet purchased</w:t>
            </w:r>
          </w:p>
        </w:tc>
        <w:tc>
          <w:tcPr>
            <w:tcW w:w="8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(5,160)</w:t>
            </w:r>
          </w:p>
        </w:tc>
      </w:tr>
      <w:tr>
        <w:trPr>
          <w:trHeight w:val="275"/>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securities sold, not yet purchased</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342</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1,307</w:t>
            </w:r>
          </w:p>
        </w:tc>
      </w:tr>
      <w:tr>
        <w:trPr>
          <w:trHeight w:val="265"/>
        </w:trPr>
        <w:tc>
          <w:tcPr>
            <w:tcW w:w="7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receivables and payables relating to securities transactions</w:t>
            </w:r>
          </w:p>
        </w:tc>
        <w:tc>
          <w:tcPr>
            <w:tcW w:w="880" w:type="dxa"/>
            <w:vAlign w:val="bottom"/>
          </w:tcPr>
          <w:p>
            <w:pPr>
              <w:spacing w:after="0"/>
              <w:rPr>
                <w:sz w:val="23"/>
                <w:szCs w:val="23"/>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2,888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1,775</w:t>
            </w:r>
          </w:p>
        </w:tc>
      </w:tr>
      <w:tr>
        <w:trPr>
          <w:trHeight w:val="275"/>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r>
      <w:tr>
        <w:trPr>
          <w:trHeight w:val="265"/>
        </w:trPr>
        <w:tc>
          <w:tcPr>
            <w:tcW w:w="7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23"/>
                <w:szCs w:val="23"/>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809</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635</w:t>
            </w:r>
          </w:p>
        </w:tc>
      </w:tr>
      <w:tr>
        <w:trPr>
          <w:trHeight w:val="275"/>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Impairment</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129</w:t>
            </w:r>
          </w:p>
        </w:tc>
      </w:tr>
      <w:tr>
        <w:trPr>
          <w:trHeight w:val="265"/>
        </w:trPr>
        <w:tc>
          <w:tcPr>
            <w:tcW w:w="7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taxes</w:t>
            </w:r>
          </w:p>
        </w:tc>
        <w:tc>
          <w:tcPr>
            <w:tcW w:w="8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r>
      <w:tr>
        <w:trPr>
          <w:trHeight w:val="275"/>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r>
      <w:tr>
        <w:trPr>
          <w:trHeight w:val="265"/>
        </w:trPr>
        <w:tc>
          <w:tcPr>
            <w:tcW w:w="7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5"/>
        </w:trPr>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Changes in cash held at consolidated affiliated partnerships and restricted cash</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r>
      <w:tr>
        <w:trPr>
          <w:trHeight w:val="265"/>
        </w:trPr>
        <w:tc>
          <w:tcPr>
            <w:tcW w:w="7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receivable, net</w:t>
            </w:r>
          </w:p>
        </w:tc>
        <w:tc>
          <w:tcPr>
            <w:tcW w:w="880" w:type="dxa"/>
            <w:vAlign w:val="bottom"/>
          </w:tcPr>
          <w:p>
            <w:pPr>
              <w:spacing w:after="0"/>
              <w:rPr>
                <w:sz w:val="23"/>
                <w:szCs w:val="23"/>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275"/>
        </w:trPr>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Inventories, net</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w:t>
            </w:r>
          </w:p>
        </w:tc>
      </w:tr>
      <w:tr>
        <w:trPr>
          <w:trHeight w:val="265"/>
        </w:trPr>
        <w:tc>
          <w:tcPr>
            <w:tcW w:w="7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assets</w:t>
            </w:r>
          </w:p>
        </w:tc>
        <w:tc>
          <w:tcPr>
            <w:tcW w:w="8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75"/>
        </w:trPr>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265"/>
        </w:trPr>
        <w:tc>
          <w:tcPr>
            <w:tcW w:w="7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8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117</w:t>
            </w:r>
          </w:p>
        </w:tc>
      </w:tr>
      <w:tr>
        <w:trPr>
          <w:trHeight w:val="25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(used in) provided by operating activities</w:t>
            </w:r>
          </w:p>
        </w:tc>
        <w:tc>
          <w:tcPr>
            <w:tcW w:w="8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1,607</w:t>
            </w:r>
          </w:p>
        </w:tc>
      </w:tr>
      <w:tr>
        <w:trPr>
          <w:trHeight w:val="259"/>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Capital expenditures</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Acquisition of ARL</w:t>
            </w:r>
          </w:p>
        </w:tc>
        <w:tc>
          <w:tcPr>
            <w:tcW w:w="880" w:type="dxa"/>
            <w:vAlign w:val="bottom"/>
          </w:tcPr>
          <w:p>
            <w:pPr>
              <w:spacing w:after="0"/>
              <w:rPr>
                <w:sz w:val="23"/>
                <w:szCs w:val="23"/>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w:t>
            </w: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sale of investments</w:t>
            </w:r>
          </w:p>
        </w:tc>
        <w:tc>
          <w:tcPr>
            <w:tcW w:w="880" w:type="dxa"/>
            <w:vAlign w:val="bottom"/>
          </w:tcPr>
          <w:p>
            <w:pPr>
              <w:spacing w:after="0"/>
              <w:rPr>
                <w:sz w:val="23"/>
                <w:szCs w:val="23"/>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w:t>
            </w: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265"/>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90</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r>
      <w:tr>
        <w:trPr>
          <w:trHeight w:val="25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8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r>
      <w:tr>
        <w:trPr>
          <w:trHeight w:val="259"/>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Investment segment distributions</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segment contributions</w:t>
            </w:r>
          </w:p>
        </w:tc>
        <w:tc>
          <w:tcPr>
            <w:tcW w:w="880" w:type="dxa"/>
            <w:vAlign w:val="bottom"/>
          </w:tcPr>
          <w:p>
            <w:pPr>
              <w:spacing w:after="0"/>
              <w:rPr>
                <w:sz w:val="23"/>
                <w:szCs w:val="23"/>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Partnership contributions</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513</w:t>
            </w: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Partnership distributions</w:t>
            </w:r>
          </w:p>
        </w:tc>
        <w:tc>
          <w:tcPr>
            <w:tcW w:w="8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offering of subsidiary equity</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188</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Distributions to non-controlling interests in subsidiaries</w:t>
            </w:r>
          </w:p>
        </w:tc>
        <w:tc>
          <w:tcPr>
            <w:tcW w:w="8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issuance of senior unsecured notes</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4,991</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1,030</w:t>
            </w: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Repayments of senior unsecured notes</w:t>
            </w:r>
          </w:p>
        </w:tc>
        <w:tc>
          <w:tcPr>
            <w:tcW w:w="8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other borrowings</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4,794</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1,076</w:t>
            </w: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Repayments of borrowings</w:t>
            </w:r>
          </w:p>
        </w:tc>
        <w:tc>
          <w:tcPr>
            <w:tcW w:w="8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(4,031)</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45"/>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2,007</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907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1,480</w:t>
            </w:r>
          </w:p>
        </w:tc>
      </w:tr>
      <w:tr>
        <w:trPr>
          <w:trHeight w:val="25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 (decrease) increase in cash and cash equivalents</w:t>
            </w:r>
          </w:p>
        </w:tc>
        <w:tc>
          <w:tcPr>
            <w:tcW w:w="8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780</w:t>
            </w:r>
          </w:p>
        </w:tc>
      </w:tr>
      <w:tr>
        <w:trPr>
          <w:trHeight w:val="270"/>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8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3,262</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2,328</w:t>
            </w:r>
          </w:p>
        </w:tc>
      </w:tr>
      <w:tr>
        <w:trPr>
          <w:trHeight w:val="242"/>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8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2,912</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3,262</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3,108</w:t>
            </w:r>
          </w:p>
        </w:tc>
      </w:tr>
      <w:tr>
        <w:trPr>
          <w:trHeight w:val="20"/>
        </w:trPr>
        <w:tc>
          <w:tcPr>
            <w:tcW w:w="7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101"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ectPr>
          <w:pgSz w:w="11900" w:h="16838" w:orient="portrait"/>
          <w:cols w:equalWidth="0" w:num="1">
            <w:col w:w="11420"/>
          </w:cols>
          <w:pgMar w:left="240" w:top="117" w:right="239" w:bottom="1101"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19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Supplemental information:</w:t>
            </w: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62"/>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payments for interest, net of amounts capitalized</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501</w:t>
            </w: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cash payments for income taxes</w:t>
            </w:r>
          </w:p>
        </w:tc>
        <w:tc>
          <w:tcPr>
            <w:tcW w:w="5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236</w:t>
            </w:r>
          </w:p>
        </w:tc>
      </w:tr>
      <w:tr>
        <w:trPr>
          <w:trHeight w:val="21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Distribution payable to Icahn Enterprises unitholders</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Non-cash investment segment contribution</w:t>
            </w:r>
          </w:p>
        </w:tc>
        <w:tc>
          <w:tcPr>
            <w:tcW w:w="5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Acquisition of non-controlling interest in CVR</w:t>
            </w:r>
          </w:p>
        </w:tc>
        <w:tc>
          <w:tcPr>
            <w:tcW w:w="58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Construction in progress additions included in liabilities</w:t>
            </w:r>
          </w:p>
        </w:tc>
        <w:tc>
          <w:tcPr>
            <w:tcW w:w="5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62</w:t>
            </w:r>
          </w:p>
        </w:tc>
      </w:tr>
      <w:tr>
        <w:trPr>
          <w:trHeight w:val="21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Changes in accounts payable relating to construction in progress additions</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420"/>
          </w:cols>
          <w:pgMar w:left="240" w:top="344" w:right="2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36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held at consolidated affiliated partnerships and restricted cash</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12,261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8,955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8,077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97"/>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35,803</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31,761</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280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liability</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to brokers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Post-employment benefit liability</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11,588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9,289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23,390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18,430</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partner</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attributable to Icahn Enterprises Holdings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6,114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attributable to non-controlling interests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6,947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12,413</w:t>
            </w: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13,331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35,803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31,761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141</w:t>
      </w:r>
    </w:p>
    <w:p>
      <w:pPr>
        <w:sectPr>
          <w:pgSz w:w="11900" w:h="16838" w:orient="portrait"/>
          <w:cols w:equalWidth="0" w:num="1">
            <w:col w:w="11420"/>
          </w:cols>
          <w:pgMar w:left="240" w:top="576" w:right="239" w:bottom="1440" w:gutter="0" w:footer="0" w:header="0"/>
          <w:type w:val="continuous"/>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18,072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14,574</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gain from investment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(loss), net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19,157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20,682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15,796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12,606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19,788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18,356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15,114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income before income tax benefit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Icahn Enterprises Holdings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Icahn Enterprises Holdings allocable to:</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Limited partner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partner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142</w:t>
      </w:r>
    </w:p>
    <w:p>
      <w:pPr>
        <w:sectPr>
          <w:pgSz w:w="11900" w:h="16838" w:orient="portrait"/>
          <w:cols w:equalWidth="0" w:num="1">
            <w:col w:w="11420"/>
          </w:cols>
          <w:pgMar w:left="240" w:top="360" w:right="239" w:bottom="1440" w:gutter="0" w:footer="0" w:header="0"/>
          <w:type w:val="continuous"/>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7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7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763</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Post-employment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43"/>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Hedge instruments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Translation adjustments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7"/>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636</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 interests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7"/>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Icahn Enterprises Holdings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299</w:t>
            </w: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7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Icahn Enterprises Holdings allocable to:</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Limited partner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287</w:t>
            </w: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partner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70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299</w:t>
            </w:r>
          </w:p>
        </w:tc>
      </w:tr>
      <w:tr>
        <w:trPr>
          <w:trHeight w:val="27"/>
        </w:trPr>
        <w:tc>
          <w:tcPr>
            <w:tcW w:w="7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 was $1,293 million and $805 million at December 31, 2014 and 2013,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11400"/>
          </w:cols>
          <w:pgMar w:left="240" w:top="360" w:right="2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143</w:t>
      </w:r>
    </w:p>
    <w:p>
      <w:pPr>
        <w:sectPr>
          <w:pgSz w:w="11900" w:h="16838" w:orient="portrait"/>
          <w:cols w:equalWidth="0" w:num="1">
            <w:col w:w="11400"/>
          </w:cols>
          <w:pgMar w:left="240" w:top="360" w:right="259" w:bottom="1440" w:gutter="0" w:footer="0" w:header="0"/>
          <w:type w:val="continuous"/>
        </w:sectPr>
      </w:pPr>
    </w:p>
    <w:bookmarkStart w:id="145" w:name="page146"/>
    <w:bookmarkEnd w:id="145"/>
    <w:p>
      <w:pPr>
        <w:ind w:left="3200"/>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18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Equity Attributable to Icahn Enterprises Holdings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General Partner's</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Limited</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Total Partners'</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Partner's Equity</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200" w:type="dxa"/>
            <w:vAlign w:val="bottom"/>
          </w:tcPr>
          <w:p>
            <w:pPr>
              <w:spacing w:after="0"/>
              <w:rPr>
                <w:sz w:val="18"/>
                <w:szCs w:val="18"/>
                <w:color w:val="auto"/>
              </w:rPr>
            </w:pPr>
          </w:p>
        </w:tc>
        <w:tc>
          <w:tcPr>
            <w:tcW w:w="12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Equity</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December 31, 2011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3,776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7,892</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763</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Partnership contributions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513</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Partnership distributions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segment distributions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Distributions paid to non-controlling interests in</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3"/>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subsidiary</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Acquisition of CVR</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984</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subsidiary equity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December 31, 2012</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4,984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4,691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5,147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9,838</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2,444</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Acquisition of ARL</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Partnership contributions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593</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Partnership distributions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segment contributions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Distributions paid to non-controlling interests in</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3"/>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subsidiary</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subsidiary equity offerings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1,056</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subsidiary equity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December 31, 2013</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6,393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6,114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7,217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13,331</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Partnership distributions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segment contributions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500</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Distributions to non-controlling interests in</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3"/>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subsidiaries</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Subsidiary equity offering</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subsidiary equity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w:t>
            </w:r>
          </w:p>
        </w:tc>
      </w:tr>
      <w:tr>
        <w:trPr>
          <w:trHeight w:val="244"/>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December 31, 2014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5,751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5,466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6,947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12,413</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144</w:t>
      </w:r>
    </w:p>
    <w:p>
      <w:pPr>
        <w:sectPr>
          <w:pgSz w:w="11900" w:h="16838" w:orient="portrait"/>
          <w:cols w:equalWidth="0" w:num="1">
            <w:col w:w="11420"/>
          </w:cols>
          <w:pgMar w:left="240" w:top="360" w:right="239" w:bottom="1440" w:gutter="0" w:footer="0" w:header="0"/>
          <w:type w:val="continuous"/>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18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48"/>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48"/>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080" w:type="dxa"/>
            <w:vAlign w:val="bottom"/>
            <w:vMerge w:val="continue"/>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income</w:t>
            </w:r>
          </w:p>
        </w:tc>
        <w:tc>
          <w:tcPr>
            <w:tcW w:w="88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2,444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763</w:t>
            </w:r>
          </w:p>
        </w:tc>
        <w:tc>
          <w:tcPr>
            <w:tcW w:w="0" w:type="dxa"/>
            <w:vAlign w:val="bottom"/>
          </w:tcPr>
          <w:p>
            <w:pPr>
              <w:spacing w:after="0"/>
              <w:rPr>
                <w:sz w:val="1"/>
                <w:szCs w:val="1"/>
                <w:color w:val="auto"/>
              </w:rPr>
            </w:pP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gain from securities transactions</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0" w:type="dxa"/>
            <w:vAlign w:val="bottom"/>
          </w:tcPr>
          <w:p>
            <w:pPr>
              <w:spacing w:after="0"/>
              <w:rPr>
                <w:sz w:val="1"/>
                <w:szCs w:val="1"/>
                <w:color w:val="auto"/>
              </w:rPr>
            </w:pPr>
          </w:p>
        </w:tc>
      </w:tr>
      <w:tr>
        <w:trPr>
          <w:trHeight w:val="265"/>
        </w:trPr>
        <w:tc>
          <w:tcPr>
            <w:tcW w:w="7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securities</w:t>
            </w:r>
          </w:p>
        </w:tc>
        <w:tc>
          <w:tcPr>
            <w:tcW w:w="8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(6,523)</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(2,592)</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sales of securities</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5,079</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4,664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7,167</w:t>
            </w:r>
          </w:p>
        </w:tc>
        <w:tc>
          <w:tcPr>
            <w:tcW w:w="0" w:type="dxa"/>
            <w:vAlign w:val="bottom"/>
          </w:tcPr>
          <w:p>
            <w:pPr>
              <w:spacing w:after="0"/>
              <w:rPr>
                <w:sz w:val="1"/>
                <w:szCs w:val="1"/>
                <w:color w:val="auto"/>
              </w:rPr>
            </w:pPr>
          </w:p>
        </w:tc>
      </w:tr>
      <w:tr>
        <w:trPr>
          <w:trHeight w:val="265"/>
        </w:trPr>
        <w:tc>
          <w:tcPr>
            <w:tcW w:w="7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to cover securities sold, not yet purchased</w:t>
            </w:r>
          </w:p>
        </w:tc>
        <w:tc>
          <w:tcPr>
            <w:tcW w:w="8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(5,160)</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securities sold, not yet purchased</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342</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1,307</w:t>
            </w:r>
          </w:p>
        </w:tc>
        <w:tc>
          <w:tcPr>
            <w:tcW w:w="0" w:type="dxa"/>
            <w:vAlign w:val="bottom"/>
          </w:tcPr>
          <w:p>
            <w:pPr>
              <w:spacing w:after="0"/>
              <w:rPr>
                <w:sz w:val="1"/>
                <w:szCs w:val="1"/>
                <w:color w:val="auto"/>
              </w:rPr>
            </w:pPr>
          </w:p>
        </w:tc>
      </w:tr>
      <w:tr>
        <w:trPr>
          <w:trHeight w:val="265"/>
        </w:trPr>
        <w:tc>
          <w:tcPr>
            <w:tcW w:w="7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receivables and payables relating to securities transactions</w:t>
            </w:r>
          </w:p>
        </w:tc>
        <w:tc>
          <w:tcPr>
            <w:tcW w:w="880" w:type="dxa"/>
            <w:vAlign w:val="bottom"/>
          </w:tcPr>
          <w:p>
            <w:pPr>
              <w:spacing w:after="0"/>
              <w:rPr>
                <w:sz w:val="23"/>
                <w:szCs w:val="23"/>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2,888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1,775</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65"/>
        </w:trPr>
        <w:tc>
          <w:tcPr>
            <w:tcW w:w="7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23"/>
                <w:szCs w:val="23"/>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634</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Impairment</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65"/>
        </w:trPr>
        <w:tc>
          <w:tcPr>
            <w:tcW w:w="7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taxes</w:t>
            </w:r>
          </w:p>
        </w:tc>
        <w:tc>
          <w:tcPr>
            <w:tcW w:w="8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65"/>
        </w:trPr>
        <w:tc>
          <w:tcPr>
            <w:tcW w:w="7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Changes in cash held at consolidated affiliated partnerships and restricted cash</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265"/>
        </w:trPr>
        <w:tc>
          <w:tcPr>
            <w:tcW w:w="7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receivable, net</w:t>
            </w:r>
          </w:p>
        </w:tc>
        <w:tc>
          <w:tcPr>
            <w:tcW w:w="880" w:type="dxa"/>
            <w:vAlign w:val="bottom"/>
          </w:tcPr>
          <w:p>
            <w:pPr>
              <w:spacing w:after="0"/>
              <w:rPr>
                <w:sz w:val="23"/>
                <w:szCs w:val="23"/>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Inventories, net</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65"/>
        </w:trPr>
        <w:tc>
          <w:tcPr>
            <w:tcW w:w="7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assets</w:t>
            </w:r>
          </w:p>
        </w:tc>
        <w:tc>
          <w:tcPr>
            <w:tcW w:w="8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65"/>
        </w:trPr>
        <w:tc>
          <w:tcPr>
            <w:tcW w:w="7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8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5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(used in) provided by operating activities</w:t>
            </w:r>
          </w:p>
        </w:tc>
        <w:tc>
          <w:tcPr>
            <w:tcW w:w="8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1,607</w:t>
            </w:r>
          </w:p>
        </w:tc>
        <w:tc>
          <w:tcPr>
            <w:tcW w:w="0" w:type="dxa"/>
            <w:vAlign w:val="bottom"/>
          </w:tcPr>
          <w:p>
            <w:pPr>
              <w:spacing w:after="0"/>
              <w:rPr>
                <w:sz w:val="1"/>
                <w:szCs w:val="1"/>
                <w:color w:val="auto"/>
              </w:rPr>
            </w:pPr>
          </w:p>
        </w:tc>
      </w:tr>
      <w:tr>
        <w:trPr>
          <w:trHeight w:val="259"/>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Capital expenditures</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0" w:type="dxa"/>
            <w:vAlign w:val="bottom"/>
          </w:tcPr>
          <w:p>
            <w:pPr>
              <w:spacing w:after="0"/>
              <w:rPr>
                <w:sz w:val="1"/>
                <w:szCs w:val="1"/>
                <w:color w:val="auto"/>
              </w:rPr>
            </w:pP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Acquisition of ARL</w:t>
            </w:r>
          </w:p>
        </w:tc>
        <w:tc>
          <w:tcPr>
            <w:tcW w:w="880" w:type="dxa"/>
            <w:vAlign w:val="bottom"/>
          </w:tcPr>
          <w:p>
            <w:pPr>
              <w:spacing w:after="0"/>
              <w:rPr>
                <w:sz w:val="23"/>
                <w:szCs w:val="23"/>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0" w:type="dxa"/>
            <w:vAlign w:val="bottom"/>
          </w:tcPr>
          <w:p>
            <w:pPr>
              <w:spacing w:after="0"/>
              <w:rPr>
                <w:sz w:val="1"/>
                <w:szCs w:val="1"/>
                <w:color w:val="auto"/>
              </w:rPr>
            </w:pP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sale of investments</w:t>
            </w:r>
          </w:p>
        </w:tc>
        <w:tc>
          <w:tcPr>
            <w:tcW w:w="880" w:type="dxa"/>
            <w:vAlign w:val="bottom"/>
          </w:tcPr>
          <w:p>
            <w:pPr>
              <w:spacing w:after="0"/>
              <w:rPr>
                <w:sz w:val="23"/>
                <w:szCs w:val="23"/>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65"/>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90</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5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8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0" w:type="dxa"/>
            <w:vAlign w:val="bottom"/>
          </w:tcPr>
          <w:p>
            <w:pPr>
              <w:spacing w:after="0"/>
              <w:rPr>
                <w:sz w:val="1"/>
                <w:szCs w:val="1"/>
                <w:color w:val="auto"/>
              </w:rPr>
            </w:pPr>
          </w:p>
        </w:tc>
      </w:tr>
      <w:tr>
        <w:trPr>
          <w:trHeight w:val="259"/>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Investment segment distributions</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segment contributions</w:t>
            </w:r>
          </w:p>
        </w:tc>
        <w:tc>
          <w:tcPr>
            <w:tcW w:w="880" w:type="dxa"/>
            <w:vAlign w:val="bottom"/>
          </w:tcPr>
          <w:p>
            <w:pPr>
              <w:spacing w:after="0"/>
              <w:rPr>
                <w:sz w:val="23"/>
                <w:szCs w:val="23"/>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Partnership contributions</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Partnership distributions</w:t>
            </w:r>
          </w:p>
        </w:tc>
        <w:tc>
          <w:tcPr>
            <w:tcW w:w="8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offering of subsidiary equity</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188</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Distributions to non-controlling interests in subsidiaries</w:t>
            </w:r>
          </w:p>
        </w:tc>
        <w:tc>
          <w:tcPr>
            <w:tcW w:w="8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issuance of senior unsecured notes</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4,991</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1,030</w:t>
            </w:r>
          </w:p>
        </w:tc>
        <w:tc>
          <w:tcPr>
            <w:tcW w:w="0" w:type="dxa"/>
            <w:vAlign w:val="bottom"/>
          </w:tcPr>
          <w:p>
            <w:pPr>
              <w:spacing w:after="0"/>
              <w:rPr>
                <w:sz w:val="1"/>
                <w:szCs w:val="1"/>
                <w:color w:val="auto"/>
              </w:rPr>
            </w:pP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Repayments of senior unsecured notes</w:t>
            </w:r>
          </w:p>
        </w:tc>
        <w:tc>
          <w:tcPr>
            <w:tcW w:w="8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other borrowings</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4,794</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1,076</w:t>
            </w:r>
          </w:p>
        </w:tc>
        <w:tc>
          <w:tcPr>
            <w:tcW w:w="0" w:type="dxa"/>
            <w:vAlign w:val="bottom"/>
          </w:tcPr>
          <w:p>
            <w:pPr>
              <w:spacing w:after="0"/>
              <w:rPr>
                <w:sz w:val="1"/>
                <w:szCs w:val="1"/>
                <w:color w:val="auto"/>
              </w:rPr>
            </w:pP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Repayments of borrowings</w:t>
            </w:r>
          </w:p>
        </w:tc>
        <w:tc>
          <w:tcPr>
            <w:tcW w:w="8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(4,031)</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0" w:type="dxa"/>
            <w:vAlign w:val="bottom"/>
          </w:tcPr>
          <w:p>
            <w:pPr>
              <w:spacing w:after="0"/>
              <w:rPr>
                <w:sz w:val="1"/>
                <w:szCs w:val="1"/>
                <w:color w:val="auto"/>
              </w:rPr>
            </w:pP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45"/>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2,007</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907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1,480</w:t>
            </w:r>
          </w:p>
        </w:tc>
        <w:tc>
          <w:tcPr>
            <w:tcW w:w="0" w:type="dxa"/>
            <w:vAlign w:val="bottom"/>
          </w:tcPr>
          <w:p>
            <w:pPr>
              <w:spacing w:after="0"/>
              <w:rPr>
                <w:sz w:val="1"/>
                <w:szCs w:val="1"/>
                <w:color w:val="auto"/>
              </w:rPr>
            </w:pPr>
          </w:p>
        </w:tc>
      </w:tr>
      <w:tr>
        <w:trPr>
          <w:trHeight w:val="25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 (decrease) increase in cash and cash equivalents</w:t>
            </w:r>
          </w:p>
        </w:tc>
        <w:tc>
          <w:tcPr>
            <w:tcW w:w="8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780</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8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3,262</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2,328</w:t>
            </w:r>
          </w:p>
        </w:tc>
        <w:tc>
          <w:tcPr>
            <w:tcW w:w="0" w:type="dxa"/>
            <w:vAlign w:val="bottom"/>
          </w:tcPr>
          <w:p>
            <w:pPr>
              <w:spacing w:after="0"/>
              <w:rPr>
                <w:sz w:val="1"/>
                <w:szCs w:val="1"/>
                <w:color w:val="auto"/>
              </w:rPr>
            </w:pPr>
          </w:p>
        </w:tc>
      </w:tr>
      <w:tr>
        <w:trPr>
          <w:trHeight w:val="242"/>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880" w:type="dxa"/>
            <w:vAlign w:val="bottom"/>
          </w:tcPr>
          <w:p>
            <w:pPr>
              <w:jc w:val="right"/>
              <w:ind w:right="70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2,912</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3,262</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3,108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0" w:right="239" w:bottom="858"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145</w:t>
      </w:r>
    </w:p>
    <w:p>
      <w:pPr>
        <w:sectPr>
          <w:pgSz w:w="11900" w:h="16838" w:orient="portrait"/>
          <w:cols w:equalWidth="0" w:num="1">
            <w:col w:w="11420"/>
          </w:cols>
          <w:pgMar w:left="240" w:top="360" w:right="239" w:bottom="858" w:gutter="0" w:footer="0" w:header="0"/>
          <w:type w:val="continuous"/>
        </w:sectPr>
      </w:pPr>
    </w:p>
    <w:bookmarkStart w:id="147" w:name="page148"/>
    <w:bookmarkEnd w:id="147"/>
    <w:tbl>
      <w:tblPr>
        <w:tblLayout w:type="fixed"/>
        <w:tblInd w:w="0" w:type="dxa"/>
        <w:tblCellMar>
          <w:top w:w="0" w:type="dxa"/>
          <w:left w:w="0" w:type="dxa"/>
          <w:bottom w:w="0" w:type="dxa"/>
          <w:right w:w="0" w:type="dxa"/>
        </w:tblCellMar>
      </w:tblPr>
      <w:tr>
        <w:trPr>
          <w:trHeight w:val="19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Supplemental information:</w:t>
            </w: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62"/>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payments for interest, net of amounts capitalized</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501</w:t>
            </w: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cash payments for income taxes</w:t>
            </w:r>
          </w:p>
        </w:tc>
        <w:tc>
          <w:tcPr>
            <w:tcW w:w="5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236</w:t>
            </w:r>
          </w:p>
        </w:tc>
      </w:tr>
      <w:tr>
        <w:trPr>
          <w:trHeight w:val="21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Distribution payable to Icahn Enterprises unitholders</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Non-cash investment segment contribution</w:t>
            </w:r>
          </w:p>
        </w:tc>
        <w:tc>
          <w:tcPr>
            <w:tcW w:w="5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Acquisition of non-controlling interest in CVR</w:t>
            </w:r>
          </w:p>
        </w:tc>
        <w:tc>
          <w:tcPr>
            <w:tcW w:w="58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Construction in progress additions included in liabilities</w:t>
            </w:r>
          </w:p>
        </w:tc>
        <w:tc>
          <w:tcPr>
            <w:tcW w:w="5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62</w:t>
            </w:r>
          </w:p>
        </w:tc>
      </w:tr>
      <w:tr>
        <w:trPr>
          <w:trHeight w:val="21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Changes in accounts payable relating to construction in progress additions</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420"/>
          </w:cols>
          <w:pgMar w:left="240" w:top="587" w:right="239" w:bottom="1440" w:gutter="0" w:footer="0" w:header="0"/>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6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10, "Debt," and the allocation of the general partner interest, which is reflected as an aggregate 1.99% general partner interest in the financial statements of Icahn Enterprises. In addition to the above, Mr. Icahn and his affiliates owned 108,810,845, or approximately 88.4%, of Icahn Enterprises' outstanding depositary units as of December 31, 2014.</w:t>
      </w:r>
    </w:p>
    <w:p>
      <w:pPr>
        <w:spacing w:after="0" w:line="8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are a diversified holding company owning subsidiaries currently engaged in the following continuing operating businesses: Investment, Automotive, Energy, Metals, Railcar, Gaming,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 Further information regarding our continuing reportable segments is contained in Note 3, “Operating Units,” and Note 13, “Segment and Geographic Reporting.”</w:t>
      </w:r>
    </w:p>
    <w:p>
      <w:pPr>
        <w:spacing w:after="0" w:line="7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conduct and plan to continue to conduct our activities in such a manner as not to be deemed an investment company under the Investment Company Act of 1940, as amended (the “'40 Act”). Therefore, no more than 40% of our total assets can be invested in investment securities, as such term is defined in the '40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 (the “Code”).</w:t>
      </w:r>
    </w:p>
    <w:p>
      <w:pPr>
        <w:spacing w:after="0" w:line="18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21" w:lineRule="exact"/>
        <w:rPr>
          <w:sz w:val="20"/>
          <w:szCs w:val="20"/>
          <w:color w:val="auto"/>
        </w:rPr>
      </w:pPr>
    </w:p>
    <w:p>
      <w:pPr>
        <w:ind w:right="40" w:firstLine="378"/>
        <w:spacing w:after="0" w:line="282" w:lineRule="auto"/>
        <w:rPr>
          <w:sz w:val="20"/>
          <w:szCs w:val="20"/>
          <w:color w:val="auto"/>
        </w:rPr>
      </w:pPr>
      <w:r>
        <w:rPr>
          <w:rFonts w:ascii="Times New Roman" w:cs="Times New Roman" w:eastAsia="Times New Roman" w:hAnsi="Times New Roman"/>
          <w:sz w:val="18"/>
          <w:szCs w:val="18"/>
          <w:color w:val="auto"/>
        </w:rPr>
        <w:t>As discussed in Note 1, “Description of Business and Basis of Presentation,” we operate in several diversified segments. The accounting policies related to the specific segments or industries are differentiated, as required, in the list of significant accounting policies set out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(i) Icahn Enterprises and Icahn Enterprises Holdings and (ii) the wholly and majority owned subsidiaries of Icahn Enterprises and Icahn Enterprises Holdings, in addition to those entities in which we have a controlling interest as a general partner interest. In evaluating whether we have a controlling financial interest in entities that we consolidate, we consider the following: (1) for voting interest entities, we consolidate these entities in which we own a majority of the voting interests; and (2) for limited partnership entities, we consolidate these entities if we are the general partner of such entities and for which no substantive kick-out rights (the rights underlying the limited partners' ability to dissolve the limited partnership or otherwise remove the general partners are collectively referred to as “kick-out” rights) or participating rights exist. All material intercompany accounts and transactions have been eliminated in consolidation.</w:t>
      </w:r>
    </w:p>
    <w:p>
      <w:pPr>
        <w:spacing w:after="0" w:line="81" w:lineRule="exact"/>
        <w:rPr>
          <w:sz w:val="20"/>
          <w:szCs w:val="20"/>
          <w:color w:val="auto"/>
        </w:rPr>
      </w:pPr>
    </w:p>
    <w:p>
      <w:pPr>
        <w:ind w:firstLine="378"/>
        <w:spacing w:after="0" w:line="282" w:lineRule="auto"/>
        <w:rPr>
          <w:sz w:val="20"/>
          <w:szCs w:val="20"/>
          <w:color w:val="auto"/>
        </w:rPr>
      </w:pPr>
      <w:r>
        <w:rPr>
          <w:rFonts w:ascii="Times New Roman" w:cs="Times New Roman" w:eastAsia="Times New Roman" w:hAnsi="Times New Roman"/>
          <w:sz w:val="18"/>
          <w:szCs w:val="18"/>
          <w:color w:val="auto"/>
        </w:rPr>
        <w:t>Except for our Investment segment, for those investments in which we own 50% or less but greater than 20%, we account for such investments using the equity method, while investments in affiliates of 20% or less are accounted for under the cost method.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Certain reclassifications from the prior year presentation have been made to conform to the current year presentation.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400"/>
          </w:cols>
          <w:pgMar w:left="240" w:top="333" w:right="259" w:bottom="1440" w:gutter="0" w:footer="0" w:header="0"/>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Preparation of Financial Statements</w:t>
      </w:r>
    </w:p>
    <w:p>
      <w:pPr>
        <w:spacing w:after="0" w:line="121" w:lineRule="exact"/>
        <w:rPr>
          <w:sz w:val="20"/>
          <w:szCs w:val="20"/>
          <w:color w:val="auto"/>
        </w:rPr>
      </w:pPr>
    </w:p>
    <w:p>
      <w:pPr>
        <w:ind w:right="100" w:firstLine="378"/>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 of assets and liabilities at the date of the financial statements and the reported amount of revenues and expenses during the period. The more significant estimates include: (1) the valuation allowances of accounts receivable and inventory; (2) the valuation of goodwill, indefinite-lived intangible assets and long-lived assets; (3) deferred tax assets; (4) environmental liabilities; (5) fair value of investments and derivatives; and (6) post-employment benefit liabilities. Actual results may differ from the estimates and assumptions used in preparing the consolidated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consider short-term investments, which are highly liquid with original maturities of three months or less at date of purchase, to be cash equivalents.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Held at Consolidated Affiliated Partnerships and Restricted Cash</w:t>
      </w:r>
    </w:p>
    <w:p>
      <w:pPr>
        <w:spacing w:after="0" w:line="121" w:lineRule="exact"/>
        <w:rPr>
          <w:sz w:val="20"/>
          <w:szCs w:val="20"/>
          <w:color w:val="auto"/>
        </w:rPr>
      </w:pPr>
    </w:p>
    <w:p>
      <w:pPr>
        <w:jc w:val="both"/>
        <w:ind w:right="200" w:firstLine="378"/>
        <w:spacing w:after="0" w:line="266" w:lineRule="auto"/>
        <w:rPr>
          <w:sz w:val="20"/>
          <w:szCs w:val="20"/>
          <w:color w:val="auto"/>
        </w:rPr>
      </w:pPr>
      <w:r>
        <w:rPr>
          <w:rFonts w:ascii="Times New Roman" w:cs="Times New Roman" w:eastAsia="Times New Roman" w:hAnsi="Times New Roman"/>
          <w:sz w:val="18"/>
          <w:szCs w:val="18"/>
          <w:color w:val="auto"/>
        </w:rPr>
        <w:t>Cash held at consolidated affiliated partnerships primarily consists of cash and cash equivalents held by our Investment Funds (as defined herein) that, although not legally restricted, is not available to fund the general liquidity needs of the Investment segment or Icahn Enterprises. Restricted cash primarily relates to cash pledged and held for margin requirements on derivative transactions.</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consolidated restricted cash balance was approximately $1.3 billion and $330 million as of December 31, 2014 and 2013,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and Related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63" w:lineRule="exact"/>
        <w:rPr>
          <w:sz w:val="20"/>
          <w:szCs w:val="20"/>
          <w:color w:val="auto"/>
        </w:rPr>
      </w:pPr>
    </w:p>
    <w:p>
      <w:pPr>
        <w:ind w:right="120" w:firstLine="39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Investment Transactions and Related Investment Income (Loss). </w:t>
      </w:r>
      <w:r>
        <w:rPr>
          <w:rFonts w:ascii="Times New Roman" w:cs="Times New Roman" w:eastAsia="Times New Roman" w:hAnsi="Times New Roman"/>
          <w:sz w:val="18"/>
          <w:szCs w:val="18"/>
          <w:color w:val="auto"/>
        </w:rPr>
        <w:t>Investment transactions of the Investment Funds are recorded on a trade date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Realized gains or losses on sales of investments are based on the first-in, first-out or the specific identification method. Realized and unrealized gains or losses on investments are recorded in the consolidated statements of operations. Interest income and expenses are recorded on an accrual basis and dividends are recorded on the ex-dividend date. Premiums and discounts on fixed income securities are amortized using the effective yield method.</w:t>
      </w:r>
    </w:p>
    <w:p>
      <w:pPr>
        <w:spacing w:after="0" w:line="20" w:lineRule="exact"/>
        <w:rPr>
          <w:sz w:val="20"/>
          <w:szCs w:val="20"/>
          <w:color w:val="auto"/>
        </w:rPr>
      </w:pPr>
    </w:p>
    <w:p>
      <w:pPr>
        <w:ind w:right="520" w:firstLine="392"/>
        <w:spacing w:after="0" w:line="280" w:lineRule="auto"/>
        <w:rPr>
          <w:sz w:val="20"/>
          <w:szCs w:val="20"/>
          <w:color w:val="auto"/>
        </w:rPr>
      </w:pPr>
      <w:r>
        <w:rPr>
          <w:rFonts w:ascii="Times New Roman" w:cs="Times New Roman" w:eastAsia="Times New Roman" w:hAnsi="Times New Roman"/>
          <w:sz w:val="18"/>
          <w:szCs w:val="18"/>
          <w:color w:val="auto"/>
        </w:rPr>
        <w:t>Investments held by the Investment segment are accounted for as trading securities. Our Investment segment applies the fair value option to those investments that are otherwise subject to the equity method.</w:t>
      </w:r>
    </w:p>
    <w:p>
      <w:pPr>
        <w:spacing w:after="0" w:line="1" w:lineRule="exact"/>
        <w:rPr>
          <w:sz w:val="20"/>
          <w:szCs w:val="20"/>
          <w:color w:val="auto"/>
        </w:rPr>
      </w:pPr>
    </w:p>
    <w:p>
      <w:pPr>
        <w:ind w:right="80" w:firstLine="39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Valuation of Investments. </w:t>
      </w:r>
      <w:r>
        <w:rPr>
          <w:rFonts w:ascii="Times New Roman" w:cs="Times New Roman" w:eastAsia="Times New Roman" w:hAnsi="Times New Roman"/>
          <w:sz w:val="18"/>
          <w:szCs w:val="18"/>
          <w:color w:val="auto"/>
        </w:rPr>
        <w:t>Securities of the Investment Funds that are listed on a securities exchange are valued at their last sales price on the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applicable General Partner.</w:t>
      </w:r>
    </w:p>
    <w:p>
      <w:pPr>
        <w:spacing w:after="0" w:line="18" w:lineRule="exact"/>
        <w:rPr>
          <w:sz w:val="20"/>
          <w:szCs w:val="20"/>
          <w:color w:val="auto"/>
        </w:rPr>
      </w:pPr>
    </w:p>
    <w:p>
      <w:pPr>
        <w:ind w:right="120" w:firstLine="39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Transactions. </w:t>
      </w:r>
      <w:r>
        <w:rPr>
          <w:rFonts w:ascii="Times New Roman" w:cs="Times New Roman" w:eastAsia="Times New Roman" w:hAnsi="Times New Roman"/>
          <w:sz w:val="18"/>
          <w:szCs w:val="18"/>
          <w:color w:val="auto"/>
        </w:rPr>
        <w:t>The books and records of the Investment Funds are maintained in U.S. dollars. Assets and liabilities denominated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currencies other than U.S. dollars are translated into U.S. dollars at the rate of exchange in effect at the balance sheet date. Transactions during the period denominated in currencies other than U.S. dollars are translated at the rate of exchange applicable on the date of the transaction. Foreign currency translation gains and losses are recorded in the consolidated statements of operations. The Investment Funds do not isolate that portion of the results of operations resulting from changes in foreign exchange rates on investments from the fluctuations arising from changes in the market prices of securities. Such fluctuations are reflected in “Net gain (loss) from investment activities” in the consolidated statement of operations.</w:t>
      </w:r>
    </w:p>
    <w:p>
      <w:pPr>
        <w:spacing w:after="0" w:line="21" w:lineRule="exact"/>
        <w:rPr>
          <w:sz w:val="20"/>
          <w:szCs w:val="20"/>
          <w:color w:val="auto"/>
        </w:rPr>
      </w:pPr>
    </w:p>
    <w:p>
      <w:pPr>
        <w:ind w:right="720" w:firstLine="392"/>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Fair Values of Financial Instruments. </w:t>
      </w:r>
      <w:r>
        <w:rPr>
          <w:rFonts w:ascii="Times New Roman" w:cs="Times New Roman" w:eastAsia="Times New Roman" w:hAnsi="Times New Roman"/>
          <w:sz w:val="18"/>
          <w:szCs w:val="18"/>
          <w:color w:val="auto"/>
        </w:rPr>
        <w:t>The fair values of the Investment Funds' assets and liabilities that qualify as financial instruments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U.S. GAAP approximate the carrying amounts presented in the consolidated balance sheets.</w:t>
      </w:r>
    </w:p>
    <w:p>
      <w:pPr>
        <w:spacing w:after="0" w:line="1"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Securities Sold, Not Yet Purchased. </w:t>
      </w:r>
      <w:r>
        <w:rPr>
          <w:rFonts w:ascii="Times New Roman" w:cs="Times New Roman" w:eastAsia="Times New Roman" w:hAnsi="Times New Roman"/>
          <w:sz w:val="18"/>
          <w:szCs w:val="18"/>
          <w:color w:val="auto"/>
        </w:rPr>
        <w:t>The Investment Funds may sell an investment they do not own in anticipation of a decline in the fair value of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When the Investment Funds sell an investment short, they must borrow the investment sold short and deliver it to the broker-dealer through which they made the short sale. A gain, limited to the price at which the Investment Funds sold the investment short, or a loss, unlimited in amount, will be recognized upon the cover of the short sale.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420"/>
          </w:cols>
          <w:pgMar w:left="240" w:top="333" w:right="239"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8" w:lineRule="exact"/>
        <w:rPr>
          <w:sz w:val="20"/>
          <w:szCs w:val="20"/>
          <w:color w:val="auto"/>
        </w:rPr>
      </w:pPr>
    </w:p>
    <w:p>
      <w:pPr>
        <w:ind w:right="100" w:firstLine="39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Due From Brokers. </w:t>
      </w:r>
      <w:r>
        <w:rPr>
          <w:rFonts w:ascii="Times New Roman" w:cs="Times New Roman" w:eastAsia="Times New Roman" w:hAnsi="Times New Roman"/>
          <w:sz w:val="18"/>
          <w:szCs w:val="18"/>
          <w:color w:val="auto"/>
        </w:rPr>
        <w:t>Due from brokers represents cash balances with the Investment Funds' clearing brokers and is included in other assets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sheets. These funds as well as fully-paid for and marginable securities are essentially restricted to the extent that they serve as collateral against securities sold, not yet purchased. Due from brokers may also include unrestricted balances with derivative counterparties.</w:t>
      </w:r>
    </w:p>
    <w:p>
      <w:pPr>
        <w:spacing w:after="0" w:line="11" w:lineRule="exact"/>
        <w:rPr>
          <w:sz w:val="20"/>
          <w:szCs w:val="20"/>
          <w:color w:val="auto"/>
        </w:rPr>
      </w:pPr>
    </w:p>
    <w:p>
      <w:pPr>
        <w:ind w:right="800" w:firstLine="392"/>
        <w:spacing w:after="0" w:line="376" w:lineRule="auto"/>
        <w:rPr>
          <w:sz w:val="20"/>
          <w:szCs w:val="20"/>
          <w:color w:val="auto"/>
        </w:rPr>
      </w:pPr>
      <w:r>
        <w:rPr>
          <w:rFonts w:ascii="Times New Roman" w:cs="Times New Roman" w:eastAsia="Times New Roman" w:hAnsi="Times New Roman"/>
          <w:sz w:val="18"/>
          <w:szCs w:val="18"/>
          <w:i w:val="1"/>
          <w:iCs w:val="1"/>
          <w:color w:val="auto"/>
        </w:rPr>
        <w:t xml:space="preserve">Due To Brokers. </w:t>
      </w:r>
      <w:r>
        <w:rPr>
          <w:rFonts w:ascii="Times New Roman" w:cs="Times New Roman" w:eastAsia="Times New Roman" w:hAnsi="Times New Roman"/>
          <w:sz w:val="18"/>
          <w:szCs w:val="18"/>
          <w:color w:val="auto"/>
        </w:rPr>
        <w:t>Due to brokers represents margin debit balances collateralized by certain of the Investment Funds' investments in securities.</w:t>
      </w:r>
      <w:r>
        <w:rPr>
          <w:rFonts w:ascii="Times New Roman" w:cs="Times New Roman" w:eastAsia="Times New Roman" w:hAnsi="Times New Roman"/>
          <w:sz w:val="18"/>
          <w:szCs w:val="18"/>
          <w:i w:val="1"/>
          <w:iCs w:val="1"/>
          <w:color w:val="auto"/>
        </w:rPr>
        <w:t xml:space="preserve"> Other Segments and Holding Company</w:t>
      </w:r>
    </w:p>
    <w:p>
      <w:pPr>
        <w:spacing w:after="0" w:line="2"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Investments in equity and debt securities are classified as either trading or available-for-sale based upon whether we intend to hold the investment for the foreseeable future. Trading securities are valued at quoted market value at each balance sheet date with the unrealized gains or losses reflected in the consolidated statements of operations. Available-for-sale securities are carried at fair value on our balance sheet. Unrealized holding gains and losses on available-for-sale securities are excluded from earnings and reported as a separate component of partners' equity and when sold are reclassified out of partners' equity to the consolidated statements of operations. For purposes of determining gains and losses, the cost of securities is based on specific identification.</w:t>
      </w:r>
    </w:p>
    <w:p>
      <w:pPr>
        <w:spacing w:after="0" w:line="80" w:lineRule="exact"/>
        <w:rPr>
          <w:sz w:val="20"/>
          <w:szCs w:val="20"/>
          <w:color w:val="auto"/>
        </w:rPr>
      </w:pPr>
    </w:p>
    <w:p>
      <w:pPr>
        <w:ind w:right="360" w:firstLine="378"/>
        <w:spacing w:after="0" w:line="266" w:lineRule="auto"/>
        <w:rPr>
          <w:sz w:val="20"/>
          <w:szCs w:val="20"/>
          <w:color w:val="auto"/>
        </w:rPr>
      </w:pPr>
      <w:r>
        <w:rPr>
          <w:rFonts w:ascii="Times New Roman" w:cs="Times New Roman" w:eastAsia="Times New Roman" w:hAnsi="Times New Roman"/>
          <w:sz w:val="18"/>
          <w:szCs w:val="18"/>
          <w:color w:val="auto"/>
        </w:rPr>
        <w:t>A decline in the market value of any available-for-sale security below cost that is deemed to be other than temporary results in an impairment that is charged to earnings and the establishment of a new cost basis for the investment. Dividend income is recorded when declared and interest income is recognized when earned.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40" w:firstLine="378"/>
        <w:spacing w:after="0" w:line="266" w:lineRule="auto"/>
        <w:rPr>
          <w:sz w:val="20"/>
          <w:szCs w:val="20"/>
          <w:color w:val="auto"/>
        </w:rPr>
      </w:pPr>
      <w:r>
        <w:rPr>
          <w:rFonts w:ascii="Times New Roman" w:cs="Times New Roman" w:eastAsia="Times New Roman" w:hAnsi="Times New Roman"/>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5, “Investments and Related Matters,” and Note 6, “Fair Value Measurements,” for a detailed discussion of our investments.</w:t>
      </w:r>
    </w:p>
    <w:p>
      <w:pPr>
        <w:spacing w:after="0" w:line="117" w:lineRule="exact"/>
        <w:rPr>
          <w:sz w:val="20"/>
          <w:szCs w:val="20"/>
          <w:color w:val="auto"/>
        </w:rPr>
      </w:pPr>
    </w:p>
    <w:p>
      <w:pPr>
        <w:ind w:right="240" w:firstLine="378"/>
        <w:spacing w:after="0" w:line="261" w:lineRule="auto"/>
        <w:rPr>
          <w:sz w:val="20"/>
          <w:szCs w:val="20"/>
          <w:color w:val="auto"/>
        </w:rPr>
      </w:pPr>
      <w:r>
        <w:rPr>
          <w:rFonts w:ascii="Times New Roman" w:cs="Times New Roman" w:eastAsia="Times New Roman" w:hAnsi="Times New Roman"/>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December 31, 2014 was each approximately $11.6 billion. The carrying value and estimated fair value of our long-term debt as of December 31, 2013 was approximately $9.3 billion and $9.4 billion,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for Financial Assets and Financial Liabilities</w:t>
      </w:r>
    </w:p>
    <w:p>
      <w:pPr>
        <w:spacing w:after="0" w:line="121" w:lineRule="exact"/>
        <w:rPr>
          <w:sz w:val="20"/>
          <w:szCs w:val="20"/>
          <w:color w:val="auto"/>
        </w:rPr>
      </w:pPr>
    </w:p>
    <w:p>
      <w:pPr>
        <w:ind w:right="120" w:firstLine="378"/>
        <w:spacing w:after="0" w:line="255" w:lineRule="auto"/>
        <w:rPr>
          <w:sz w:val="20"/>
          <w:szCs w:val="20"/>
          <w:color w:val="auto"/>
        </w:rPr>
      </w:pPr>
      <w:r>
        <w:rPr>
          <w:rFonts w:ascii="Times New Roman" w:cs="Times New Roman" w:eastAsia="Times New Roman" w:hAnsi="Times New Roman"/>
          <w:sz w:val="18"/>
          <w:szCs w:val="18"/>
          <w:color w:val="auto"/>
        </w:rPr>
        <w:t xml:space="preserve">The fair value option gives entities the option to measure eligible financial assets, financial liabilities and firm commitments at fair value (i.e., the fair value option), on an instrument-by-instrument basis, that are otherwise not permitted to be accounted for at fair value pursuant to the provisions of the FASB ASC Topic 825, </w:t>
      </w:r>
      <w:r>
        <w:rPr>
          <w:rFonts w:ascii="Times New Roman" w:cs="Times New Roman" w:eastAsia="Times New Roman" w:hAnsi="Times New Roman"/>
          <w:sz w:val="18"/>
          <w:szCs w:val="18"/>
          <w:i w:val="1"/>
          <w:iCs w:val="1"/>
          <w:color w:val="auto"/>
        </w:rPr>
        <w:t>Financial Instrument</w:t>
      </w:r>
      <w:r>
        <w:rPr>
          <w:rFonts w:ascii="Times New Roman" w:cs="Times New Roman" w:eastAsia="Times New Roman" w:hAnsi="Times New Roman"/>
          <w:sz w:val="18"/>
          <w:szCs w:val="18"/>
          <w:color w:val="auto"/>
        </w:rPr>
        <w:t>s. The election to use the fair value option is available when an entity first recognizes a financial asset or financial liability or upon entering into a firm commitment. Subsequent changes in fair value must be recorded in earnings. In estimating the fair value for financial instruments for which the fair value option has been elected, we use the valuation methodologies in accordance to where the financial instruments are classified within the fair value hierarchy as discussed in Note 6, “Fair Value Measurements.” For our Investment segment, we apply the fair value option to our investments that would otherwise be accounted under the equity method.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ind w:right="40" w:firstLine="378"/>
        <w:spacing w:after="0" w:line="254" w:lineRule="auto"/>
        <w:rPr>
          <w:sz w:val="20"/>
          <w:szCs w:val="20"/>
          <w:color w:val="auto"/>
        </w:rPr>
      </w:pPr>
      <w:r>
        <w:rPr>
          <w:rFonts w:ascii="Times New Roman" w:cs="Times New Roman" w:eastAsia="Times New Roman" w:hAnsi="Times New Roman"/>
          <w:sz w:val="18"/>
          <w:szCs w:val="18"/>
          <w:color w:val="auto"/>
        </w:rPr>
        <w:t>From time to time, our subsidiaries enter into derivative contracts, including purchased and written option contracts, swap contracts, futures contracts and forward contracts. U.S. GAAP requires recognition of all derivatives as either assets or liabilities in the balance sheet at their fair value. The accounting for changes in fair value depends on the intended use of the derivative and its resulting designation. For those derivative instruments that are designated and qualify as hedging instruments, a company must designate the hedging instrument, based upon the exposure being hedged, as a fair value hedge, cash flow hedge or a hedge of a net investment in a foreign operation. Gains and losses related to a hedge are either recognized in income immediately to offset the gain or loss on the hedged item or are deferred and reported as a component of accumulated other comprehensive loss and subsequently recognized in earnings when the hedged item affects earnings. The change in fair value of the ineffective portion of a financial instrument, determined using the hypothetical derivative method, is recognized in earnings immediately. The gain or loss related to financial instruments that are not designated as hedges are recognized immediately in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420"/>
          </w:cols>
          <w:pgMar w:left="240" w:top="333" w:right="2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earnings. Cash flows related to hedging activities are included in the operating section of the consolidated statements of cash flows. For further information regarding our derivative contracts, see Note 7, “Financial Instruments.”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right="60" w:firstLine="378"/>
        <w:spacing w:after="0" w:line="261" w:lineRule="auto"/>
        <w:rPr>
          <w:sz w:val="20"/>
          <w:szCs w:val="20"/>
          <w:color w:val="auto"/>
        </w:rPr>
      </w:pPr>
      <w:r>
        <w:rPr>
          <w:rFonts w:ascii="Times New Roman" w:cs="Times New Roman" w:eastAsia="Times New Roman" w:hAnsi="Times New Roman"/>
          <w:sz w:val="18"/>
          <w:szCs w:val="18"/>
          <w:color w:val="auto"/>
        </w:rPr>
        <w:t>An allowance for doubtful accounts is determined through analysis of the aging of accounts receivable at the date of the consolidated financial statements, assessments of collectability based on an evaluation of historic and anticipated trends, the financial condition of our customers, and an evaluation of the impact of economic conditions. Our allowance for doubtful accounts is an estimate based on specifically identified accounts as well as general reserves based on historical experience.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tc>
        <w:tc>
          <w:tcPr>
            <w:tcW w:w="1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24"/>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 net consists of the following:</w:t>
            </w: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8"/>
        </w:trPr>
        <w:tc>
          <w:tcPr>
            <w:tcW w:w="7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tcPr>
          <w:p>
            <w:pPr>
              <w:spacing w:after="0"/>
              <w:rPr>
                <w:sz w:val="24"/>
                <w:szCs w:val="24"/>
                <w:color w:val="auto"/>
              </w:rPr>
            </w:pPr>
          </w:p>
        </w:tc>
      </w:tr>
      <w:tr>
        <w:trPr>
          <w:trHeight w:val="27"/>
        </w:trPr>
        <w:tc>
          <w:tcPr>
            <w:tcW w:w="7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7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5"/>
        </w:trPr>
        <w:tc>
          <w:tcPr>
            <w:tcW w:w="7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color w:val="auto"/>
              </w:rPr>
              <w:t>(in millions)</w:t>
            </w:r>
          </w:p>
        </w:tc>
        <w:tc>
          <w:tcPr>
            <w:tcW w:w="1380" w:type="dxa"/>
            <w:vAlign w:val="bottom"/>
          </w:tcPr>
          <w:p>
            <w:pPr>
              <w:spacing w:after="0"/>
              <w:rPr>
                <w:sz w:val="21"/>
                <w:szCs w:val="21"/>
                <w:color w:val="auto"/>
              </w:rPr>
            </w:pPr>
          </w:p>
        </w:tc>
      </w:tr>
      <w:tr>
        <w:trPr>
          <w:trHeight w:val="255"/>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138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1,151</w:t>
            </w:r>
          </w:p>
        </w:tc>
      </w:tr>
      <w:tr>
        <w:trPr>
          <w:trHeight w:val="237"/>
        </w:trPr>
        <w:tc>
          <w:tcPr>
            <w:tcW w:w="7200" w:type="dxa"/>
            <w:vAlign w:val="bottom"/>
          </w:tcPr>
          <w:p>
            <w:pPr>
              <w:spacing w:after="0"/>
              <w:rPr>
                <w:sz w:val="20"/>
                <w:szCs w:val="20"/>
                <w:color w:val="auto"/>
              </w:rPr>
            </w:pPr>
          </w:p>
        </w:tc>
        <w:tc>
          <w:tcPr>
            <w:tcW w:w="1380" w:type="dxa"/>
            <w:vAlign w:val="bottom"/>
            <w:tcBorders>
              <w:top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1,902</w:t>
            </w:r>
          </w:p>
        </w:tc>
      </w:tr>
      <w:tr>
        <w:trPr>
          <w:trHeight w:val="27"/>
        </w:trPr>
        <w:tc>
          <w:tcPr>
            <w:tcW w:w="7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right="40" w:firstLine="37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Automotive, Railcar, Food Packaging, and Home Fashion Segment Inventories. </w:t>
      </w:r>
      <w:r>
        <w:rPr>
          <w:rFonts w:ascii="Times New Roman" w:cs="Times New Roman" w:eastAsia="Times New Roman" w:hAnsi="Times New Roman"/>
          <w:sz w:val="18"/>
          <w:szCs w:val="18"/>
          <w:color w:val="auto"/>
        </w:rPr>
        <w:t>Our Automotive, Railcar, Food Packaging and Home Fashion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inventories are stated at the lower of cost or market. Cost is determined by using the first-in, first-out basis method ("FIFO"). The cost of manufactured goods includes the cost of materials, direct labor and manufacturing overhead. Our Automotive, Railcar, Food Packaging and Home Fashion segments reserve for estimated excess, slow-moving and obsolete inventory as well as inventory whose carrying value is in excess of net realizable value.</w:t>
      </w:r>
    </w:p>
    <w:p>
      <w:pPr>
        <w:spacing w:after="0" w:line="72"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Energy Inventories. </w:t>
      </w:r>
      <w:r>
        <w:rPr>
          <w:rFonts w:ascii="Times New Roman" w:cs="Times New Roman" w:eastAsia="Times New Roman" w:hAnsi="Times New Roman"/>
          <w:sz w:val="18"/>
          <w:szCs w:val="18"/>
          <w:color w:val="auto"/>
        </w:rPr>
        <w:t>Our Energy segment inventories consist primarily of domestic and foreign crude oil, blending stock and components, work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progress, fertilizer products, and refined fuels and by-products. Inventories are valued at the lower of FIFO cost, or market for fertilizer products, refined fuels and by-products for all periods presented. Refinery unfinished and finished products inventory values were determined using the ability-to-bear process, whereby raw materials and production costs are allocated to work-in-process and finished goods based on their relative fair values. Other inventories, including other raw materials, spare parts and supplies, are valued at the lower of moving-average cost, which approximates FIFO, or market. The cost of inventories includes inbound freight costs.</w:t>
      </w:r>
    </w:p>
    <w:p>
      <w:pPr>
        <w:spacing w:after="0" w:line="77"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Due to the current crude environment and subsequent reduction in sales price for our Energy segment's petroleum business' refined products, our Energy segment recorded a lower of FIFO cost or market inventory adjustment of $37 million for the year ended December 31, 2014.</w:t>
      </w:r>
    </w:p>
    <w:p>
      <w:pPr>
        <w:spacing w:after="0" w:line="52" w:lineRule="exact"/>
        <w:rPr>
          <w:sz w:val="20"/>
          <w:szCs w:val="20"/>
          <w:color w:val="auto"/>
        </w:rPr>
      </w:pPr>
    </w:p>
    <w:p>
      <w:pPr>
        <w:ind w:right="100" w:firstLine="37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Metals Inventories. </w:t>
      </w:r>
      <w:r>
        <w:rPr>
          <w:rFonts w:ascii="Times New Roman" w:cs="Times New Roman" w:eastAsia="Times New Roman" w:hAnsi="Times New Roman"/>
          <w:sz w:val="18"/>
          <w:szCs w:val="18"/>
          <w:color w:val="auto"/>
        </w:rPr>
        <w:t>Inventories at our Metals segment are stated at the lower of cost or market. Cost is determined using the average cost method.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and accounting process utilized by the Metals segment to record recycled metals inventory quantities relies on significant estimates. Our Metals segment relies upon perpetual inventory records that utilize estimated recoveries and yields that are based upon historical trends and periodic tests for certain unprocessed metal commodities. Over time, these estimates are reasonably good indicators of what is ultimately produced; however, actual recoveries and yields can vary depending on product quality, moisture content and source of the unprocessed metal. To assist in validating the reasonableness of the estimates, our Metals segment performs periodic physical inventories which involve the use of estimation techniques. Physical inventories may detect significant variations in volume, but because of variations in product density and production processes utilized to manufacture the product, physical inventories will not generally detect smaller variations. To help mitigate this risk, our Metals segment adjusts its physical inventories when the volume of a commodity is low and a physical inventory can more accurately estimate the remaining volume.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21" w:lineRule="exact"/>
        <w:rPr>
          <w:sz w:val="20"/>
          <w:szCs w:val="20"/>
          <w:color w:val="auto"/>
        </w:rPr>
      </w:pPr>
    </w:p>
    <w:p>
      <w:pPr>
        <w:ind w:right="140" w:firstLine="378"/>
        <w:spacing w:after="0" w:line="266" w:lineRule="auto"/>
        <w:rPr>
          <w:sz w:val="20"/>
          <w:szCs w:val="20"/>
          <w:color w:val="auto"/>
        </w:rPr>
      </w:pPr>
      <w:r>
        <w:rPr>
          <w:rFonts w:ascii="Times New Roman" w:cs="Times New Roman" w:eastAsia="Times New Roman" w:hAnsi="Times New Roman"/>
          <w:sz w:val="18"/>
          <w:szCs w:val="18"/>
          <w:color w:val="auto"/>
        </w:rPr>
        <w:t>Buildings and improvements, and machinery, equipment and furniture are stated at cost less accumulated depreciation unless declines in the values of the fixed assets are considered other than temporary, at which time the property is written down to net realizable value. Depreciation is principally computed using the straight-line method over the estimated useful lives 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420"/>
          </w:cols>
          <w:pgMar w:left="240" w:top="333" w:right="239" w:bottom="1440" w:gutter="0" w:footer="0" w:header="0"/>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particular property or equipment, as follows: buildings and improvements, four to 40 years; furniture, fixtures and equipment, one to 40 years. Leasehold improvements are amortized over the life of the lease or the life of the improvement, whichever is shorter.</w:t>
      </w:r>
    </w:p>
    <w:p>
      <w:pPr>
        <w:spacing w:after="0" w:line="54" w:lineRule="exact"/>
        <w:rPr>
          <w:sz w:val="20"/>
          <w:szCs w:val="20"/>
          <w:color w:val="auto"/>
        </w:rPr>
      </w:pPr>
    </w:p>
    <w:p>
      <w:pPr>
        <w:ind w:right="180" w:firstLine="378"/>
        <w:spacing w:after="0" w:line="258" w:lineRule="auto"/>
        <w:rPr>
          <w:sz w:val="20"/>
          <w:szCs w:val="20"/>
          <w:color w:val="auto"/>
        </w:rPr>
      </w:pPr>
      <w:r>
        <w:rPr>
          <w:rFonts w:ascii="Times New Roman" w:cs="Times New Roman" w:eastAsia="Times New Roman" w:hAnsi="Times New Roman"/>
          <w:sz w:val="18"/>
          <w:szCs w:val="18"/>
          <w:color w:val="auto"/>
        </w:rPr>
        <w:t>Maintenance and repairs are charged to expense as incurred. The cost of additions and improvements is capitalized and depreciated over the remaining useful lives of the assets. Railcars leased to others are stated at cost less accumulated depreciation unless declines in the values of the leased railcars are considered other than temporary, at which time they are written down to net realizable value. Railcars leased to others that were transferred from entities under common control are stated at net book value. Railcars are depreciated on a straight-line basis over 25 to 30 years from the original date placed in service.</w:t>
      </w:r>
    </w:p>
    <w:p>
      <w:pPr>
        <w:spacing w:after="0" w:line="76" w:lineRule="exact"/>
        <w:rPr>
          <w:sz w:val="20"/>
          <w:szCs w:val="20"/>
          <w:color w:val="auto"/>
        </w:rPr>
      </w:pPr>
    </w:p>
    <w:p>
      <w:pPr>
        <w:ind w:right="220" w:firstLine="378"/>
        <w:spacing w:after="0" w:line="261" w:lineRule="auto"/>
        <w:rPr>
          <w:sz w:val="20"/>
          <w:szCs w:val="20"/>
          <w:color w:val="auto"/>
        </w:rPr>
      </w:pPr>
      <w:r>
        <w:rPr>
          <w:rFonts w:ascii="Times New Roman" w:cs="Times New Roman" w:eastAsia="Times New Roman" w:hAnsi="Times New Roman"/>
          <w:sz w:val="18"/>
          <w:szCs w:val="18"/>
          <w:color w:val="auto"/>
        </w:rPr>
        <w:t>Real estate properties held for use or investment purposes, other than those accounted for under the financing method, are carried at cost less accumulated depreciation. Where declines in the values of the properties are determined to be other than temporary, the cost basis of the property is written down to net realizable value. A property is classified as held for sale at the time management determines that certain criteria have been met. Properties held for sale are carried at the lower of cost or net realizable value and are no longer depreciated.</w:t>
      </w:r>
    </w:p>
    <w:p>
      <w:pPr>
        <w:spacing w:after="0" w:line="72" w:lineRule="exact"/>
        <w:rPr>
          <w:sz w:val="20"/>
          <w:szCs w:val="20"/>
          <w:color w:val="auto"/>
        </w:rPr>
      </w:pPr>
    </w:p>
    <w:p>
      <w:pPr>
        <w:ind w:right="260" w:firstLine="378"/>
        <w:spacing w:after="0" w:line="282" w:lineRule="auto"/>
        <w:rPr>
          <w:sz w:val="20"/>
          <w:szCs w:val="20"/>
          <w:color w:val="auto"/>
        </w:rPr>
      </w:pPr>
      <w:r>
        <w:rPr>
          <w:rFonts w:ascii="Times New Roman" w:cs="Times New Roman" w:eastAsia="Times New Roman" w:hAnsi="Times New Roman"/>
          <w:sz w:val="18"/>
          <w:szCs w:val="18"/>
          <w:color w:val="auto"/>
        </w:rPr>
        <w:t>Land and construction in progress are stated at the lower of cost or net realizable value. Interest is capitalized on expenditures for long-term projects until a salable or ready-for-use condition is reached. The interest capitalization rate is based on the interest rate on specific borrowings to fund the projects.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Planned Major Maintenance Costs - Energy</w:t>
      </w:r>
    </w:p>
    <w:p>
      <w:pPr>
        <w:spacing w:after="0" w:line="119" w:lineRule="exact"/>
        <w:rPr>
          <w:sz w:val="20"/>
          <w:szCs w:val="20"/>
          <w:color w:val="auto"/>
        </w:rPr>
      </w:pPr>
    </w:p>
    <w:p>
      <w:pPr>
        <w:ind w:right="260" w:firstLine="378"/>
        <w:spacing w:after="0" w:line="266" w:lineRule="auto"/>
        <w:rPr>
          <w:sz w:val="20"/>
          <w:szCs w:val="20"/>
          <w:color w:val="auto"/>
        </w:rPr>
      </w:pPr>
      <w:r>
        <w:rPr>
          <w:rFonts w:ascii="Times New Roman" w:cs="Times New Roman" w:eastAsia="Times New Roman" w:hAnsi="Times New Roman"/>
          <w:sz w:val="18"/>
          <w:szCs w:val="18"/>
          <w:color w:val="auto"/>
        </w:rPr>
        <w:t>The direct-expense method of accounting is used for planned major maintenance activities. Maintenance costs are recognized as expense when maintenance services are performed. Planned major maintenance activities for CVR's nitrogen plant generally occur every two to three years. The required frequency of the maintenance varies by unit for the refineries, but generally is every four to five years.</w:t>
      </w:r>
    </w:p>
    <w:p>
      <w:pPr>
        <w:spacing w:after="0" w:line="68" w:lineRule="exact"/>
        <w:rPr>
          <w:sz w:val="20"/>
          <w:szCs w:val="20"/>
          <w:color w:val="auto"/>
        </w:rPr>
      </w:pPr>
    </w:p>
    <w:p>
      <w:pPr>
        <w:ind w:right="100" w:firstLine="378"/>
        <w:spacing w:after="0" w:line="255" w:lineRule="auto"/>
        <w:rPr>
          <w:sz w:val="20"/>
          <w:szCs w:val="20"/>
          <w:color w:val="auto"/>
        </w:rPr>
      </w:pPr>
      <w:r>
        <w:rPr>
          <w:rFonts w:ascii="Times New Roman" w:cs="Times New Roman" w:eastAsia="Times New Roman" w:hAnsi="Times New Roman"/>
          <w:sz w:val="18"/>
          <w:szCs w:val="18"/>
          <w:color w:val="auto"/>
        </w:rPr>
        <w:t>During an outage at CVR's Coffeyville refinery in 2014, our Energy segment accelerated certain planned turnaround activities scheduled for 2015 and incurred $6 million in turnaround expenses for the year ended December 31, 2014. CVR's Coffeyville refinery completed the second phase of a two-phase turnaround project during the first quarter of 2012. The first phase was completed during the fourth quarter of 2011. During the fluid catalytic cracking unit ("FCCU") outage at the Wynnewood refinery, our Energy segment accelerated certain planned turnaround activities previously scheduled for 2016 and incurred $1 million in turnaround expenses for the year ended December 31, 2014. The Wynnewood refinery completed a turnaround maintenance in the fourth quarter of 2012, incurring $102 million of expenses for the period May 5, 2012 through December 31, 2012. During the fourth quarter of 2012, CVR's nitrogen fertilizer facilities completed a previously scheduled major turnaround, incurring $5 million of expenses for the period May 5, 2012 through December 31, 2012.</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Net</w:t>
      </w:r>
    </w:p>
    <w:p>
      <w:pPr>
        <w:spacing w:after="0" w:line="121" w:lineRule="exact"/>
        <w:rPr>
          <w:sz w:val="20"/>
          <w:szCs w:val="20"/>
          <w:color w:val="auto"/>
        </w:rPr>
      </w:pPr>
    </w:p>
    <w:p>
      <w:pPr>
        <w:ind w:right="160" w:firstLine="378"/>
        <w:spacing w:after="0" w:line="266" w:lineRule="auto"/>
        <w:rPr>
          <w:sz w:val="20"/>
          <w:szCs w:val="20"/>
          <w:color w:val="auto"/>
        </w:rPr>
      </w:pPr>
      <w:r>
        <w:rPr>
          <w:rFonts w:ascii="Times New Roman" w:cs="Times New Roman" w:eastAsia="Times New Roman" w:hAnsi="Times New Roman"/>
          <w:sz w:val="18"/>
          <w:szCs w:val="18"/>
          <w:color w:val="auto"/>
        </w:rPr>
        <w:t>Goodwill and indefinite lived intangible assets primarily include trademarks and trade names acquired in acquisitions. For a complete discussion of the impairment of goodwill and indefinite intangible-lived assets related to our various segments, see Note 3, “Operating Units,” and Note 8, “Goodwill and Intangible Assets, Net.”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119"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We evaluate the carrying value of goodwill annually and between annual evaluations if events occur or circumstances change that would more likely than not reduce the fair value of the reporting unit below its carrying amount. Such circumstances could include, but are not limited to: (1) a significant adverse change in legal factors or in business climate, (2) unanticipated competition, or (3) an adverse action or assessment by a regulator. Goodwill impairment testing involves a two-step process. Step 1 compares the fair value of our reporting units to their carrying values. If the fair value of the reporting unit exceeds its carrying value, no further analysis is necessary. The reporting unit fair value is based upon consideration of various valuation methodologies, including guideline transaction multiples, multiples of current earnings, and projected future cash flows discounted at rates commensurate with the risk involved. If the carrying amount of the reporting unit exceeds its fair value, Step 2 must be completed to quantify the amount of impairment. Step 2 calculates the implied fair value of goodwill by deducting the fair value of all tangible and intangible assets, excluding goodwill, of the reporting unit, from the fair value of the reporting unit as determined in Step 1. The implied fair value of goodwill determined in this step is compared to the carrying value of goodwill. If the implied fair value of goodwill is less than the carrying value of goodwill, an impairment loss, equal to the difference, is recognized.</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420"/>
          </w:cols>
          <w:pgMar w:left="240" w:top="333" w:right="239" w:bottom="1440" w:gutter="0" w:footer="0" w:header="0"/>
        </w:sectPr>
      </w:pPr>
    </w:p>
    <w:bookmarkStart w:id="153" w:name="page154"/>
    <w:bookmarkEnd w:id="15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Intangible Assets</w:t>
      </w:r>
    </w:p>
    <w:p>
      <w:pPr>
        <w:spacing w:after="0" w:line="119" w:lineRule="exact"/>
        <w:rPr>
          <w:sz w:val="20"/>
          <w:szCs w:val="20"/>
          <w:color w:val="auto"/>
        </w:rPr>
      </w:pPr>
    </w:p>
    <w:p>
      <w:pPr>
        <w:ind w:right="440" w:firstLine="378"/>
        <w:spacing w:after="0" w:line="261" w:lineRule="auto"/>
        <w:rPr>
          <w:sz w:val="20"/>
          <w:szCs w:val="20"/>
          <w:color w:val="auto"/>
        </w:rPr>
      </w:pPr>
      <w:r>
        <w:rPr>
          <w:rFonts w:ascii="Times New Roman" w:cs="Times New Roman" w:eastAsia="Times New Roman" w:hAnsi="Times New Roman"/>
          <w:sz w:val="18"/>
          <w:szCs w:val="18"/>
          <w:color w:val="auto"/>
        </w:rPr>
        <w:t>We evaluate the recoverability of identifiable indefinite lived intangible assets annually or more frequently if impairment indicators exist. The impairment analysis compares the estimated fair value of these assets to the related carrying value, and impairment charge is recorded for any excess of carrying value over estimated fair value. The estimated fair value is based on consideration of various valuation methodologies, including guideline transaction multiples, multiples of earnings, and projected future cash flows discounted at rates commensurate with risk involved.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We evaluate the realizability of our long-lived assets whenever events or changes in circumstances indicate that the carrying amount of an asset may not be recoverable. Inherent in the reviews of the carrying amounts of the above assets are various estimates, including the expected usage of the asset. Assets must be tested at the lowest level for which identifiable cash flows exist. Future cash flow estimates are, by their nature, subjective and actual results may differ materially from our estimates. If our ongoing estimates of future cash flows are not met, we may have to record impairment charges in future accounting periods to write the asset down to fair value. Our estimates of cash flows are based on the current regulatory, social and economic climates, recent operating information and budgets of the operating properties.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21"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We record conditional asset retirement obligations (“ARO”) in accordance with applicable U.S. GAAP. As defined in applicable U.S. GAAP, ARO refers to a legal obligation to perform an asset retirement activity in which the timing and/or method of settlement are conditional on a future event. An entity is required to recognize a liability for the estimated fair value of an ARO when incurred if the fair value can be reasonably estimated. Our Automotive segment's primary asset retirement activities relate to the removal of hazardous building materials at its facilities. Our Automotive segment records the ARO liability when the amount can be reasonably estimated, typically upon the expectation that a facility may be closed or sold.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Other Post-Employment Benefit Obligations</w:t>
      </w:r>
    </w:p>
    <w:p>
      <w:pPr>
        <w:spacing w:after="0" w:line="121" w:lineRule="exact"/>
        <w:rPr>
          <w:sz w:val="20"/>
          <w:szCs w:val="20"/>
          <w:color w:val="auto"/>
        </w:rPr>
      </w:pPr>
    </w:p>
    <w:p>
      <w:pPr>
        <w:ind w:right="20" w:firstLine="378"/>
        <w:spacing w:after="0" w:line="289" w:lineRule="auto"/>
        <w:rPr>
          <w:sz w:val="20"/>
          <w:szCs w:val="20"/>
          <w:color w:val="auto"/>
        </w:rPr>
      </w:pPr>
      <w:r>
        <w:rPr>
          <w:rFonts w:ascii="Times New Roman" w:cs="Times New Roman" w:eastAsia="Times New Roman" w:hAnsi="Times New Roman"/>
          <w:sz w:val="17"/>
          <w:szCs w:val="17"/>
          <w:color w:val="auto"/>
        </w:rPr>
        <w:t>Pension and other post-employment benefit costs are dependent upon assumptions used in calculating such costs. These assumptions include discount rates, health care cost trends, expected returns on plan assets and other factors. In accordance with U.S. GAAP, actual results that differ from the assumptions used are accumulated and amortized over future periods and, accordingly, generally affect recognized expense and the recorded obligation in future periods.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Net Profits and Losses in Consolidated Affiliated Partnerships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119" w:lineRule="exact"/>
        <w:rPr>
          <w:sz w:val="20"/>
          <w:szCs w:val="20"/>
          <w:color w:val="auto"/>
        </w:rPr>
      </w:pPr>
    </w:p>
    <w:p>
      <w:pPr>
        <w:ind w:right="80" w:firstLine="378"/>
        <w:spacing w:after="0" w:line="266" w:lineRule="auto"/>
        <w:rPr>
          <w:sz w:val="20"/>
          <w:szCs w:val="20"/>
          <w:color w:val="auto"/>
        </w:rPr>
      </w:pPr>
      <w:r>
        <w:rPr>
          <w:rFonts w:ascii="Times New Roman" w:cs="Times New Roman" w:eastAsia="Times New Roman" w:hAnsi="Times New Roman"/>
          <w:sz w:val="18"/>
          <w:szCs w:val="18"/>
          <w:color w:val="auto"/>
        </w:rPr>
        <w:t>Net investment income and net realized and unrealized gains and losses on investments of the Investment Funds are allocated to the respective partners of the Investment Funds based on their percentage ownership in such Investment Funds on a monthly basis. Except for our limited partner interest, such allocations made to the limited partners of the Investment Funds are represented as non-controlling interests in our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Per LP Unit</w:t>
      </w:r>
    </w:p>
    <w:p>
      <w:pPr>
        <w:spacing w:after="0" w:line="121" w:lineRule="exact"/>
        <w:rPr>
          <w:sz w:val="20"/>
          <w:szCs w:val="20"/>
          <w:color w:val="auto"/>
        </w:rPr>
      </w:pPr>
    </w:p>
    <w:p>
      <w:pPr>
        <w:ind w:firstLine="378"/>
        <w:spacing w:after="0" w:line="261" w:lineRule="auto"/>
        <w:rPr>
          <w:sz w:val="20"/>
          <w:szCs w:val="20"/>
          <w:color w:val="auto"/>
        </w:rPr>
      </w:pPr>
      <w:r>
        <w:rPr>
          <w:rFonts w:ascii="Times New Roman" w:cs="Times New Roman" w:eastAsia="Times New Roman" w:hAnsi="Times New Roman"/>
          <w:sz w:val="18"/>
          <w:szCs w:val="18"/>
          <w:color w:val="auto"/>
        </w:rPr>
        <w:t>For Icahn Enterprises, basic income (loss) per LP unit is based on net income or loss attributable to Icahn Enterprises allocable to limited partners. Net income or loss allocable to limited partners is divided by the weighted-average number of LP units outstanding. Diluted income (loss) per LP unit is based on basic income (loss) adjusted for interest charges applicable to the variable rate notes as well as the weighted-average number of units and equivalent units outstanding.</w:t>
      </w:r>
    </w:p>
    <w:p>
      <w:pPr>
        <w:spacing w:after="0" w:line="72"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For accounting purposes, earnings prior to dates of acquisitions or investments in joint ventures of entities under common control are excluded from the computation of basic and diluted income per LP unit as such earnings are allocated to our general partner or non-controlling interests. Accordingly, earnings from ARL prior to our investment on October 2, 2013 have been allocated to Mr. Icahn and his affiliates non-controlling interests, and therefore are excluded from the computation of basic and diluted income (loss) per LP unit. In addition, on August 24, 2012, Mr. Icahn and his affiliates contributed his interest of IEP Energy to us in exchange for our depositary units. Net income allocable to the general partner for the period May 5, 2012 through August 23, 2012, the period in which Mr. Icahn and his affiliates' ownership in IEP Energy, other than Icahn Enterprises' ownership, were considered under common control and thus, were excluded from computation of basic and diluted income per LP unit. See Note 4, "Related Party Transactions-Energy," for further discussion regarding this transaction.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Investments and Disposition of Entities under Common Control</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360"/>
          </w:cols>
          <w:pgMar w:left="240" w:top="334" w:right="299" w:bottom="1440" w:gutter="0" w:footer="0" w:header="0"/>
        </w:sectPr>
      </w:pPr>
    </w:p>
    <w:bookmarkStart w:id="154" w:name="page155"/>
    <w:bookmarkEnd w:id="15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firstLine="378"/>
        <w:spacing w:after="0" w:line="253" w:lineRule="auto"/>
        <w:rPr>
          <w:sz w:val="20"/>
          <w:szCs w:val="20"/>
          <w:color w:val="auto"/>
        </w:rPr>
      </w:pPr>
      <w:r>
        <w:rPr>
          <w:rFonts w:ascii="Times New Roman" w:cs="Times New Roman" w:eastAsia="Times New Roman" w:hAnsi="Times New Roman"/>
          <w:sz w:val="18"/>
          <w:szCs w:val="18"/>
          <w:color w:val="auto"/>
        </w:rPr>
        <w:t>Acquisitions or investments of entities under common control are reflected in a manner similar to pooling of interests. The general partner's capital account or non-controlling interests, as applicable, are charged or credited for the difference between the consideration we pay for the entity and the related entity's basis prior to our acquisition or investment. Net gains or losses of an acquired entity prior to its acquisition or investment date are allocated to the general partner's capital account or non-controlling interests, as applicable. In allocating gains and losses upon the sale of a previously acquired common control entity, we allocate a gain or loss for financial reporting purposes by first restoring the general partner's capital account or non-controlling interests, as applicable, for the cumulative charges or credits relating to prior periods recorded at the time of our acquisition or investment and then allocating the remaining gain or loss ("Common Control Gains or Losses") among our general partner, limited partners and non-controlling interests, as applicable, in accordance with their respective ownership percentages. In the case of acquisitions of entities under common control, such Common Control Gains or Losses are allocated in accordance with their respective partnership percentages under the Amended and Restated Agreement of Limited Partnership dated as of May 12, 1987, as amended from time to time (together with the partnership agreement of Icahn Enterprises Holdings, the “Partnership Agreement”) (i.e., 98.01% to the limited partners and 1.99% to the general partner).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Partnership Interest of Icahn Enterprises and Icahn Enterprises Holdings</w:t>
      </w:r>
    </w:p>
    <w:p>
      <w:pPr>
        <w:spacing w:after="0" w:line="121" w:lineRule="exact"/>
        <w:rPr>
          <w:sz w:val="20"/>
          <w:szCs w:val="20"/>
          <w:color w:val="auto"/>
        </w:rPr>
      </w:pPr>
    </w:p>
    <w:p>
      <w:pPr>
        <w:ind w:right="80" w:firstLine="378"/>
        <w:spacing w:after="0" w:line="261" w:lineRule="auto"/>
        <w:rPr>
          <w:sz w:val="20"/>
          <w:szCs w:val="20"/>
          <w:color w:val="auto"/>
        </w:rPr>
      </w:pPr>
      <w:r>
        <w:rPr>
          <w:rFonts w:ascii="Times New Roman" w:cs="Times New Roman" w:eastAsia="Times New Roman" w:hAnsi="Times New Roman"/>
          <w:sz w:val="18"/>
          <w:szCs w:val="18"/>
          <w:color w:val="auto"/>
        </w:rPr>
        <w:t>The general partner's capital account generally consists of its cumulative share of our net income less cash distributions plus capital contributions. Additionally, in acquisitions of common control companies accounted for at historical cost similar to a pooling of interests, the general partner's capital account would be charged (or credited) in a manner similar to a distribution (or contribution) for the excess (or deficit) of the fair value of consideration paid over historical basis in the business acquired.</w:t>
      </w:r>
    </w:p>
    <w:p>
      <w:pPr>
        <w:spacing w:after="0" w:line="72" w:lineRule="exact"/>
        <w:rPr>
          <w:sz w:val="20"/>
          <w:szCs w:val="20"/>
          <w:color w:val="auto"/>
        </w:rPr>
      </w:pPr>
    </w:p>
    <w:p>
      <w:pPr>
        <w:ind w:right="60" w:firstLine="378"/>
        <w:spacing w:after="0" w:line="258" w:lineRule="auto"/>
        <w:rPr>
          <w:sz w:val="20"/>
          <w:szCs w:val="20"/>
          <w:color w:val="auto"/>
        </w:rPr>
      </w:pPr>
      <w:r>
        <w:rPr>
          <w:rFonts w:ascii="Times New Roman" w:cs="Times New Roman" w:eastAsia="Times New Roman" w:hAnsi="Times New Roman"/>
          <w:sz w:val="18"/>
          <w:szCs w:val="18"/>
          <w:color w:val="auto"/>
        </w:rPr>
        <w:t>Capital Accounts, as defined under the Partnership Agreement, are maintained for our general partner and our limited partners. The capital account provisions of our Partnership Agreement incorporate principles established for U.S. federal income tax purposes and are not comparable to the equity accounts reflected under U.S. GAAP in our consolidated financial statements. Under our Partnership Agreement, the general partner is required to make additional capital contributions to us upon the issuance of any additional depositary units in order to maintain a capital account balance equal to 1.99% of the total capital accounts of all partners.</w:t>
      </w:r>
    </w:p>
    <w:p>
      <w:pPr>
        <w:spacing w:after="0" w:line="76" w:lineRule="exact"/>
        <w:rPr>
          <w:sz w:val="20"/>
          <w:szCs w:val="20"/>
          <w:color w:val="auto"/>
        </w:rPr>
      </w:pPr>
    </w:p>
    <w:p>
      <w:pPr>
        <w:ind w:right="60" w:firstLine="378"/>
        <w:spacing w:after="0" w:line="261" w:lineRule="auto"/>
        <w:rPr>
          <w:sz w:val="20"/>
          <w:szCs w:val="20"/>
          <w:color w:val="auto"/>
        </w:rPr>
      </w:pPr>
      <w:r>
        <w:rPr>
          <w:rFonts w:ascii="Times New Roman" w:cs="Times New Roman" w:eastAsia="Times New Roman" w:hAnsi="Times New Roman"/>
          <w:sz w:val="18"/>
          <w:szCs w:val="18"/>
          <w:color w:val="auto"/>
        </w:rPr>
        <w:t>Generally, net earnings for U.S. federal income tax purposes are allocated 1.99% and 98.01% between the general partner and the limited partners, respectively, in the same proportion as aggregate cash distributions made to the general partner and the limited partners during the period. This is generally consistent with the manner of allocating net income under our Partnership Agreement; however, it is not comparable to the allocation of net income reflected in our consolidated financial statements.</w:t>
      </w:r>
    </w:p>
    <w:p>
      <w:pPr>
        <w:spacing w:after="0" w:line="72" w:lineRule="exact"/>
        <w:rPr>
          <w:sz w:val="20"/>
          <w:szCs w:val="20"/>
          <w:color w:val="auto"/>
        </w:rPr>
      </w:pPr>
    </w:p>
    <w:p>
      <w:pPr>
        <w:jc w:val="both"/>
        <w:ind w:right="120" w:firstLine="378"/>
        <w:spacing w:after="0" w:line="261" w:lineRule="auto"/>
        <w:rPr>
          <w:sz w:val="20"/>
          <w:szCs w:val="20"/>
          <w:color w:val="auto"/>
        </w:rPr>
      </w:pPr>
      <w:r>
        <w:rPr>
          <w:rFonts w:ascii="Times New Roman" w:cs="Times New Roman" w:eastAsia="Times New Roman" w:hAnsi="Times New Roman"/>
          <w:sz w:val="18"/>
          <w:szCs w:val="18"/>
          <w:color w:val="auto"/>
        </w:rPr>
        <w:t>Pursuant to the Partnership Agreement, in the event of our dissolution, after satisfying our liabilities, our remaining assets would be divided among our limited partners and the general partner in accordance with their respective percentage interests under the Partnership Agreement (i.e., 98.01% to the limited partners and 1.99% to the general partner). If a deficit balance still remains in the general partner's capital account after all allocations are made between the partners, the general partner would not be required to make whole any such deficit.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Except as described below, no provision has been made for federal, state, local or foreign income taxes on the results of operations generated by partnership activities, as such taxes are the responsibility of the partners. Provision has been made for federal, state, local or foreign income taxes on the results of operations generated by our corporate subsidiaries and these are reflected within continuing and discontinued operations.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81" w:lineRule="exact"/>
        <w:rPr>
          <w:sz w:val="20"/>
          <w:szCs w:val="20"/>
          <w:color w:val="auto"/>
        </w:rPr>
      </w:pPr>
    </w:p>
    <w:p>
      <w:pPr>
        <w:ind w:right="120" w:firstLine="378"/>
        <w:spacing w:after="0" w:line="282" w:lineRule="auto"/>
        <w:rPr>
          <w:sz w:val="20"/>
          <w:szCs w:val="20"/>
          <w:color w:val="auto"/>
        </w:rPr>
      </w:pPr>
      <w:r>
        <w:rPr>
          <w:rFonts w:ascii="Times New Roman" w:cs="Times New Roman" w:eastAsia="Times New Roman" w:hAnsi="Times New Roman"/>
          <w:sz w:val="18"/>
          <w:szCs w:val="18"/>
          <w:color w:val="auto"/>
        </w:rPr>
        <w:t>Deferred tax assets are limited to amounts considered to be realizable in future periods. A valuation allowance is recorded against deferred tax assets if management does not believe that we have met the “more likely than not” standard to allow recognition of such an asset.</w:t>
      </w:r>
    </w:p>
    <w:p>
      <w:pPr>
        <w:spacing w:after="0" w:line="54" w:lineRule="exact"/>
        <w:rPr>
          <w:sz w:val="20"/>
          <w:szCs w:val="20"/>
          <w:color w:val="auto"/>
        </w:rPr>
      </w:pPr>
    </w:p>
    <w:p>
      <w:pPr>
        <w:jc w:val="both"/>
        <w:ind w:right="20" w:firstLine="378"/>
        <w:spacing w:after="0" w:line="266" w:lineRule="auto"/>
        <w:rPr>
          <w:sz w:val="20"/>
          <w:szCs w:val="20"/>
          <w:color w:val="auto"/>
        </w:rPr>
      </w:pPr>
      <w:r>
        <w:rPr>
          <w:rFonts w:ascii="Times New Roman" w:cs="Times New Roman" w:eastAsia="Times New Roman" w:hAnsi="Times New Roman"/>
          <w:sz w:val="18"/>
          <w:szCs w:val="18"/>
          <w:color w:val="auto"/>
        </w:rPr>
        <w:t>U.S. GAAP provides that the tax effects from an uncertain tax position can be recognized in the financial statements only if the position is “more-likely-than-not” to be sustained if the position were to be challenged by a taxing authority. The assessment of the tax position is based solely on the technical merits of the position, without regard to the likelihood that the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380"/>
          </w:cols>
          <w:pgMar w:left="240" w:top="333" w:right="27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17"/>
          <w:szCs w:val="17"/>
          <w:color w:val="auto"/>
        </w:rPr>
        <w:t>tax position may be challenged. If an uncertain tax position meets the “more-likely-than-not” threshold, the largest amount of tax benefit that is greater than 50 percent likely to be recognized upon ultimate settlement with the taxing authority is recorded. See Note 14, “Income Taxes,” for additional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Expense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117" w:lineRule="exact"/>
        <w:rPr>
          <w:sz w:val="20"/>
          <w:szCs w:val="20"/>
          <w:color w:val="auto"/>
        </w:rPr>
      </w:pPr>
    </w:p>
    <w:p>
      <w:pPr>
        <w:jc w:val="both"/>
        <w:ind w:right="20" w:firstLine="3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Federal-Mogul records sales when products are shipped and the risks and rewards of ownership have transferred to the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sales price is fixed and determinable, and the collectability of revenue is reasonably assured. Accruals for sales returns and other allowances are provided at point of sale based upon past experience. Adjustments to such returns and allowances are made as new information becomes available.</w:t>
      </w:r>
    </w:p>
    <w:p>
      <w:pPr>
        <w:spacing w:after="0" w:line="65" w:lineRule="exact"/>
        <w:rPr>
          <w:sz w:val="20"/>
          <w:szCs w:val="20"/>
          <w:color w:val="auto"/>
        </w:rPr>
      </w:pPr>
    </w:p>
    <w:p>
      <w:pPr>
        <w:ind w:right="180" w:firstLine="3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Rebates: </w:t>
      </w:r>
      <w:r>
        <w:rPr>
          <w:rFonts w:ascii="Times New Roman" w:cs="Times New Roman" w:eastAsia="Times New Roman" w:hAnsi="Times New Roman"/>
          <w:sz w:val="18"/>
          <w:szCs w:val="18"/>
          <w:color w:val="auto"/>
        </w:rPr>
        <w:t>Federal-Mogul accrues for rebates pursuant to specific arrangements with certain of its customers, primarily in the aftermarket. Rebates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provide for price reductions based upon the achievement of specified purchase volumes and are recorded as a reduction of sales as earned by such customers.</w:t>
      </w:r>
    </w:p>
    <w:p>
      <w:pPr>
        <w:spacing w:after="0" w:line="65" w:lineRule="exact"/>
        <w:rPr>
          <w:sz w:val="20"/>
          <w:szCs w:val="20"/>
          <w:color w:val="auto"/>
        </w:rPr>
      </w:pPr>
    </w:p>
    <w:p>
      <w:pPr>
        <w:ind w:right="140" w:firstLine="3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Sales Related Taxes: </w:t>
      </w:r>
      <w:r>
        <w:rPr>
          <w:rFonts w:ascii="Times New Roman" w:cs="Times New Roman" w:eastAsia="Times New Roman" w:hAnsi="Times New Roman"/>
          <w:sz w:val="18"/>
          <w:szCs w:val="18"/>
          <w:color w:val="auto"/>
        </w:rPr>
        <w:t>Federal-Mogul collects and remits taxes assessed by various governmental authorities that are both imposed 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concurrent with revenue-producing transactions with its customers. These taxes may include, but are not limited to, sales, use, value-added, and some excise taxes. The collection of these taxes is reported on a net basis (excluded from revenues).</w:t>
      </w:r>
    </w:p>
    <w:p>
      <w:pPr>
        <w:spacing w:after="0" w:line="65" w:lineRule="exact"/>
        <w:rPr>
          <w:sz w:val="20"/>
          <w:szCs w:val="20"/>
          <w:color w:val="auto"/>
        </w:rPr>
      </w:pPr>
    </w:p>
    <w:p>
      <w:pPr>
        <w:ind w:right="580" w:firstLine="37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Costs: </w:t>
      </w:r>
      <w:r>
        <w:rPr>
          <w:rFonts w:ascii="Times New Roman" w:cs="Times New Roman" w:eastAsia="Times New Roman" w:hAnsi="Times New Roman"/>
          <w:sz w:val="18"/>
          <w:szCs w:val="18"/>
          <w:color w:val="auto"/>
        </w:rPr>
        <w:t>Federal-Mogul recognizes shipping and handling costs as incurred as a component of cost of products sold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operations.</w:t>
      </w:r>
    </w:p>
    <w:p>
      <w:pPr>
        <w:spacing w:after="0" w:line="50" w:lineRule="exact"/>
        <w:rPr>
          <w:sz w:val="20"/>
          <w:szCs w:val="20"/>
          <w:color w:val="auto"/>
        </w:rPr>
      </w:pPr>
    </w:p>
    <w:p>
      <w:pPr>
        <w:ind w:right="20" w:firstLine="37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Engineering and Tooling Costs: </w:t>
      </w:r>
      <w:r>
        <w:rPr>
          <w:rFonts w:ascii="Times New Roman" w:cs="Times New Roman" w:eastAsia="Times New Roman" w:hAnsi="Times New Roman"/>
          <w:sz w:val="18"/>
          <w:szCs w:val="18"/>
          <w:color w:val="auto"/>
        </w:rPr>
        <w:t>Pre-production tooling and engineering costs that Federal-Mogul will not own and that will be used in producing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under long-term supply arrangements are expensed as incurred unless the supply arrangement provides it with the noncancelable right to use the tools, or the reimbursement of such costs is agreed to by the customer. Pre-production tooling costs that are owned by Federal-Mogul are capitalized as part of machinery and equipment, and are depreciated over the shorter of the tool’s expected life or the duration of the related program.</w:t>
      </w:r>
    </w:p>
    <w:p>
      <w:pPr>
        <w:spacing w:after="0" w:line="72" w:lineRule="exact"/>
        <w:rPr>
          <w:sz w:val="20"/>
          <w:szCs w:val="20"/>
          <w:color w:val="auto"/>
        </w:rPr>
      </w:pPr>
    </w:p>
    <w:p>
      <w:pPr>
        <w:ind w:right="740" w:firstLine="37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Federal-Mogul expenses research and development (“R&amp;D”) costs as incurred. R&amp;D expense, including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and validation costs, was $192 million, $177 million and $179 million for 2014, 2013 and 2012, respectively.</w:t>
      </w:r>
    </w:p>
    <w:p>
      <w:pPr>
        <w:spacing w:after="0" w:line="50" w:lineRule="exact"/>
        <w:rPr>
          <w:sz w:val="20"/>
          <w:szCs w:val="20"/>
          <w:color w:val="auto"/>
        </w:rPr>
      </w:pPr>
    </w:p>
    <w:p>
      <w:pPr>
        <w:ind w:right="40" w:firstLine="37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Restructuring: </w:t>
      </w:r>
      <w:r>
        <w:rPr>
          <w:rFonts w:ascii="Times New Roman" w:cs="Times New Roman" w:eastAsia="Times New Roman" w:hAnsi="Times New Roman"/>
          <w:sz w:val="18"/>
          <w:szCs w:val="18"/>
          <w:color w:val="auto"/>
        </w:rPr>
        <w:t>Federal-Mogul's restructuring costs are comprised of two types: employee costs (contractual termination benefits) and facility 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costs. Termination benefits are accounted for in accordance with FASB ASC Topic 712, </w:t>
      </w:r>
      <w:r>
        <w:rPr>
          <w:rFonts w:ascii="Times New Roman" w:cs="Times New Roman" w:eastAsia="Times New Roman" w:hAnsi="Times New Roman"/>
          <w:sz w:val="18"/>
          <w:szCs w:val="18"/>
          <w:i w:val="1"/>
          <w:iCs w:val="1"/>
          <w:color w:val="auto"/>
        </w:rPr>
        <w:t>Compensation - Nonretirement Postemployment Benefits</w:t>
      </w:r>
      <w:r>
        <w:rPr>
          <w:rFonts w:ascii="Times New Roman" w:cs="Times New Roman" w:eastAsia="Times New Roman" w:hAnsi="Times New Roman"/>
          <w:sz w:val="18"/>
          <w:szCs w:val="18"/>
          <w:color w:val="auto"/>
        </w:rPr>
        <w:t xml:space="preserve"> (“FASB ASC 712”), and are recorded when it is probable that employees will be entitled to benefits and the amounts can be reasonably estimated. Estimates of termination benefits are based on the frequency of past termination benefits, the similarity of benefits under the current plan and prior plans, and the existence of statutory required minimum benefits. Termination benefits are also accounted for in accordance with FASB ASC Topic 420, </w:t>
      </w:r>
      <w:r>
        <w:rPr>
          <w:rFonts w:ascii="Times New Roman" w:cs="Times New Roman" w:eastAsia="Times New Roman" w:hAnsi="Times New Roman"/>
          <w:sz w:val="18"/>
          <w:szCs w:val="18"/>
          <w:i w:val="1"/>
          <w:iCs w:val="1"/>
          <w:color w:val="auto"/>
        </w:rPr>
        <w:t>Exit or Disposal Cost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Obligations </w:t>
      </w:r>
      <w:r>
        <w:rPr>
          <w:rFonts w:ascii="Times New Roman" w:cs="Times New Roman" w:eastAsia="Times New Roman" w:hAnsi="Times New Roman"/>
          <w:sz w:val="18"/>
          <w:szCs w:val="18"/>
          <w:color w:val="auto"/>
        </w:rPr>
        <w:t>(“FASB ASC 420”), for one-time termination benefits and are recorded dependent upon future service requirements. Facility closure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are accounted for in accordance with FASB ASC 420 and are recorded when the liability is incurred.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117" w:lineRule="exact"/>
        <w:rPr>
          <w:sz w:val="20"/>
          <w:szCs w:val="20"/>
          <w:color w:val="auto"/>
        </w:rPr>
      </w:pPr>
    </w:p>
    <w:p>
      <w:pPr>
        <w:ind w:firstLine="37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For our Energy segment, revenues for products sold are recorded upon delivery of the products to customers, which is the point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title is transferred, the customer has the assumed risk of loss, and when payment has been received or collection is reasonably assumed. Deferred revenue represents customer prepayments under contracts to guarantee a price and supply of nitrogen fertilizer in quantities expected to be delivered in the next 12 months in the normal course of business. Excise and other taxes collected from customers and remitted to governmental authorities are not included in reported revenues.</w:t>
      </w:r>
    </w:p>
    <w:p>
      <w:pPr>
        <w:spacing w:after="0" w:line="74" w:lineRule="exact"/>
        <w:rPr>
          <w:sz w:val="20"/>
          <w:szCs w:val="20"/>
          <w:color w:val="auto"/>
        </w:rPr>
      </w:pPr>
    </w:p>
    <w:p>
      <w:pPr>
        <w:ind w:right="260" w:firstLine="378"/>
        <w:spacing w:after="0" w:line="282" w:lineRule="auto"/>
        <w:rPr>
          <w:sz w:val="20"/>
          <w:szCs w:val="20"/>
          <w:color w:val="auto"/>
        </w:rPr>
      </w:pPr>
      <w:r>
        <w:rPr>
          <w:rFonts w:ascii="Times New Roman" w:cs="Times New Roman" w:eastAsia="Times New Roman" w:hAnsi="Times New Roman"/>
          <w:sz w:val="18"/>
          <w:szCs w:val="18"/>
          <w:color w:val="auto"/>
        </w:rPr>
        <w:t>Non-monetary product exchanges and certain buy/sell crude oil transactions which are entered into in the normal course of business are included on a net cost basis in cost of goods sold in the consolidated statement of operations.</w:t>
      </w:r>
    </w:p>
    <w:p>
      <w:pPr>
        <w:spacing w:after="0" w:line="54" w:lineRule="exact"/>
        <w:rPr>
          <w:sz w:val="20"/>
          <w:szCs w:val="20"/>
          <w:color w:val="auto"/>
        </w:rPr>
      </w:pPr>
    </w:p>
    <w:p>
      <w:pPr>
        <w:ind w:right="300" w:firstLine="378"/>
        <w:spacing w:after="0" w:line="282" w:lineRule="auto"/>
        <w:rPr>
          <w:sz w:val="20"/>
          <w:szCs w:val="20"/>
          <w:color w:val="auto"/>
        </w:rPr>
      </w:pPr>
      <w:r>
        <w:rPr>
          <w:rFonts w:ascii="Times New Roman" w:cs="Times New Roman" w:eastAsia="Times New Roman" w:hAnsi="Times New Roman"/>
          <w:sz w:val="18"/>
          <w:szCs w:val="18"/>
          <w:color w:val="auto"/>
        </w:rPr>
        <w:t>Our Energy segment also engages in trading activities, whereby it enters into agreements to purchase and sell refined products with third parties. Our Energy segment acts as a principal in these transactions, taking title to the products 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420"/>
          </w:cols>
          <w:pgMar w:left="240" w:top="333" w:right="239" w:bottom="1440" w:gutter="0" w:footer="0" w:header="0"/>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purchases from counterparties, and accepting the risks and rewards of ownership. Our Energy segment records revenue for the gross amount of the sales transactions, and records cost of goods sold in our consolidated financial statements.</w:t>
      </w:r>
    </w:p>
    <w:p>
      <w:pPr>
        <w:spacing w:after="0" w:line="52" w:lineRule="exact"/>
        <w:rPr>
          <w:sz w:val="20"/>
          <w:szCs w:val="20"/>
          <w:color w:val="auto"/>
        </w:rPr>
      </w:pPr>
    </w:p>
    <w:p>
      <w:pPr>
        <w:ind w:right="540" w:firstLine="37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Shipping Costs: </w:t>
      </w:r>
      <w:r>
        <w:rPr>
          <w:rFonts w:ascii="Times New Roman" w:cs="Times New Roman" w:eastAsia="Times New Roman" w:hAnsi="Times New Roman"/>
          <w:sz w:val="18"/>
          <w:szCs w:val="18"/>
          <w:color w:val="auto"/>
        </w:rPr>
        <w:t>For our Energy segment, pass-through finished goods delivery costs reimbursed by customers are reported in net sales, while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offsetting expense is included in cost of goods sold.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w:t>
      </w:r>
    </w:p>
    <w:p>
      <w:pPr>
        <w:spacing w:after="0" w:line="117" w:lineRule="exact"/>
        <w:rPr>
          <w:sz w:val="20"/>
          <w:szCs w:val="20"/>
          <w:color w:val="auto"/>
        </w:rPr>
      </w:pPr>
    </w:p>
    <w:p>
      <w:pPr>
        <w:ind w:right="100" w:firstLine="37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 Recognition and Promotional Allowances: </w:t>
      </w:r>
      <w:r>
        <w:rPr>
          <w:rFonts w:ascii="Times New Roman" w:cs="Times New Roman" w:eastAsia="Times New Roman" w:hAnsi="Times New Roman"/>
          <w:sz w:val="18"/>
          <w:szCs w:val="18"/>
          <w:color w:val="auto"/>
        </w:rPr>
        <w:t>Casino revenue represents the difference between wins and losses from gaming activities. Room,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food and beverage and other operating revenues are recognized at the time the goods or services are provided. Tropicana collects taxes from customers at the point of sale on transactions subject to sales and other taxes. Revenues are recorded net of any taxes collected. The majority of our casino revenue is counted in the form of cash and chips and, therefore, is not subject to any significant or complex estimation. The retail value of rooms, food and beverage and other services provided to customers on a complimentary basis is included in gross revenues and then deducted as promotional allowances.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Railcar</w:t>
      </w:r>
    </w:p>
    <w:p>
      <w:pPr>
        <w:spacing w:after="0" w:line="117" w:lineRule="exact"/>
        <w:rPr>
          <w:sz w:val="20"/>
          <w:szCs w:val="20"/>
          <w:color w:val="auto"/>
        </w:rPr>
      </w:pPr>
    </w:p>
    <w:p>
      <w:pPr>
        <w:ind w:right="20" w:firstLine="37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Revenues from manufactured railcar sales are recognized following completion of manufacturing, inspection, customer acceptance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title transfer, which is when the risk for any damage or loss with respect to the railcars passes to the customer. Amounts billed prior to meeting revenue recognition criteria are accounted for as deferred revenue which is included in accrued expenses and other liabilities in our consolidated balance sheets. Revenues from railcar leasing are recognized on a straight-line basis per terms of the lease. If railcars are sold under a lease that is less than one year old, the proceeds from the railcars sold that were on lease will be shown on a gross basis in revenues and cost of revenues at the time of sale. Sales of leased railcars that have been on lease for more than one year are recognized as a net gain or loss from the disposal of the long-term asset as a component of earnings from operations. Revenues from railcar and industrial components are recorded at the time of product shipment, in accordance with our Railcar segment's contractual terms. Revenues from railcar maintenance services are recognized upon completion. Our Railcar segment does not currently bundle railcar service contracts with new railcar sales. Revenues from engineering and field services are recognized as performed.</w:t>
      </w:r>
    </w:p>
    <w:p>
      <w:pPr>
        <w:spacing w:after="0" w:line="83" w:lineRule="exact"/>
        <w:rPr>
          <w:sz w:val="20"/>
          <w:szCs w:val="20"/>
          <w:color w:val="auto"/>
        </w:rPr>
      </w:pPr>
    </w:p>
    <w:p>
      <w:pPr>
        <w:ind w:right="560" w:firstLine="378"/>
        <w:spacing w:after="0" w:line="282" w:lineRule="auto"/>
        <w:rPr>
          <w:sz w:val="20"/>
          <w:szCs w:val="20"/>
          <w:color w:val="auto"/>
        </w:rPr>
      </w:pPr>
      <w:r>
        <w:rPr>
          <w:rFonts w:ascii="Times New Roman" w:cs="Times New Roman" w:eastAsia="Times New Roman" w:hAnsi="Times New Roman"/>
          <w:sz w:val="18"/>
          <w:szCs w:val="18"/>
          <w:color w:val="auto"/>
        </w:rPr>
        <w:t>Our Railcar segment records amounts billed to customers for shipping and handling as part of net sales and other revenues from operations in our consolidated statements of operations and records related costs in cost of goods sold and other expenses from operations.</w:t>
      </w:r>
    </w:p>
    <w:p>
      <w:pPr>
        <w:spacing w:after="0" w:line="54" w:lineRule="exact"/>
        <w:rPr>
          <w:sz w:val="20"/>
          <w:szCs w:val="20"/>
          <w:color w:val="auto"/>
        </w:rPr>
      </w:pPr>
    </w:p>
    <w:p>
      <w:pPr>
        <w:ind w:right="120" w:firstLine="378"/>
        <w:spacing w:after="0" w:line="282" w:lineRule="auto"/>
        <w:rPr>
          <w:sz w:val="20"/>
          <w:szCs w:val="20"/>
          <w:color w:val="auto"/>
        </w:rPr>
      </w:pPr>
      <w:r>
        <w:rPr>
          <w:rFonts w:ascii="Times New Roman" w:cs="Times New Roman" w:eastAsia="Times New Roman" w:hAnsi="Times New Roman"/>
          <w:sz w:val="18"/>
          <w:szCs w:val="18"/>
          <w:color w:val="auto"/>
        </w:rPr>
        <w:t>Our Railcar segment presents any sales tax assessed by a governmental authority that is directly imposed on a revenue-producing transaction between a seller and a customer on a net basis.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Food Packaging</w:t>
      </w:r>
    </w:p>
    <w:p>
      <w:pPr>
        <w:spacing w:after="0" w:line="117" w:lineRule="exact"/>
        <w:rPr>
          <w:sz w:val="20"/>
          <w:szCs w:val="20"/>
          <w:color w:val="auto"/>
        </w:rPr>
      </w:pPr>
    </w:p>
    <w:p>
      <w:pPr>
        <w:ind w:firstLine="37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Revenues are recognized at the time products are shipped to the customer, under F.O.B. shipping point or F.O.B. port terms,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the point at which title is transferred, the customer has the assumed risk of loss, and payment has been received or collection is reasonably assumed. Revenues are net of discounts, rebates and allowances. Viskase records all labor, raw materials, in-bound freight, plant receiving and purchasing, warehousing, handling and distribution costs as a component of costs of goods sold.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Metals</w:t>
      </w:r>
    </w:p>
    <w:p>
      <w:pPr>
        <w:spacing w:after="0" w:line="117" w:lineRule="exact"/>
        <w:rPr>
          <w:sz w:val="20"/>
          <w:szCs w:val="20"/>
          <w:color w:val="auto"/>
        </w:rPr>
      </w:pPr>
    </w:p>
    <w:p>
      <w:pPr>
        <w:ind w:right="20" w:firstLine="37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PSC Metals' primary source of revenue is from the sale of processed ferrous scrap metal, non-ferrous scrap metals, steel pipe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steel plate. PSC Metals also generates revenues from sales of secondary plate and pipe, the brokering of scrap metals and from services performed. All sales are recognized when title passes to the customer. Revenues from services are recognized as the service is performed. Sales adjustments related to price and weight differences are reflected as a reduction of revenues when settled.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Fashion</w:t>
      </w:r>
    </w:p>
    <w:p>
      <w:pPr>
        <w:spacing w:after="0" w:line="117" w:lineRule="exact"/>
        <w:rPr>
          <w:sz w:val="20"/>
          <w:szCs w:val="20"/>
          <w:color w:val="auto"/>
        </w:rPr>
      </w:pPr>
    </w:p>
    <w:p>
      <w:pPr>
        <w:ind w:right="40" w:firstLine="37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WPH records revenue when the following criteria are met: persuasive evidence of an arrangement exists, delivery has occurred,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price to the customer is fixed and determinable and collectability is reasonably assured. Unless otherwise agreed in writing, title and risk of loss pass from WPH to the customer when WPH delivers the merchandise to the designated point of delivery, to the designated point of destination or to the designated carrier, free on board. Provisions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420"/>
          </w:cols>
          <w:pgMar w:left="240" w:top="333" w:right="239" w:bottom="1440" w:gutter="0" w:footer="0" w:header="0"/>
        </w:sectPr>
      </w:pPr>
    </w:p>
    <w:bookmarkStart w:id="157" w:name="page158"/>
    <w:bookmarkEnd w:id="1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certain rebates, sales incentives, product returns and discounts to customers are recorded in the same period the related revenue is recorded.</w:t>
      </w:r>
    </w:p>
    <w:p>
      <w:pPr>
        <w:spacing w:after="0" w:line="115" w:lineRule="exact"/>
        <w:rPr>
          <w:sz w:val="20"/>
          <w:szCs w:val="20"/>
          <w:color w:val="auto"/>
        </w:rPr>
      </w:pPr>
    </w:p>
    <w:p>
      <w:pPr>
        <w:ind w:right="120" w:firstLine="37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Incentives: </w:t>
      </w:r>
      <w:r>
        <w:rPr>
          <w:rFonts w:ascii="Times New Roman" w:cs="Times New Roman" w:eastAsia="Times New Roman" w:hAnsi="Times New Roman"/>
          <w:sz w:val="18"/>
          <w:szCs w:val="18"/>
          <w:color w:val="auto"/>
        </w:rPr>
        <w:t>Customer incentives are provided to major WPH customers. These incentives begin to accrue when a commitment has been made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and are recorded as a reduction to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117"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Revenue from real estate sales and related costs are recognized at the time of closing primarily by specific identification.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all of the property comprising our net lease portfolio is leased to others under long-term net leases and we account for these leases in accordance with applicable U.S. GAAP. We account for our leases as follows: (i) under the financing method, (x) minimum lease payments to be received plus the estimated value of the property at the end of the lease are considered the gross investment in the lease and (y) unearned income, representing the difference between gross investment and actual cost of the leased property, is amortized to income over the lease term so as to produce a constant periodic rate of return on the net investment in the lease; and (ii) under the operating method, revenue is recognized as rentals become due, and expenses (including depreciation) are charged to operations as incurred.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Liabilities</w:t>
      </w:r>
    </w:p>
    <w:p>
      <w:pPr>
        <w:spacing w:after="0" w:line="121" w:lineRule="exact"/>
        <w:rPr>
          <w:sz w:val="20"/>
          <w:szCs w:val="20"/>
          <w:color w:val="auto"/>
        </w:rPr>
      </w:pPr>
    </w:p>
    <w:p>
      <w:pPr>
        <w:ind w:right="60" w:firstLine="378"/>
        <w:spacing w:after="0" w:line="258" w:lineRule="auto"/>
        <w:rPr>
          <w:sz w:val="20"/>
          <w:szCs w:val="20"/>
          <w:color w:val="auto"/>
        </w:rPr>
      </w:pPr>
      <w:r>
        <w:rPr>
          <w:rFonts w:ascii="Times New Roman" w:cs="Times New Roman" w:eastAsia="Times New Roman" w:hAnsi="Times New Roman"/>
          <w:sz w:val="18"/>
          <w:szCs w:val="18"/>
          <w:color w:val="auto"/>
        </w:rPr>
        <w:t>We recognize environmental liabilities when a loss is probable and reasonably estimable. Such accruals are estimated based on currently available information, existing technology and enacted laws and regulations. Such estimates are based primarily upon the estimated cost of investigation and remediation required and the likelihood that other potentially responsible parties will be able to fulfill their commitments at the sites where we may be jointly and severally liable with such parties. We regularly evaluate and revise estimates for environmental obligations based on expenditures against established reserves and the availability of additional information.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right="80" w:firstLine="378"/>
        <w:spacing w:after="0" w:line="258" w:lineRule="auto"/>
        <w:rPr>
          <w:sz w:val="20"/>
          <w:szCs w:val="20"/>
          <w:color w:val="auto"/>
        </w:rPr>
      </w:pPr>
      <w:r>
        <w:rPr>
          <w:rFonts w:ascii="Times New Roman" w:cs="Times New Roman" w:eastAsia="Times New Roman" w:hAnsi="Times New Roman"/>
          <w:sz w:val="18"/>
          <w:szCs w:val="18"/>
          <w:color w:val="auto"/>
        </w:rPr>
        <w:t>Exchange adjustments related to international currency transactions and translation adjustments for international subsidiaries whose functional currency is the U.S. dollar (principally those located in highly inflationary economies) are reflected in the consolidated statements of operations. Translation adjustments of international subsidiaries for which the local currency is the functional currency are reflected in the consolidated balance sheets as a component of accumulated other comprehensive income. Deferred taxes are not provided on translation adjustments as the earnings of the subsidiaries are considered to be permanently reinvested.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21"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 xml:space="preserve">In February 2013, the Financial Accounting Standards Board ("FASB") issued Accounting Standards Update ("ASU") No. 2013-04, which amends FASB ASC Topic 405,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xml:space="preserve"> This ASU requires the measurement of obligations resulting from joint and several liability arrangements for which the total amount of the obligation is fixed at the reporting date as the sum of (1) the amount the reporting entity agreed to pay on the basis of its arrangement among its co-obligors and (2) any additional amount the reporting entity expects to pay on behalf of its co-obligors. This guidance also requires the disclosure of the nature and amount of the obligation as well as other information about those obligations. The guidance is effective for interim and annual periods beginning after December 15, 2013. The adoption of this guidance during the first quarter of 2014 did not have a material impact on our consolidated financial position, results of operations or cash flows.</w:t>
      </w:r>
    </w:p>
    <w:p>
      <w:pPr>
        <w:spacing w:after="0" w:line="79" w:lineRule="exact"/>
        <w:rPr>
          <w:sz w:val="20"/>
          <w:szCs w:val="20"/>
          <w:color w:val="auto"/>
        </w:rPr>
      </w:pPr>
    </w:p>
    <w:p>
      <w:pPr>
        <w:ind w:firstLine="378"/>
        <w:spacing w:after="0" w:line="259" w:lineRule="auto"/>
        <w:rPr>
          <w:sz w:val="20"/>
          <w:szCs w:val="20"/>
          <w:color w:val="auto"/>
        </w:rPr>
      </w:pPr>
      <w:r>
        <w:rPr>
          <w:rFonts w:ascii="Times New Roman" w:cs="Times New Roman" w:eastAsia="Times New Roman" w:hAnsi="Times New Roman"/>
          <w:sz w:val="18"/>
          <w:szCs w:val="18"/>
          <w:color w:val="auto"/>
        </w:rPr>
        <w:t xml:space="preserve">In March 2013, the FASB issued ASU No. 2013-05, which amends FASB ASC Topic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This ASU resolves the accounting for certain foreign currency matters with respect to the release of cumulative translation adjustment into net income within a foreign entity under certain circumstances. This ASU is effective prospectively for fiscal years (and interim reporting periods within those years) beginning after December 15, 2013. This ASU should be applied prospectively to derecognition events occurring after the effective date. The adoption of this guidance during the first quarter of 2014 did not have a material impact on our consolidated financial position, results of operations or cash flows.</w:t>
      </w:r>
    </w:p>
    <w:p>
      <w:pPr>
        <w:spacing w:after="0" w:line="72" w:lineRule="exact"/>
        <w:rPr>
          <w:sz w:val="20"/>
          <w:szCs w:val="20"/>
          <w:color w:val="auto"/>
        </w:rPr>
      </w:pPr>
    </w:p>
    <w:p>
      <w:pPr>
        <w:ind w:right="20" w:firstLine="378"/>
        <w:spacing w:after="0" w:line="259" w:lineRule="auto"/>
        <w:rPr>
          <w:sz w:val="20"/>
          <w:szCs w:val="20"/>
          <w:color w:val="auto"/>
        </w:rPr>
      </w:pPr>
      <w:r>
        <w:rPr>
          <w:rFonts w:ascii="Times New Roman" w:cs="Times New Roman" w:eastAsia="Times New Roman" w:hAnsi="Times New Roman"/>
          <w:sz w:val="18"/>
          <w:szCs w:val="18"/>
          <w:color w:val="auto"/>
        </w:rPr>
        <w:t xml:space="preserve">In July 2013, the FASB issued ASU No. 2013-11, which amends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This ASU requires that unrecognized tax benefit, or a portion of an unrecognized tax benefit, should be presented in the financial statements as a reduction to a deferred tax asset for a net operation loss carryforward, a similar tax loss, or a tax credit carryforward, except in certain cases. This ASU is effective for fiscal years (and interim reporting periods within those years) beginning after December 15, 2013. The adoption of this guidance during the first quarter of 2014 did not have a material impact on our consolidated financial position, results of operations or cash flows.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400"/>
          </w:cols>
          <w:pgMar w:left="240" w:top="333" w:right="259" w:bottom="1440" w:gutter="0" w:footer="0" w:header="0"/>
        </w:sectPr>
      </w:pPr>
    </w:p>
    <w:bookmarkStart w:id="158" w:name="page159"/>
    <w:bookmarkEnd w:id="15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9" w:lineRule="exact"/>
        <w:rPr>
          <w:sz w:val="20"/>
          <w:szCs w:val="20"/>
          <w:color w:val="auto"/>
        </w:rPr>
      </w:pPr>
    </w:p>
    <w:p>
      <w:pPr>
        <w:ind w:right="100" w:firstLine="378"/>
        <w:spacing w:after="0" w:line="257" w:lineRule="auto"/>
        <w:rPr>
          <w:sz w:val="20"/>
          <w:szCs w:val="20"/>
          <w:color w:val="auto"/>
        </w:rPr>
      </w:pPr>
      <w:r>
        <w:rPr>
          <w:rFonts w:ascii="Times New Roman" w:cs="Times New Roman" w:eastAsia="Times New Roman" w:hAnsi="Times New Roman"/>
          <w:sz w:val="18"/>
          <w:szCs w:val="18"/>
          <w:color w:val="auto"/>
        </w:rPr>
        <w:t xml:space="preserve">In April 2014, the FASB issued ASU No. 2014-08, which amends FASB ASC Topic 205,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and FASB ASC Topic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This ASU is effective on a prospective basis applicable to activities that occur within annual periods beginning on or after December 15, 2014, and interim periods within those years, and changes the requirements for reporting discontinued operations. Early adoption is permitted, but only for disposals that have not been reported in financial statements previously issued or available for issuance. We believe that ASU No. 2014-08 will reduce the number of dispositions that would qualify for discontinued operations at our parent company level, thereby reducing the complexity associated with the reporting and disclosure requirements of discontinued operations that would have been otherwise required previously.</w:t>
      </w:r>
    </w:p>
    <w:p>
      <w:pPr>
        <w:spacing w:after="0" w:line="75"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creating a new topic,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superseding revenue recognition requirements in FASB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is effective for fiscal years, and interim reporting periods within those years, beginning after December 15, 2016, using one of two retrospective application methods. Early adoption is not permitted. We are currently evaluating the impact that the adoption of this guidance will have on our consolidated financial position, results of operations, comprehensive income, cash flows and disclosures.</w:t>
      </w:r>
    </w:p>
    <w:p>
      <w:pPr>
        <w:spacing w:after="0" w:line="77" w:lineRule="exact"/>
        <w:rPr>
          <w:sz w:val="20"/>
          <w:szCs w:val="20"/>
          <w:color w:val="auto"/>
        </w:rPr>
      </w:pPr>
    </w:p>
    <w:p>
      <w:pPr>
        <w:ind w:firstLine="378"/>
        <w:spacing w:after="0" w:line="257" w:lineRule="auto"/>
        <w:rPr>
          <w:sz w:val="20"/>
          <w:szCs w:val="20"/>
          <w:color w:val="auto"/>
        </w:rPr>
      </w:pPr>
      <w:r>
        <w:rPr>
          <w:rFonts w:ascii="Times New Roman" w:cs="Times New Roman" w:eastAsia="Times New Roman" w:hAnsi="Times New Roman"/>
          <w:sz w:val="18"/>
          <w:szCs w:val="18"/>
          <w:color w:val="auto"/>
        </w:rPr>
        <w:t xml:space="preserve">In June 2014, the FASB issued ASU No. 2014-12, which amends FASB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This ASU requires that a performance target that affects vesting and that could be achieved after the requisite service period be treated as a performance condition. A reporting entity should apply existing guidance in FASB ASC Topic 718 as it relates to awards with performance conditions that affect vesting to account for such awards. As such, the performance target should not be reflected in estimating the grant-date fair value of the award. This ASU is effective for fiscal years, and interim reporting periods within those years, beginning after December 15, 2015. We are currently evaluating the impact that the adoption of this guidance will have on our financial position, results of operations, comprehensive income, cash flows and disclosures.</w:t>
      </w:r>
    </w:p>
    <w:p>
      <w:pPr>
        <w:spacing w:after="0" w:line="75" w:lineRule="exact"/>
        <w:rPr>
          <w:sz w:val="20"/>
          <w:szCs w:val="20"/>
          <w:color w:val="auto"/>
        </w:rPr>
      </w:pPr>
    </w:p>
    <w:p>
      <w:pPr>
        <w:ind w:right="20" w:firstLine="378"/>
        <w:spacing w:after="0" w:line="261" w:lineRule="auto"/>
        <w:rPr>
          <w:sz w:val="20"/>
          <w:szCs w:val="20"/>
          <w:color w:val="auto"/>
        </w:rPr>
      </w:pPr>
      <w:r>
        <w:rPr>
          <w:rFonts w:ascii="Times New Roman" w:cs="Times New Roman" w:eastAsia="Times New Roman" w:hAnsi="Times New Roman"/>
          <w:sz w:val="18"/>
          <w:szCs w:val="18"/>
          <w:color w:val="auto"/>
        </w:rPr>
        <w:t xml:space="preserve">In November 2014, the FASB issued ASU No. 2014-17, which amends FASB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This ASU provides an acquired entity with an option to apply pushdown accounting in its separate financial statements upon occurrence of an event in which an acquirer obtains control of the acquired entity. The ASU became effective on November 18, 2014. The adoption of this guidance did not have any effect on our financial position, results of operations, comprehensive income, cash flows and disclosures.</w:t>
      </w:r>
    </w:p>
    <w:p>
      <w:pPr>
        <w:spacing w:after="0" w:line="72" w:lineRule="exact"/>
        <w:rPr>
          <w:sz w:val="20"/>
          <w:szCs w:val="20"/>
          <w:color w:val="auto"/>
        </w:rPr>
      </w:pPr>
    </w:p>
    <w:p>
      <w:pPr>
        <w:ind w:right="60" w:firstLine="378"/>
        <w:spacing w:after="0" w:line="255" w:lineRule="auto"/>
        <w:rPr>
          <w:sz w:val="20"/>
          <w:szCs w:val="20"/>
          <w:color w:val="auto"/>
        </w:rPr>
      </w:pPr>
      <w:r>
        <w:rPr>
          <w:rFonts w:ascii="Times New Roman" w:cs="Times New Roman" w:eastAsia="Times New Roman" w:hAnsi="Times New Roman"/>
          <w:sz w:val="18"/>
          <w:szCs w:val="18"/>
          <w:color w:val="auto"/>
        </w:rPr>
        <w:t xml:space="preserve">In January 2015, the FASB issued ASU No. 2015-01, which amends FASB ASU Topic 220-20, </w:t>
      </w:r>
      <w:r>
        <w:rPr>
          <w:rFonts w:ascii="Times New Roman" w:cs="Times New Roman" w:eastAsia="Times New Roman" w:hAnsi="Times New Roman"/>
          <w:sz w:val="18"/>
          <w:szCs w:val="18"/>
          <w:i w:val="1"/>
          <w:iCs w:val="1"/>
          <w:color w:val="auto"/>
        </w:rPr>
        <w:t>Income Statement - Extraordinary and Unusual Items</w:t>
      </w:r>
      <w:r>
        <w:rPr>
          <w:rFonts w:ascii="Times New Roman" w:cs="Times New Roman" w:eastAsia="Times New Roman" w:hAnsi="Times New Roman"/>
          <w:sz w:val="18"/>
          <w:szCs w:val="18"/>
          <w:color w:val="auto"/>
        </w:rPr>
        <w:t>. This ASU eliminates from GAAP the concept of extraordinary items. Although the ASU will eliminate the requirements in Subtopic 225-20 for reporting entities to consider whether an underlying event or transaction is extraordinary, the presentation and disclosure guidance for items that are unusual in nature or occur infrequently will be retained and will be expanded to include items that are both unusual in nature and infrequently occurring. This ASU is effective for fiscal years, and interim periods within those fiscal years, beginning after December 15, 2015. A reporting entity may apply the amendments prospectively. A reporting entity also may apply the amendments retrospectively to all prior periods presented in the financial statements. Early adoption is permitted provided that the guidance is applied from the beginning of the fiscal year of adoption. We currently anticipate that the adoption of this guidance will have no impact on our financial position, results of operations, comprehensive income, cash flows and disclosures.</w:t>
      </w:r>
    </w:p>
    <w:p>
      <w:pPr>
        <w:spacing w:after="0" w:line="77" w:lineRule="exact"/>
        <w:rPr>
          <w:sz w:val="20"/>
          <w:szCs w:val="20"/>
          <w:color w:val="auto"/>
        </w:rPr>
      </w:pPr>
    </w:p>
    <w:p>
      <w:pPr>
        <w:ind w:right="80" w:firstLine="378"/>
        <w:spacing w:after="0" w:line="254" w:lineRule="auto"/>
        <w:rPr>
          <w:sz w:val="20"/>
          <w:szCs w:val="20"/>
          <w:color w:val="auto"/>
        </w:rPr>
      </w:pPr>
      <w:r>
        <w:rPr>
          <w:rFonts w:ascii="Times New Roman" w:cs="Times New Roman" w:eastAsia="Times New Roman" w:hAnsi="Times New Roman"/>
          <w:sz w:val="18"/>
          <w:szCs w:val="18"/>
          <w:color w:val="auto"/>
        </w:rPr>
        <w:t xml:space="preserve">In February 2015, the FASB issued ASU No. 2015-02, which amends FASB ASU Topic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This ASU amends the current consolidation guidance, including introducing a separate consolidation analysis specific to limited partnerships and other similar entities. This ASU requires that limited partnerships and similar legal entities provide partners with either substantive substantive kick-out rights or substantive participating rights over the general partner in order to be considered a voting interest entity. The specialized consolidation model and guidance for limited partnerships and similar legal entities have been eliminated. There is no longer a presumption that a general partner should consolidate a limited partnership. For limited partnerships and similar legal entities that qualify as voting interest entities, a limited partner with a controlling financial interest should consolidate a limited partnership. A controlling financial interest may be achieved through holding a limited partner interest that provides substantive kick-out rights. The standard is effective for annual periods beginning after December 15, 2015. We are currently evaluating the standard and the impact on our consolidated financial statements and footnote disclosures.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380"/>
          </w:cols>
          <w:pgMar w:left="240" w:top="334" w:right="279" w:bottom="1440" w:gutter="0" w:footer="0" w:header="0"/>
        </w:sectPr>
      </w:pPr>
    </w:p>
    <w:bookmarkStart w:id="159" w:name="page160"/>
    <w:bookmarkEnd w:id="1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Filing Status of Subsidiaries</w:t>
      </w:r>
    </w:p>
    <w:p>
      <w:pPr>
        <w:spacing w:after="0" w:line="121" w:lineRule="exact"/>
        <w:rPr>
          <w:sz w:val="20"/>
          <w:szCs w:val="20"/>
          <w:color w:val="auto"/>
        </w:rPr>
      </w:pPr>
    </w:p>
    <w:p>
      <w:pPr>
        <w:ind w:firstLine="378"/>
        <w:spacing w:after="0" w:line="261" w:lineRule="auto"/>
        <w:rPr>
          <w:sz w:val="20"/>
          <w:szCs w:val="20"/>
          <w:color w:val="auto"/>
        </w:rPr>
      </w:pPr>
      <w:r>
        <w:rPr>
          <w:rFonts w:ascii="Times New Roman" w:cs="Times New Roman" w:eastAsia="Times New Roman" w:hAnsi="Times New Roman"/>
          <w:sz w:val="18"/>
          <w:szCs w:val="18"/>
          <w:color w:val="auto"/>
        </w:rPr>
        <w:t xml:space="preserve">Federal-Mogul Corporation (“Federal-Mogul”), CVR Energy, Inc. ("CVR"), American Railcar Industries, Inc. (“ARI”) and Tropicana Entertainment Inc. (“Tropicana”) are each a public reporting entity under the Securities Exchange Act of 1934, as amended (the “Exchange Act”) and file annual, quarterly and current reports and proxy and information statements with the Securities and Exchange Commission ("SEC"). Each of these reports is publicly available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75" w:lineRule="exact"/>
        <w:rPr>
          <w:sz w:val="20"/>
          <w:szCs w:val="20"/>
          <w:color w:val="auto"/>
        </w:rPr>
      </w:pPr>
    </w:p>
    <w:p>
      <w:pPr>
        <w:ind w:right="60" w:firstLine="378"/>
        <w:spacing w:after="0" w:line="256" w:lineRule="auto"/>
        <w:rPr>
          <w:sz w:val="20"/>
          <w:szCs w:val="20"/>
          <w:color w:val="auto"/>
        </w:rPr>
      </w:pPr>
      <w:r>
        <w:rPr>
          <w:rFonts w:ascii="Times New Roman" w:cs="Times New Roman" w:eastAsia="Times New Roman" w:hAnsi="Times New Roman"/>
          <w:sz w:val="18"/>
          <w:szCs w:val="18"/>
          <w:color w:val="auto"/>
        </w:rPr>
        <w:t>Our Investment segment is comprised of various private investment funds, including Icahn Partners L.P. ("Icahn Partners"), Icahn Partners Master Fund LP, Icahn Partners Master Fund II LP and Icahn Partners Master Fund III LP (collectively, the "Master Funds," and together with Icahn Partners,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Funds,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80" w:lineRule="exact"/>
        <w:rPr>
          <w:sz w:val="20"/>
          <w:szCs w:val="20"/>
          <w:color w:val="auto"/>
        </w:rPr>
      </w:pPr>
    </w:p>
    <w:p>
      <w:pPr>
        <w:ind w:right="240" w:firstLine="378"/>
        <w:spacing w:after="0" w:line="266" w:lineRule="auto"/>
        <w:rPr>
          <w:sz w:val="20"/>
          <w:szCs w:val="20"/>
          <w:color w:val="auto"/>
        </w:rPr>
      </w:pPr>
      <w:r>
        <w:rPr>
          <w:rFonts w:ascii="Times New Roman" w:cs="Times New Roman" w:eastAsia="Times New Roman" w:hAnsi="Times New Roman"/>
          <w:sz w:val="18"/>
          <w:szCs w:val="18"/>
          <w:color w:val="auto"/>
        </w:rPr>
        <w:t>Effective January 1, 2014, Icahn Partners Master Fund II LP and Icahn Partners Master Fund III LP were merged with and into Icahn Partners. As a result, the Investment Funds now consist solely of Icahn Partners LP and Icahn Partners Master Fund LP. Other than this merger, no other organizational or policy changes were made within our Investment segment.</w:t>
      </w:r>
    </w:p>
    <w:p>
      <w:pPr>
        <w:spacing w:after="0" w:line="68" w:lineRule="exact"/>
        <w:rPr>
          <w:sz w:val="20"/>
          <w:szCs w:val="20"/>
          <w:color w:val="auto"/>
        </w:rPr>
      </w:pPr>
    </w:p>
    <w:p>
      <w:pPr>
        <w:ind w:right="180" w:firstLine="378"/>
        <w:spacing w:after="0" w:line="375" w:lineRule="auto"/>
        <w:rPr>
          <w:sz w:val="20"/>
          <w:szCs w:val="20"/>
          <w:color w:val="auto"/>
        </w:rPr>
      </w:pPr>
      <w:r>
        <w:rPr>
          <w:rFonts w:ascii="Times New Roman" w:cs="Times New Roman" w:eastAsia="Times New Roman" w:hAnsi="Times New Roman"/>
          <w:sz w:val="18"/>
          <w:szCs w:val="18"/>
          <w:color w:val="auto"/>
        </w:rPr>
        <w:t xml:space="preserve">The fair value of our interest in the Investment Funds was approximately $4.3 billion and $3.7 billion as of December 31, 2014 and 2013, respectively. </w:t>
      </w:r>
      <w:r>
        <w:rPr>
          <w:rFonts w:ascii="Times New Roman" w:cs="Times New Roman" w:eastAsia="Times New Roman" w:hAnsi="Times New Roman"/>
          <w:sz w:val="18"/>
          <w:szCs w:val="18"/>
          <w:b w:val="1"/>
          <w:bCs w:val="1"/>
          <w:i w:val="1"/>
          <w:iCs w:val="1"/>
          <w:color w:val="auto"/>
        </w:rPr>
        <w:t>Automotive</w:t>
      </w:r>
    </w:p>
    <w:p>
      <w:pPr>
        <w:spacing w:after="0" w:line="1" w:lineRule="exact"/>
        <w:rPr>
          <w:sz w:val="20"/>
          <w:szCs w:val="20"/>
          <w:color w:val="auto"/>
        </w:rPr>
      </w:pPr>
    </w:p>
    <w:p>
      <w:pPr>
        <w:ind w:right="140" w:firstLine="378"/>
        <w:spacing w:after="0" w:line="261" w:lineRule="auto"/>
        <w:rPr>
          <w:sz w:val="20"/>
          <w:szCs w:val="20"/>
          <w:color w:val="auto"/>
        </w:rPr>
      </w:pPr>
      <w:r>
        <w:rPr>
          <w:rFonts w:ascii="Times New Roman" w:cs="Times New Roman" w:eastAsia="Times New Roman" w:hAnsi="Times New Roman"/>
          <w:sz w:val="18"/>
          <w:szCs w:val="18"/>
          <w:color w:val="auto"/>
        </w:rPr>
        <w:t>We conduct our Automotive segment through our majority ownership in Federal-Mogul. Federal-Mogul is a leading global supplier of a broad range of components, accessories and systems to the automotive, small engine, heavy-duty, marine, railroad, agricultural, off-road, aerospace and energy, industrial and transport markets, including customers in both the original equipment manufacturers and servicers (“OE”) market and the replacement market (“aftermarket”). Federal-Mogul’s customers include the world’s largest automotive OEs and major distributors and retailers in the independent aftermarket.</w:t>
      </w:r>
    </w:p>
    <w:p>
      <w:pPr>
        <w:spacing w:after="0" w:line="72" w:lineRule="exact"/>
        <w:rPr>
          <w:sz w:val="20"/>
          <w:szCs w:val="20"/>
          <w:color w:val="auto"/>
        </w:rPr>
      </w:pPr>
    </w:p>
    <w:p>
      <w:pPr>
        <w:ind w:right="40" w:firstLine="378"/>
        <w:spacing w:after="0" w:line="255" w:lineRule="auto"/>
        <w:rPr>
          <w:sz w:val="20"/>
          <w:szCs w:val="20"/>
          <w:color w:val="auto"/>
        </w:rPr>
      </w:pPr>
      <w:r>
        <w:rPr>
          <w:rFonts w:ascii="Times New Roman" w:cs="Times New Roman" w:eastAsia="Times New Roman" w:hAnsi="Times New Roman"/>
          <w:sz w:val="18"/>
          <w:szCs w:val="18"/>
          <w:color w:val="auto"/>
        </w:rPr>
        <w:t>Federal-Mogul operates with two end-customer focused business segments. The Powertrain business unit focuses on original equipment products for automotive, heavy duty and industrial applications. The Motorparts business unit sells and distributes a broad portfolio of products in the global aftermarket, while also serving original equipment manufacturers with products including braking, chassis, wipers and other vehicle components. This organizational model allows for a strong product line focus benefitting both original equipment and aftermarket customers and enables the global Federal-Mogul teams to be responsive to customers’ needs for superior products and to promote greater identification with Federal-Mogul premium brands. Additionally, this organizational model enhances management focus to capitalize on opportunities for organic or acquisition growth, profit improvement, resource utilization and business model optimization in line with the unique requirements of the two different customer bases.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Reorganization</w:t>
      </w:r>
    </w:p>
    <w:p>
      <w:pPr>
        <w:spacing w:after="0" w:line="119"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On April 15, 2014, Federal-Mogul Corporation completed a holding company reorganization (the “Federal-Mogul Reorganization”). As a result of the Federal-Mogul Reorganization, the outstanding shares of Federal-Mogul Corporation common stock were automatically converted on a one-for-one basis into shares of Federal-Mogul Holdings Corporation common stock, and all of the stockholders of Federal-Mogul Corporation immediately prior to the Federal-Mogul Reorganization automatically became stockholders of Federal-Mogul Holdings Corporation. The rights of stockholders of Federal-Mogul Holdings Corporation are generally governed by Delaware law and Federal-Mogul Holdings Corporation’s certificate of incorporation and bylaws, which are the same in all material respects as those of Federal-Mogul Corporation immediately prior to the Federal-Mogul Reorganization. References herein to Federal-Mogul refer to Federal-Mogul Corporation for the period prior to the effective time of the Federal-Mogul Reorganization on April 15, 2014 and to Federal-Mogul Holdings Corporation for the period after the effective time of the Federal-Mogul Reorganization.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420"/>
          </w:cols>
          <w:pgMar w:left="240" w:top="333" w:right="239" w:bottom="1440" w:gutter="0" w:footer="0" w:header="0"/>
        </w:sectPr>
      </w:pPr>
    </w:p>
    <w:bookmarkStart w:id="160" w:name="page161"/>
    <w:bookmarkEnd w:id="16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200" w:firstLine="378"/>
        <w:spacing w:after="0" w:line="256" w:lineRule="auto"/>
        <w:rPr>
          <w:sz w:val="20"/>
          <w:szCs w:val="20"/>
          <w:color w:val="auto"/>
        </w:rPr>
      </w:pPr>
      <w:r>
        <w:rPr>
          <w:rFonts w:ascii="Times New Roman" w:cs="Times New Roman" w:eastAsia="Times New Roman" w:hAnsi="Times New Roman"/>
          <w:sz w:val="18"/>
          <w:szCs w:val="18"/>
          <w:color w:val="auto"/>
        </w:rPr>
        <w:t>On September 3, 2014, Federal-Mogul announced its plan to separate its Powertrain and Motorparts businesses into two independent, publicly-traded companies serving the global original equipment and aftermarket industries. The planned separation will be implemented through a tax-free distribution of Federal-Mogul’s Motorparts business to shareholders of Federal-Mogul Holdings Corporation. Completion of the transaction is subject to customary conditions, including among others, Federal-Mogul’s receipt of an IRS ruling or opinion of counsel to the effect that the distribution will qualify as a transaction that is generally tax-free for U.S. Federal Income tax purposes; as well as effectiveness of a Form 10 Registration Statement to be filed with the SEC.</w:t>
      </w:r>
    </w:p>
    <w:p>
      <w:pPr>
        <w:spacing w:after="0" w:line="80" w:lineRule="exact"/>
        <w:rPr>
          <w:sz w:val="20"/>
          <w:szCs w:val="20"/>
          <w:color w:val="auto"/>
        </w:rPr>
      </w:pPr>
    </w:p>
    <w:p>
      <w:pPr>
        <w:ind w:right="60" w:firstLine="378"/>
        <w:spacing w:after="0" w:line="255" w:lineRule="auto"/>
        <w:rPr>
          <w:sz w:val="20"/>
          <w:szCs w:val="20"/>
          <w:color w:val="auto"/>
        </w:rPr>
      </w:pPr>
      <w:r>
        <w:rPr>
          <w:rFonts w:ascii="Times New Roman" w:cs="Times New Roman" w:eastAsia="Times New Roman" w:hAnsi="Times New Roman"/>
          <w:sz w:val="18"/>
          <w:szCs w:val="18"/>
          <w:color w:val="auto"/>
        </w:rPr>
        <w:t>On February 24, 2015, Federal-Mogul announced that it would defer the previously announced spin-off of its Motorparts business to allow for the integration of its recently completed brake component, chassis and valvetrain acquisitions and to recognize the benefits of the strategic initiatives in the Motorparts business. As a result of the deferral and the recent closing of the acquisition of TRW 's (as defined below) valvetrain business, Federal-Mogul will commence a common stock rights offering to strengthen its balance sheet. Federal-Mogul’s board of directors intends to revisit the timing of the spin-off prior to year-end. Meanwhile Federal-Mogul will continue to operate as two separate, independent businesses. No assurances can be given regarding the ultimate timing of the separation or that it will be consummated. See Note 18, "Subsequent Events - Automotive," for further discussion regarding the common stock rights offering.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ind w:right="280" w:firstLine="378"/>
        <w:spacing w:after="0" w:line="266" w:lineRule="auto"/>
        <w:rPr>
          <w:sz w:val="20"/>
          <w:szCs w:val="20"/>
          <w:color w:val="auto"/>
        </w:rPr>
      </w:pPr>
      <w:r>
        <w:rPr>
          <w:rFonts w:ascii="Times New Roman" w:cs="Times New Roman" w:eastAsia="Times New Roman" w:hAnsi="Times New Roman"/>
          <w:sz w:val="18"/>
          <w:szCs w:val="18"/>
          <w:color w:val="auto"/>
        </w:rPr>
        <w:t>On May 1, 2014, Federal-Mogul completed the Affinia Group Inc. ("Affinia") chassis business acquisition (the "Affinia Acquisition"). This business serves leading U.S. aftermarket customers with private label chassis product lines and will allow Federal-Mogul to broaden its product offering, provide operational synergies and better service customers globally. The purchase price was $149 million, net of acquired cash.</w:t>
      </w:r>
    </w:p>
    <w:p>
      <w:pPr>
        <w:spacing w:after="0" w:line="66" w:lineRule="exact"/>
        <w:rPr>
          <w:sz w:val="20"/>
          <w:szCs w:val="20"/>
          <w:color w:val="auto"/>
        </w:rPr>
      </w:pPr>
    </w:p>
    <w:p>
      <w:pPr>
        <w:ind w:right="160" w:firstLine="378"/>
        <w:spacing w:after="0" w:line="267" w:lineRule="auto"/>
        <w:rPr>
          <w:sz w:val="20"/>
          <w:szCs w:val="20"/>
          <w:color w:val="auto"/>
        </w:rPr>
      </w:pPr>
      <w:r>
        <w:rPr>
          <w:rFonts w:ascii="Times New Roman" w:cs="Times New Roman" w:eastAsia="Times New Roman" w:hAnsi="Times New Roman"/>
          <w:sz w:val="18"/>
          <w:szCs w:val="18"/>
          <w:color w:val="auto"/>
        </w:rPr>
        <w:t xml:space="preserve">With respect to the Affinia Acquisition, in accordance with FASB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Federal-Mogul allocated $71 million to tangible net assets, $26 million to goodwill and $51 million to other intangible assets based on the fair values of the net assets acquired as of the acquisition date. The valuation of net assets was performed utilizing cost, income and market approaches.</w:t>
      </w:r>
    </w:p>
    <w:p>
      <w:pPr>
        <w:spacing w:after="0" w:line="67"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On July 11, 2014, Federal-Mogul completed the purchase of certain business assets of Honeywell International Inc.'s ("Honeywell") automotive and industrial brake friction business (the "Honeywell Acquisition"), including two recently established manufacturing facilities in China and Romania, substantially strengthening the manufacturing and engineering capabilities of Federal-Mogul's current global braking portfolio. The business was acquired through a combination of asset and stock purchases for a base purchase price of $169 million and a provisional estimate of $15 million, primarily for working capital adjustments and earn-out targets, subject to certain customary post-closing adjustments, contingent consideration and other liabilities. A valuation of the assets from the Honeywell Acquisition resulted in $184 million allocated to tangible net assets. The valuation of net assets was performed utilizing cost, income and market approaches.</w:t>
      </w:r>
    </w:p>
    <w:p>
      <w:pPr>
        <w:spacing w:after="0" w:line="81" w:lineRule="exact"/>
        <w:rPr>
          <w:sz w:val="20"/>
          <w:szCs w:val="20"/>
          <w:color w:val="auto"/>
        </w:rPr>
      </w:pPr>
    </w:p>
    <w:p>
      <w:pPr>
        <w:ind w:right="120" w:firstLine="37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2014, Federal-Mogul recorded an aggregate $7 million in transaction related expenses associated with the Affinia and Honeywell Acquisitions which are reflected in selling, general and administrative expenses within the consolidated statements of operations.</w:t>
      </w:r>
    </w:p>
    <w:p>
      <w:pPr>
        <w:spacing w:after="0" w:line="54" w:lineRule="exact"/>
        <w:rPr>
          <w:sz w:val="20"/>
          <w:szCs w:val="20"/>
          <w:color w:val="auto"/>
        </w:rPr>
      </w:pPr>
    </w:p>
    <w:p>
      <w:pPr>
        <w:ind w:right="220" w:firstLine="378"/>
        <w:spacing w:after="0" w:line="282" w:lineRule="auto"/>
        <w:rPr>
          <w:sz w:val="20"/>
          <w:szCs w:val="20"/>
          <w:color w:val="auto"/>
        </w:rPr>
      </w:pPr>
      <w:r>
        <w:rPr>
          <w:rFonts w:ascii="Times New Roman" w:cs="Times New Roman" w:eastAsia="Times New Roman" w:hAnsi="Times New Roman"/>
          <w:sz w:val="18"/>
          <w:szCs w:val="18"/>
          <w:color w:val="auto"/>
        </w:rPr>
        <w:t>On February 6, 2015, certain subsidiaries of Federal-Mogul finalized an agreement with TRW Automotive Inc. (“TRW”), a Michigan Corporation, to purchase certain business assets of the TRW engine components business. See Note 18, "Subsequent Events - Automotive," for further discussion.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Offering</w:t>
      </w:r>
    </w:p>
    <w:p>
      <w:pPr>
        <w:spacing w:after="0" w:line="119" w:lineRule="exact"/>
        <w:rPr>
          <w:sz w:val="20"/>
          <w:szCs w:val="20"/>
          <w:color w:val="auto"/>
        </w:rPr>
      </w:pPr>
    </w:p>
    <w:p>
      <w:pPr>
        <w:ind w:firstLine="378"/>
        <w:spacing w:after="0" w:line="261" w:lineRule="auto"/>
        <w:rPr>
          <w:sz w:val="20"/>
          <w:szCs w:val="20"/>
          <w:color w:val="auto"/>
        </w:rPr>
      </w:pPr>
      <w:r>
        <w:rPr>
          <w:rFonts w:ascii="Times New Roman" w:cs="Times New Roman" w:eastAsia="Times New Roman" w:hAnsi="Times New Roman"/>
          <w:sz w:val="18"/>
          <w:szCs w:val="18"/>
          <w:color w:val="auto"/>
        </w:rPr>
        <w:t>On July 11, 2013, Federal-Mogul received $500 million in connection with its previously announced common stock registered rights offering (the “Federal-Mogul Rights Offering”). In connection with the Federal-Mogul Rights Offering, we fully exercised our subscription rights under our basic and over subscription privileges to purchase additional shares of Federal-Mogul common stock, thereby increasing our ownership of Federal-Mogul, for an aggregate additional investment of $434 million.</w:t>
      </w:r>
    </w:p>
    <w:p>
      <w:pPr>
        <w:spacing w:after="0" w:line="72" w:lineRule="exact"/>
        <w:rPr>
          <w:sz w:val="20"/>
          <w:szCs w:val="20"/>
          <w:color w:val="auto"/>
        </w:rPr>
      </w:pPr>
    </w:p>
    <w:p>
      <w:pPr>
        <w:ind w:right="620" w:firstLine="378"/>
        <w:spacing w:after="0" w:line="282" w:lineRule="auto"/>
        <w:rPr>
          <w:sz w:val="20"/>
          <w:szCs w:val="20"/>
          <w:color w:val="auto"/>
        </w:rPr>
      </w:pPr>
      <w:r>
        <w:rPr>
          <w:rFonts w:ascii="Times New Roman" w:cs="Times New Roman" w:eastAsia="Times New Roman" w:hAnsi="Times New Roman"/>
          <w:sz w:val="18"/>
          <w:szCs w:val="18"/>
          <w:color w:val="auto"/>
        </w:rPr>
        <w:t>Subsequent to December 31, 2014, Federal-Mogul announced its intention to launch a registered rights offering to raise $250 million in order to strengthen its balance sheet. See Note 18, "Subsequent Events - Automotive," for further discussion.</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2014, we owned approximately 80.7% of the total outstanding common stock of Federal-Mogul.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380"/>
          </w:cols>
          <w:pgMar w:left="240" w:top="333" w:right="279"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 xml:space="preserve">Federal-Mogul's subsidiaries in Brazil, France, Germany, Italy and the United States are party to accounts receivable factoring and securitization facilities. Gross accounts receivable transferred under these facilities were $306 million and $271 million as of December 31, 2014 and 2013, respectively. Of those gross amounts, $293 million and $258 million, respectively, qualify as sales as defined in FASB ASC Topic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The remaining transferred receivables were pledged as collateral and accounted for as secured borrowings and recorded in the consolidated balance sheets within accounts receivable, net and debt. Under the terms of these facilities, Federal-Mogul is not obligated to draw cash immediately upon the transfer of accounts receivable; however, as of both December 31, 2014 and 2013, Federal-Mogul had withdrawn all such cash. Proceeds from the transfers of accounts receivable qualifying as sales were approximately $1.7 billion, $1.5 billion and $1.5 billion for the years ended December 31, 2014, 2013 and 2012, respectively.</w:t>
      </w:r>
    </w:p>
    <w:p>
      <w:pPr>
        <w:spacing w:after="0" w:line="81" w:lineRule="exact"/>
        <w:rPr>
          <w:sz w:val="20"/>
          <w:szCs w:val="20"/>
          <w:color w:val="auto"/>
        </w:rPr>
      </w:pPr>
    </w:p>
    <w:p>
      <w:pPr>
        <w:ind w:firstLine="378"/>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2014, 2013 and 2012, expenses associated with transfers of receivables were $6 million, $7 million and $7 million, respectively, and were recorded in the consolidated statements of operations within other income (loss), net. Where Federal-Mogul receives a fee to service and monitor these transferred receivables, such fees are sufficient to offset the costs and as such, a servicing asset or liability is not recorded as a result of such activities.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Certain of the facilities contain terms that require Federal-Mogul to share in the credit risk of the sold receivables. The maximum exposures to Federal-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Mogul associated with certain of these facilities' terms were $17 million and $21 million at December 31, 2014 and 2013, respectively. Based on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Mogul's analysis of the creditworthiness of its customers on which such receivables were sold and outstanding as of December 31, 2014 and 2013,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Mogul estimated the loss to be immaterial.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119" w:lineRule="exact"/>
        <w:rPr>
          <w:sz w:val="20"/>
          <w:szCs w:val="20"/>
          <w:color w:val="auto"/>
        </w:rPr>
      </w:pPr>
    </w:p>
    <w:p>
      <w:pPr>
        <w:ind w:right="140" w:firstLine="37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2014, 2013 and 2012, Federal-Mogul recorded an aggregate of $86 million, $40 million and $26 million in restructuring charges, respectively. These restructuring charges, primarily consisting of employee costs and headcount reductions, pertain to all restructuring programs that Federal-Mogul has initiated in order to improve its operating performance.</w:t>
      </w:r>
    </w:p>
    <w:p>
      <w:pPr>
        <w:spacing w:after="0" w:line="68" w:lineRule="exact"/>
        <w:rPr>
          <w:sz w:val="20"/>
          <w:szCs w:val="20"/>
          <w:color w:val="auto"/>
        </w:rPr>
      </w:pPr>
    </w:p>
    <w:p>
      <w:pPr>
        <w:ind w:right="20" w:firstLine="378"/>
        <w:spacing w:after="0" w:line="256" w:lineRule="auto"/>
        <w:rPr>
          <w:sz w:val="20"/>
          <w:szCs w:val="20"/>
          <w:color w:val="auto"/>
        </w:rPr>
      </w:pPr>
      <w:r>
        <w:rPr>
          <w:rFonts w:ascii="Times New Roman" w:cs="Times New Roman" w:eastAsia="Times New Roman" w:hAnsi="Times New Roman"/>
          <w:sz w:val="18"/>
          <w:szCs w:val="18"/>
          <w:color w:val="auto"/>
        </w:rPr>
        <w:t>Federal-Mogul has approved and initiated restructuring activities as a part of a broader initiative to improve operating performance and reduce costs. As such, Federal-Mogul will continue to evaluate its activities and opportunities to align its business with its executive management's strategy. The total expected cost for the certain restructuring programs that commenced in the first quarter of 2013 is $134 million, of which $127 million pertains to employee costs and $7 million pertains to facility closure and other exit costs. In connection with these restructuring programs, Federal-Mogul recorded $82 million and $39 million in charges for the years ended December 31, 2014 and 2013, respectively, substantially all of which pertain to employee costs, with an estimated future additional restructuring cost of $13 million, all of which pertain to employee costs.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21" w:lineRule="exact"/>
        <w:rPr>
          <w:sz w:val="20"/>
          <w:szCs w:val="20"/>
          <w:color w:val="auto"/>
        </w:rPr>
      </w:pPr>
    </w:p>
    <w:p>
      <w:pPr>
        <w:ind w:right="280" w:firstLine="378"/>
        <w:spacing w:after="0" w:line="256" w:lineRule="auto"/>
        <w:rPr>
          <w:sz w:val="20"/>
          <w:szCs w:val="20"/>
          <w:color w:val="auto"/>
        </w:rPr>
      </w:pPr>
      <w:r>
        <w:rPr>
          <w:rFonts w:ascii="Times New Roman" w:cs="Times New Roman" w:eastAsia="Times New Roman" w:hAnsi="Times New Roman"/>
          <w:sz w:val="18"/>
          <w:szCs w:val="18"/>
          <w:color w:val="auto"/>
        </w:rPr>
        <w:t>We conduct our Energy segment through our majority ownership in CVR. CVR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("UAN") and ammonia. As of December 31, 2014, following various equity offerings as discussed below, CVR owned 100% of the general partners of CVR Refining and CVR Partners and approximately 66% of the common units of CVR Refining and 53% of the common units of CVR Partners.</w:t>
      </w:r>
    </w:p>
    <w:p>
      <w:pPr>
        <w:spacing w:after="0" w:line="80" w:lineRule="exact"/>
        <w:rPr>
          <w:sz w:val="20"/>
          <w:szCs w:val="20"/>
          <w:color w:val="auto"/>
        </w:rPr>
      </w:pPr>
    </w:p>
    <w:p>
      <w:pPr>
        <w:ind w:right="560" w:firstLine="378"/>
        <w:spacing w:after="0" w:line="266" w:lineRule="auto"/>
        <w:rPr>
          <w:sz w:val="20"/>
          <w:szCs w:val="20"/>
          <w:color w:val="auto"/>
        </w:rPr>
      </w:pPr>
      <w:r>
        <w:rPr>
          <w:rFonts w:ascii="Times New Roman" w:cs="Times New Roman" w:eastAsia="Times New Roman" w:hAnsi="Times New Roman"/>
          <w:sz w:val="18"/>
          <w:szCs w:val="18"/>
          <w:color w:val="auto"/>
        </w:rPr>
        <w:t>As of December 31, 2014, we owned 82.0% of the total outstanding common stock of CVR. In addition, as of December 31, 2014, as a result of purchasing common units of CVR Refining as discussed below, we directly owned approximately 4.0% of the total outstanding common units of CVR Refining.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Offerings</w:t>
      </w:r>
    </w:p>
    <w:p>
      <w:pPr>
        <w:spacing w:after="0" w:line="11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On January 23, 2013, CVR Refining completed its initial public offering ("CVR Refining IPO") of its common units representing limited partner interests, resulting in gross proceeds of $600 million, before giving effect to underwriting discounts and other offering expenses. Included in these proceeds is $100 million paid by us for the purchase of common units of CVR Refining in connection with the CVR Refining IPO. Additionally, on January 30, 2013, additional common units of CVR Refining were issued pursuant to the underwriters' exercise of their overallotment option, resulting in gross proceeds of $90 million, before giving effect to underwriting discounts and other offering costs.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420"/>
          </w:cols>
          <w:pgMar w:left="240" w:top="333" w:right="239" w:bottom="1440" w:gutter="0" w:footer="0" w:header="0"/>
        </w:sectPr>
      </w:pPr>
    </w:p>
    <w:bookmarkStart w:id="162" w:name="page163"/>
    <w:bookmarkEnd w:id="16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jc w:val="both"/>
        <w:ind w:right="60" w:firstLine="405"/>
        <w:spacing w:after="0" w:line="261" w:lineRule="auto"/>
        <w:rPr>
          <w:sz w:val="20"/>
          <w:szCs w:val="20"/>
          <w:color w:val="auto"/>
        </w:rPr>
      </w:pPr>
      <w:r>
        <w:rPr>
          <w:rFonts w:ascii="Times New Roman" w:cs="Times New Roman" w:eastAsia="Times New Roman" w:hAnsi="Times New Roman"/>
          <w:sz w:val="18"/>
          <w:szCs w:val="18"/>
          <w:color w:val="auto"/>
        </w:rPr>
        <w:t>On May 20, 2013, CVR Refining completed an underwritten public offering of its common units representing limited partner interests, and on June 10, 2013 issued additional common units pursuant to the underwriters' exercise of their overallotment option, resulting in gross proceeds of $406 million before giving effect to underwriting discounts and offering expenses. In addition, we purchased $62 million of common units of CVR Refining in a privately negotiated transaction with CVR. CVR Refining did not receive any of the proceeds from the sale of common units of CVR Refining to us.</w:t>
      </w:r>
    </w:p>
    <w:p>
      <w:pPr>
        <w:spacing w:after="0" w:line="72"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On May 28, 2013, Coffeyville Resources, LLC (“CRLLC”), a wholly owned subsidiary of CVR, completed a secondary public offering of common units of CVR Partners. Additionally, the underwriters were granted an option to purchase additional units at the public offering price, which expired unexercised at the end of the option period. The gross proceeds to CRLLC from this secondary offering were $302 million, before giving effect to underwriting discounts and other offering expenses. CVR Partners did not receive any of the proceeds from the sale of common units by CRLLC.</w:t>
      </w:r>
    </w:p>
    <w:p>
      <w:pPr>
        <w:spacing w:after="0" w:line="72" w:lineRule="exact"/>
        <w:rPr>
          <w:sz w:val="20"/>
          <w:szCs w:val="20"/>
          <w:color w:val="auto"/>
        </w:rPr>
      </w:pPr>
    </w:p>
    <w:p>
      <w:pPr>
        <w:jc w:val="both"/>
        <w:ind w:right="520" w:firstLine="405"/>
        <w:spacing w:after="0" w:line="266" w:lineRule="auto"/>
        <w:rPr>
          <w:sz w:val="20"/>
          <w:szCs w:val="20"/>
          <w:color w:val="auto"/>
        </w:rPr>
      </w:pPr>
      <w:r>
        <w:rPr>
          <w:rFonts w:ascii="Times New Roman" w:cs="Times New Roman" w:eastAsia="Times New Roman" w:hAnsi="Times New Roman"/>
          <w:sz w:val="18"/>
          <w:szCs w:val="18"/>
          <w:color w:val="auto"/>
        </w:rPr>
        <w:t>As a result of these equity offerings during 2013, our consolidated equity increased by an aggregate of $990 million, of which $902 million was attributable to non-controlling interests and $88 million was attributable to both Icahn Enterprises and Icahn Enterprises Holdings. These offerings are reflected in the caption entitled "Proceeds from subsidiary equity offerings," within the consolidated statement of equity changes.</w:t>
      </w:r>
    </w:p>
    <w:p>
      <w:pPr>
        <w:spacing w:after="0" w:line="6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June 30, 2014, CVR Refining completed an underwritten offering (the “Follow-on Offering”), resulting in gross proceeds of $170 million before giving effect to underwriting discounts and other offering expenses. On July 24, 2014, the underwriters exercised their option to purchase additional common units of CVR Refining, resulting in gross proceeds of $15 million. CVR Refining used this $15 million in gross proceeds to redeem an equal amount of common units from CVR Refining Holdings. Additionally, on July 24, 2014, CVR Refining Holdings sold common units to the public in connection with the underwriters' exercise of their remaining option to purchase additional common units, resulting in gross proceeds of $10 million.</w:t>
      </w:r>
    </w:p>
    <w:p>
      <w:pPr>
        <w:spacing w:after="0" w:line="76" w:lineRule="exact"/>
        <w:rPr>
          <w:sz w:val="20"/>
          <w:szCs w:val="20"/>
          <w:color w:val="auto"/>
        </w:rPr>
      </w:pPr>
    </w:p>
    <w:p>
      <w:pPr>
        <w:jc w:val="both"/>
        <w:ind w:right="460" w:firstLine="405"/>
        <w:spacing w:after="0" w:line="266" w:lineRule="auto"/>
        <w:rPr>
          <w:sz w:val="20"/>
          <w:szCs w:val="20"/>
          <w:color w:val="auto"/>
        </w:rPr>
      </w:pPr>
      <w:r>
        <w:rPr>
          <w:rFonts w:ascii="Times New Roman" w:cs="Times New Roman" w:eastAsia="Times New Roman" w:hAnsi="Times New Roman"/>
          <w:sz w:val="18"/>
          <w:szCs w:val="18"/>
          <w:color w:val="auto"/>
        </w:rPr>
        <w:t>As a result of the Follow-on Offering during 2014, our consolidated equity increased by an aggregate of $160 million, of which $150 million was attributable to non-affiliated non-controlling interests and $10 million was attributable to both Icahn Enterprises and Icahn Enterprises Holdings. These offerings are reflected in the caption entitled "Subsidiary equity offering," within the consolidated statement of equity changes.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Petroleum Business</w:t>
      </w:r>
    </w:p>
    <w:p>
      <w:pPr>
        <w:spacing w:after="0" w:line="115" w:lineRule="exact"/>
        <w:rPr>
          <w:sz w:val="20"/>
          <w:szCs w:val="20"/>
          <w:color w:val="auto"/>
        </w:rPr>
      </w:pPr>
    </w:p>
    <w:p>
      <w:pPr>
        <w:ind w:right="2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Petroleum business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CVR Refining's petroleum business includes a 115,000 barrels per calendar day ("bpcd") rated capacity complex full coking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medium-sour crude oil refinery in Coffeyville, Kansas and a 70,000 bpcd rated capacity complex crude oil refinery in Wynnewood, Oklahoma. The Coffeyville refinery is situated on approximately 440 acres in southeast Kansas, approximately 100 miles from Cushing, Oklahoma, a major crude oil trading and storage hub. The Wynnewood refinery is situated on approximately 400 acres located approximately 65 miles south of Oklahoma City, Oklahoma and approximately 130 miles from Cushing, Oklahoma.</w:t>
      </w:r>
    </w:p>
    <w:p>
      <w:pPr>
        <w:spacing w:after="0" w:line="76" w:lineRule="exact"/>
        <w:rPr>
          <w:sz w:val="20"/>
          <w:szCs w:val="20"/>
          <w:color w:val="auto"/>
        </w:rPr>
      </w:pPr>
    </w:p>
    <w:p>
      <w:pPr>
        <w:ind w:right="40" w:firstLine="378"/>
        <w:spacing w:after="0" w:line="256" w:lineRule="auto"/>
        <w:rPr>
          <w:sz w:val="20"/>
          <w:szCs w:val="20"/>
          <w:color w:val="auto"/>
        </w:rPr>
      </w:pPr>
      <w:r>
        <w:rPr>
          <w:rFonts w:ascii="Times New Roman" w:cs="Times New Roman" w:eastAsia="Times New Roman" w:hAnsi="Times New Roman"/>
          <w:sz w:val="18"/>
          <w:szCs w:val="18"/>
          <w:color w:val="auto"/>
        </w:rPr>
        <w:t>In addition to the refineries, CVR's petroleum business owns and operates the following: (1) a crude oil gathering system with a gathering capacity of approximately 60,000 bpd serving Kansas, Oklahoma, Missouri, Nebraska and Texas; (2) a 170,000 bpd pipeline system (supported by approximately 336 of CVR's owned and leased pipeline) that transports crude oil to its Coffeyville refinery from its Broome Station facility near Caney, Kansas; (3) over 6.0 million barrels of company owned and leased crude oil storage capacity; (4) a rack marketing division supplying product through tanker trucks directly to customers located in close geographic proximity to Coffeyville, Kansas and Wynnewood, Oklahoma and at throughput terminals on Magellan and NuStar Energy, LP's ("NuStar") refined products distribution systems; and (5) approximately 4.5 million barrels of combined refinery related storage capacity.</w:t>
      </w:r>
    </w:p>
    <w:p>
      <w:pPr>
        <w:spacing w:after="0" w:line="76" w:lineRule="exact"/>
        <w:rPr>
          <w:sz w:val="20"/>
          <w:szCs w:val="20"/>
          <w:color w:val="auto"/>
        </w:rPr>
      </w:pPr>
    </w:p>
    <w:p>
      <w:pPr>
        <w:jc w:val="both"/>
        <w:ind w:right="100" w:firstLine="405"/>
        <w:spacing w:after="0" w:line="262" w:lineRule="auto"/>
        <w:rPr>
          <w:sz w:val="20"/>
          <w:szCs w:val="20"/>
          <w:color w:val="auto"/>
        </w:rPr>
      </w:pPr>
      <w:r>
        <w:rPr>
          <w:rFonts w:ascii="Times New Roman" w:cs="Times New Roman" w:eastAsia="Times New Roman" w:hAnsi="Times New Roman"/>
          <w:sz w:val="18"/>
          <w:szCs w:val="18"/>
          <w:i w:val="1"/>
          <w:iCs w:val="1"/>
          <w:color w:val="auto"/>
        </w:rPr>
        <w:t>Nitrogen fertilizer business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CVR Partners' nitrogen fertilizer business consists of a nitrogen fertilizer manufacturing facility that utilizes a petroleum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coke, or pet coke, gasification process to produce nitrogen fertilizer. The facility includes a 1,225 ton-per-day ammonia unit, a 3,000 ton-per-day UAN unit and a gasifier complex having a capacity of 84 million standard cubic feet per day of hydrogen. The gasifier is a dual-train facility, with each gasifier able to function independently of the other, thereby providing redundancy and improving reliability.</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360"/>
          </w:cols>
          <w:pgMar w:left="240" w:top="333" w:right="299" w:bottom="1440" w:gutter="0" w:footer="0" w:header="0"/>
        </w:sectPr>
      </w:pPr>
    </w:p>
    <w:bookmarkStart w:id="163" w:name="page164"/>
    <w:bookmarkEnd w:id="1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Metals</w:t>
      </w:r>
    </w:p>
    <w:p>
      <w:pPr>
        <w:spacing w:after="0" w:line="121"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We conduct our Metals segment through our indirect wholly owned subsidiary, PSC Metals, Inc. (“PSC Metals”). PSC Metals collects industrial and obsolete scrap metal, processes it into reusable forms and supplies the recycled metals to its customers, including electric-arc furnace mills, integrated steel mills, foundries, secondary smelters and metals brokers. PSC Metals' ferrous products include busheling, plate and structural, shredded, sheared and bundled scrap metal and other purchased scrap metal such as turnings (steel machining fragments), cast furnace iron and broken furnace iron. PSC Metals processes the scrap into a size, density and purity required by customers to meet their production needs. PSC Metals also processes non-ferrous metals, including aluminum, copper, brass, stainless steel and nickel-bearing metals. Non-ferrous products are a significant raw material in the production of aluminum and copper alloys used in manufacturing. PSC Metals also operates a steel products business that includes the supply of secondary plate and structural grade pipe that is sold into niche markets for counterweights, piling and foundations, construction materials and infrastructure end-markets.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Railcar</w:t>
      </w:r>
    </w:p>
    <w:p>
      <w:pPr>
        <w:spacing w:after="0" w:line="121"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We conduct our Railcar segment through our majority ownership interests in ARI and American Railcar Leasing, LLC ("ARL"). Pursuant to a contribution agreement dated September 20, 2013 (the "ARL Contribution Agreement"), we acquired a 75% economic interest in ARL in October 2013. Pursuant to the ARL Contribution Agreement, on January 1, 2014, we contributed AEP Leasing, LLC, a wholly owned indirect subsidiary of ours, to ARL.</w:t>
      </w:r>
    </w:p>
    <w:p>
      <w:pPr>
        <w:spacing w:after="0" w:line="6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ARI manufactures railcars that are offered for sale or lease, custom and standard designed railcar components and other industrial products, primarily aluminum and special alloy steel castings. These products are sold to various types of companies including leasing companies, industrial companies, shippers and Class I railroads. ARI leases railcars that it manufactures to certain markets. ARI provides railcar services consisting of railcar repair services, ranging from full to light repair, engineering and on-site repairs and maintenance through its various repair facilities, including mini-shops and mobile units.</w:t>
      </w:r>
    </w:p>
    <w:p>
      <w:pPr>
        <w:spacing w:after="0" w:line="72"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ARL is engaged in the business of leasing railcars to customers with specific requirements whose products require specialized railcars dedicated to transporting, storing, and preserving the integrity of their products. These products are primarily in the energy, food and agriculture, chemical, minerals and petrochemical industries.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Transactions between ARI and ARL have been eliminated in consolidation.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2014, we owned approximately 55.6% of the total outstanding common stock of ARI.</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Gaming</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conduct our Gaming segment through our majority ownership in Tropicana. Tropicana currently owns and operates a diversified, multi-jurisdictional collection of casino gaming properties. The eight casino facilities it operates feature approximately 390,900 square feet of gaming space with 8,035 slot machines, 304 table games and 5,525 hotel rooms with two casino facilities located in Nevada and one in each of Mississippi, Missouri, Indiana, Louisiana, New Jersey and Aruba.</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2014, we owned approximately 67.9% of the total outstanding common stock of Tropicana.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and Disposition</w:t>
      </w:r>
    </w:p>
    <w:p>
      <w:pPr>
        <w:spacing w:after="0" w:line="119" w:lineRule="exact"/>
        <w:rPr>
          <w:sz w:val="20"/>
          <w:szCs w:val="20"/>
          <w:color w:val="auto"/>
        </w:rPr>
      </w:pPr>
    </w:p>
    <w:p>
      <w:pPr>
        <w:ind w:right="420" w:firstLine="405"/>
        <w:spacing w:after="0" w:line="266" w:lineRule="auto"/>
        <w:rPr>
          <w:sz w:val="20"/>
          <w:szCs w:val="20"/>
          <w:color w:val="auto"/>
        </w:rPr>
      </w:pPr>
      <w:r>
        <w:rPr>
          <w:rFonts w:ascii="Times New Roman" w:cs="Times New Roman" w:eastAsia="Times New Roman" w:hAnsi="Times New Roman"/>
          <w:sz w:val="18"/>
          <w:szCs w:val="18"/>
          <w:color w:val="auto"/>
        </w:rPr>
        <w:t>On April 1, 2014, a wholly owned subsidiary of Tropicana acquired the Lumière Place Casino, HoteLumière, the Four Seasons Hotel St. Louis and related excess land parcels in St. Louis, Missouri (collectively, "Lumière") for a cash purchase price of $261 million, which includes a working capital adjustment as of the acquisition date.</w:t>
      </w:r>
    </w:p>
    <w:p>
      <w:pPr>
        <w:spacing w:after="0" w:line="68"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A valuation of the assets of Lumière resulted in $252 million allocated to tangible net assets and $9 million allocated to other intangible assets based on fair values as of the acquisition date. The valuation of net assets was performed utilizing cost, income and market approaches.</w:t>
      </w:r>
    </w:p>
    <w:p>
      <w:pPr>
        <w:spacing w:after="0" w:line="54"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On July 1, 2014, Tropicana sold its River Palms Hotel and Casino ("River Palms") to Nevada Restaurant Services, Inc. and its affiliate, Laughlin Hotel, LLC. Pursuant to the terms of the asset purchase agreement, substantially all of the assets associated with the operation of River Palms were sold for $7 million in cash. Concurrently with the sale, Tropicana leased back River Palms until September 2014 when Tropicana terminated the lease and discontinued its operation of River Palms.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Packaging</w:t>
      </w:r>
    </w:p>
    <w:p>
      <w:pPr>
        <w:spacing w:after="0" w:line="121" w:lineRule="exact"/>
        <w:rPr>
          <w:sz w:val="20"/>
          <w:szCs w:val="20"/>
          <w:color w:val="auto"/>
        </w:rPr>
      </w:pPr>
    </w:p>
    <w:p>
      <w:pPr>
        <w:ind w:right="140" w:firstLine="378"/>
        <w:spacing w:after="0" w:line="282" w:lineRule="auto"/>
        <w:rPr>
          <w:sz w:val="20"/>
          <w:szCs w:val="20"/>
          <w:color w:val="auto"/>
        </w:rPr>
      </w:pPr>
      <w:r>
        <w:rPr>
          <w:rFonts w:ascii="Times New Roman" w:cs="Times New Roman" w:eastAsia="Times New Roman" w:hAnsi="Times New Roman"/>
          <w:sz w:val="18"/>
          <w:szCs w:val="18"/>
          <w:color w:val="auto"/>
        </w:rPr>
        <w:t>We conduct our Food Packaging segment through our majority ownership in Viskase Companies, Inc. ("Viskase"). Viskase is a worldwide leader in the production and sale of cellulosic, fibrous and plastic casings for the processed meat and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420"/>
          </w:cols>
          <w:pgMar w:left="240" w:top="334" w:right="2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poultry industry. Viskase currently operates nine manufacturing facilities and nine distribution centers throughout North America, Europe, South America and Asia and derives approximately 72% of its total net sales from customers located outside the United States.</w:t>
      </w:r>
    </w:p>
    <w:p>
      <w:pPr>
        <w:spacing w:after="0" w:line="54" w:lineRule="exact"/>
        <w:rPr>
          <w:sz w:val="20"/>
          <w:szCs w:val="20"/>
          <w:color w:val="auto"/>
        </w:rPr>
      </w:pPr>
    </w:p>
    <w:p>
      <w:pPr>
        <w:ind w:right="800" w:firstLine="378"/>
        <w:spacing w:after="0" w:line="282" w:lineRule="auto"/>
        <w:rPr>
          <w:sz w:val="20"/>
          <w:szCs w:val="20"/>
          <w:color w:val="auto"/>
        </w:rPr>
      </w:pPr>
      <w:r>
        <w:rPr>
          <w:rFonts w:ascii="Times New Roman" w:cs="Times New Roman" w:eastAsia="Times New Roman" w:hAnsi="Times New Roman"/>
          <w:sz w:val="18"/>
          <w:szCs w:val="18"/>
          <w:color w:val="auto"/>
        </w:rPr>
        <w:t>During 2013, we acquired additional shares of Viskase common stock. As of December 31, 2014, we owned approximately 73.5% of the total outstanding common stock of Viskase.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Real Estate segment consists of rental real estate, property development and resort activities.</w:t>
      </w:r>
    </w:p>
    <w:p>
      <w:pPr>
        <w:spacing w:after="0" w:line="117"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As of December 31, 2014, we owned 29 commercial rental real estate properties. Our property development operations are run primarily through Bayswater Development LLC, a real estate investment, management and development subsidiary that focuses primarily on the construction and sale of single-family and multi-family homes, lots in subdivisions and planned communities and raw land for residential development. Our New Seabury development property in Cape Cod, Massachusetts and our Grand Harbor and Oak Harbor development property in Vero Beach, Florida include land for future residential development of approximately 267 and 1,328 units of residential housing, respectively. Both developments operate golf and resort operations as well. In addition, our Real Estate segment owns an unfinished development property and a partially developed casino, located on approximately 23 acres in Las Vegas, Nevada.</w:t>
      </w:r>
    </w:p>
    <w:p>
      <w:pPr>
        <w:spacing w:after="0" w:line="81" w:lineRule="exact"/>
        <w:rPr>
          <w:sz w:val="20"/>
          <w:szCs w:val="20"/>
          <w:color w:val="auto"/>
        </w:rPr>
      </w:pPr>
    </w:p>
    <w:p>
      <w:pPr>
        <w:ind w:right="400" w:firstLine="378"/>
        <w:spacing w:after="0" w:line="282" w:lineRule="auto"/>
        <w:rPr>
          <w:sz w:val="20"/>
          <w:szCs w:val="20"/>
          <w:color w:val="auto"/>
        </w:rPr>
      </w:pPr>
      <w:r>
        <w:rPr>
          <w:rFonts w:ascii="Times New Roman" w:cs="Times New Roman" w:eastAsia="Times New Roman" w:hAnsi="Times New Roman"/>
          <w:sz w:val="18"/>
          <w:szCs w:val="18"/>
          <w:color w:val="auto"/>
        </w:rPr>
        <w:t>As of December 31, 2014 and 2013, $31 million and $56 million, respectively, of the net investment in financing leases and net real estate leased to others which is included in property, plant and equipment, net, were pledged to collateralize the payment of nonrecourse mortgages payable.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Fashion</w:t>
      </w:r>
    </w:p>
    <w:p>
      <w:pPr>
        <w:spacing w:after="0" w:line="121"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We conduct our Home Fashion segment through our indirect wholly owned subsidiary, WestPoint Home LLC (“WPH”), a manufacturer and distributor of home fashion consumer products. WPH is engaged in the business of designing, marketing, manufacturing, sourcing, distributing and selling home fashion consumer products. WPH markets a broad range of manufactured and sourced bed, bath, basic bedding, and other textile products, including sheets, pillowcases, bedspreads, quilts, comforters and duvet covers, bath and beach towels, bath accessories, bed skirts, bed pillows, flocked blankets, woven blankets, throws and mattress pads. WPH recognizes revenue primarily through the sale of home fashion products to a variety of retail and institutional customers. In addition, WPH receives a small portion of its revenues through the licensing of its trademarks.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Anticipated Future Receipts</w:t>
      </w:r>
    </w:p>
    <w:p>
      <w:pPr>
        <w:spacing w:after="0" w:line="121" w:lineRule="exact"/>
        <w:rPr>
          <w:sz w:val="20"/>
          <w:szCs w:val="20"/>
          <w:color w:val="auto"/>
        </w:rPr>
      </w:pPr>
    </w:p>
    <w:p>
      <w:pPr>
        <w:ind w:right="80" w:firstLine="37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consolidated anticipated future receipts of the minimum lease payments receivable under the financing and operating method on a consolidated basis at December 31, 2014: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0" w:type="dxa"/>
            <w:vAlign w:val="bottom"/>
          </w:tcPr>
          <w:p>
            <w:pPr>
              <w:spacing w:after="0"/>
              <w:rPr>
                <w:sz w:val="20"/>
                <w:szCs w:val="20"/>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10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9"/>
        </w:trPr>
        <w:tc>
          <w:tcPr>
            <w:tcW w:w="10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(in millions)</w:t>
            </w:r>
          </w:p>
        </w:tc>
      </w:tr>
      <w:tr>
        <w:trPr>
          <w:trHeight w:val="255"/>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434</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400</w:t>
            </w:r>
          </w:p>
        </w:tc>
      </w:tr>
      <w:tr>
        <w:trPr>
          <w:trHeight w:val="27"/>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344</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275</w:t>
            </w:r>
          </w:p>
        </w:tc>
      </w:tr>
      <w:tr>
        <w:trPr>
          <w:trHeight w:val="27"/>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w:t>
            </w:r>
          </w:p>
        </w:tc>
      </w:tr>
      <w:tr>
        <w:trPr>
          <w:trHeight w:val="243"/>
        </w:trPr>
        <w:tc>
          <w:tcPr>
            <w:tcW w:w="10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10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1,785</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jc w:val="both"/>
        <w:ind w:right="20" w:firstLine="378"/>
        <w:spacing w:after="0" w:line="266" w:lineRule="auto"/>
        <w:rPr>
          <w:sz w:val="20"/>
          <w:szCs w:val="20"/>
          <w:color w:val="auto"/>
        </w:rPr>
      </w:pPr>
      <w:r>
        <w:rPr>
          <w:rFonts w:ascii="Times New Roman" w:cs="Times New Roman" w:eastAsia="Times New Roman" w:hAnsi="Times New Roman"/>
          <w:sz w:val="18"/>
          <w:szCs w:val="18"/>
          <w:color w:val="auto"/>
        </w:rPr>
        <w:t>Our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420"/>
          </w:cols>
          <w:pgMar w:left="240" w:top="333" w:right="2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limitations contained in our partnership agreement and the Delaware Revised Uniform Limited Partnership Act. The indentures governing our indebtedness contain certain covenants applicable to transactions with affiliates.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2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Mr. Icahn, along with his affiliates (excluding Icahn Enterprises and Icahn Enterprises Holdings), makes investments in the Investment Funds. During 2014 and 2013, affiliates of Mr. Icahn invested $500 million and $45 million, respectively, in the Investment Funds. As further discussed in Note 7, "Financial Instruments - Investment Segment and Holding Company," the Investment Funds are parties to swap agreements with respect to shares of the S&amp;P 500 ETF Trust (“SPDR”). On August 19, 2013, certain of the Investment Funds assigned an aggregate 7.7 million SPDR shares to Koala Holdings LP and its subsidiary (collectively, "Koala"), an affiliate of Mr. Icahn's. In addition, certain of the Investment Funds distributed $185 million to Koala. As of December 31, 2014 and 2013, the total fair market value of investments in the Investment Funds made by Mr. Icahn and his affiliates (excluding Icahn Enterprises and Icahn Enterprises Holdings) was approximately $4.8 billion and $4.7 billion, respectively, representing approximately 53% and 56%, respectively, of the Investment Funds' asset under management.</w:t>
      </w:r>
    </w:p>
    <w:p>
      <w:pPr>
        <w:spacing w:after="0" w:line="77"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Icahn Capital LP ("Icahn Capital") pays for expenses pertaining to the operation, administration and investment activities of our Investment segment for the benefit of the Investment Funds (including salaries, benefits and rent); such expenses shall be allocated to Icahn Capital in accordance with each investor's capital accounts in the Investment Funds. Effective April 1, 2011, based on an expense-sharing arrangement, certain expenses borne by Icahn Capital are reimbursed by the Investment Funds, generally when such expenses are paid. For the years ended December 31, 2014, 2013, and 2012, $155 million, $113 million and $23 million, respectively, was allocated to the Investment Funds based on this expense-sharing arrangement.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9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described in Note 10, "Debt - Automotive," on December 6, 2013, Federal-Mogul entered into a backstop commitment letter ("Backstop Commitment") with High River Limited Partnership ("High River"), an affiliate of Mr. Icahn, in favor of Federal-Mogul with respect to its existing Tranche B term loan. The Backstop Commitment provides that if Federal-Mogul is unable to refinance its Tranche B term loan on or prior to September 27, 2014, High River or an affiliate thereof with at least the same net worth will provide loan financing of up to $1.6 billion to Federal-Mogul and its subsidiaries on arms-length terms to provide the funding necessary to repay the Tranche B term loan. The High River loan will be subject to negotiation and execution of definitive documentation to be approved by the independent directors of Federal-Mogul. Due to the refinancing of Federal-Mogul's term loans, the backstop commitment letter provided to Federal-Mogul on December 6, 2013 from High River Limited Partnership, an affiliate of Mr. Carl C. Icahn, was terminated.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21"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On May 7, 2012, affiliates of Mr. Icahn contributed 4,566,546 shares of CVR common stock to IEP Energy with an aggregate value of $137 million, resulting in a 6.4% non-controlling interest in IEP Energy. Pursuant to a contribution and exchange agreement dated August 24, 2012, affiliates of Mr. Icahn contributed their interest in IEP Energy to us for an aggregate consideration of 3,288,371 of our depositary units based on a 20 trading-day volume weighted average price of our depositary units. This transaction was approved by the Audit Committee of the board of directors of Icahn Enterprises GP. The Audit Committee was advised by independent counsel and an independent financial advisor which rendered a fairness opinion.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Railcar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ARL</w:t>
      </w:r>
    </w:p>
    <w:p>
      <w:pPr>
        <w:spacing w:after="0" w:line="119" w:lineRule="exact"/>
        <w:rPr>
          <w:sz w:val="20"/>
          <w:szCs w:val="20"/>
          <w:color w:val="auto"/>
        </w:rPr>
      </w:pPr>
    </w:p>
    <w:p>
      <w:pPr>
        <w:ind w:right="80" w:firstLine="378"/>
        <w:spacing w:after="0" w:line="261" w:lineRule="auto"/>
        <w:rPr>
          <w:sz w:val="20"/>
          <w:szCs w:val="20"/>
          <w:color w:val="auto"/>
        </w:rPr>
      </w:pPr>
      <w:r>
        <w:rPr>
          <w:rFonts w:ascii="Times New Roman" w:cs="Times New Roman" w:eastAsia="Times New Roman" w:hAnsi="Times New Roman"/>
          <w:sz w:val="18"/>
          <w:szCs w:val="18"/>
          <w:color w:val="auto"/>
        </w:rPr>
        <w:t>Prior to October 2, 2013, ARL was a railcar leasing company which was wholly owned and controlled by Mr. Icahn. Earlier in 2013, ARL became a wholly owned subsidiary of IRL Holding LLC ("IRL") which was also wholly owned and controlled by Mr. Icahn. ARL had, for some time, been purchasing railcars from ARI on a non-exclusive basis. In addition, ARL had entered into an agreement to manage a fleet of ARI-produced railcars owned by our subsidiary, AEP Leasing LLC ("AEP Leasing"), a subsidiary of American Enterprise Properties Corporation.</w:t>
      </w:r>
    </w:p>
    <w:p>
      <w:pPr>
        <w:spacing w:after="0" w:line="72" w:lineRule="exact"/>
        <w:rPr>
          <w:sz w:val="20"/>
          <w:szCs w:val="20"/>
          <w:color w:val="auto"/>
        </w:rPr>
      </w:pPr>
    </w:p>
    <w:p>
      <w:pPr>
        <w:ind w:right="520" w:firstLine="423"/>
        <w:spacing w:after="0" w:line="282" w:lineRule="auto"/>
        <w:rPr>
          <w:sz w:val="20"/>
          <w:szCs w:val="20"/>
          <w:color w:val="auto"/>
        </w:rPr>
      </w:pPr>
      <w:r>
        <w:rPr>
          <w:rFonts w:ascii="Times New Roman" w:cs="Times New Roman" w:eastAsia="Times New Roman" w:hAnsi="Times New Roman"/>
          <w:sz w:val="18"/>
          <w:szCs w:val="18"/>
          <w:color w:val="auto"/>
        </w:rPr>
        <w:t>On September 20, 2013, AEP purchased the remainder of the management agreement between AEP Leasing and ARL for $21 million; ARL then distributed $71 million in cash and $171 million in notes receivable (including interest accrued) to IRL.</w:t>
      </w:r>
    </w:p>
    <w:p>
      <w:pPr>
        <w:spacing w:after="0" w:line="54" w:lineRule="exact"/>
        <w:rPr>
          <w:sz w:val="20"/>
          <w:szCs w:val="20"/>
          <w:color w:val="auto"/>
        </w:rPr>
      </w:pPr>
    </w:p>
    <w:p>
      <w:pPr>
        <w:ind w:right="40" w:firstLine="378"/>
        <w:spacing w:after="0" w:line="261" w:lineRule="auto"/>
        <w:rPr>
          <w:sz w:val="20"/>
          <w:szCs w:val="20"/>
          <w:color w:val="auto"/>
        </w:rPr>
      </w:pPr>
      <w:r>
        <w:rPr>
          <w:rFonts w:ascii="Times New Roman" w:cs="Times New Roman" w:eastAsia="Times New Roman" w:hAnsi="Times New Roman"/>
          <w:sz w:val="18"/>
          <w:szCs w:val="18"/>
          <w:color w:val="auto"/>
        </w:rPr>
        <w:t>On October 2, 2013, our subsidiaries, AEP and IEP Energy Holding LLC, entered into a contribution agreement with ARL and IRL pursuant to which AEP contributed $279 million in cash to ARL; on January 1, 2014, AEP contributed the fair market value of its 100% interest in AEP Leasing to ARL; and in exchange, AEP received a 75% membership interest in ARL. ARL then incurred additional debt of $381 million (the "ARL Financing") in February 2014. Pursuant to the ARL Contribution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420"/>
          </w:cols>
          <w:pgMar w:left="240" w:top="333" w:right="239" w:bottom="1440" w:gutter="0" w:footer="0" w:header="0"/>
        </w:sectPr>
      </w:pPr>
    </w:p>
    <w:bookmarkStart w:id="166" w:name="page167"/>
    <w:bookmarkEnd w:id="1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Agreement, ARL distributed $381 million to IRL on February 24, 2014. In connection with this debt financing transaction, ACF Industries Holding LLC, an affiliate, has provided an unconditional guaranty in respect of the debt incurred for the ARL Financing.</w:t>
      </w:r>
    </w:p>
    <w:p>
      <w:pPr>
        <w:spacing w:after="0" w:line="54" w:lineRule="exact"/>
        <w:rPr>
          <w:sz w:val="20"/>
          <w:szCs w:val="20"/>
          <w:color w:val="auto"/>
        </w:rPr>
      </w:pPr>
    </w:p>
    <w:p>
      <w:pPr>
        <w:jc w:val="both"/>
        <w:ind w:right="180" w:firstLine="378"/>
        <w:spacing w:after="0" w:line="266" w:lineRule="auto"/>
        <w:rPr>
          <w:sz w:val="20"/>
          <w:szCs w:val="20"/>
          <w:color w:val="auto"/>
        </w:rPr>
      </w:pPr>
      <w:r>
        <w:rPr>
          <w:rFonts w:ascii="Times New Roman" w:cs="Times New Roman" w:eastAsia="Times New Roman" w:hAnsi="Times New Roman"/>
          <w:sz w:val="18"/>
          <w:szCs w:val="18"/>
          <w:color w:val="auto"/>
        </w:rPr>
        <w:t>ARL had a secured promissory note (the "Icahn Note") dated October 28, 2004 from Mr. Icahn for $165 million, bearing interest of prime plus 1.75%. Pursuant to the ARL Contribution Agreement, the Icahn Note (with a balance of $171 million, including accrued interest) was distributed to IRL in October 2013. For the years ended December 31, 2013 and 2012, ARL received interest income of $6 million and $8 million, respectively.</w:t>
      </w:r>
    </w:p>
    <w:p>
      <w:pPr>
        <w:spacing w:after="0" w:line="68" w:lineRule="exact"/>
        <w:rPr>
          <w:sz w:val="20"/>
          <w:szCs w:val="20"/>
          <w:color w:val="auto"/>
        </w:rPr>
      </w:pPr>
    </w:p>
    <w:p>
      <w:pPr>
        <w:jc w:val="both"/>
        <w:ind w:right="140" w:firstLine="378"/>
        <w:spacing w:after="0" w:line="266" w:lineRule="auto"/>
        <w:rPr>
          <w:sz w:val="20"/>
          <w:szCs w:val="20"/>
          <w:color w:val="auto"/>
        </w:rPr>
      </w:pPr>
      <w:r>
        <w:rPr>
          <w:rFonts w:ascii="Times New Roman" w:cs="Times New Roman" w:eastAsia="Times New Roman" w:hAnsi="Times New Roman"/>
          <w:sz w:val="18"/>
          <w:szCs w:val="18"/>
          <w:color w:val="auto"/>
        </w:rPr>
        <w:t>These transactions were approved by a special committee of independent members of our board of directors. The special committee was advised by its own legal counsel and independent financial adviser with respect to the transactions. The special committee received an opinion from its financial adviser as to the fairness to us, from a financial point of view, of the consideration paid by us.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ACF Industries LLC</w:t>
      </w:r>
    </w:p>
    <w:p>
      <w:pPr>
        <w:spacing w:after="0" w:line="11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January 2013, ARI entered into a purchasing and engineering services agreement and license with ACF Industries LLC ("ACF"), an affiliate of Mr. Icahn. The agreement was unanimously approved by the independent directors of ARI’s and Icahn Enterprises' audit committee on the basis that the terms of the agreement were not materially less favorable to ARI than those that could have been obtained in a comparable transaction with an unrelated person. Under this agreement, ARI provides purchasing support and engineering services to ACF in connection with ACF’s manufacture and sale of tank railcars at its facility in Milton, Pennsylvania. Additionally, ARI has granted ACF a nonexclusive, non-assignable license to certain of ARI’s intellectual property, including certain designs, specifications, processes and manufacturing know-how required to manufacture and sell tank railcars during the term of the agreement. In August 2014, ARI and ACF amended this agreement to, among other things, extend the termination date from December 31, 2014 to December 31, 2015, subject to certain early termination events.</w:t>
      </w:r>
    </w:p>
    <w:p>
      <w:pPr>
        <w:spacing w:after="0" w:line="77"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consideration for the services and license provided by ARI to ACF in conjunction with the agreement, ACF pays ARI a royalty and, if any, a share of the net profits ("ACF Profits") earned on each railcar manufactured and sold by ACF under the agreement, in an aggregate amount equal to 30 percent of such ACF Profits, as calculated under the agreement. ACF Profits are net of certain of ACF’s start-up and shutdown expenses and certain maintenance capital. If no ACF Profits are realized on a railcar manufactured and sold by ACF pursuant to the agreement, ARI will still be entitled to the royalty for such railcar and will not share in any losses incurred by ACF in connection therewith. In addition, any railcar components supplied by ARI to ACF for the manufacture of these railcars shall be provided at fair market value.</w:t>
      </w:r>
    </w:p>
    <w:p>
      <w:pPr>
        <w:spacing w:after="0" w:line="8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Under the agreement, ACF had the exclusive right to manufacture and sell subject tank railcars for any new orders scheduled for delivery to customers on or before January 31, 2014. ARI has the exclusive right to any sales opportunities for such tank railcars for any new orders scheduled for delivery after that date and through December 31, 2015. ARI also has the right to assign any sales opportunity to ACF, and ACF has the right, but not the obligation, to accept such sales opportunity. Any sales opportunity accepted by ACF will not be reflected in ARI’s orders or backlog.</w:t>
      </w:r>
    </w:p>
    <w:p>
      <w:pPr>
        <w:spacing w:after="0" w:line="72"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Revenues of $19 million and $12 million for the years ended December 31, 2014 and 2013, respectively, were recorded for sales of railcar components to ACF and for royalties and profits on railcars sold by ACF.</w:t>
      </w:r>
    </w:p>
    <w:p>
      <w:pPr>
        <w:spacing w:after="0" w:line="54"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In April 2013, AEP Leasing entered into an agreement ("ACF Agreement") with ACF whereby AEP Leasing agreed to purchase 1,050 railcars from ACF in 2013 and 2014 for an aggregate purchase price of approximately $150 million. Additionally, AEP Leasing had an option that was exercisable any time prior to September 1, 2014 to purchase an additional 500 railcars for an aggregate purchase price of approximately $70 million. During the second quarter of 2014, AEP Leasing exercised its option to purchase an additional 296 railcars for an aggregate purchase price of $43 million.</w:t>
      </w:r>
    </w:p>
    <w:p>
      <w:pPr>
        <w:spacing w:after="0" w:line="7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ACF Agreement was assumed by ARL in connection with our purchase of a 75% economic interest in ARL. The ACF Agreement was unanimously approved by Icahn Enterprises' audit committee consisting of independent directors, who were advised by independent counsel and an independent financial advisor on the basis that the terms were not less favorable than those terms that could have been obtained in a comparable transaction with an unaffiliated third party. Under this agreement, purchases of railcars by our Railcar segment from ACF were $127 million and $57 million for the years ended December 31, 2014 and 2013, respectively.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420"/>
          </w:cols>
          <w:pgMar w:left="240" w:top="333" w:right="2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Insight Portfolio Group LLC (formerly known as Icahn Sourcing, LLC)</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Icahn Sourcing, LLC ("Icahn Sourcing")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was a member of the buying group in 2012. Prior to December 31, 2012 Icahn Enterprises did not pay Icahn Sourcing any fees or other amounts with respect to the buying group arrangement.</w:t>
      </w:r>
    </w:p>
    <w:p>
      <w:pPr>
        <w:spacing w:after="0" w:line="7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December 2012, Icahn Sourcing advised Icahn Enterprises that effective January 1, 2013 it would restructure its ownership and change its name to Insight Portfolio Group LLC (“Insight Portfolio Group”). In connection with the restructuring, Icahn Enterprises Holdings acquired a minority equity interest in Insight Portfolio Group and agreed to pay a portion of Insight Portfolio Group's operating expenses. In addition to the minority equity interest held by Icahn Enterprises Holdings, certain subsidiaries of Icahn Enterprises Holdings, including Federal-Mogul, CVR, Tropicana, ARI, ARL, Viskase, PSC Metals and WPH also acquired minority equity interests in Insight Portfolio Group and agreed to pay a portion of Insight Portfolio Group's operating expenses. A number of other entities with which Mr. Icahn has a relationship also acquired equity interests in Insight Portfolio Group and also agreed to pay certain of Insight Portfolio Group's operating expenses. For each of the years ended December 31, 2014 and 2013, we and certain of our subsidiaries paid certain of the Insight Portfolio Group's operating expenses of approximately $2 million.</w:t>
      </w:r>
    </w:p>
    <w:p>
      <w:pPr>
        <w:spacing w:after="0" w:line="181"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and Related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75" w:lineRule="exact"/>
        <w:rPr>
          <w:sz w:val="20"/>
          <w:szCs w:val="20"/>
          <w:color w:val="auto"/>
        </w:rPr>
      </w:pPr>
    </w:p>
    <w:p>
      <w:pPr>
        <w:jc w:val="both"/>
        <w:ind w:right="20" w:firstLine="378"/>
        <w:spacing w:after="0" w:line="266" w:lineRule="auto"/>
        <w:rPr>
          <w:sz w:val="20"/>
          <w:szCs w:val="20"/>
          <w:color w:val="auto"/>
        </w:rPr>
      </w:pPr>
      <w:r>
        <w:rPr>
          <w:rFonts w:ascii="Times New Roman" w:cs="Times New Roman" w:eastAsia="Times New Roman" w:hAnsi="Times New Roman"/>
          <w:sz w:val="18"/>
          <w:szCs w:val="18"/>
          <w:color w:val="auto"/>
        </w:rPr>
        <w:t>Investments, and securities sold, not yet purchased consist of equities, bonds, bank debt and other corporate obligations, and derivatives, all of which are reported at fair value in our consolidated balance sheets. See Note 6, "Fair Value Measurements-Investment," for details of the investments for our Investment segment.</w:t>
      </w:r>
    </w:p>
    <w:p>
      <w:pPr>
        <w:spacing w:after="0" w:line="68" w:lineRule="exact"/>
        <w:rPr>
          <w:sz w:val="20"/>
          <w:szCs w:val="20"/>
          <w:color w:val="auto"/>
        </w:rPr>
      </w:pPr>
    </w:p>
    <w:p>
      <w:pPr>
        <w:ind w:right="180" w:firstLine="378"/>
        <w:spacing w:after="0" w:line="266" w:lineRule="auto"/>
        <w:rPr>
          <w:sz w:val="20"/>
          <w:szCs w:val="20"/>
          <w:color w:val="auto"/>
        </w:rPr>
      </w:pPr>
      <w:r>
        <w:rPr>
          <w:rFonts w:ascii="Times New Roman" w:cs="Times New Roman" w:eastAsia="Times New Roman" w:hAnsi="Times New Roman"/>
          <w:sz w:val="18"/>
          <w:szCs w:val="18"/>
          <w:color w:val="auto"/>
        </w:rPr>
        <w:t>Our Investment segment assesses the applicability of equity method accounting with respect to their investments based on a combination of qualitative and quantitative factors, including overall stock ownership of the Investment Funds combined with those of our affiliates along with board of directors representation.</w:t>
      </w:r>
    </w:p>
    <w:p>
      <w:pPr>
        <w:spacing w:after="0" w:line="68" w:lineRule="exact"/>
        <w:rPr>
          <w:sz w:val="20"/>
          <w:szCs w:val="20"/>
          <w:color w:val="auto"/>
        </w:rPr>
      </w:pPr>
    </w:p>
    <w:p>
      <w:pPr>
        <w:ind w:right="420" w:firstLine="378"/>
        <w:spacing w:after="0" w:line="255" w:lineRule="auto"/>
        <w:rPr>
          <w:sz w:val="20"/>
          <w:szCs w:val="20"/>
          <w:color w:val="auto"/>
        </w:rPr>
      </w:pPr>
      <w:r>
        <w:rPr>
          <w:rFonts w:ascii="Times New Roman" w:cs="Times New Roman" w:eastAsia="Times New Roman" w:hAnsi="Times New Roman"/>
          <w:sz w:val="18"/>
          <w:szCs w:val="18"/>
          <w:color w:val="auto"/>
        </w:rPr>
        <w:t>Our Investment segment applied the fair value option to certain of its investments that would have otherwise been subject to the equity method of accounting. As of both December 31, 2014 and 2013, the fair value of these investments was less than $1 million. During the years ended December 31, 2014, 2013 and 2012, our Investment segment recorded gains of less than $1 million, $140 million and $310 million, respectively, associated with these investments. Such amounts are included in net gain from investment activities in our consolidated statements of operations. Included in these investment gains and losses is the Investment Funds' gains and losses in The Hain Celestial Group, Inc. (“Hain”) and Metro-Golden-Mayer Inc. ("MGM"). As of December 31, 2014, the Investment Funds no longer held any shares of Hain or MGM. The General Partners have applied the fair value option to their previously held investments in Hain and MGM.</w:t>
      </w:r>
    </w:p>
    <w:p>
      <w:pPr>
        <w:spacing w:after="0" w:line="81" w:lineRule="exact"/>
        <w:rPr>
          <w:sz w:val="20"/>
          <w:szCs w:val="20"/>
          <w:color w:val="auto"/>
        </w:rPr>
      </w:pPr>
    </w:p>
    <w:p>
      <w:pPr>
        <w:ind w:right="120" w:firstLine="378"/>
        <w:spacing w:after="0" w:line="282" w:lineRule="auto"/>
        <w:rPr>
          <w:sz w:val="20"/>
          <w:szCs w:val="20"/>
          <w:color w:val="auto"/>
        </w:rPr>
      </w:pPr>
      <w:r>
        <w:rPr>
          <w:rFonts w:ascii="Times New Roman" w:cs="Times New Roman" w:eastAsia="Times New Roman" w:hAnsi="Times New Roman"/>
          <w:sz w:val="18"/>
          <w:szCs w:val="18"/>
          <w:color w:val="auto"/>
        </w:rPr>
        <w:t>The portion of trading (losses) gains that relates to trading securities still held by our Investment segment for the years ended December 31, 2014, 2013 and 2012 was $(570) million, $2.9 billion and $697 million, respectively.</w:t>
      </w:r>
    </w:p>
    <w:p>
      <w:pPr>
        <w:spacing w:after="0" w:line="54" w:lineRule="exact"/>
        <w:rPr>
          <w:sz w:val="20"/>
          <w:szCs w:val="20"/>
          <w:color w:val="auto"/>
        </w:rPr>
      </w:pPr>
    </w:p>
    <w:p>
      <w:pPr>
        <w:ind w:right="600" w:firstLine="378"/>
        <w:spacing w:after="0" w:line="282" w:lineRule="auto"/>
        <w:rPr>
          <w:sz w:val="20"/>
          <w:szCs w:val="20"/>
          <w:color w:val="auto"/>
        </w:rPr>
      </w:pPr>
      <w:r>
        <w:rPr>
          <w:rFonts w:ascii="Times New Roman" w:cs="Times New Roman" w:eastAsia="Times New Roman" w:hAnsi="Times New Roman"/>
          <w:sz w:val="18"/>
          <w:szCs w:val="18"/>
          <w:color w:val="auto"/>
        </w:rPr>
        <w:t>We believe that these investments to which we applied the fair value option are not material, individually or in the aggregate, to our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Segments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value of investments held by our Automotive, Energy, Railcar and Gaming segments and the Holding Company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4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2014</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8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54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color w:val="auto"/>
              </w:rPr>
              <w:t>(in millions)</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4520" w:type="dxa"/>
            <w:vAlign w:val="bottom"/>
            <w:tcBorders>
              <w:bottom w:val="single" w:sz="8" w:color="CCEEFF"/>
            </w:tcBorders>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investments</w:t>
            </w:r>
          </w:p>
        </w:tc>
        <w:tc>
          <w:tcPr>
            <w:tcW w:w="29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166</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4" w:right="2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300" w:firstLine="378"/>
        <w:spacing w:after="0" w:line="266" w:lineRule="auto"/>
        <w:rPr>
          <w:sz w:val="20"/>
          <w:szCs w:val="20"/>
          <w:color w:val="auto"/>
        </w:rPr>
      </w:pPr>
      <w:r>
        <w:rPr>
          <w:rFonts w:ascii="Times New Roman" w:cs="Times New Roman" w:eastAsia="Times New Roman" w:hAnsi="Times New Roman"/>
          <w:sz w:val="18"/>
          <w:szCs w:val="18"/>
          <w:color w:val="auto"/>
        </w:rPr>
        <w:t>The Holding Company applies the fair value option to its investments that would otherwise be subject to the equity method of accounting. We record unrealized gains and losses for the change in fair value of such investments as a component of net gain from investment activities in the consolidated statements of operations.</w:t>
      </w:r>
    </w:p>
    <w:p>
      <w:pPr>
        <w:spacing w:after="0" w:line="172"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U.S. GAAP requires enhanced disclosures about investments and non-recurring non-financial assets and non-financial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Investments and non-financial assets and/or liabilities measured and reported at fair value are classified and disclosed in one of the following categories:</w:t>
      </w:r>
    </w:p>
    <w:p>
      <w:pPr>
        <w:spacing w:after="0" w:line="117" w:lineRule="exact"/>
        <w:rPr>
          <w:sz w:val="20"/>
          <w:szCs w:val="20"/>
          <w:color w:val="auto"/>
        </w:rPr>
      </w:pPr>
    </w:p>
    <w:p>
      <w:pPr>
        <w:ind w:left="420" w:right="140"/>
        <w:spacing w:after="0" w:line="313" w:lineRule="auto"/>
        <w:rPr>
          <w:sz w:val="20"/>
          <w:szCs w:val="20"/>
          <w:color w:val="auto"/>
        </w:rPr>
      </w:pPr>
      <w:r>
        <w:rPr>
          <w:rFonts w:ascii="Times New Roman" w:cs="Times New Roman" w:eastAsia="Times New Roman" w:hAnsi="Times New Roman"/>
          <w:sz w:val="17"/>
          <w:szCs w:val="17"/>
          <w:color w:val="auto"/>
        </w:rPr>
        <w:t>Level 1 - Quoted prices are available in active markets for identical investments as of the reporting date. The types of investments included in Level 1 include listed equities and listed derivatives. We do not adjust the quoted price for these investments, even in situations where we hold a large position.</w:t>
      </w:r>
    </w:p>
    <w:p>
      <w:pPr>
        <w:spacing w:after="0" w:line="30" w:lineRule="exact"/>
        <w:rPr>
          <w:sz w:val="20"/>
          <w:szCs w:val="20"/>
          <w:color w:val="auto"/>
        </w:rPr>
      </w:pPr>
    </w:p>
    <w:p>
      <w:pPr>
        <w:ind w:left="420" w:right="40"/>
        <w:spacing w:after="0" w:line="261" w:lineRule="auto"/>
        <w:rPr>
          <w:sz w:val="20"/>
          <w:szCs w:val="20"/>
          <w:color w:val="auto"/>
        </w:rPr>
      </w:pPr>
      <w:r>
        <w:rPr>
          <w:rFonts w:ascii="Times New Roman" w:cs="Times New Roman" w:eastAsia="Times New Roman" w:hAnsi="Times New Roman"/>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 Investments that are generally included in this category include corporate bonds and loans, less liquid and restricted equity securities and certain over-the-counter derivatives. The inputs and assumptions of our Level 2 investments are derived from market observable sources including reported trades, broker/dealer quotes and other pertinent data.</w:t>
      </w:r>
    </w:p>
    <w:p>
      <w:pPr>
        <w:spacing w:after="0" w:line="72" w:lineRule="exact"/>
        <w:rPr>
          <w:sz w:val="20"/>
          <w:szCs w:val="20"/>
          <w:color w:val="auto"/>
        </w:rPr>
      </w:pPr>
    </w:p>
    <w:p>
      <w:pPr>
        <w:ind w:left="420" w:right="140"/>
        <w:spacing w:after="0" w:line="261" w:lineRule="auto"/>
        <w:rPr>
          <w:sz w:val="20"/>
          <w:szCs w:val="20"/>
          <w:color w:val="auto"/>
        </w:rPr>
      </w:pPr>
      <w:r>
        <w:rPr>
          <w:rFonts w:ascii="Times New Roman" w:cs="Times New Roman" w:eastAsia="Times New Roman" w:hAnsi="Times New Roman"/>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72" w:lineRule="exact"/>
        <w:rPr>
          <w:sz w:val="20"/>
          <w:szCs w:val="20"/>
          <w:color w:val="auto"/>
        </w:rPr>
      </w:pPr>
    </w:p>
    <w:p>
      <w:pPr>
        <w:ind w:right="60" w:firstLine="378"/>
        <w:spacing w:after="0" w:line="258"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420"/>
          </w:cols>
          <w:pgMar w:left="240" w:top="333" w:right="2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21" w:lineRule="exact"/>
        <w:rPr>
          <w:sz w:val="20"/>
          <w:szCs w:val="20"/>
          <w:color w:val="auto"/>
        </w:rPr>
      </w:pPr>
    </w:p>
    <w:p>
      <w:pPr>
        <w:ind w:right="160" w:firstLine="37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valuation of the Investment Funds' investments and derivative contracts by the above fair value hierarchy levels as of December 31, 2014 and 2013: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2300" w:type="dxa"/>
            <w:vAlign w:val="bottom"/>
            <w:vMerge w:val="restart"/>
          </w:tcPr>
          <w:p>
            <w:pPr>
              <w:ind w:left="9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3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Equity securities:</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Communications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Consumer, non-cyclical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3,522</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Consumer, cyclical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Diversified</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Energy</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3,050</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Financial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Funds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Industrial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Technology</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5,635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3,173</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13,639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13,659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11,130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11,314</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Corporate debt: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Consumer, cyclical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Energy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Financial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Sovereign debt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Utilities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37"/>
        </w:trPr>
        <w:tc>
          <w:tcPr>
            <w:tcW w:w="2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Financial</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13,639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13,961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11,130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11,826</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Derivative contracts, at fair</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value</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13,639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13,964</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11,130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11,826</w:t>
            </w:r>
          </w:p>
        </w:tc>
        <w:tc>
          <w:tcPr>
            <w:tcW w:w="0" w:type="dxa"/>
            <w:vAlign w:val="bottom"/>
          </w:tcPr>
          <w:p>
            <w:pPr>
              <w:spacing w:after="0"/>
              <w:rPr>
                <w:sz w:val="1"/>
                <w:szCs w:val="1"/>
                <w:color w:val="auto"/>
              </w:rPr>
            </w:pPr>
          </w:p>
        </w:tc>
      </w:tr>
      <w:tr>
        <w:trPr>
          <w:trHeight w:val="73"/>
        </w:trPr>
        <w:tc>
          <w:tcPr>
            <w:tcW w:w="23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3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Securities sold, not yet purchased,</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at fair value: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Consumer, non-cyclical</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Consumer, cyclical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787</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Financial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Funds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884</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Energy</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884</w:t>
            </w:r>
          </w:p>
        </w:tc>
        <w:tc>
          <w:tcPr>
            <w:tcW w:w="0" w:type="dxa"/>
            <w:vAlign w:val="bottom"/>
          </w:tcPr>
          <w:p>
            <w:pPr>
              <w:spacing w:after="0"/>
              <w:rPr>
                <w:sz w:val="1"/>
                <w:szCs w:val="1"/>
                <w:color w:val="auto"/>
              </w:rPr>
            </w:pPr>
          </w:p>
        </w:tc>
      </w:tr>
      <w:tr>
        <w:trPr>
          <w:trHeight w:val="19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Derivative contracts, at fair</w:t>
            </w: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value</w:t>
            </w:r>
            <w:r>
              <w:rPr>
                <w:rFonts w:ascii="Times New Roman" w:cs="Times New Roman" w:eastAsia="Times New Roman" w:hAnsi="Times New Roman"/>
                <w:sz w:val="21"/>
                <w:szCs w:val="21"/>
                <w:color w:val="auto"/>
                <w:vertAlign w:val="superscript"/>
              </w:rPr>
              <w:t>(2)</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639</w:t>
            </w:r>
          </w:p>
        </w:tc>
        <w:tc>
          <w:tcPr>
            <w:tcW w:w="0" w:type="dxa"/>
            <w:vAlign w:val="bottom"/>
          </w:tcPr>
          <w:p>
            <w:pPr>
              <w:spacing w:after="0"/>
              <w:rPr>
                <w:sz w:val="1"/>
                <w:szCs w:val="1"/>
                <w:color w:val="auto"/>
              </w:rPr>
            </w:pPr>
          </w:p>
        </w:tc>
      </w:tr>
      <w:tr>
        <w:trPr>
          <w:trHeight w:val="255"/>
        </w:trPr>
        <w:tc>
          <w:tcPr>
            <w:tcW w:w="2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1,523</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180" w:hanging="172"/>
        <w:spacing w:after="0"/>
        <w:tabs>
          <w:tab w:leader="none" w:pos="180" w:val="left"/>
        </w:tabs>
        <w:numPr>
          <w:ilvl w:val="0"/>
          <w:numId w:val="5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in other assets in our consolidated balance sheets.</w:t>
      </w:r>
    </w:p>
    <w:p>
      <w:pPr>
        <w:spacing w:after="0" w:line="17"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5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in accrued expenses and other liabilities in our consolidated balance sheets.</w:t>
      </w:r>
    </w:p>
    <w:p>
      <w:pPr>
        <w:sectPr>
          <w:pgSz w:w="11900" w:h="16838" w:orient="portrait"/>
          <w:cols w:equalWidth="0" w:num="1">
            <w:col w:w="11420"/>
          </w:cols>
          <w:pgMar w:left="240" w:top="333" w:right="239" w:bottom="8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168</w:t>
      </w:r>
    </w:p>
    <w:p>
      <w:pPr>
        <w:sectPr>
          <w:pgSz w:w="11900" w:h="16838" w:orient="portrait"/>
          <w:cols w:equalWidth="0" w:num="1">
            <w:col w:w="11420"/>
          </w:cols>
          <w:pgMar w:left="240" w:top="333" w:right="239" w:bottom="844" w:gutter="0" w:footer="0" w:header="0"/>
          <w:type w:val="continuous"/>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changes in investments measured at fair value for which our Investment segment has used Level 3 input to determine fair value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320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56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5"/>
        </w:trPr>
        <w:tc>
          <w:tcPr>
            <w:tcW w:w="7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960" w:type="dxa"/>
            <w:vAlign w:val="bottom"/>
            <w:gridSpan w:val="3"/>
          </w:tcPr>
          <w:p>
            <w:pPr>
              <w:jc w:val="right"/>
              <w:ind w:right="850"/>
              <w:spacing w:after="0"/>
              <w:rPr>
                <w:sz w:val="20"/>
                <w:szCs w:val="20"/>
                <w:color w:val="auto"/>
              </w:rPr>
            </w:pPr>
            <w:r>
              <w:rPr>
                <w:rFonts w:ascii="Times New Roman" w:cs="Times New Roman" w:eastAsia="Times New Roman" w:hAnsi="Times New Roman"/>
                <w:sz w:val="14"/>
                <w:szCs w:val="14"/>
                <w:color w:val="auto"/>
              </w:rPr>
              <w:t>(in millions)</w:t>
            </w:r>
          </w:p>
        </w:tc>
        <w:tc>
          <w:tcPr>
            <w:tcW w:w="560" w:type="dxa"/>
            <w:vAlign w:val="bottom"/>
          </w:tcPr>
          <w:p>
            <w:pPr>
              <w:spacing w:after="0"/>
              <w:rPr>
                <w:sz w:val="21"/>
                <w:szCs w:val="2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realized and unrealized (losses) gains</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7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proceeds</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Distribution-in-kind</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r>
      <w:tr>
        <w:trPr>
          <w:trHeight w:val="20"/>
        </w:trPr>
        <w:tc>
          <w:tcPr>
            <w:tcW w:w="7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360" w:firstLine="378"/>
        <w:spacing w:after="0" w:line="266" w:lineRule="auto"/>
        <w:rPr>
          <w:sz w:val="20"/>
          <w:szCs w:val="20"/>
          <w:color w:val="auto"/>
        </w:rPr>
      </w:pPr>
      <w:r>
        <w:rPr>
          <w:rFonts w:ascii="Times New Roman" w:cs="Times New Roman" w:eastAsia="Times New Roman" w:hAnsi="Times New Roman"/>
          <w:sz w:val="18"/>
          <w:szCs w:val="18"/>
          <w:color w:val="auto"/>
        </w:rPr>
        <w:t>Unrealized losses of $68 million are included in earnings related to Level 3 investments still held at December 31, 2014 by our Investment segment. Total realized and unrealized gains and losses recorded for Level 3 investments are reported in net gain from investment activities in our consolidated statements of operations.</w:t>
      </w:r>
    </w:p>
    <w:p>
      <w:pPr>
        <w:spacing w:after="0" w:line="68"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The Investment Funds owned one Level 3 corporate debt investment at December 31, 2014. In prior periods, in determining the fair value of this investment, we performed a yield analysis of comparable loans to which we applied a risk premium. As a result of the underlying company’s performance and bankruptcy filing in the third quarter of 2014, however, we determined that it was more appropriate to measure the fair value of our debt investment through an enterprise value analysis. This resulted in a lower valuation as of December 31, 2014. In addition, on June 30, 2014, the Investment Funds made a distribution-in-kind of this corporate debt investment in the amount of $110 million to the Holding Company.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Segments and Holding Company</w:t>
      </w:r>
    </w:p>
    <w:p>
      <w:pPr>
        <w:spacing w:after="0" w:line="121" w:lineRule="exact"/>
        <w:rPr>
          <w:sz w:val="20"/>
          <w:szCs w:val="20"/>
          <w:color w:val="auto"/>
        </w:rPr>
      </w:pPr>
    </w:p>
    <w:p>
      <w:pPr>
        <w:ind w:right="120" w:firstLine="37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valuation of our Automotive and Energy segments and our Holding Company investments and derivative contracts by the above fair value hierarchy levels as of December 31, 2014 and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14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Marketable equity and debt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Trading securities</w:t>
            </w:r>
          </w:p>
        </w:tc>
        <w:tc>
          <w:tcPr>
            <w:tcW w:w="140" w:type="dxa"/>
            <w:vAlign w:val="bottom"/>
          </w:tcPr>
          <w:p>
            <w:pPr>
              <w:spacing w:after="0"/>
              <w:rPr>
                <w:sz w:val="21"/>
                <w:szCs w:val="21"/>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Derivative contracts, at fair value</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67"/>
        </w:trPr>
        <w:tc>
          <w:tcPr>
            <w:tcW w:w="33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4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Derivative contracts, at fair value</w:t>
            </w:r>
            <w:r>
              <w:rPr>
                <w:rFonts w:ascii="Times New Roman" w:cs="Times New Roman" w:eastAsia="Times New Roman" w:hAnsi="Times New Roman"/>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80" w:hanging="172"/>
        <w:spacing w:after="0"/>
        <w:tabs>
          <w:tab w:leader="none" w:pos="18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Amounts are classified within other assets in our consolidated balance sheets.</w:t>
      </w:r>
    </w:p>
    <w:p>
      <w:pPr>
        <w:spacing w:after="0" w:line="16" w:lineRule="exact"/>
        <w:rPr>
          <w:rFonts w:ascii="Times New Roman" w:cs="Times New Roman" w:eastAsia="Times New Roman" w:hAnsi="Times New Roman"/>
          <w:sz w:val="22"/>
          <w:szCs w:val="22"/>
          <w:color w:val="auto"/>
          <w:vertAlign w:val="superscript"/>
        </w:rPr>
      </w:pPr>
    </w:p>
    <w:p>
      <w:pPr>
        <w:ind w:left="180" w:hanging="172"/>
        <w:spacing w:after="0" w:line="189" w:lineRule="auto"/>
        <w:tabs>
          <w:tab w:leader="none" w:pos="180" w:val="left"/>
        </w:tabs>
        <w:numPr>
          <w:ilvl w:val="0"/>
          <w:numId w:val="5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Amounts are classified within accrued expenses and other liabilities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420"/>
          </w:cols>
          <w:pgMar w:left="240" w:top="333" w:right="2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in trading securities measured at fair value for which our Holding Company have used Level 3 input to determine fair value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80" w:type="dxa"/>
            <w:vAlign w:val="bottom"/>
          </w:tcPr>
          <w:p>
            <w:pPr>
              <w:spacing w:after="0"/>
              <w:rPr>
                <w:sz w:val="20"/>
                <w:szCs w:val="20"/>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0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40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5"/>
        </w:trPr>
        <w:tc>
          <w:tcPr>
            <w:tcW w:w="8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20" w:type="dxa"/>
            <w:vAlign w:val="bottom"/>
            <w:gridSpan w:val="3"/>
          </w:tcPr>
          <w:p>
            <w:pPr>
              <w:jc w:val="right"/>
              <w:ind w:right="570"/>
              <w:spacing w:after="0"/>
              <w:rPr>
                <w:sz w:val="20"/>
                <w:szCs w:val="20"/>
                <w:color w:val="auto"/>
              </w:rPr>
            </w:pPr>
            <w:r>
              <w:rPr>
                <w:rFonts w:ascii="Times New Roman" w:cs="Times New Roman" w:eastAsia="Times New Roman" w:hAnsi="Times New Roman"/>
                <w:sz w:val="14"/>
                <w:szCs w:val="14"/>
                <w:color w:val="auto"/>
              </w:rPr>
              <w:t>(in millions)</w:t>
            </w:r>
          </w:p>
        </w:tc>
        <w:tc>
          <w:tcPr>
            <w:tcW w:w="400" w:type="dxa"/>
            <w:vAlign w:val="bottom"/>
          </w:tcPr>
          <w:p>
            <w:pPr>
              <w:spacing w:after="0"/>
              <w:rPr>
                <w:sz w:val="21"/>
                <w:szCs w:val="2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w:t>
            </w:r>
          </w:p>
        </w:tc>
        <w:tc>
          <w:tcPr>
            <w:tcW w:w="9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Distribution-in-kind</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realized and unrealized losses</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8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8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Unrealized losses of $96 million are included in earnings related to Level 3 investments still held at December 31, 2013 by our Holding Company. Total realized and unrealized gains and losses recorded for Level 3 investments are reported in net gain (loss) from investment activities in our consolidated statements of operations.</w:t>
      </w:r>
    </w:p>
    <w:p>
      <w:pPr>
        <w:spacing w:after="0" w:line="6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As discussed above, on June 30, 2014, the Investment Funds made a distribution-in-kind of a certain Level 3 corporate debt investment in the amount of $110 million to the Holding Company. The fair value of this investment was determined through an enterprise value analysis as of December 31, 2014. In addition, as of December 31, 2014, the Holding Company held a certain security which lacked observable market data due to limited market activity for that security, and accordingly, was valued based on trading EBITDA multiples and enterprise value to resource ratios of market comparables.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Assets measured at fair value on a nonrecurring basis during the years ended December 31, 2014 and 2013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320" w:type="dxa"/>
            <w:vAlign w:val="bottom"/>
          </w:tcPr>
          <w:p>
            <w:pPr>
              <w:spacing w:after="0"/>
              <w:rPr>
                <w:sz w:val="20"/>
                <w:szCs w:val="20"/>
                <w:color w:val="auto"/>
              </w:rPr>
            </w:pPr>
          </w:p>
        </w:tc>
        <w:tc>
          <w:tcPr>
            <w:tcW w:w="218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 2013</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3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22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r>
      <w:tr>
        <w:trPr>
          <w:trHeight w:val="270"/>
        </w:trPr>
        <w:tc>
          <w:tcPr>
            <w:tcW w:w="5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20" w:type="dxa"/>
            <w:vAlign w:val="bottom"/>
          </w:tcPr>
          <w:p>
            <w:pPr>
              <w:spacing w:after="0"/>
              <w:rPr>
                <w:sz w:val="23"/>
                <w:szCs w:val="23"/>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20" w:type="dxa"/>
            <w:vAlign w:val="bottom"/>
          </w:tcPr>
          <w:p>
            <w:pPr>
              <w:spacing w:after="0"/>
              <w:rPr>
                <w:sz w:val="23"/>
                <w:szCs w:val="2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320" w:type="dxa"/>
            <w:vAlign w:val="bottom"/>
          </w:tcPr>
          <w:p>
            <w:pPr>
              <w:spacing w:after="0"/>
              <w:rPr>
                <w:sz w:val="23"/>
                <w:szCs w:val="23"/>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20" w:type="dxa"/>
            <w:vAlign w:val="bottom"/>
          </w:tcPr>
          <w:p>
            <w:pPr>
              <w:spacing w:after="0"/>
              <w:rPr>
                <w:sz w:val="23"/>
                <w:szCs w:val="23"/>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w:t>
            </w:r>
          </w:p>
        </w:tc>
      </w:tr>
      <w:tr>
        <w:trPr>
          <w:trHeight w:val="27"/>
        </w:trPr>
        <w:tc>
          <w:tcPr>
            <w:tcW w:w="5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9"/>
        </w:trPr>
        <w:tc>
          <w:tcPr>
            <w:tcW w:w="5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5"/>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5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827</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60" w:firstLine="378"/>
        <w:spacing w:after="0" w:line="256" w:lineRule="auto"/>
        <w:rPr>
          <w:sz w:val="20"/>
          <w:szCs w:val="20"/>
          <w:color w:val="auto"/>
        </w:rPr>
      </w:pPr>
      <w:r>
        <w:rPr>
          <w:rFonts w:ascii="Times New Roman" w:cs="Times New Roman" w:eastAsia="Times New Roman" w:hAnsi="Times New Roman"/>
          <w:sz w:val="18"/>
          <w:szCs w:val="18"/>
          <w:color w:val="auto"/>
        </w:rPr>
        <w:t>We determined the fair value of property, plant and equipment by applying probability weighted, expected present value techniques to the estimated future cash flows using assumptions a market participant would utilize and through the use of valuation specialists. The fair value of goodwill is based on our preliminary goodwill impairment analysis for our Energy segment as of December 1, 2014. The fair values were determined based upon consideration of various valuation methodologies, including projected cash flows discounted at rates commensurate with the risks involved, guideline transaction multiples, and multiples of current and future earnings. Refer to Note 8, "Goodwill and Intangible Assets, Net," for further discussion relating to our goodwill impairment analysis.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420"/>
          </w:cols>
          <w:pgMar w:left="240" w:top="333" w:right="2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140" w:firstLine="37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Automotive segment's defined benefit plan assets measured at fair value on a recurring basis as of December 31, 2014 and 2013: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0"/>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Plans:</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25"/>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 with registered investment</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4"/>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companies: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r>
      <w:tr>
        <w:trPr>
          <w:trHeight w:val="243"/>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income securities</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 and other</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Fixed income collective trust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securities: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Hedge funds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r>
      <w:tr>
        <w:trPr>
          <w:trHeight w:val="237"/>
        </w:trPr>
        <w:tc>
          <w:tcPr>
            <w:tcW w:w="3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909</w:t>
            </w: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Non-U.S. Plans: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5"/>
        </w:trPr>
        <w:tc>
          <w:tcPr>
            <w:tcW w:w="3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Investments with registered investment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41"/>
        </w:trPr>
        <w:tc>
          <w:tcPr>
            <w:tcW w:w="3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companies: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income securities</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9"/>
        </w:trPr>
        <w:tc>
          <w:tcPr>
            <w:tcW w:w="3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6608445</wp:posOffset>
            </wp:positionH>
            <wp:positionV relativeFrom="paragraph">
              <wp:posOffset>-33655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-33655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-33655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-33655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-33655</wp:posOffset>
            </wp:positionV>
            <wp:extent cx="77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-1388745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-1388745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-1388745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-1388745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-1388745</wp:posOffset>
            </wp:positionV>
            <wp:extent cx="77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4" w:lineRule="exact"/>
        <w:rPr>
          <w:sz w:val="20"/>
          <w:szCs w:val="20"/>
          <w:color w:val="auto"/>
        </w:rPr>
      </w:pPr>
    </w:p>
    <w:p>
      <w:pPr>
        <w:ind w:right="160" w:firstLine="378"/>
        <w:spacing w:after="0" w:line="282" w:lineRule="auto"/>
        <w:rPr>
          <w:sz w:val="20"/>
          <w:szCs w:val="20"/>
          <w:color w:val="auto"/>
        </w:rPr>
      </w:pPr>
      <w:r>
        <w:rPr>
          <w:rFonts w:ascii="Times New Roman" w:cs="Times New Roman" w:eastAsia="Times New Roman" w:hAnsi="Times New Roman"/>
          <w:sz w:val="18"/>
          <w:szCs w:val="18"/>
          <w:color w:val="auto"/>
        </w:rPr>
        <w:t>The changes in U.S. and Non-U.S. plan assets measured at fair value for which our Automotive segment has used Level 3 input to determine fair value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322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54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0"/>
        </w:trPr>
        <w:tc>
          <w:tcPr>
            <w:tcW w:w="7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40" w:type="dxa"/>
            <w:vAlign w:val="bottom"/>
            <w:gridSpan w:val="3"/>
          </w:tcPr>
          <w:p>
            <w:pPr>
              <w:jc w:val="right"/>
              <w:ind w:right="870"/>
              <w:spacing w:after="0"/>
              <w:rPr>
                <w:sz w:val="20"/>
                <w:szCs w:val="20"/>
                <w:color w:val="auto"/>
              </w:rPr>
            </w:pPr>
            <w:r>
              <w:rPr>
                <w:rFonts w:ascii="Times New Roman" w:cs="Times New Roman" w:eastAsia="Times New Roman" w:hAnsi="Times New Roman"/>
                <w:sz w:val="14"/>
                <w:szCs w:val="14"/>
                <w:color w:val="auto"/>
              </w:rPr>
              <w:t>(in millions)</w:t>
            </w:r>
          </w:p>
        </w:tc>
        <w:tc>
          <w:tcPr>
            <w:tcW w:w="540" w:type="dxa"/>
            <w:vAlign w:val="bottom"/>
          </w:tcPr>
          <w:p>
            <w:pPr>
              <w:spacing w:after="0"/>
              <w:rPr>
                <w:sz w:val="20"/>
                <w:szCs w:val="20"/>
                <w:color w:val="auto"/>
              </w:rPr>
            </w:pPr>
          </w:p>
        </w:tc>
      </w:tr>
      <w:tr>
        <w:trPr>
          <w:trHeight w:val="25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Plans:</w:t>
            </w:r>
          </w:p>
        </w:tc>
        <w:tc>
          <w:tcPr>
            <w:tcW w:w="1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70"/>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Hedge funds:</w:t>
            </w:r>
          </w:p>
        </w:tc>
        <w:tc>
          <w:tcPr>
            <w:tcW w:w="1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Realized/unrealized gains (losses), net</w:t>
            </w:r>
          </w:p>
        </w:tc>
        <w:tc>
          <w:tcPr>
            <w:tcW w:w="128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and settlements, net</w:t>
            </w: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net</w:t>
            </w:r>
          </w:p>
        </w:tc>
        <w:tc>
          <w:tcPr>
            <w:tcW w:w="1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7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7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4"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171</w:t>
      </w:r>
    </w:p>
    <w:p>
      <w:pPr>
        <w:sectPr>
          <w:pgSz w:w="11900" w:h="16838" w:orient="portrait"/>
          <w:cols w:equalWidth="0" w:num="1">
            <w:col w:w="11420"/>
          </w:cols>
          <w:pgMar w:left="240" w:top="334" w:right="239" w:bottom="1440" w:gutter="0" w:footer="0" w:header="0"/>
          <w:type w:val="continuous"/>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32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0"/>
        </w:trPr>
        <w:tc>
          <w:tcPr>
            <w:tcW w:w="7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40" w:type="dxa"/>
            <w:vAlign w:val="bottom"/>
            <w:gridSpan w:val="3"/>
          </w:tcPr>
          <w:p>
            <w:pPr>
              <w:jc w:val="right"/>
              <w:ind w:right="910"/>
              <w:spacing w:after="0"/>
              <w:rPr>
                <w:sz w:val="20"/>
                <w:szCs w:val="20"/>
                <w:color w:val="auto"/>
              </w:rPr>
            </w:pPr>
            <w:r>
              <w:rPr>
                <w:rFonts w:ascii="Times New Roman" w:cs="Times New Roman" w:eastAsia="Times New Roman" w:hAnsi="Times New Roman"/>
                <w:sz w:val="14"/>
                <w:szCs w:val="14"/>
                <w:color w:val="auto"/>
              </w:rPr>
              <w:t>(in millions)</w:t>
            </w:r>
          </w:p>
        </w:tc>
        <w:tc>
          <w:tcPr>
            <w:tcW w:w="500" w:type="dxa"/>
            <w:vAlign w:val="bottom"/>
          </w:tcPr>
          <w:p>
            <w:pPr>
              <w:spacing w:after="0"/>
              <w:rPr>
                <w:sz w:val="20"/>
                <w:szCs w:val="20"/>
                <w:color w:val="auto"/>
              </w:rPr>
            </w:pPr>
          </w:p>
        </w:tc>
      </w:tr>
      <w:tr>
        <w:trPr>
          <w:trHeight w:val="25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Non-U.S. Plans:</w:t>
            </w:r>
          </w:p>
        </w:tc>
        <w:tc>
          <w:tcPr>
            <w:tcW w:w="1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70"/>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contracts:</w:t>
            </w:r>
          </w:p>
        </w:tc>
        <w:tc>
          <w:tcPr>
            <w:tcW w:w="1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and unrealized gains, net</w:t>
            </w:r>
          </w:p>
        </w:tc>
        <w:tc>
          <w:tcPr>
            <w:tcW w:w="1320" w:type="dxa"/>
            <w:vAlign w:val="bottom"/>
          </w:tcPr>
          <w:p>
            <w:pPr>
              <w:spacing w:after="0"/>
              <w:rPr>
                <w:sz w:val="21"/>
                <w:szCs w:val="21"/>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and settlements, net</w:t>
            </w: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w:t>
            </w:r>
          </w:p>
        </w:tc>
        <w:tc>
          <w:tcPr>
            <w:tcW w:w="1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rate movements</w:t>
            </w: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7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Plans</w:t>
      </w:r>
    </w:p>
    <w:p>
      <w:pPr>
        <w:spacing w:after="0" w:line="11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2014, plan assets were comprised of 60% equity investments, 23% fixed income investments, and 17% in other investments which include hedge funds. Approximately 76% of the U.S. plan assets were invested in actively managed investment funds. Federal-Mogul's investment strategy includes a target asset allocation of 50% equity investments, 25% fixed income investments and 25% in other investment types including hedge funds.</w:t>
      </w:r>
    </w:p>
    <w:p>
      <w:pPr>
        <w:spacing w:after="0" w:line="68"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Investments with registered investment companies, common and preferred stocks, and government debt securities are valued at the closing price reported on the active market on which the funds are traded. Corporate debt securities are valued by third-party pricing sources. Hedge funds and collective trusts are valued at net asset value per share.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Plans</w:t>
      </w:r>
    </w:p>
    <w:p>
      <w:pPr>
        <w:spacing w:after="0" w:line="119"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The insurance contracts guarantee a minimum rate of return. Federal-Mogul has no input into the investment strategy of the assets underlying the contracts, but they are typically heavily invested in active bond markets and are highly regulated by local law.</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Food Packaging and Railcar segment's defined benefit plan assets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and 2013:</w:t>
      </w:r>
    </w:p>
    <w:p>
      <w:pPr>
        <w:spacing w:after="0" w:line="257" w:lineRule="exact"/>
        <w:rPr>
          <w:sz w:val="20"/>
          <w:szCs w:val="20"/>
          <w:color w:val="auto"/>
        </w:rPr>
      </w:pPr>
    </w:p>
    <w:tbl>
      <w:tblPr>
        <w:tblLayout w:type="fixed"/>
        <w:tblInd w:w="242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23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1040" w:type="dxa"/>
            <w:vAlign w:val="bottom"/>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5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color w:val="auto"/>
        </w:rPr>
        <w:t>(in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and Non-U.S. Plans:</w:t>
            </w: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0"/>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category:</w:t>
            </w: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
        </w:trPr>
        <w:tc>
          <w:tcPr>
            <w:tcW w:w="2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2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securities</w:t>
            </w:r>
          </w:p>
        </w:tc>
        <w:tc>
          <w:tcPr>
            <w:tcW w:w="4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2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Fixed income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2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2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9"/>
        </w:trPr>
        <w:tc>
          <w:tcPr>
            <w:tcW w:w="24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-33655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-33655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-33655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-33655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-33655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-33655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-33655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6531610</wp:posOffset>
            </wp:positionH>
            <wp:positionV relativeFrom="paragraph">
              <wp:posOffset>-213995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-213995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-213995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-213995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-213995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-213995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-213995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420"/>
          </w:cols>
          <w:pgMar w:left="240" w:top="333" w:right="2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320" w:firstLine="378"/>
        <w:spacing w:after="0" w:line="282" w:lineRule="auto"/>
        <w:rPr>
          <w:sz w:val="20"/>
          <w:szCs w:val="20"/>
          <w:color w:val="auto"/>
        </w:rPr>
      </w:pPr>
      <w:r>
        <w:rPr>
          <w:rFonts w:ascii="Times New Roman" w:cs="Times New Roman" w:eastAsia="Times New Roman" w:hAnsi="Times New Roman"/>
          <w:sz w:val="18"/>
          <w:szCs w:val="18"/>
          <w:color w:val="auto"/>
        </w:rPr>
        <w:t>The changes in U.S. and Non-U.S. plan assets measured at fair value for which our Food Packaging and Railcar segments have used Level 3 input to determine fair value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322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54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0"/>
        </w:trPr>
        <w:tc>
          <w:tcPr>
            <w:tcW w:w="7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00" w:type="dxa"/>
            <w:vAlign w:val="bottom"/>
            <w:gridSpan w:val="3"/>
          </w:tcPr>
          <w:p>
            <w:pPr>
              <w:jc w:val="right"/>
              <w:ind w:right="870"/>
              <w:spacing w:after="0"/>
              <w:rPr>
                <w:sz w:val="20"/>
                <w:szCs w:val="20"/>
                <w:color w:val="auto"/>
              </w:rPr>
            </w:pPr>
            <w:r>
              <w:rPr>
                <w:rFonts w:ascii="Times New Roman" w:cs="Times New Roman" w:eastAsia="Times New Roman" w:hAnsi="Times New Roman"/>
                <w:sz w:val="14"/>
                <w:szCs w:val="14"/>
                <w:color w:val="auto"/>
              </w:rPr>
              <w:t>(in millions)</w:t>
            </w:r>
          </w:p>
        </w:tc>
        <w:tc>
          <w:tcPr>
            <w:tcW w:w="540" w:type="dxa"/>
            <w:vAlign w:val="bottom"/>
          </w:tcPr>
          <w:p>
            <w:pPr>
              <w:spacing w:after="0"/>
              <w:rPr>
                <w:sz w:val="20"/>
                <w:szCs w:val="20"/>
                <w:color w:val="auto"/>
              </w:rPr>
            </w:pPr>
          </w:p>
        </w:tc>
      </w:tr>
      <w:tr>
        <w:trPr>
          <w:trHeight w:val="25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and Non-U.S. Plans:</w:t>
            </w:r>
          </w:p>
        </w:tc>
        <w:tc>
          <w:tcPr>
            <w:tcW w:w="1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and unrealized gains, net</w:t>
            </w:r>
          </w:p>
        </w:tc>
        <w:tc>
          <w:tcPr>
            <w:tcW w:w="1320" w:type="dxa"/>
            <w:vAlign w:val="bottom"/>
          </w:tcPr>
          <w:p>
            <w:pPr>
              <w:spacing w:after="0"/>
              <w:rPr>
                <w:sz w:val="21"/>
                <w:szCs w:val="21"/>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and settlements, net</w:t>
            </w: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7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Certain derivative contracts executed by the Investment Funds with a single counterparty, by our Automotive segment with a single counterparty, by our Energy segment with a single counterparty, or by our Holding Company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consolidated balance sheets.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Segment and Holding Company</w:t>
      </w:r>
    </w:p>
    <w:p>
      <w:pPr>
        <w:spacing w:after="0" w:line="121" w:lineRule="exact"/>
        <w:rPr>
          <w:sz w:val="20"/>
          <w:szCs w:val="20"/>
          <w:color w:val="auto"/>
        </w:rPr>
      </w:pPr>
    </w:p>
    <w:p>
      <w:pPr>
        <w:jc w:val="both"/>
        <w:ind w:right="40" w:firstLine="405"/>
        <w:spacing w:after="0" w:line="261" w:lineRule="auto"/>
        <w:rPr>
          <w:sz w:val="20"/>
          <w:szCs w:val="20"/>
          <w:color w:val="auto"/>
        </w:rPr>
      </w:pPr>
      <w:r>
        <w:rPr>
          <w:rFonts w:ascii="Times New Roman" w:cs="Times New Roman" w:eastAsia="Times New Roman" w:hAnsi="Times New Roman"/>
          <w:sz w:val="18"/>
          <w:szCs w:val="18"/>
          <w:color w:val="auto"/>
        </w:rPr>
        <w:t>The Investment Funds currently maintain cash deposits and cash equivalents with financial institutions. Certain account balances may not be covered by the Federal Deposit Insurance Corporation, while other accounts may exceed federally insured limits. The Investment Funds have prime broker arrangements in place with multiple prime brokers as well as a custodian bank. The Investment Funds also have relationships with several financial institutions with which they trade derivative and other financial instruments.</w:t>
      </w:r>
    </w:p>
    <w:p>
      <w:pPr>
        <w:spacing w:after="0" w:line="72"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Investment Funds and the Holding Company may trade various financial instruments and enter into certain investment activities, which may give rise to off-balance-sheet risks, with the objective of capital appreciation or as economic hedges against other securities or the market as a whole. The Investment Funds' and the Holding Company's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8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Securities sold, not yet purchased, at fair value represent obligations to deliver the specified security, thereby creating a liability to repurchase the security in the market at prevailing prices. Accordingly, these transactions result in off-balance-sheet risk, as the satisfaction of the obligations may exceed the amount recognized in our consolidated balance sheets. Our investments in securities and amounts due from brokers are partially restricted until we satisfy the obligation to deliver the securities sold, not yet purchased.</w:t>
      </w:r>
    </w:p>
    <w:p>
      <w:pPr>
        <w:spacing w:after="0" w:line="72"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Investment Funds and the Holding Company may enter into derivative contracts, including swap contracts, futures contracts and option contracts. The Investment Funds may also enter into foreign currency derivative contracts with the objective of capital appreciation or to economically hedge against foreign currency exchange rate risks on all or a portion of their non-U.S. dollar denominated investments.</w:t>
      </w:r>
    </w:p>
    <w:p>
      <w:pPr>
        <w:spacing w:after="0" w:line="6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Investment Funds and the Holding Company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420"/>
          </w:cols>
          <w:pgMar w:left="240" w:top="334" w:right="2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agreed-upon rate, and they receive interest on any cash collateral that they post to the counterparty at the federal funds or LIBOR rate in effect for such period.</w:t>
      </w:r>
    </w:p>
    <w:p>
      <w:pPr>
        <w:spacing w:after="0" w:line="5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Investment Funds and the Holding Company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and the Holding Company each day, depending on the daily fluctuations in the value of the contract, and the whole value change is recorded as an unrealized gain or loss by the Investment Funds and the Holding Company. When the contract is closed, the Investment Funds and the Holding Company record a realized gain or loss equal to the difference between the value of the contract at the time it was opened and the value at the time it was closed.</w:t>
      </w:r>
    </w:p>
    <w:p>
      <w:pPr>
        <w:spacing w:after="0" w:line="8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Investment Funds and the Holding Company may utilize forward contracts to seek to protect their assets denominated in foreign currencies and precious metals holdings from losses due to fluctuations in foreign exchange rates and spot rates. The Investment Funds' and the Holding Company's exposure to credit risk associated with non-performance of such forward contracts is limited to the unrealized gains or losses inherent in such contracts, which are recognized in other assets and accrued expenses and other liabilities in our consolidated balance sheets.</w:t>
      </w:r>
    </w:p>
    <w:p>
      <w:pPr>
        <w:spacing w:after="0" w:line="72"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72" w:lineRule="exact"/>
        <w:rPr>
          <w:sz w:val="20"/>
          <w:szCs w:val="20"/>
          <w:color w:val="auto"/>
        </w:rPr>
      </w:pPr>
    </w:p>
    <w:p>
      <w:pPr>
        <w:ind w:right="120" w:firstLine="378"/>
        <w:spacing w:after="0" w:line="255" w:lineRule="auto"/>
        <w:rPr>
          <w:sz w:val="20"/>
          <w:szCs w:val="20"/>
          <w:color w:val="auto"/>
        </w:rPr>
      </w:pPr>
      <w:r>
        <w:rPr>
          <w:rFonts w:ascii="Times New Roman" w:cs="Times New Roman" w:eastAsia="Times New Roman" w:hAnsi="Times New Roman"/>
          <w:sz w:val="18"/>
          <w:szCs w:val="18"/>
          <w:color w:val="auto"/>
        </w:rPr>
        <w:t>The Investment Funds were parties to swap agreements (“Swaps”) with respect to shares of SPDR S&amp;P 500 ETF Trust ("SPDR"). In August 2013, certain of the Investment Funds assigned their rights and obligations under certain of the Swaps to IEH Investments I LLC (“IEH Investments”), a wholly owned subsidiary of ours, and Koala Holding LP ("Koala"), an affiliate of Mr. Icahn's. Certain of the Investment Funds assigned swaps referencing an aggregate of 9.7 million SPDR shares to IEH Investments and an aggregate 7.7 million SPDR shares to Koala. In addition, the Investment Funds distributed an aggregate $234 million to IEH Investments and an aggregate $185 million to Koala, amounts equal to the underlying obligations under the assigned Swaps. During the third quarter of 2014, the Swaps were terminated; IEH Investments held no Swaps as of December 31, 2014. As of December 31, 2013, there were unrealized losses of $14 million with respect to these Swaps.</w:t>
      </w:r>
    </w:p>
    <w:p>
      <w:pPr>
        <w:spacing w:after="0" w:line="81" w:lineRule="exact"/>
        <w:rPr>
          <w:sz w:val="20"/>
          <w:szCs w:val="20"/>
          <w:color w:val="auto"/>
        </w:rPr>
      </w:pPr>
    </w:p>
    <w:p>
      <w:pPr>
        <w:ind w:right="20" w:firstLine="378"/>
        <w:spacing w:after="0" w:line="254" w:lineRule="auto"/>
        <w:rPr>
          <w:sz w:val="20"/>
          <w:szCs w:val="20"/>
          <w:color w:val="auto"/>
        </w:rPr>
      </w:pPr>
      <w:r>
        <w:rPr>
          <w:rFonts w:ascii="Times New Roman" w:cs="Times New Roman" w:eastAsia="Times New Roman" w:hAnsi="Times New Roman"/>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consolidated balance sheets. At December 31, 2014, the maximum payout amounts relating to certain put options written by the Investment Funds were approximately $2.5 billion, of which approximately $2.4 billion related to covered put options on existing short positions on certain stock and credit indices. At December 31, 2013, the maximum payout amounts relating to certain put options written by the Investment Funds were approximately $8.0 billion, all of which related to covered put options on existing short positions on a certain stock index. As of December 31, 2014 and 2013, there were unrealized (losses) gains of less than $(1) million and $131 million, respectively, with respect to these put options.</w:t>
      </w:r>
    </w:p>
    <w:p>
      <w:pPr>
        <w:spacing w:after="0" w:line="81" w:lineRule="exact"/>
        <w:rPr>
          <w:sz w:val="20"/>
          <w:szCs w:val="20"/>
          <w:color w:val="auto"/>
        </w:rPr>
      </w:pPr>
    </w:p>
    <w:p>
      <w:pPr>
        <w:ind w:right="180" w:firstLine="378"/>
        <w:spacing w:after="0" w:line="258" w:lineRule="auto"/>
        <w:rPr>
          <w:sz w:val="20"/>
          <w:szCs w:val="20"/>
          <w:color w:val="auto"/>
        </w:rPr>
      </w:pPr>
      <w:r>
        <w:rPr>
          <w:rFonts w:ascii="Times New Roman" w:cs="Times New Roman" w:eastAsia="Times New Roman" w:hAnsi="Times New Roman"/>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on December 31, 2014 and 2013 was $614 million and $639 million, respectively.</w:t>
      </w:r>
    </w:p>
    <w:p>
      <w:pPr>
        <w:spacing w:after="0" w:line="76" w:lineRule="exact"/>
        <w:rPr>
          <w:sz w:val="20"/>
          <w:szCs w:val="20"/>
          <w:color w:val="auto"/>
        </w:rPr>
      </w:pPr>
    </w:p>
    <w:p>
      <w:pPr>
        <w:jc w:val="both"/>
        <w:ind w:right="20" w:firstLine="378"/>
        <w:spacing w:after="0" w:line="266" w:lineRule="auto"/>
        <w:rPr>
          <w:sz w:val="20"/>
          <w:szCs w:val="20"/>
          <w:color w:val="auto"/>
        </w:rPr>
      </w:pPr>
      <w:r>
        <w:rPr>
          <w:rFonts w:ascii="Times New Roman" w:cs="Times New Roman" w:eastAsia="Times New Roman" w:hAnsi="Times New Roman"/>
          <w:sz w:val="18"/>
          <w:szCs w:val="18"/>
          <w:color w:val="auto"/>
        </w:rPr>
        <w:t>At December 31, 2014 and 2013, the Investment Funds had approximately $1.2 billion and $255 million, respectively, posted as collateral for derivative positions, including those derivative instruments with credit-risk-related contingent features; these amounts are included in cash held at consolidated affiliated partnerships and restricted cash in our consolidated balance sheets.</w:t>
      </w:r>
    </w:p>
    <w:p>
      <w:pPr>
        <w:spacing w:after="0" w:line="68"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U.S. GAAP requires the disclosure of information about obligations under certain guarantee arrangements. Such guarantee arrangements requiring disclosure include contracts that contingently require the guarantor to make payments to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420"/>
          </w:cols>
          <w:pgMar w:left="240" w:top="333" w:right="239" w:bottom="1440" w:gutter="0" w:footer="0" w:header="0"/>
        </w:sectPr>
      </w:pPr>
    </w:p>
    <w:bookmarkStart w:id="176" w:name="page177"/>
    <w:bookmarkEnd w:id="1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guaranteed party based on another entity's failure to perform under an agreement as well as indirect guarantees of the indebtedness of others.</w:t>
      </w:r>
    </w:p>
    <w:p>
      <w:pPr>
        <w:spacing w:after="0" w:line="117" w:lineRule="exact"/>
        <w:rPr>
          <w:sz w:val="20"/>
          <w:szCs w:val="20"/>
          <w:color w:val="auto"/>
        </w:rPr>
      </w:pPr>
    </w:p>
    <w:p>
      <w:pPr>
        <w:ind w:right="80" w:firstLine="405"/>
        <w:spacing w:after="0" w:line="277" w:lineRule="auto"/>
        <w:rPr>
          <w:sz w:val="20"/>
          <w:szCs w:val="20"/>
          <w:color w:val="auto"/>
        </w:rPr>
      </w:pPr>
      <w:r>
        <w:rPr>
          <w:rFonts w:ascii="Times New Roman" w:cs="Times New Roman" w:eastAsia="Times New Roman" w:hAnsi="Times New Roman"/>
          <w:sz w:val="17"/>
          <w:szCs w:val="17"/>
          <w:color w:val="auto"/>
        </w:rPr>
        <w:t>Each Investment Fund's assets may be held in one or more accounts maintained for the Investment Fund by its prime broker or at other brokers or custodian banks, which may be located in various jurisdictions. The prime broker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custodian banks or clearing corporations may result in the loss of all or a substantial portion of the Investment Funds' assets or in a significant delay in the Investment Funds' having access to those assets.</w:t>
      </w:r>
    </w:p>
    <w:p>
      <w:pPr>
        <w:spacing w:after="0" w:line="60"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Credit concentrations may arise from investment activities and may be impacted by changes in economic, industry or political factors. The Investment Funds and the Holding Company routinely execute transactions with counterparties in the financial services industry, resulting in credit concentration with respect to this industry. In the ordinary course of business, the Investment Funds and the Holding Company may also be subject to a concentration of credit risk to a particular counterparty.</w:t>
      </w:r>
    </w:p>
    <w:p>
      <w:pPr>
        <w:spacing w:after="0" w:line="72"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The Investment Funds and the Holding Company seek to mitigate these risks by actively monitoring exposures, collateral requirements and the creditworthiness of our counterparties.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11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Federal-Mogul's production processes are dependent upon the supply of certain raw materials that are exposed to price fluctuations on the open market. The primary purpose of Federal-Mogul's commodity price forward contract activity is to manage the volatility associated with forecasted purchases. Federal-Mogul monitors its commodity price risk exposures regularly to maximize the overall effectiveness of its commodity forward contracts. Principal raw materials hedged include natural gas, copper, nickel, tin, zinc, high-grade aluminum and aluminum alloy. Forward contracts are used to mitigate commodity price risk associated with raw materials, generally related to purchases forecast for up to 15 months in the future.</w:t>
      </w:r>
    </w:p>
    <w:p>
      <w:pPr>
        <w:spacing w:after="0" w:line="76" w:lineRule="exact"/>
        <w:rPr>
          <w:sz w:val="20"/>
          <w:szCs w:val="20"/>
          <w:color w:val="auto"/>
        </w:rPr>
      </w:pPr>
    </w:p>
    <w:p>
      <w:pPr>
        <w:ind w:right="180" w:firstLine="378"/>
        <w:spacing w:after="0" w:line="261" w:lineRule="auto"/>
        <w:rPr>
          <w:sz w:val="20"/>
          <w:szCs w:val="20"/>
          <w:color w:val="auto"/>
        </w:rPr>
      </w:pPr>
      <w:r>
        <w:rPr>
          <w:rFonts w:ascii="Times New Roman" w:cs="Times New Roman" w:eastAsia="Times New Roman" w:hAnsi="Times New Roman"/>
          <w:sz w:val="18"/>
          <w:szCs w:val="18"/>
          <w:color w:val="auto"/>
        </w:rPr>
        <w:t>Federal-Mogul had commodity price hedge contracts outstanding with combined notional values of $36 million and $51 million at December 31, 2014 and 2013, respectively, substantially all of which mature within one year in each of the respective periods and all of which were designated as hedging instruments for accounting purposes. Unrealized net losses of $1 million and $1 million were recorded in accumulated other comprehensive loss as of December 31, 2014 and 2013,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jc w:val="both"/>
        <w:ind w:right="180" w:firstLine="405"/>
        <w:spacing w:after="0" w:line="261" w:lineRule="auto"/>
        <w:rPr>
          <w:sz w:val="20"/>
          <w:szCs w:val="20"/>
          <w:color w:val="auto"/>
        </w:rPr>
      </w:pPr>
      <w:r>
        <w:rPr>
          <w:rFonts w:ascii="Times New Roman" w:cs="Times New Roman" w:eastAsia="Times New Roman" w:hAnsi="Times New Roman"/>
          <w:sz w:val="18"/>
          <w:szCs w:val="18"/>
          <w:color w:val="auto"/>
        </w:rPr>
        <w:t>Federal-Mogul manufactures and sells its products in North America, South America, Asia, Europe and Africa. As a result, Federal-Mogul's financial results can be significantly affected by factors such as changes in foreign currency exchange rates or weak economic conditions in foreign markets in which Federal-Mogul manufactures and sells its products. Federal-Mogul's operating results are primarily exposed to changes in exchange rates between the U.S. dollar and European currencies.</w:t>
      </w:r>
    </w:p>
    <w:p>
      <w:pPr>
        <w:spacing w:after="0" w:line="72" w:lineRule="exact"/>
        <w:rPr>
          <w:sz w:val="20"/>
          <w:szCs w:val="20"/>
          <w:color w:val="auto"/>
        </w:rPr>
      </w:pPr>
    </w:p>
    <w:p>
      <w:pPr>
        <w:ind w:right="120" w:firstLine="378"/>
        <w:spacing w:after="0" w:line="272" w:lineRule="auto"/>
        <w:rPr>
          <w:sz w:val="20"/>
          <w:szCs w:val="20"/>
          <w:color w:val="auto"/>
        </w:rPr>
      </w:pPr>
      <w:r>
        <w:rPr>
          <w:rFonts w:ascii="Times New Roman" w:cs="Times New Roman" w:eastAsia="Times New Roman" w:hAnsi="Times New Roman"/>
          <w:sz w:val="17"/>
          <w:szCs w:val="17"/>
          <w:color w:val="auto"/>
        </w:rPr>
        <w:t>Federal-Mogul generally tries to use natural hedges within its foreign currency activities, including the matching of revenues and costs, to minimize foreign currency risk. Where natural hedges are not in place, Federal-Mogul considers managing certain aspects of its foreign currency activities and larger transactions through the use of foreign currency options or forward contracts. Principal currencies hedged have historically included the euro, British pound and Polish zloty. Foreign currency forwards are also used in conjunction with Federal-Mogul's commodity hedging program. As part of its hedging program, Federal-Mogul attempts to limit hedge ineffectiveness by matching terms of the commodity purchases with the hedging instrument. Federal-Mogul had notional values of $12 million of foreign currency hedge contracts outstanding at December 31, 2013, all of which were designated as cash flow hedging instruments for accounting purposes. Federal-Mogul did not hold any foreign currency price hedge contracts as of December 31, 2014. Unrealized net losses of $1 million were recorded in accumulated other comprehensive loss as of December 31, 2013 for the contracts designated as hedging instruments.</w:t>
      </w:r>
    </w:p>
    <w:p>
      <w:pPr>
        <w:spacing w:after="0" w:line="6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2013, foreign currency contracts not designated as hedging instruments were entered into by Federal-Mogul in order to offset fluctuations in consolidated earnings caused by changes in currency rates used to translate earnings at foreign subsidiaries into U.S. dollars over 2013. These contracts were not designated as hedging instruments for accounting purposes and were marked to market through the income statement.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420"/>
          </w:cols>
          <w:pgMar w:left="240" w:top="333" w:right="239" w:bottom="1440" w:gutter="0" w:footer="0" w:header="0"/>
        </w:sectPr>
      </w:pPr>
    </w:p>
    <w:bookmarkStart w:id="177" w:name="page178"/>
    <w:bookmarkEnd w:id="1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119" w:lineRule="exact"/>
        <w:rPr>
          <w:sz w:val="20"/>
          <w:szCs w:val="20"/>
          <w:color w:val="auto"/>
        </w:rPr>
      </w:pPr>
    </w:p>
    <w:p>
      <w:pPr>
        <w:ind w:right="220" w:firstLine="378"/>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Federal-Mogul to concentrations of credit risk, consist primarily of accounts receivable and cash investments. Federal-Mogul's customer base includes virtually every significant global light and commercial vehicle manufacturer and a large number of distributors, installers and retailers of automotive aftermarket parts. Federal-Mogul's credit evaluation process and the geographical dispersion of sales transactions help to mitigate credit risk concentration. No individual customer accounted for more than 6% of Federal-Mogul's direct sales during the years ended December 31, 2014. Federal-Mogul had two Motorparts customer that accounted for 18% of its net accounts receivable balance as of December 31, 2014. Federal-Mogul requires placement of cash in financial institutions evaluated as highly creditworthy.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21"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CVR is subject to price fluctuations caused by supply conditions, weather, economic conditions, interest rate fluctuations and other factors. To manage price risk on crude oil and other inventories and to fix margins on certain future production, CVR from time to time enters into various commodity derivative transactions.</w:t>
      </w:r>
    </w:p>
    <w:p>
      <w:pPr>
        <w:spacing w:after="0" w:line="6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CVR has adopted accounting standards that impose extensive record-keeping requirements in order to designate a derivative financial instrument as a hedge. CVR holds derivative instruments, such as exchange-traded crude oil futures and certain over-the-counter forward swap agreements, which it believes provide an economic hedge on future transactions, but such instruments are not designated as hedges for GAAP purposes. Gains or losses related to the change in fair value and periodic settlements of these derivative instruments are included in other income (loss), net in the consolidated statements of operations. There are no premiums paid or received at inception of the derivative contracts and upon settlement, there is no cost recovery associated with these contracts.</w:t>
      </w:r>
    </w:p>
    <w:p>
      <w:pPr>
        <w:spacing w:after="0" w:line="8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CVR maintains a margin account to facilitate other commodity derivative activities. A portion of this account may include funds available for withdrawal. These funds are included in cash and cash equivalents within the consolidated balance sheets. The maintenance margin balance is included within other assets within consolidated balance sheets. Depending upon the position of the open commodity derivatives as of the reporting date, the amounts are classified either as an asset or liability within the consolidated balance sheets. From time to time, CVR may be required to deposit additional funds into this margin account. CVR had no open commodity positions as of December 31, 2014. The fair value of the open commodity positions as of December 31, 2013 was a net gain of less than $1 million which is included in other assets. For the year ended December 31, 2014, 2013 and for the period May 5, 2012 through December 31, 2012, CVR recognized a net gain (loss) of less than $1 million, $(3) million and $(4) million, respectively, which are included in other income (loss), net in the consolidated statements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Swaps</w:t>
      </w:r>
    </w:p>
    <w:p>
      <w:pPr>
        <w:spacing w:after="0" w:line="119"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CVR Refining enters into commodity swap contracts in order to fix the margin on a portion of future production. The physical volumes are not exchanged and these contracts are net settled with cash. The contract fair value of the commodity swaps is reflected on the consolidated balance sheets with changes in fair value currently recognized in the consolidated statements of operations. Quoted prices for similar assets or liabilities in active markets (Level 2) are considered to determine the fair values for the purpose of marking to market the hedging instruments at each period end. As of December 31, 2014 and 2013, CVR had open commodity hedging instruments consisting of 9.1 million and 23.3 million barrels of crack spreads primarily to fix the margin on a portion of its future gasoline and distillate production. The fair value of the outstanding contracts at December 31, 2014 and 2013 was a net asset of $47 million and a net liability of $16 million, respectively. For the years ended December 31, 2014 and 2013, CVR recognized net gains of $187 million and $60 million, respectively, which are recorded in other income (loss), net in the consolidated statements of operations with respects of these commodity swaps. For the period May 5, 2012 through December 31, 2012, CVR recognized a net loss of $176 million with respect of these commodity swaps.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11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Coffeyville Resources Nitrogen Fertilizers, LLC ("CRNF") has two floating-to-fixed interest rate swap agreements for the purpose of hedging the interest rate risk associated with a portion of its $125 million floating rate term debt which matures in April 2016. The aggregate notional amount covered under these agreements totals $63 million (split evenly between the two agreement dates) and commenced on August 12, 2011 and expires on February 12, 2016. Under the terms of the interest rate swap agreement entered into on June 30, 2011, CRNF will receive a floating rate based on three month LIBOR and pay a fixed rate of 1.94%. Under the terms of the interest rate swap agreement entered into on July 1, 2011, CRNF will receive a floating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400"/>
          </w:cols>
          <w:pgMar w:left="240" w:top="334" w:right="25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rate based on three month LIBOR and pay a fixed rate of 1.975%. Both swap agreements are settled every 90 days. The effect of these swap agreements is to lock in a fixed rate of interest of approximately 1.96% plus the applicable margin paid to lenders over three-month LIBOR as governed by the CRNF credit agreement. At December 31, 2014, the effective rate was approximately 4.56%. The agreements were designated as cash flow hedges at inception and accordingly, the effective portion of the gain or loss on the swap is reported as a component of accumulated other comprehensive income (loss) and will be reclassified into interest expense when the interest rate swap transaction affects earnings. The ineffective portion of the gain or loss will be recognized immediately in current interest expense in the consolidated statement of operations. The realized loss on the interest rate swap reclassified from accumulated other comprehensive income ("AOCI") into interest expense was $1 million, $1 million and $1 million for the years ended December 31, 2014 and 2013 and the period May 5, 2012 through December 31, 2012,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Derivative Information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consolidated fair values of our derivatives that are not designated as hedging instruments: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87"/>
        </w:trPr>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Asset Derivatives</w:t>
            </w:r>
            <w:r>
              <w:rPr>
                <w:rFonts w:ascii="Times New Roman" w:cs="Times New Roman" w:eastAsia="Times New Roman" w:hAnsi="Times New Roman"/>
                <w:sz w:val="25"/>
                <w:szCs w:val="25"/>
                <w:b w:val="1"/>
                <w:bCs w:val="1"/>
                <w:color w:val="auto"/>
                <w:vertAlign w:val="superscript"/>
              </w:rPr>
              <w:t>(1)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Liability Derivatives</w:t>
            </w:r>
            <w:r>
              <w:rPr>
                <w:rFonts w:ascii="Times New Roman" w:cs="Times New Roman" w:eastAsia="Times New Roman" w:hAnsi="Times New Roman"/>
                <w:sz w:val="25"/>
                <w:szCs w:val="25"/>
                <w:b w:val="1"/>
                <w:bCs w:val="1"/>
                <w:color w:val="auto"/>
                <w:vertAlign w:val="superscript"/>
              </w:rPr>
              <w:t>(2)</w:t>
            </w:r>
          </w:p>
        </w:tc>
        <w:tc>
          <w:tcPr>
            <w:tcW w:w="580" w:type="dxa"/>
            <w:vAlign w:val="bottom"/>
            <w:tcBorders>
              <w:bottom w:val="single" w:sz="8" w:color="auto"/>
            </w:tcBorders>
          </w:tcPr>
          <w:p>
            <w:pPr>
              <w:spacing w:after="0"/>
              <w:rPr>
                <w:sz w:val="24"/>
                <w:szCs w:val="24"/>
                <w:color w:val="auto"/>
              </w:rPr>
            </w:pPr>
          </w:p>
        </w:tc>
      </w:tr>
      <w:tr>
        <w:trPr>
          <w:trHeight w:val="264"/>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120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80" w:type="dxa"/>
            <w:vAlign w:val="bottom"/>
            <w:tcBorders>
              <w:bottom w:val="single" w:sz="8" w:color="auto"/>
            </w:tcBorders>
          </w:tcPr>
          <w:p>
            <w:pPr>
              <w:spacing w:after="0"/>
              <w:rPr>
                <w:sz w:val="22"/>
                <w:szCs w:val="22"/>
                <w:color w:val="auto"/>
              </w:rPr>
            </w:pPr>
          </w:p>
        </w:tc>
      </w:tr>
      <w:tr>
        <w:trPr>
          <w:trHeight w:val="237"/>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580" w:type="dxa"/>
            <w:vAlign w:val="bottom"/>
          </w:tcPr>
          <w:p>
            <w:pPr>
              <w:spacing w:after="0"/>
              <w:rPr>
                <w:sz w:val="20"/>
                <w:szCs w:val="20"/>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9"/>
        </w:trPr>
        <w:tc>
          <w:tcPr>
            <w:tcW w:w="3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0" w:type="dxa"/>
            <w:vAlign w:val="bottom"/>
            <w:gridSpan w:val="3"/>
          </w:tcPr>
          <w:p>
            <w:pPr>
              <w:jc w:val="right"/>
              <w:ind w:right="910"/>
              <w:spacing w:after="0"/>
              <w:rPr>
                <w:sz w:val="20"/>
                <w:szCs w:val="20"/>
                <w:color w:val="auto"/>
              </w:rPr>
            </w:pPr>
            <w:r>
              <w:rPr>
                <w:rFonts w:ascii="Times New Roman" w:cs="Times New Roman" w:eastAsia="Times New Roman" w:hAnsi="Times New Roman"/>
                <w:sz w:val="14"/>
                <w:szCs w:val="14"/>
                <w:color w:val="auto"/>
              </w:rPr>
              <w:t>(in millions)</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55"/>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contracts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654</w:t>
            </w:r>
          </w:p>
        </w:tc>
      </w:tr>
      <w:tr>
        <w:trPr>
          <w:trHeight w:val="24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contracts</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37"/>
        </w:trPr>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1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687</w:t>
            </w: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3300" w:type="dxa"/>
            <w:vAlign w:val="bottom"/>
            <w:gridSpan w:val="2"/>
            <w:shd w:val="clear" w:color="auto" w:fill="CCEEFF"/>
          </w:tcPr>
          <w:p>
            <w:pPr>
              <w:ind w:left="260"/>
              <w:spacing w:after="0" w:line="270" w:lineRule="exact"/>
              <w:rPr>
                <w:sz w:val="20"/>
                <w:szCs w:val="20"/>
                <w:color w:val="auto"/>
              </w:rPr>
            </w:pPr>
            <w:r>
              <w:rPr>
                <w:rFonts w:ascii="Times New Roman" w:cs="Times New Roman" w:eastAsia="Times New Roman" w:hAnsi="Times New Roman"/>
                <w:sz w:val="18"/>
                <w:szCs w:val="18"/>
                <w:color w:val="auto"/>
              </w:rPr>
              <w:t>Netting across contract types</w:t>
            </w:r>
            <w:r>
              <w:rPr>
                <w:rFonts w:ascii="Times New Roman" w:cs="Times New Roman" w:eastAsia="Times New Roman" w:hAnsi="Times New Roman"/>
                <w:sz w:val="25"/>
                <w:szCs w:val="25"/>
                <w:color w:val="auto"/>
                <w:vertAlign w:val="superscript"/>
              </w:rPr>
              <w:t>(3)</w:t>
            </w:r>
          </w:p>
        </w:tc>
        <w:tc>
          <w:tcPr>
            <w:tcW w:w="1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4"/>
        </w:trPr>
        <w:tc>
          <w:tcPr>
            <w:tcW w:w="3300" w:type="dxa"/>
            <w:vAlign w:val="bottom"/>
            <w:gridSpan w:val="2"/>
          </w:tcPr>
          <w:p>
            <w:pPr>
              <w:ind w:left="20"/>
              <w:spacing w:after="0" w:line="264"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5"/>
                <w:szCs w:val="25"/>
                <w:color w:val="auto"/>
                <w:vertAlign w:val="superscript"/>
              </w:rPr>
              <w:t>(3)</w:t>
            </w: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670</w:t>
            </w:r>
          </w:p>
        </w:tc>
      </w:tr>
      <w:tr>
        <w:trPr>
          <w:trHeight w:val="20"/>
        </w:trPr>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180" w:hanging="172"/>
        <w:spacing w:after="0"/>
        <w:tabs>
          <w:tab w:leader="none" w:pos="180" w:val="left"/>
        </w:tabs>
        <w:numPr>
          <w:ilvl w:val="0"/>
          <w:numId w:val="5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asset derivatives are located within other assets in our consolidated balance sheets.</w:t>
      </w:r>
    </w:p>
    <w:p>
      <w:pPr>
        <w:spacing w:after="0" w:line="17"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5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liability derivatives are located within accrued expenses and other liabilities in our consolidated balance sheets.</w:t>
      </w:r>
    </w:p>
    <w:p>
      <w:pPr>
        <w:spacing w:after="0" w:line="1"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5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netting of cash collateral received and posted. The total collateral posted at December 31, 2014 and 2013 was $1,248 million and $255 million, respectively, across all counterparties.</w:t>
      </w:r>
    </w:p>
    <w:p>
      <w:pPr>
        <w:spacing w:after="0" w:line="200" w:lineRule="exact"/>
        <w:rPr>
          <w:sz w:val="20"/>
          <w:szCs w:val="20"/>
          <w:color w:val="auto"/>
        </w:rPr>
      </w:pPr>
    </w:p>
    <w:p>
      <w:pPr>
        <w:spacing w:after="0" w:line="222" w:lineRule="exact"/>
        <w:rPr>
          <w:sz w:val="20"/>
          <w:szCs w:val="20"/>
          <w:color w:val="auto"/>
        </w:rPr>
      </w:pPr>
    </w:p>
    <w:p>
      <w:pPr>
        <w:ind w:right="40" w:firstLine="37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effects of our derivative instruments not designated as hedging instruments on the statements of operations for the years ended December 31, 2014, 2013 and 2012:</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6"/>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Gain (Loss) Recognized in Income</w:t>
            </w:r>
            <w:r>
              <w:rPr>
                <w:rFonts w:ascii="Times New Roman" w:cs="Times New Roman" w:eastAsia="Times New Roman" w:hAnsi="Times New Roman"/>
                <w:sz w:val="25"/>
                <w:szCs w:val="25"/>
                <w:b w:val="1"/>
                <w:bCs w:val="1"/>
                <w:color w:val="auto"/>
                <w:w w:val="98"/>
                <w:vertAlign w:val="superscript"/>
              </w:rPr>
              <w:t>(1)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0" w:type="dxa"/>
            <w:vAlign w:val="bottom"/>
            <w:gridSpan w:val="6"/>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3"/>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27"/>
        </w:trPr>
        <w:tc>
          <w:tcPr>
            <w:tcW w:w="6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(in millions)</w:t>
            </w: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contracts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Commodity contracts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180" w:right="280" w:hanging="172"/>
        <w:spacing w:after="0" w:line="282" w:lineRule="auto"/>
        <w:tabs>
          <w:tab w:leader="none" w:pos="180" w:val="left"/>
        </w:tabs>
        <w:numPr>
          <w:ilvl w:val="0"/>
          <w:numId w:val="5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Gains (losses) recognized on derivatives are classified in net gain from investment activities in our consolidated statements of operations for our Investment segment and are included in other income (loss), net for all other segments.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420"/>
          </w:cols>
          <w:pgMar w:left="240" w:top="333" w:right="2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60" w:firstLine="378"/>
        <w:spacing w:after="0" w:line="282" w:lineRule="auto"/>
        <w:rPr>
          <w:sz w:val="20"/>
          <w:szCs w:val="20"/>
          <w:color w:val="auto"/>
        </w:rPr>
      </w:pPr>
      <w:r>
        <w:rPr>
          <w:rFonts w:ascii="Times New Roman" w:cs="Times New Roman" w:eastAsia="Times New Roman" w:hAnsi="Times New Roman"/>
          <w:sz w:val="18"/>
          <w:szCs w:val="18"/>
          <w:color w:val="auto"/>
        </w:rPr>
        <w:t>At December 31, 2014 and 2013, the volume of our derivative activities based on their notional exposure, categorized by primary underlying risk,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220" w:type="dxa"/>
            <w:vAlign w:val="bottom"/>
          </w:tcPr>
          <w:p>
            <w:pPr>
              <w:spacing w:after="0"/>
              <w:rPr>
                <w:sz w:val="20"/>
                <w:szCs w:val="20"/>
                <w:color w:val="auto"/>
              </w:rPr>
            </w:pPr>
          </w:p>
        </w:tc>
        <w:tc>
          <w:tcPr>
            <w:tcW w:w="3080" w:type="dxa"/>
            <w:vAlign w:val="bottom"/>
            <w:gridSpan w:val="2"/>
          </w:tcPr>
          <w:p>
            <w:pPr>
              <w:jc w:val="right"/>
              <w:ind w:right="813"/>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Long Notional</w:t>
            </w:r>
          </w:p>
        </w:tc>
        <w:tc>
          <w:tcPr>
            <w:tcW w:w="3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Short Notional</w:t>
            </w:r>
          </w:p>
        </w:tc>
        <w:tc>
          <w:tcPr>
            <w:tcW w:w="220" w:type="dxa"/>
            <w:vAlign w:val="bottom"/>
          </w:tcPr>
          <w:p>
            <w:pPr>
              <w:spacing w:after="0"/>
              <w:rPr>
                <w:sz w:val="18"/>
                <w:szCs w:val="18"/>
                <w:color w:val="auto"/>
              </w:rPr>
            </w:pPr>
          </w:p>
        </w:tc>
        <w:tc>
          <w:tcPr>
            <w:tcW w:w="168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Long Notional</w:t>
            </w:r>
          </w:p>
        </w:tc>
        <w:tc>
          <w:tcPr>
            <w:tcW w:w="14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Short Notional</w:t>
            </w:r>
          </w:p>
        </w:tc>
        <w:tc>
          <w:tcPr>
            <w:tcW w:w="0" w:type="dxa"/>
            <w:vAlign w:val="bottom"/>
          </w:tcPr>
          <w:p>
            <w:pPr>
              <w:spacing w:after="0"/>
              <w:rPr>
                <w:sz w:val="1"/>
                <w:szCs w:val="1"/>
                <w:color w:val="auto"/>
              </w:rPr>
            </w:pPr>
          </w:p>
        </w:tc>
      </w:tr>
      <w:tr>
        <w:trPr>
          <w:trHeight w:val="212"/>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Exposure</w:t>
            </w:r>
          </w:p>
        </w:tc>
        <w:tc>
          <w:tcPr>
            <w:tcW w:w="3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Exposure</w:t>
            </w:r>
          </w:p>
        </w:tc>
        <w:tc>
          <w:tcPr>
            <w:tcW w:w="220" w:type="dxa"/>
            <w:vAlign w:val="bottom"/>
          </w:tcPr>
          <w:p>
            <w:pPr>
              <w:spacing w:after="0"/>
              <w:rPr>
                <w:sz w:val="18"/>
                <w:szCs w:val="18"/>
                <w:color w:val="auto"/>
              </w:rPr>
            </w:pPr>
          </w:p>
        </w:tc>
        <w:tc>
          <w:tcPr>
            <w:tcW w:w="1680" w:type="dxa"/>
            <w:vAlign w:val="bottom"/>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Exposure</w:t>
            </w:r>
          </w:p>
        </w:tc>
        <w:tc>
          <w:tcPr>
            <w:tcW w:w="140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Exposure</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Primary underlying risk:</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7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0" w:type="dxa"/>
            <w:vAlign w:val="bottom"/>
            <w:gridSpan w:val="4"/>
          </w:tcPr>
          <w:p>
            <w:pPr>
              <w:jc w:val="right"/>
              <w:ind w:right="1512"/>
              <w:spacing w:after="0"/>
              <w:rPr>
                <w:sz w:val="20"/>
                <w:szCs w:val="20"/>
                <w:color w:val="auto"/>
              </w:rPr>
            </w:pPr>
            <w:r>
              <w:rPr>
                <w:rFonts w:ascii="Times New Roman" w:cs="Times New Roman" w:eastAsia="Times New Roman" w:hAnsi="Times New Roman"/>
                <w:sz w:val="14"/>
                <w:szCs w:val="14"/>
                <w:color w:val="auto"/>
              </w:rPr>
              <w:t>(in millions)</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280"/>
              <w:spacing w:after="0" w:line="275" w:lineRule="exact"/>
              <w:rPr>
                <w:sz w:val="20"/>
                <w:szCs w:val="20"/>
                <w:color w:val="auto"/>
              </w:rPr>
            </w:pPr>
            <w:r>
              <w:rPr>
                <w:rFonts w:ascii="Times New Roman" w:cs="Times New Roman" w:eastAsia="Times New Roman" w:hAnsi="Times New Roman"/>
                <w:sz w:val="18"/>
                <w:szCs w:val="18"/>
                <w:color w:val="auto"/>
              </w:rPr>
              <w:t>Credit default swaps</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swaps</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11,312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10,508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forwards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12</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Interest rate contracts</w:t>
            </w:r>
            <w:r>
              <w:rPr>
                <w:rFonts w:ascii="Times New Roman" w:cs="Times New Roman" w:eastAsia="Times New Roman" w:hAnsi="Times New Roman"/>
                <w:sz w:val="25"/>
                <w:szCs w:val="25"/>
                <w:color w:val="auto"/>
                <w:vertAlign w:val="superscript"/>
              </w:rPr>
              <w:t>(2)</w:t>
            </w:r>
          </w:p>
        </w:tc>
        <w:tc>
          <w:tcPr>
            <w:tcW w:w="200" w:type="dxa"/>
            <w:vAlign w:val="bottom"/>
          </w:tcPr>
          <w:p>
            <w:pPr>
              <w:spacing w:after="0"/>
              <w:rPr>
                <w:sz w:val="23"/>
                <w:szCs w:val="23"/>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Commodity contracts</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60</w:t>
            </w:r>
          </w:p>
        </w:tc>
        <w:tc>
          <w:tcPr>
            <w:tcW w:w="14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80" w:right="560" w:hanging="172"/>
        <w:spacing w:after="0" w:line="253" w:lineRule="auto"/>
        <w:tabs>
          <w:tab w:leader="none" w:pos="180" w:val="left"/>
        </w:tabs>
        <w:numPr>
          <w:ilvl w:val="0"/>
          <w:numId w:val="5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short notional amount on our credit default swap positions is approximately $9.3 billion as of December 31, 2014. However, because credit spreads cannot compress below zero, our downside short notional exposure to loss is approximately $1.5 billion.</w:t>
      </w:r>
    </w:p>
    <w:p>
      <w:pPr>
        <w:ind w:left="180" w:right="100" w:hanging="172"/>
        <w:spacing w:after="0" w:line="258" w:lineRule="auto"/>
        <w:tabs>
          <w:tab w:leader="none" w:pos="180" w:val="left"/>
        </w:tabs>
        <w:numPr>
          <w:ilvl w:val="0"/>
          <w:numId w:val="5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short notional amount on certain of our interest rate contracts with a three month duration is $16.0 billion as of December 31, 2014. We assume that interest rates will not fall below zero and therefore our downside short notional exposure to loss on these contracts is $74 million (of the total $137 million disclosed in the above table).</w:t>
      </w:r>
    </w:p>
    <w:p>
      <w:pPr>
        <w:spacing w:after="0" w:line="2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fair values of our derivative instruments that are designated as cash flow hedging instruments: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80" w:type="dxa"/>
            <w:vAlign w:val="bottom"/>
            <w:gridSpan w:val="5"/>
          </w:tcPr>
          <w:p>
            <w:pPr>
              <w:ind w:left="1140"/>
              <w:spacing w:after="0"/>
              <w:rPr>
                <w:sz w:val="20"/>
                <w:szCs w:val="20"/>
                <w:color w:val="auto"/>
              </w:rPr>
            </w:pPr>
            <w:r>
              <w:rPr>
                <w:rFonts w:ascii="Times New Roman" w:cs="Times New Roman" w:eastAsia="Times New Roman" w:hAnsi="Times New Roman"/>
                <w:sz w:val="16"/>
                <w:szCs w:val="16"/>
                <w:b w:val="1"/>
                <w:bCs w:val="1"/>
                <w:color w:val="auto"/>
              </w:rPr>
              <w:t>Asset Derivatives</w:t>
            </w:r>
            <w:r>
              <w:rPr>
                <w:rFonts w:ascii="Times New Roman" w:cs="Times New Roman" w:eastAsia="Times New Roman" w:hAnsi="Times New Roman"/>
                <w:sz w:val="21"/>
                <w:szCs w:val="21"/>
                <w:b w:val="1"/>
                <w:bCs w:val="1"/>
                <w:color w:val="auto"/>
                <w:vertAlign w:val="superscript"/>
              </w:rPr>
              <w:t>(1)</w:t>
            </w:r>
          </w:p>
        </w:tc>
        <w:tc>
          <w:tcPr>
            <w:tcW w:w="320" w:type="dxa"/>
            <w:vAlign w:val="bottom"/>
          </w:tcPr>
          <w:p>
            <w:pPr>
              <w:spacing w:after="0"/>
              <w:rPr>
                <w:sz w:val="21"/>
                <w:szCs w:val="21"/>
                <w:color w:val="auto"/>
              </w:rPr>
            </w:pPr>
          </w:p>
        </w:tc>
        <w:tc>
          <w:tcPr>
            <w:tcW w:w="3660" w:type="dxa"/>
            <w:vAlign w:val="bottom"/>
            <w:gridSpan w:val="4"/>
          </w:tcPr>
          <w:p>
            <w:pPr>
              <w:jc w:val="right"/>
              <w:ind w:right="1111"/>
              <w:spacing w:after="0"/>
              <w:rPr>
                <w:sz w:val="20"/>
                <w:szCs w:val="20"/>
                <w:color w:val="auto"/>
              </w:rPr>
            </w:pPr>
            <w:r>
              <w:rPr>
                <w:rFonts w:ascii="Times New Roman" w:cs="Times New Roman" w:eastAsia="Times New Roman" w:hAnsi="Times New Roman"/>
                <w:sz w:val="16"/>
                <w:szCs w:val="16"/>
                <w:b w:val="1"/>
                <w:bCs w:val="1"/>
                <w:color w:val="auto"/>
              </w:rPr>
              <w:t>Liability Derivatives</w:t>
            </w:r>
            <w:r>
              <w:rPr>
                <w:rFonts w:ascii="Times New Roman" w:cs="Times New Roman" w:eastAsia="Times New Roman" w:hAnsi="Times New Roman"/>
                <w:sz w:val="21"/>
                <w:szCs w:val="21"/>
                <w:b w:val="1"/>
                <w:bCs w:val="1"/>
                <w:color w:val="auto"/>
                <w:vertAlign w:val="superscript"/>
              </w:rPr>
              <w:t>(2)</w:t>
            </w:r>
          </w:p>
        </w:tc>
      </w:tr>
      <w:tr>
        <w:trPr>
          <w:trHeight w:val="194"/>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 Designated as Cash Flow</w:t>
            </w:r>
          </w:p>
        </w:tc>
        <w:tc>
          <w:tcPr>
            <w:tcW w:w="2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r>
      <w:tr>
        <w:trPr>
          <w:trHeight w:val="212"/>
        </w:trPr>
        <w:tc>
          <w:tcPr>
            <w:tcW w:w="33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Hedging Instruments</w:t>
            </w: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32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220" w:type="dxa"/>
            <w:vAlign w:val="bottom"/>
          </w:tcPr>
          <w:p>
            <w:pPr>
              <w:spacing w:after="0"/>
              <w:rPr>
                <w:sz w:val="18"/>
                <w:szCs w:val="18"/>
                <w:color w:val="auto"/>
              </w:rPr>
            </w:pPr>
          </w:p>
        </w:tc>
        <w:tc>
          <w:tcPr>
            <w:tcW w:w="17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2013</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9"/>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55"/>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Commodity contracts</w:t>
            </w:r>
          </w:p>
        </w:tc>
        <w:tc>
          <w:tcPr>
            <w:tcW w:w="220" w:type="dxa"/>
            <w:vAlign w:val="bottom"/>
          </w:tcPr>
          <w:p>
            <w:pPr>
              <w:spacing w:after="0"/>
              <w:rPr>
                <w:sz w:val="21"/>
                <w:szCs w:val="21"/>
                <w:color w:val="auto"/>
              </w:rPr>
            </w:pPr>
          </w:p>
        </w:tc>
        <w:tc>
          <w:tcPr>
            <w:tcW w:w="1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3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Netting across contract types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180" w:hanging="172"/>
        <w:spacing w:after="0"/>
        <w:tabs>
          <w:tab w:leader="none" w:pos="180" w:val="left"/>
        </w:tabs>
        <w:numPr>
          <w:ilvl w:val="0"/>
          <w:numId w:val="5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Located within other assets in our consolidated balance sheets.</w:t>
      </w:r>
    </w:p>
    <w:p>
      <w:pPr>
        <w:spacing w:after="0" w:line="17"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5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Located within accrued expenses and other liabilities in our consolidated balance sheets.</w:t>
      </w:r>
    </w:p>
    <w:p>
      <w:pPr>
        <w:spacing w:after="0" w:line="200" w:lineRule="exact"/>
        <w:rPr>
          <w:sz w:val="20"/>
          <w:szCs w:val="20"/>
          <w:color w:val="auto"/>
        </w:rPr>
      </w:pPr>
    </w:p>
    <w:p>
      <w:pPr>
        <w:spacing w:after="0" w:line="222" w:lineRule="exact"/>
        <w:rPr>
          <w:sz w:val="20"/>
          <w:szCs w:val="20"/>
          <w:color w:val="auto"/>
        </w:rPr>
      </w:pPr>
    </w:p>
    <w:p>
      <w:pPr>
        <w:ind w:right="160" w:firstLine="37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effect of our derivative instruments that are designated as cash flow hedging instruments on our consolidated financial statements for the years ended December 31, 2014, 2013 and 2012: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Amount of Gain</w:t>
            </w: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 of Gain</w:t>
            </w:r>
          </w:p>
        </w:tc>
        <w:tc>
          <w:tcPr>
            <w:tcW w:w="120" w:type="dxa"/>
            <w:vAlign w:val="bottom"/>
          </w:tcPr>
          <w:p>
            <w:pPr>
              <w:spacing w:after="0"/>
              <w:rPr>
                <w:sz w:val="17"/>
                <w:szCs w:val="17"/>
                <w:color w:val="auto"/>
              </w:rPr>
            </w:pPr>
          </w:p>
        </w:tc>
        <w:tc>
          <w:tcPr>
            <w:tcW w:w="13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Amount of Loss</w:t>
            </w: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Location of Loss</w:t>
            </w:r>
          </w:p>
        </w:tc>
        <w:tc>
          <w:tcPr>
            <w:tcW w:w="160" w:type="dxa"/>
            <w:vAlign w:val="bottom"/>
          </w:tcPr>
          <w:p>
            <w:pPr>
              <w:spacing w:after="0"/>
              <w:rPr>
                <w:sz w:val="17"/>
                <w:szCs w:val="17"/>
                <w:color w:val="auto"/>
              </w:rPr>
            </w:pPr>
          </w:p>
        </w:tc>
        <w:tc>
          <w:tcPr>
            <w:tcW w:w="13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Recognized in</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of Gain</w:t>
            </w: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Recognized in OCI</w:t>
            </w:r>
          </w:p>
        </w:tc>
        <w:tc>
          <w:tcPr>
            <w:tcW w:w="120" w:type="dxa"/>
            <w:vAlign w:val="bottom"/>
          </w:tcPr>
          <w:p>
            <w:pPr>
              <w:spacing w:after="0"/>
              <w:rPr>
                <w:sz w:val="17"/>
                <w:szCs w:val="17"/>
                <w:color w:val="auto"/>
              </w:rPr>
            </w:pPr>
          </w:p>
        </w:tc>
        <w:tc>
          <w:tcPr>
            <w:tcW w:w="13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Reclassified from</w:t>
            </w: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Reclassified from AOCI</w:t>
            </w:r>
          </w:p>
        </w:tc>
        <w:tc>
          <w:tcPr>
            <w:tcW w:w="160" w:type="dxa"/>
            <w:vAlign w:val="bottom"/>
          </w:tcPr>
          <w:p>
            <w:pPr>
              <w:spacing w:after="0"/>
              <w:rPr>
                <w:sz w:val="17"/>
                <w:szCs w:val="17"/>
                <w:color w:val="auto"/>
              </w:rPr>
            </w:pPr>
          </w:p>
        </w:tc>
        <w:tc>
          <w:tcPr>
            <w:tcW w:w="13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Income on</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Recognized in Income on</w:t>
            </w:r>
          </w:p>
        </w:tc>
      </w:tr>
      <w:tr>
        <w:trPr>
          <w:trHeight w:val="203"/>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 Designated as Hedging</w:t>
            </w: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on Derivatives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AOCI into Income</w:t>
            </w: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into Income (Effective</w:t>
            </w:r>
          </w:p>
        </w:tc>
        <w:tc>
          <w:tcPr>
            <w:tcW w:w="160" w:type="dxa"/>
            <w:vAlign w:val="bottom"/>
          </w:tcPr>
          <w:p>
            <w:pPr>
              <w:spacing w:after="0"/>
              <w:rPr>
                <w:sz w:val="17"/>
                <w:szCs w:val="17"/>
                <w:color w:val="auto"/>
              </w:rPr>
            </w:pPr>
          </w:p>
        </w:tc>
        <w:tc>
          <w:tcPr>
            <w:tcW w:w="13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Derivatives (Ineffective</w:t>
            </w:r>
          </w:p>
        </w:tc>
      </w:tr>
      <w:tr>
        <w:trPr>
          <w:trHeight w:val="212"/>
        </w:trPr>
        <w:tc>
          <w:tcPr>
            <w:tcW w:w="26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9"/>
              </w:rPr>
              <w:t>(Effective Portion)</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(Effective Portion)</w:t>
            </w: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Portion)</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(Ineffective Portion)</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Portion)</w:t>
            </w:r>
          </w:p>
        </w:tc>
      </w:tr>
      <w:tr>
        <w:trPr>
          <w:trHeight w:val="33"/>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9"/>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22"/>
                <w:szCs w:val="22"/>
                <w:color w:val="auto"/>
              </w:rPr>
            </w:pPr>
          </w:p>
        </w:tc>
        <w:tc>
          <w:tcPr>
            <w:tcW w:w="1360" w:type="dxa"/>
            <w:vAlign w:val="bottom"/>
          </w:tcPr>
          <w:p>
            <w:pPr>
              <w:jc w:val="center"/>
              <w:ind w:right="35"/>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55"/>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r>
      <w:tr>
        <w:trPr>
          <w:trHeight w:val="243"/>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Commodity contracts</w:t>
            </w:r>
          </w:p>
        </w:tc>
        <w:tc>
          <w:tcPr>
            <w:tcW w:w="120" w:type="dxa"/>
            <w:vAlign w:val="bottom"/>
          </w:tcPr>
          <w:p>
            <w:pPr>
              <w:spacing w:after="0"/>
              <w:rPr>
                <w:sz w:val="21"/>
                <w:szCs w:val="21"/>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Cost of goods sold</w:t>
            </w: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Other income, net</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Cost of goods sold</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r>
      <w:tr>
        <w:trPr>
          <w:trHeight w:val="237"/>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178</w:t>
      </w:r>
    </w:p>
    <w:p>
      <w:pPr>
        <w:sectPr>
          <w:pgSz w:w="11900" w:h="16838" w:orient="portrait"/>
          <w:cols w:equalWidth="0" w:num="1">
            <w:col w:w="11420"/>
          </w:cols>
          <w:pgMar w:left="240" w:top="333" w:right="239" w:bottom="1440" w:gutter="0" w:footer="0" w:header="0"/>
          <w:type w:val="continuous"/>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Amount of (Loss)</w:t>
            </w: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Amount of Gain</w:t>
            </w: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 of Gain</w:t>
            </w:r>
          </w:p>
        </w:tc>
        <w:tc>
          <w:tcPr>
            <w:tcW w:w="120" w:type="dxa"/>
            <w:vAlign w:val="bottom"/>
          </w:tcPr>
          <w:p>
            <w:pPr>
              <w:spacing w:after="0"/>
              <w:rPr>
                <w:sz w:val="17"/>
                <w:szCs w:val="17"/>
                <w:color w:val="auto"/>
              </w:rPr>
            </w:pPr>
          </w:p>
        </w:tc>
        <w:tc>
          <w:tcPr>
            <w:tcW w:w="13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Gain Reclassified</w:t>
            </w:r>
          </w:p>
        </w:tc>
        <w:tc>
          <w:tcPr>
            <w:tcW w:w="100" w:type="dxa"/>
            <w:vAlign w:val="bottom"/>
          </w:tcPr>
          <w:p>
            <w:pPr>
              <w:spacing w:after="0"/>
              <w:rPr>
                <w:sz w:val="17"/>
                <w:szCs w:val="17"/>
                <w:color w:val="auto"/>
              </w:rPr>
            </w:pP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Location of (Loss) Gain</w:t>
            </w:r>
          </w:p>
        </w:tc>
        <w:tc>
          <w:tcPr>
            <w:tcW w:w="160" w:type="dxa"/>
            <w:vAlign w:val="bottom"/>
          </w:tcPr>
          <w:p>
            <w:pPr>
              <w:spacing w:after="0"/>
              <w:rPr>
                <w:sz w:val="17"/>
                <w:szCs w:val="17"/>
                <w:color w:val="auto"/>
              </w:rPr>
            </w:pPr>
          </w:p>
        </w:tc>
        <w:tc>
          <w:tcPr>
            <w:tcW w:w="13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Recognized in</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of Gain</w:t>
            </w: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(Loss) Recognized in</w:t>
            </w:r>
          </w:p>
        </w:tc>
        <w:tc>
          <w:tcPr>
            <w:tcW w:w="120" w:type="dxa"/>
            <w:vAlign w:val="bottom"/>
          </w:tcPr>
          <w:p>
            <w:pPr>
              <w:spacing w:after="0"/>
              <w:rPr>
                <w:sz w:val="17"/>
                <w:szCs w:val="17"/>
                <w:color w:val="auto"/>
              </w:rPr>
            </w:pPr>
          </w:p>
        </w:tc>
        <w:tc>
          <w:tcPr>
            <w:tcW w:w="13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from AOCI into</w:t>
            </w: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Reclassified from AOCI</w:t>
            </w:r>
          </w:p>
        </w:tc>
        <w:tc>
          <w:tcPr>
            <w:tcW w:w="160" w:type="dxa"/>
            <w:vAlign w:val="bottom"/>
          </w:tcPr>
          <w:p>
            <w:pPr>
              <w:spacing w:after="0"/>
              <w:rPr>
                <w:sz w:val="17"/>
                <w:szCs w:val="17"/>
                <w:color w:val="auto"/>
              </w:rPr>
            </w:pPr>
          </w:p>
        </w:tc>
        <w:tc>
          <w:tcPr>
            <w:tcW w:w="13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Income on</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Recognized in Income on</w:t>
            </w:r>
          </w:p>
        </w:tc>
      </w:tr>
      <w:tr>
        <w:trPr>
          <w:trHeight w:val="203"/>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 Designated as Hedging</w:t>
            </w:r>
          </w:p>
        </w:tc>
        <w:tc>
          <w:tcPr>
            <w:tcW w:w="16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OCI on Derivatives</w:t>
            </w:r>
          </w:p>
        </w:tc>
        <w:tc>
          <w:tcPr>
            <w:tcW w:w="120" w:type="dxa"/>
            <w:vAlign w:val="bottom"/>
          </w:tcPr>
          <w:p>
            <w:pPr>
              <w:spacing w:after="0"/>
              <w:rPr>
                <w:sz w:val="17"/>
                <w:szCs w:val="17"/>
                <w:color w:val="auto"/>
              </w:rPr>
            </w:pPr>
          </w:p>
        </w:tc>
        <w:tc>
          <w:tcPr>
            <w:tcW w:w="136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Income (Effective</w:t>
            </w: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into Income (Effective</w:t>
            </w:r>
          </w:p>
        </w:tc>
        <w:tc>
          <w:tcPr>
            <w:tcW w:w="160" w:type="dxa"/>
            <w:vAlign w:val="bottom"/>
          </w:tcPr>
          <w:p>
            <w:pPr>
              <w:spacing w:after="0"/>
              <w:rPr>
                <w:sz w:val="17"/>
                <w:szCs w:val="17"/>
                <w:color w:val="auto"/>
              </w:rPr>
            </w:pPr>
          </w:p>
        </w:tc>
        <w:tc>
          <w:tcPr>
            <w:tcW w:w="13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Derivatives (Ineffective</w:t>
            </w:r>
          </w:p>
        </w:tc>
      </w:tr>
      <w:tr>
        <w:trPr>
          <w:trHeight w:val="212"/>
        </w:trPr>
        <w:tc>
          <w:tcPr>
            <w:tcW w:w="26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(Effective Portion)</w:t>
            </w:r>
          </w:p>
        </w:tc>
        <w:tc>
          <w:tcPr>
            <w:tcW w:w="120" w:type="dxa"/>
            <w:vAlign w:val="bottom"/>
          </w:tcPr>
          <w:p>
            <w:pPr>
              <w:spacing w:after="0"/>
              <w:rPr>
                <w:sz w:val="18"/>
                <w:szCs w:val="18"/>
                <w:color w:val="auto"/>
              </w:rPr>
            </w:pPr>
          </w:p>
        </w:tc>
        <w:tc>
          <w:tcPr>
            <w:tcW w:w="13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Portion)</w:t>
            </w: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Portion)</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(Ineffective Portion)</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Portion)</w:t>
            </w:r>
          </w:p>
        </w:tc>
      </w:tr>
      <w:tr>
        <w:trPr>
          <w:trHeight w:val="33"/>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9"/>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22"/>
                <w:szCs w:val="22"/>
                <w:color w:val="auto"/>
              </w:rPr>
            </w:pPr>
          </w:p>
        </w:tc>
        <w:tc>
          <w:tcPr>
            <w:tcW w:w="1360" w:type="dxa"/>
            <w:vAlign w:val="bottom"/>
          </w:tcPr>
          <w:p>
            <w:pPr>
              <w:jc w:val="center"/>
              <w:ind w:right="36"/>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55"/>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r>
      <w:tr>
        <w:trPr>
          <w:trHeight w:val="243"/>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Commodity contracts</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Cost of goods sold</w:t>
            </w:r>
          </w:p>
        </w:tc>
        <w:tc>
          <w:tcPr>
            <w:tcW w:w="160" w:type="dxa"/>
            <w:vAlign w:val="bottom"/>
          </w:tcPr>
          <w:p>
            <w:pPr>
              <w:spacing w:after="0"/>
              <w:rPr>
                <w:sz w:val="21"/>
                <w:szCs w:val="21"/>
                <w:color w:val="auto"/>
              </w:rPr>
            </w:pPr>
          </w:p>
        </w:tc>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r>
      <w:tr>
        <w:trPr>
          <w:trHeight w:val="237"/>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59"/>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 2012</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7"/>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Amount of (Loss)</w:t>
            </w: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Amount of Loss</w:t>
            </w: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 of (Loss)</w:t>
            </w:r>
          </w:p>
        </w:tc>
        <w:tc>
          <w:tcPr>
            <w:tcW w:w="120" w:type="dxa"/>
            <w:vAlign w:val="bottom"/>
          </w:tcPr>
          <w:p>
            <w:pPr>
              <w:spacing w:after="0"/>
              <w:rPr>
                <w:sz w:val="17"/>
                <w:szCs w:val="17"/>
                <w:color w:val="auto"/>
              </w:rPr>
            </w:pPr>
          </w:p>
        </w:tc>
        <w:tc>
          <w:tcPr>
            <w:tcW w:w="13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Gain Reclassified</w:t>
            </w:r>
          </w:p>
        </w:tc>
        <w:tc>
          <w:tcPr>
            <w:tcW w:w="100" w:type="dxa"/>
            <w:vAlign w:val="bottom"/>
          </w:tcPr>
          <w:p>
            <w:pPr>
              <w:spacing w:after="0"/>
              <w:rPr>
                <w:sz w:val="17"/>
                <w:szCs w:val="17"/>
                <w:color w:val="auto"/>
              </w:rPr>
            </w:pP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Location of (Loss) Gain</w:t>
            </w:r>
          </w:p>
        </w:tc>
        <w:tc>
          <w:tcPr>
            <w:tcW w:w="160" w:type="dxa"/>
            <w:vAlign w:val="bottom"/>
          </w:tcPr>
          <w:p>
            <w:pPr>
              <w:spacing w:after="0"/>
              <w:rPr>
                <w:sz w:val="17"/>
                <w:szCs w:val="17"/>
                <w:color w:val="auto"/>
              </w:rPr>
            </w:pPr>
          </w:p>
        </w:tc>
        <w:tc>
          <w:tcPr>
            <w:tcW w:w="13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Recognized in</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of Loss</w:t>
            </w: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Gain Recognized in</w:t>
            </w:r>
          </w:p>
        </w:tc>
        <w:tc>
          <w:tcPr>
            <w:tcW w:w="120" w:type="dxa"/>
            <w:vAlign w:val="bottom"/>
          </w:tcPr>
          <w:p>
            <w:pPr>
              <w:spacing w:after="0"/>
              <w:rPr>
                <w:sz w:val="17"/>
                <w:szCs w:val="17"/>
                <w:color w:val="auto"/>
              </w:rPr>
            </w:pPr>
          </w:p>
        </w:tc>
        <w:tc>
          <w:tcPr>
            <w:tcW w:w="13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from AOCI into</w:t>
            </w: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Reclassified from AOCI</w:t>
            </w:r>
          </w:p>
        </w:tc>
        <w:tc>
          <w:tcPr>
            <w:tcW w:w="160" w:type="dxa"/>
            <w:vAlign w:val="bottom"/>
          </w:tcPr>
          <w:p>
            <w:pPr>
              <w:spacing w:after="0"/>
              <w:rPr>
                <w:sz w:val="17"/>
                <w:szCs w:val="17"/>
                <w:color w:val="auto"/>
              </w:rPr>
            </w:pPr>
          </w:p>
        </w:tc>
        <w:tc>
          <w:tcPr>
            <w:tcW w:w="13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Income on</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Recognized in Income on</w:t>
            </w:r>
          </w:p>
        </w:tc>
      </w:tr>
      <w:tr>
        <w:trPr>
          <w:trHeight w:val="203"/>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 Designated as Hedging</w:t>
            </w:r>
          </w:p>
        </w:tc>
        <w:tc>
          <w:tcPr>
            <w:tcW w:w="16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OCI on Derivatives</w:t>
            </w:r>
          </w:p>
        </w:tc>
        <w:tc>
          <w:tcPr>
            <w:tcW w:w="120" w:type="dxa"/>
            <w:vAlign w:val="bottom"/>
          </w:tcPr>
          <w:p>
            <w:pPr>
              <w:spacing w:after="0"/>
              <w:rPr>
                <w:sz w:val="17"/>
                <w:szCs w:val="17"/>
                <w:color w:val="auto"/>
              </w:rPr>
            </w:pPr>
          </w:p>
        </w:tc>
        <w:tc>
          <w:tcPr>
            <w:tcW w:w="136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Income (Effective</w:t>
            </w: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into Income (Effective</w:t>
            </w:r>
          </w:p>
        </w:tc>
        <w:tc>
          <w:tcPr>
            <w:tcW w:w="160" w:type="dxa"/>
            <w:vAlign w:val="bottom"/>
          </w:tcPr>
          <w:p>
            <w:pPr>
              <w:spacing w:after="0"/>
              <w:rPr>
                <w:sz w:val="17"/>
                <w:szCs w:val="17"/>
                <w:color w:val="auto"/>
              </w:rPr>
            </w:pPr>
          </w:p>
        </w:tc>
        <w:tc>
          <w:tcPr>
            <w:tcW w:w="13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Derivatives (Ineffective</w:t>
            </w:r>
          </w:p>
        </w:tc>
      </w:tr>
      <w:tr>
        <w:trPr>
          <w:trHeight w:val="212"/>
        </w:trPr>
        <w:tc>
          <w:tcPr>
            <w:tcW w:w="26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(Effective Portion)</w:t>
            </w:r>
          </w:p>
        </w:tc>
        <w:tc>
          <w:tcPr>
            <w:tcW w:w="120" w:type="dxa"/>
            <w:vAlign w:val="bottom"/>
          </w:tcPr>
          <w:p>
            <w:pPr>
              <w:spacing w:after="0"/>
              <w:rPr>
                <w:sz w:val="18"/>
                <w:szCs w:val="18"/>
                <w:color w:val="auto"/>
              </w:rPr>
            </w:pPr>
          </w:p>
        </w:tc>
        <w:tc>
          <w:tcPr>
            <w:tcW w:w="13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Portion)</w:t>
            </w: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Portion)</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(Ineffective Portion)</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Portion)</w:t>
            </w:r>
          </w:p>
        </w:tc>
      </w:tr>
      <w:tr>
        <w:trPr>
          <w:trHeight w:val="33"/>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9"/>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22"/>
                <w:szCs w:val="22"/>
                <w:color w:val="auto"/>
              </w:rPr>
            </w:pPr>
          </w:p>
        </w:tc>
        <w:tc>
          <w:tcPr>
            <w:tcW w:w="1360" w:type="dxa"/>
            <w:vAlign w:val="bottom"/>
          </w:tcPr>
          <w:p>
            <w:pPr>
              <w:jc w:val="center"/>
              <w:ind w:right="36"/>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55"/>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r>
      <w:tr>
        <w:trPr>
          <w:trHeight w:val="243"/>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Commodity contracts</w:t>
            </w:r>
          </w:p>
        </w:tc>
        <w:tc>
          <w:tcPr>
            <w:tcW w:w="12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Cost of goods sold</w:t>
            </w:r>
          </w:p>
        </w:tc>
        <w:tc>
          <w:tcPr>
            <w:tcW w:w="160" w:type="dxa"/>
            <w:vAlign w:val="bottom"/>
          </w:tcPr>
          <w:p>
            <w:pPr>
              <w:spacing w:after="0"/>
              <w:rPr>
                <w:sz w:val="21"/>
                <w:szCs w:val="21"/>
                <w:color w:val="auto"/>
              </w:rPr>
            </w:pPr>
          </w:p>
        </w:tc>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2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Cost of goods sold</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r>
      <w:tr>
        <w:trPr>
          <w:trHeight w:val="237"/>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94" w:lineRule="exact"/>
        <w:rPr>
          <w:sz w:val="20"/>
          <w:szCs w:val="20"/>
          <w:color w:val="auto"/>
        </w:rPr>
      </w:pPr>
    </w:p>
    <w:p>
      <w:pPr>
        <w:ind w:left="380" w:right="8280" w:hanging="372"/>
        <w:spacing w:after="0" w:line="412" w:lineRule="auto"/>
        <w:tabs>
          <w:tab w:leader="none" w:pos="326"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Net. </w:t>
      </w:r>
      <w:r>
        <w:rPr>
          <w:rFonts w:ascii="Times New Roman" w:cs="Times New Roman" w:eastAsia="Times New Roman" w:hAnsi="Times New Roman"/>
          <w:sz w:val="18"/>
          <w:szCs w:val="18"/>
          <w:color w:val="auto"/>
        </w:rPr>
        <w:t>Goodwill consists of the following: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Automotive</w:t>
            </w:r>
          </w:p>
        </w:tc>
        <w:tc>
          <w:tcPr>
            <w:tcW w:w="240" w:type="dxa"/>
            <w:vAlign w:val="bottom"/>
          </w:tcPr>
          <w:p>
            <w:pPr>
              <w:spacing w:after="0"/>
              <w:rPr>
                <w:sz w:val="20"/>
                <w:szCs w:val="20"/>
                <w:color w:val="auto"/>
              </w:rPr>
            </w:pPr>
          </w:p>
        </w:tc>
        <w:tc>
          <w:tcPr>
            <w:tcW w:w="10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Railcar</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Food Packaging</w:t>
            </w:r>
          </w:p>
        </w:tc>
        <w:tc>
          <w:tcPr>
            <w:tcW w:w="1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5"/>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(in millions)</w:t>
            </w: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carrying amount, January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2,300</w:t>
            </w:r>
          </w:p>
        </w:tc>
      </w:tr>
      <w:tr>
        <w:trPr>
          <w:trHeight w:val="237"/>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Acquisitions</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exchange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 carrying amount, December 31</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1,389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930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2,329</w:t>
            </w: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impairment, January 1</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Impairment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impairment, December 31</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carrying value, December 31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1,163</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1"/>
                <w:szCs w:val="21"/>
                <w:color w:val="auto"/>
              </w:rPr>
            </w:pPr>
          </w:p>
        </w:tc>
        <w:tc>
          <w:tcPr>
            <w:tcW w:w="5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2,000</w:t>
            </w:r>
          </w:p>
        </w:tc>
      </w:tr>
      <w:tr>
        <w:trPr>
          <w:trHeight w:val="20"/>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420"/>
          </w:cols>
          <w:pgMar w:left="240" w:top="333" w:right="2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Automotive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Railcar</w:t>
            </w:r>
          </w:p>
        </w:tc>
        <w:tc>
          <w:tcPr>
            <w:tcW w:w="80" w:type="dxa"/>
            <w:vAlign w:val="bottom"/>
          </w:tcPr>
          <w:p>
            <w:pPr>
              <w:spacing w:after="0"/>
              <w:rPr>
                <w:sz w:val="20"/>
                <w:szCs w:val="20"/>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Food Packaging</w:t>
            </w:r>
          </w:p>
        </w:tc>
        <w:tc>
          <w:tcPr>
            <w:tcW w:w="140" w:type="dxa"/>
            <w:vAlign w:val="bottom"/>
          </w:tcPr>
          <w:p>
            <w:pPr>
              <w:spacing w:after="0"/>
              <w:rPr>
                <w:sz w:val="20"/>
                <w:szCs w:val="20"/>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carrying amount, January 1</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930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2,308</w:t>
            </w:r>
          </w:p>
        </w:tc>
        <w:tc>
          <w:tcPr>
            <w:tcW w:w="0" w:type="dxa"/>
            <w:vAlign w:val="bottom"/>
          </w:tcPr>
          <w:p>
            <w:pPr>
              <w:spacing w:after="0"/>
              <w:rPr>
                <w:sz w:val="1"/>
                <w:szCs w:val="1"/>
                <w:color w:val="auto"/>
              </w:rPr>
            </w:pPr>
          </w:p>
        </w:tc>
      </w:tr>
      <w:tr>
        <w:trPr>
          <w:trHeight w:val="237"/>
        </w:trPr>
        <w:tc>
          <w:tcPr>
            <w:tcW w:w="3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 to step-up value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exchange</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 carrying amount, December 31</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2,300</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impairment, January 1</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Impairment</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impairment, December 31</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carrying value, December 31</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80" w:type="dxa"/>
            <w:vAlign w:val="bottom"/>
          </w:tcPr>
          <w:p>
            <w:pPr>
              <w:spacing w:after="0"/>
              <w:rPr>
                <w:sz w:val="21"/>
                <w:szCs w:val="21"/>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2,074</w:t>
            </w:r>
          </w:p>
        </w:tc>
        <w:tc>
          <w:tcPr>
            <w:tcW w:w="0" w:type="dxa"/>
            <w:vAlign w:val="bottom"/>
          </w:tcPr>
          <w:p>
            <w:pPr>
              <w:spacing w:after="0"/>
              <w:rPr>
                <w:sz w:val="1"/>
                <w:szCs w:val="1"/>
                <w:color w:val="auto"/>
              </w:rPr>
            </w:pPr>
          </w:p>
        </w:tc>
      </w:tr>
      <w:tr>
        <w:trPr>
          <w:trHeight w:val="20"/>
        </w:trPr>
        <w:tc>
          <w:tcPr>
            <w:tcW w:w="45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8"/>
                <w:szCs w:val="18"/>
                <w:color w:val="auto"/>
              </w:rPr>
              <w:t>Intangible assets, net consists of the following:</w:t>
            </w: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50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200" w:type="dxa"/>
            <w:vAlign w:val="bottom"/>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(in millions)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Customer relationships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623</w:t>
            </w:r>
          </w:p>
        </w:tc>
        <w:tc>
          <w:tcPr>
            <w:tcW w:w="0" w:type="dxa"/>
            <w:vAlign w:val="bottom"/>
          </w:tcPr>
          <w:p>
            <w:pPr>
              <w:spacing w:after="0"/>
              <w:rPr>
                <w:sz w:val="1"/>
                <w:szCs w:val="1"/>
                <w:color w:val="auto"/>
              </w:rPr>
            </w:pPr>
          </w:p>
        </w:tc>
      </w:tr>
      <w:tr>
        <w:trPr>
          <w:trHeight w:val="237"/>
        </w:trPr>
        <w:tc>
          <w:tcPr>
            <w:tcW w:w="3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Developed technology</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In-place leases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37"/>
        </w:trPr>
        <w:tc>
          <w:tcPr>
            <w:tcW w:w="3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Gasification technology license</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1,305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793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1,262</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829</w:t>
            </w:r>
          </w:p>
        </w:tc>
        <w:tc>
          <w:tcPr>
            <w:tcW w:w="0" w:type="dxa"/>
            <w:vAlign w:val="bottom"/>
          </w:tcPr>
          <w:p>
            <w:pPr>
              <w:spacing w:after="0"/>
              <w:rPr>
                <w:sz w:val="1"/>
                <w:szCs w:val="1"/>
                <w:color w:val="auto"/>
              </w:rPr>
            </w:pPr>
          </w:p>
        </w:tc>
      </w:tr>
      <w:tr>
        <w:trPr>
          <w:trHeight w:val="224"/>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Indefinite-lived intangible assets:</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Trademarks and brand names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Gaming licenses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1,113</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20" w:firstLine="378"/>
        <w:spacing w:after="0" w:line="313" w:lineRule="auto"/>
        <w:rPr>
          <w:sz w:val="20"/>
          <w:szCs w:val="20"/>
          <w:color w:val="auto"/>
        </w:rPr>
      </w:pPr>
      <w:r>
        <w:rPr>
          <w:rFonts w:ascii="Times New Roman" w:cs="Times New Roman" w:eastAsia="Times New Roman" w:hAnsi="Times New Roman"/>
          <w:sz w:val="17"/>
          <w:szCs w:val="17"/>
          <w:color w:val="auto"/>
        </w:rPr>
        <w:t>We recorded amortization expense associated with definite-lived intangible assets for the years ended December 31, 2014, 2013 and 2012 of $83 million, $81 million and $77 million, respectively. We utilize the straight-line method of amortization, recognized over the estimated useful lives of the assets.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420"/>
          </w:cols>
          <w:pgMar w:left="240" w:top="333" w:right="2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16"/>
        </w:trPr>
        <w:tc>
          <w:tcPr>
            <w:tcW w:w="914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ICAHN ENTERPRISES L.P. AND SUBSIDIARIES</w:t>
            </w: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8"/>
        </w:trPr>
        <w:tc>
          <w:tcPr>
            <w:tcW w:w="9140" w:type="dxa"/>
            <w:vAlign w:val="bottom"/>
            <w:gridSpan w:val="2"/>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ICAHN ENTERPRISES HOLDINGS L.P. AND SUBSIDIARIES</w:t>
            </w: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32"/>
        </w:trPr>
        <w:tc>
          <w:tcPr>
            <w:tcW w:w="914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67"/>
        </w:trPr>
        <w:tc>
          <w:tcPr>
            <w:tcW w:w="9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The estimated future amortization expense for our definite-lived intangible assets is as follows:</w:t>
            </w: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9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440" w:type="dxa"/>
            <w:vAlign w:val="bottom"/>
          </w:tcPr>
          <w:p>
            <w:pPr>
              <w:spacing w:after="0"/>
              <w:rPr>
                <w:sz w:val="24"/>
                <w:szCs w:val="24"/>
                <w:color w:val="auto"/>
              </w:rPr>
            </w:pPr>
          </w:p>
        </w:tc>
        <w:tc>
          <w:tcPr>
            <w:tcW w:w="184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9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9"/>
        </w:trPr>
        <w:tc>
          <w:tcPr>
            <w:tcW w:w="9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40" w:type="dxa"/>
            <w:vAlign w:val="bottom"/>
          </w:tcPr>
          <w:p>
            <w:pPr>
              <w:jc w:val="right"/>
              <w:ind w:right="692"/>
              <w:spacing w:after="0"/>
              <w:rPr>
                <w:sz w:val="20"/>
                <w:szCs w:val="20"/>
                <w:color w:val="auto"/>
              </w:rPr>
            </w:pPr>
            <w:r>
              <w:rPr>
                <w:rFonts w:ascii="Times New Roman" w:cs="Times New Roman" w:eastAsia="Times New Roman" w:hAnsi="Times New Roman"/>
                <w:sz w:val="14"/>
                <w:szCs w:val="14"/>
                <w:color w:val="auto"/>
              </w:rPr>
              <w:t>(in millions)</w:t>
            </w:r>
          </w:p>
        </w:tc>
      </w:tr>
      <w:tr>
        <w:trPr>
          <w:trHeight w:val="255"/>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9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405</w:t>
            </w:r>
          </w:p>
        </w:tc>
      </w:tr>
      <w:tr>
        <w:trPr>
          <w:trHeight w:val="27"/>
        </w:trPr>
        <w:tc>
          <w:tcPr>
            <w:tcW w:w="9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793</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During the first quarter of 2014, our Automotive segment acquired Dimitrovgradskiy Zavod Vkladishey ("DZV"), a Russian bearings manufacturer, for $15 million net of cash acquired and allocated $6 million to goodwill, $2 million to customer relationships and $1 million to trademarks and brand names.</w:t>
      </w:r>
    </w:p>
    <w:p>
      <w:pPr>
        <w:spacing w:after="0" w:line="5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As further discussed in Note 3, "Operating Units - Automotive," during the second quarter of 2014, our Automotive segment consummated its Affinia Acquisition, recording $26 million in goodwill, $1 million of brand names and $51 million of customer relationships based on fair values as of the acquisition date. Fair values were determined using a combination of cost, income and market approaches. The preliminary allocation of the fair value of the assets acquired is subject to additional adjustment to provide Federal-Mogul with adequate time to complete the valuation of its Affinia Acquisition. The Affinia and Lumière (as discussed below) acquisitions are not material to our consolidated financial statements, either individually or in the aggregate.</w:t>
      </w:r>
    </w:p>
    <w:p>
      <w:pPr>
        <w:spacing w:after="0" w:line="76"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2013, we increased our Automotive segment's goodwill by $8 million and decreased definite-lived intangible assets by $3 million to adjust for the purchase price allocation relating to its spark plug business acquisition from BorgWarner, Inc. in June 2012. Additionally, in connection with the various dispositions of our Automotive segment's businesses during the year ended December 31, 2013, we decreased goodwill by $16 million. In addition, in connection with these dispositions, we also decreased definite-lived intangible assets by $2 million and trademarks and brand names by $6 million.</w:t>
      </w:r>
    </w:p>
    <w:p>
      <w:pPr>
        <w:spacing w:after="0" w:line="76"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Our Automotive segment's reporting unit fair values are based upon consideration of various valuation methodologies, one of which is projecting future cash flows discounted at rates commensurate with the risks involved (“Discounted Cash Flow” or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(“WACC”) of a market participant. Such estimates are derived from our analysis of peer companies and consider the industry weighted average return on debt and equity from a market participant perspective.</w:t>
      </w:r>
    </w:p>
    <w:p>
      <w:pPr>
        <w:spacing w:after="0" w:line="77" w:lineRule="exact"/>
        <w:rPr>
          <w:sz w:val="20"/>
          <w:szCs w:val="20"/>
          <w:color w:val="auto"/>
        </w:rPr>
      </w:pPr>
    </w:p>
    <w:p>
      <w:pPr>
        <w:ind w:right="380" w:firstLine="405"/>
        <w:spacing w:after="0" w:line="261" w:lineRule="auto"/>
        <w:rPr>
          <w:sz w:val="20"/>
          <w:szCs w:val="20"/>
          <w:color w:val="auto"/>
        </w:rPr>
      </w:pPr>
      <w:r>
        <w:rPr>
          <w:rFonts w:ascii="Times New Roman" w:cs="Times New Roman" w:eastAsia="Times New Roman" w:hAnsi="Times New Roman"/>
          <w:sz w:val="18"/>
          <w:szCs w:val="18"/>
          <w:color w:val="auto"/>
        </w:rPr>
        <w:t>Both of our Automotive reporting units with goodwill passed "Step 1" of our October 1, 2014 goodwill impairment analysis. Powertrain and Motorparts, representing our Automotive segment reporting units, had fair values that were substantially in excess of their carrying values. Based on the results of our "Step 1" goodwill impairment analysis for our Automotive segment, we concluded that no impairment existed and therefore "Step 2" of the goodwill impairment analysis was not necessary.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ind w:right="80" w:firstLine="378"/>
        <w:spacing w:after="0" w:line="261" w:lineRule="auto"/>
        <w:rPr>
          <w:sz w:val="20"/>
          <w:szCs w:val="20"/>
          <w:color w:val="auto"/>
        </w:rPr>
      </w:pPr>
      <w:r>
        <w:rPr>
          <w:rFonts w:ascii="Times New Roman" w:cs="Times New Roman" w:eastAsia="Times New Roman" w:hAnsi="Times New Roman"/>
          <w:sz w:val="18"/>
          <w:szCs w:val="18"/>
          <w:color w:val="auto"/>
        </w:rPr>
        <w:t>Based upon certain impairment indicators related to our Automotive segment's friction business during the second quarter of 2012, including lower than expected profits and cash flows due to continued lower aftermarket volumes, further product mix shifts and pressure on margins, our Automotive segment performed a trademarks and brand names impairment analysis in accordance with the subsequent measurement provisions of FASB ASC Topic 350. In addition, in conjunction with our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420"/>
          </w:cols>
          <w:pgMar w:left="240" w:top="334" w:right="239" w:bottom="1440" w:gutter="0" w:footer="0" w:header="0"/>
        </w:sectPr>
      </w:pPr>
    </w:p>
    <w:bookmarkStart w:id="183" w:name="page184"/>
    <w:bookmarkEnd w:id="18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goodwill impairment test that was precipitated by the reorganization as of September 1, 2012, we also performed a trademarks and brand names impairment analysis in accordance with FASB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as of September 1, 2012. Our impairment analyses compare the fair values of these assets to the related carrying values, and impairment charges are recorded for any excess of carrying values over fair values. These fair values are based upon the prospective stream of hypothetical after-tax royalty cost savings discounted at rates that reflect the rates of return appropriate for these intangible assets. Based upon these analyses, our Automotive segment recognized an aggregate impairment charge of $46 million impairment for the year ended December 31, 2012.</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analysis</w:t>
      </w:r>
    </w:p>
    <w:p>
      <w:pPr>
        <w:spacing w:after="0" w:line="119"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We perform our annual goodwill impairment analysis as of April 30 of each year for our Energy segment, or more frequently if impairment indicators exist. The first step of the impairment analysis involves comparing the fair values of these assets to the respective carrying values to determine the potential for goodwill impairment. The second step of the impairment test, if necessary, involves quantifying the level of goodwill impairment.</w:t>
      </w:r>
    </w:p>
    <w:p>
      <w:pPr>
        <w:spacing w:after="0" w:line="68" w:lineRule="exact"/>
        <w:rPr>
          <w:sz w:val="20"/>
          <w:szCs w:val="20"/>
          <w:color w:val="auto"/>
        </w:rPr>
      </w:pPr>
    </w:p>
    <w:p>
      <w:pPr>
        <w:ind w:right="120" w:firstLine="378"/>
        <w:spacing w:after="0" w:line="255" w:lineRule="auto"/>
        <w:rPr>
          <w:sz w:val="20"/>
          <w:szCs w:val="20"/>
          <w:color w:val="auto"/>
        </w:rPr>
      </w:pPr>
      <w:r>
        <w:rPr>
          <w:rFonts w:ascii="Times New Roman" w:cs="Times New Roman" w:eastAsia="Times New Roman" w:hAnsi="Times New Roman"/>
          <w:sz w:val="18"/>
          <w:szCs w:val="18"/>
          <w:color w:val="auto"/>
        </w:rPr>
        <w:t>The fair values of our Energy segment's reporting units are based upon consideration of various valuation methodologies, including a DCF analysis and pricing multiples of current and future earnings observed for comparable public companies.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(“WACC”) of a market participant. Such estimates are derived from our analysis of peer companies and consider the industry weighted average return on debt and equity from a market participant perspective.</w:t>
      </w:r>
    </w:p>
    <w:p>
      <w:pPr>
        <w:spacing w:after="0" w:line="77"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During the fourth quarter of 2014, based on certain negative trends occurring in the energy markets, particularly with respect to the significant volatility in the oil markets as a result of a drop in forecasted worldwide demand for crude oil supply and inventories, we determined that goodwill impairment indicators existed in both of our Energy segment's Petroleum and Fertilizer reporting units. Accordingly, we performed a "Step 1" goodwill impairment analysis for our Energy segment's reporting units as of December 1, 2014. Our Energy segment’s petroleum reporting unit passed “Step 1” of the goodwill impairment analysis, and therefore, we did not perform “Step 2” of the goodwill impairment analysis for this reporting unit. Because our Energy segment's Fertilizer reporting unit failed "Step 1" of the goodwill impairment analysis, we therefore, performed "Step 2" of the goodwill impairment analysis. Based on "Step 2" results of the goodwill impairment analysis we recognized a preliminary impairment charge of $103 million for our Energy segment's Fertilizer reporting unit for the year ended December 31, 2014. Due to the complexity inherent in the "Step 2" goodwill impairment test, we expect to finalize the assessment of Energy segment's goodwill impairment during the first quarter of 2015 and any resulting difference in the amount of the impairment will be adjusted at that time.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Metals</w:t>
      </w:r>
    </w:p>
    <w:p>
      <w:pPr>
        <w:spacing w:after="0" w:line="121" w:lineRule="exact"/>
        <w:rPr>
          <w:sz w:val="20"/>
          <w:szCs w:val="20"/>
          <w:color w:val="auto"/>
        </w:rPr>
      </w:pPr>
    </w:p>
    <w:p>
      <w:pPr>
        <w:ind w:right="80" w:firstLine="378"/>
        <w:spacing w:after="0" w:line="261" w:lineRule="auto"/>
        <w:rPr>
          <w:sz w:val="20"/>
          <w:szCs w:val="20"/>
          <w:color w:val="auto"/>
        </w:rPr>
      </w:pPr>
      <w:r>
        <w:rPr>
          <w:rFonts w:ascii="Times New Roman" w:cs="Times New Roman" w:eastAsia="Times New Roman" w:hAnsi="Times New Roman"/>
          <w:sz w:val="18"/>
          <w:szCs w:val="18"/>
          <w:color w:val="auto"/>
        </w:rPr>
        <w:t>Our Metals segment performed its annual impairment review of indefinite-lived intangible assets in the fourth quarter of 2012. Because of the downturn in the scrap metals industry in 2012, along with continued challenging market conditions in the metals industry, our Metals segment determined that all of its goodwill and trade name intangible assets were impaired. As a result, our Metals segment recorded an impairment charge of $18 million during the year ended December 31, 2012.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Railcar</w:t>
      </w:r>
    </w:p>
    <w:p>
      <w:pPr>
        <w:spacing w:after="0" w:line="121"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We perform the annual goodwill impairment test as of March 1 of each year for our Railcar segment. For purposes of goodwill impairment testing, our Railcar segment's manufacturing reporting unit is the only reporting unit with allocated goodwill. We assess qualitative factors to determine whether it is more likely than not that the fair value of the reporting unit is greater than its carrying amount. If, however, we had determined that it was more likely than not that the fair value of the reporting unit was less than its carrying amount, then we would perform the first step of the two-step goodwill impairment test. In evaluating whether it is more likely than not that the fair value of the reporting unit is greater than its carrying amount, we considered various qualitative and quantitative factors, including macroeconomic conditions, railcar industry trends and the fact that our railcar manufacturing reporting unit has historical positive operating cash flows that we anticipate will continue. After</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420"/>
          </w:cols>
          <w:pgMar w:left="240" w:top="333" w:right="2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assessing these factors, we determined that it was more likely than not the fair value of our railcar manufacturing reporting unit was greater than its carrying amount, and therefore no further testing was necessary.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Gaming</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As discussed in Note 3, "Operating Units - Gaming," on April 1, 2014, Tropicana consummated its previously announced acquisition of Lumière. A preliminary valuation of the assets of Lumière resulted in $252 million allocated to tangible net assets and $9 million allocated to other intangible assets based on the fair values of net assets acquired as of the acquisition date. The preliminary allocation of the fair value of the net assets acquired is subject to additional adjustment to provide Tropicana with adequate time to complete the valuation of its Lumière acquisition. The Affinia (as discussed above) and Lumière acquisitions are not material to our consolidated financial statements, either individually or in the aggregate.</w:t>
      </w:r>
    </w:p>
    <w:p>
      <w:pPr>
        <w:spacing w:after="0" w:line="7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The gaming license is valued based on the Greenfield method, which takes into account the cost to build a new casino operation, build-out period, projected cash flows attributed to the business once operational and a discount rate. The projected cash flows assumed a revenue growth rate of 2.0% and an effective tax rate of 38.1%. The discount rate assumed was 12.0%, based on the weighted average cost of capital plus a premium to reflect the risk of construction costs and timing.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Property, Plant and Equipment, Net.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606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(in years)</w:t>
            </w:r>
          </w:p>
        </w:tc>
        <w:tc>
          <w:tcPr>
            <w:tcW w:w="460" w:type="dxa"/>
            <w:vAlign w:val="bottom"/>
          </w:tcPr>
          <w:p>
            <w:pPr>
              <w:spacing w:after="0"/>
              <w:rPr>
                <w:sz w:val="21"/>
                <w:szCs w:val="21"/>
                <w:color w:val="auto"/>
              </w:rPr>
            </w:pPr>
          </w:p>
        </w:tc>
        <w:tc>
          <w:tcPr>
            <w:tcW w:w="222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color w:val="auto"/>
              </w:rPr>
              <w:t>(in millions)</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4 - 40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equipment and furniture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1 - 40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5,594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 leased to others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15 - 39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12,566</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11,289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8,955</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8,077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20" w:firstLine="378"/>
        <w:spacing w:after="0" w:line="258" w:lineRule="auto"/>
        <w:rPr>
          <w:sz w:val="20"/>
          <w:szCs w:val="20"/>
          <w:color w:val="auto"/>
        </w:rPr>
      </w:pPr>
      <w:r>
        <w:rPr>
          <w:rFonts w:ascii="Times New Roman" w:cs="Times New Roman" w:eastAsia="Times New Roman" w:hAnsi="Times New Roman"/>
          <w:sz w:val="18"/>
          <w:szCs w:val="18"/>
          <w:color w:val="auto"/>
        </w:rPr>
        <w:t>Assets leased to others are related to our Railcar and Real Estate segments. Included in assets leased to others in the table above are our Railcar segment's railcars for lease in the amount of approximately $3.1 billion and $2.6 billion as of December 31, 2014 and 2013, respectively. Additionally, included in assets leased to others in the table above are our Real Estate segment's properties on lease in the amount of $450 million and $462 million as of December 31, 2014 and 2013, respectively. Aggregate accumulated depreciation pertaining to assets leased to others is $957 million and $896 million as of December 31, 2014 and 2013, respectively.</w:t>
      </w:r>
    </w:p>
    <w:p>
      <w:pPr>
        <w:spacing w:after="0" w:line="76" w:lineRule="exact"/>
        <w:rPr>
          <w:sz w:val="20"/>
          <w:szCs w:val="20"/>
          <w:color w:val="auto"/>
        </w:rPr>
      </w:pPr>
    </w:p>
    <w:p>
      <w:pPr>
        <w:ind w:right="520" w:firstLine="37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plant and equipment for the years ended December 31, 2014, 2013 and 2012 was $700 million, $622 million and $529 million,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420"/>
          </w:cols>
          <w:pgMar w:left="240" w:top="333" w:right="2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ICAHN ENTERPRISES HOLDINGS L.P. AND SUBSIDIARIES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Debt consists of the following:</w:t>
      </w:r>
    </w:p>
    <w:p>
      <w:pPr>
        <w:sectPr>
          <w:pgSz w:w="11900" w:h="16838" w:orient="portrait"/>
          <w:cols w:equalWidth="0" w:num="1">
            <w:col w:w="11420"/>
          </w:cols>
          <w:pgMar w:left="240" w:top="333" w:right="239" w:bottom="1440" w:gutter="0" w:footer="0" w:header="0"/>
        </w:sectPr>
      </w:pPr>
    </w:p>
    <w:p>
      <w:pPr>
        <w:spacing w:after="0" w:line="167"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Icahn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36830</wp:posOffset>
            </wp:positionV>
            <wp:extent cx="18180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36830</wp:posOffset>
            </wp:positionV>
            <wp:extent cx="18180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ind w:left="6120"/>
        <w:spacing w:after="0"/>
        <w:tabs>
          <w:tab w:leader="none" w:pos="7600" w:val="left"/>
        </w:tabs>
        <w:rPr>
          <w:sz w:val="20"/>
          <w:szCs w:val="20"/>
          <w:color w:val="auto"/>
        </w:rPr>
      </w:pPr>
      <w:r>
        <w:rPr>
          <w:rFonts w:ascii="Times New Roman" w:cs="Times New Roman" w:eastAsia="Times New Roman" w:hAnsi="Times New Roman"/>
          <w:sz w:val="18"/>
          <w:szCs w:val="18"/>
          <w:b w:val="1"/>
          <w:bCs w:val="1"/>
          <w:color w:val="auto"/>
        </w:rPr>
        <w:t>2014</w:t>
      </w:r>
      <w:r>
        <w:rPr>
          <w:sz w:val="20"/>
          <w:szCs w:val="20"/>
          <w:color w:val="auto"/>
        </w:rPr>
        <w:tab/>
      </w:r>
      <w:r>
        <w:rPr>
          <w:rFonts w:ascii="Times New Roman" w:cs="Times New Roman" w:eastAsia="Times New Roman" w:hAnsi="Times New Roman"/>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36830</wp:posOffset>
            </wp:positionV>
            <wp:extent cx="18180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1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color w:val="auto"/>
        </w:rPr>
        <w:t>(in millions)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Icahn Enterprises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36830</wp:posOffset>
            </wp:positionV>
            <wp:extent cx="18008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36830</wp:posOffset>
            </wp:positionV>
            <wp:extent cx="18008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7" w:lineRule="exact"/>
        <w:rPr>
          <w:sz w:val="20"/>
          <w:szCs w:val="20"/>
          <w:color w:val="auto"/>
        </w:rPr>
      </w:pPr>
    </w:p>
    <w:p>
      <w:pPr>
        <w:ind w:left="12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2014</w:t>
      </w:r>
      <w:r>
        <w:rPr>
          <w:sz w:val="20"/>
          <w:szCs w:val="20"/>
          <w:color w:val="auto"/>
        </w:rPr>
        <w:tab/>
      </w:r>
      <w:r>
        <w:rPr>
          <w:rFonts w:ascii="Times New Roman" w:cs="Times New Roman" w:eastAsia="Times New Roman" w:hAnsi="Times New Roman"/>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36830</wp:posOffset>
            </wp:positionV>
            <wp:extent cx="18008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(in millions)</w:t>
      </w:r>
    </w:p>
    <w:p>
      <w:pPr>
        <w:spacing w:after="0" w:line="47" w:lineRule="exact"/>
        <w:rPr>
          <w:sz w:val="20"/>
          <w:szCs w:val="20"/>
          <w:color w:val="auto"/>
        </w:rPr>
      </w:pPr>
    </w:p>
    <w:p>
      <w:pPr>
        <w:sectPr>
          <w:pgSz w:w="11900" w:h="16838" w:orient="portrait"/>
          <w:cols w:equalWidth="0" w:num="2">
            <w:col w:w="8240" w:space="720"/>
            <w:col w:w="2460"/>
          </w:cols>
          <w:pgMar w:left="240" w:top="333" w:right="2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5.875% senior unsecured notes due 2022 - Icahn Enterprises/Icahn</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1"/>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Enterprises Holdings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 senior unsecured notes due 2020 - Icahn Enterprises/Icahn Enterprises</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Holdings</w:t>
            </w:r>
          </w:p>
        </w:tc>
        <w:tc>
          <w:tcPr>
            <w:tcW w:w="4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4.875% senior unsecured notes due 2019 - Icahn Enterprises/Icahn</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Enterprises Holdings</w:t>
            </w: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 senior unsecured notes due 2018 - Icahn Enterprises/Icahn Enterprises</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Holdings</w:t>
            </w: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2,470</w:t>
            </w: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3.50% senior unsecured notes due 2017 - Icahn Enterprises/Icahn</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Enterprises Holdings</w:t>
            </w: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7.75% senior unsecured notes due 2016 - Icahn Enterprises/Icahn</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Enterprises Holdings</w:t>
            </w: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1,047</w:t>
            </w: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facilities - Automotive</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2,494</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and credit facilities - Energy</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w:t>
            </w: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and credit facilities - Railcar</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1,448</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facilities - Gaming</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secured notes and revolving credit facility - Food Packaging</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Mortgages payable - Real Estate</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r>
      <w:tr>
        <w:trPr>
          <w:trHeight w:val="237"/>
        </w:trPr>
        <w:tc>
          <w:tcPr>
            <w:tcW w:w="56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11,588</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9,295</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11,588</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9,289</w:t>
            </w:r>
          </w:p>
        </w:tc>
      </w:tr>
      <w:tr>
        <w:trPr>
          <w:trHeight w:val="27"/>
        </w:trPr>
        <w:tc>
          <w:tcPr>
            <w:tcW w:w="56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5700"/>
        <w:spacing w:after="0" w:line="40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Unsecured Notes - Icahn Enterprises and Icahn Enterprises Holdings </w:t>
      </w:r>
      <w:r>
        <w:rPr>
          <w:rFonts w:ascii="Times New Roman" w:cs="Times New Roman" w:eastAsia="Times New Roman" w:hAnsi="Times New Roman"/>
          <w:sz w:val="18"/>
          <w:szCs w:val="18"/>
          <w:i w:val="1"/>
          <w:iCs w:val="1"/>
          <w:color w:val="auto"/>
        </w:rPr>
        <w:t>5.875% Senior Unsecured Notes Due 2022</w:t>
      </w:r>
    </w:p>
    <w:p>
      <w:pPr>
        <w:spacing w:after="0" w:line="1"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On January 29, 2014, we and a wholly owned subsidiary of ours, Icahn Enterprises Finance Corp. (“Icahn Enterprises Finance”), (collectively, the “Issuers”), issued $1.350 billion in aggregate principal amount of 5.875% Senior Notes due 2022 (the “2022 Notes”) pursuant to the purchase agreement, dated January 22, 2014 (the “2022 Notes Purchase Agreement”), by and among the Issuers, Icahn Enterprises Holdings, as guarantor, and Jefferies LLC, as initial purchaser (the “2022 Notes Purchaser”). The 2022 Notes were priced at 100.000% of their face amount. The net proceeds from the sale of the 2022 Notes were approximately $1.340 billion after deducting the initial purchaser’s discount and commission and estimated fees and expenses related to the offering. Interest on the 2022 Notes will be payable on February 1 and August 1 of each year, commencing August 1, 2014. The 2022 Notes Purchase Agreement contains customary representations, warranties and covenants of the parties and indemnification and contribution provisions whereby the Issuers and the Guarantor, on the one hand, and the 2022 Notes Purchaser, on the other, have agreed to indemnify each other against certain liabilities.</w:t>
      </w:r>
    </w:p>
    <w:p>
      <w:pPr>
        <w:spacing w:after="0" w:line="77"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The Issuers issued the 2022 Notes under the indenture dated as of January 29, 2014 (the “2022 Indenture”), among the Issuers, Icahn Enterprises Holdings, as guarantor (the “Guarantor”), and Wilmington Trust Company, as trustee. The 2022 Indenture contains customary events of defaults and covenants relating to, among other things, the incurrence of debt, affiliate transactions, liens and restricted payments. On or after August 1, 2017 and prior to February 1, 2018, the Issuers may redeem all of the 2022 Notes at a price equal to 104.406% of the principal amount of the 2022 Notes, plus accrued and unpaid interest, with such optional redemption prices decreasing to 102.938% on and after February 1, 2018, 101.469% on or after February 1, 2019 and</w:t>
      </w:r>
    </w:p>
    <w:p>
      <w:pPr>
        <w:spacing w:after="0" w:line="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100.000% on and after February 1, 2020. Before August 1, 2017, the Issuers may redeem the 2022 Notes upon repayment of a make-whole premium. Before February 1, 2017, the Issuers may redeem up to 35% of the aggregate principal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420"/>
          </w:cols>
          <w:pgMar w:left="240" w:top="333" w:right="239" w:bottom="1440" w:gutter="0" w:footer="0" w:header="0"/>
          <w:type w:val="continuous"/>
        </w:sectPr>
      </w:pPr>
    </w:p>
    <w:bookmarkStart w:id="186" w:name="page187"/>
    <w:bookmarkEnd w:id="1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amount of 2022 Notes with the net proceeds of certain equity offerings at a price equal to 105.875% of the aggregate principal amount thereof, plus accrued and unpaid interest to the date of redemption, provided that at least 65% of the aggregate principal amount of the 2022 Notes originally issued remains outstanding immediately after such redemption. If the Issuers experience a change of control, the Issuers must offer to purchase for cash all or any part of each holder’s 2022 Notes at a purchase price equal to 101% of the principal amount of the 2022 Notes, plus accrued and unpaid interest.</w:t>
      </w:r>
    </w:p>
    <w:p>
      <w:pPr>
        <w:spacing w:after="0" w:line="72" w:lineRule="exact"/>
        <w:rPr>
          <w:sz w:val="20"/>
          <w:szCs w:val="20"/>
          <w:color w:val="auto"/>
        </w:rPr>
      </w:pPr>
    </w:p>
    <w:p>
      <w:pPr>
        <w:ind w:right="440" w:firstLine="405"/>
        <w:spacing w:after="0" w:line="258" w:lineRule="auto"/>
        <w:rPr>
          <w:sz w:val="20"/>
          <w:szCs w:val="20"/>
          <w:color w:val="auto"/>
        </w:rPr>
      </w:pPr>
      <w:r>
        <w:rPr>
          <w:rFonts w:ascii="Times New Roman" w:cs="Times New Roman" w:eastAsia="Times New Roman" w:hAnsi="Times New Roman"/>
          <w:sz w:val="18"/>
          <w:szCs w:val="18"/>
          <w:color w:val="auto"/>
        </w:rPr>
        <w:t>The 2022 Notes and the related guarantee are the senior unsecured obligations of the Issuers and rank equally with all of the Issuers’ and the Guarantor’s existing and future senior unsecured indebtedness and senior to all of the Issuers’ and the Guarantor’s existing and future subordinated indebtedness. The 2022 Notes and the related guarantee are effectively subordinated to the Issuers’ and the Guarantor’s existing and future secured indebtedness to the extent of the collateral securing such indebtedness. The 2022 Notes and the related guarantee are also effectively subordinated to all indebtedness and other liabilities of the Issuers’ subsidiaries other than the Guarantor.</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connection with the sale of the 2022 Notes, the Issuers and the Guarantor entered into a certain registration rights agreement dated January 29, 2014.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further discussion of this registration rights agreement.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 Senior Unsecured Notes Due 2020</w:t>
      </w:r>
    </w:p>
    <w:p>
      <w:pPr>
        <w:spacing w:after="0" w:line="119"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On August 1, 2013, the Issuers issued $500 million aggregate principal amount of 6% Senior Notes due 2020 (the “Initial 2020 Notes”) pursuant to the purchase agreement, dated July 29, 2013, by and among the Issuers, Icahn Enterprises Holdings, as guarantor, and Jefferies &amp; Company, Inc., as initial purchaser. In addition, as described below, on January 21, 2014, the Issuers issued $1.200 billion in aggregate principal amount of 6% Senior Notes due 2020 (the "Additional 2020 Notes" and together with the Initial 2020 Notes, the "2020 Notes") pursuant to the purchase agreement, dated January 8, 2014, by and among the Issuers, the Guarantor, and Citigroup Global Markets Inc., Credit Suisse Securities (USA) LLC, Morgan Stanley &amp; Co. LLC, Jefferies LLC and UBS Securities LLC, as initial purchasers. The net proceeds from the sale of the Initial 2020 Notes and the Additional 2020 Notes were $493 million and approximately $1.217 billion, respectively, after deducting the initial purchasers' discount and commission and estimated fees and expenses related to the offerings. The Additional 2020 Notes constitute the same series of securities of the 2020 Notes for purposes of the indenture governing the notes and vote together on all matters with such series. The Additional 2020 Notes have substantially identical terms as the Initial 2020 Notes. Interest on the 2020 Notes is payable on February 1 and August 1 of each year, commencing February 1, 2014.</w:t>
      </w:r>
    </w:p>
    <w:p>
      <w:pPr>
        <w:spacing w:after="0" w:line="78"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The 2020 Notes were issued under and are governed by an indenture, dated August 1, 2013 (the “2020 Indenture”), among the Issuers, the Guarantor and Wilmington Trust Company, as trustee. The 2020 Indenture contains customary events of defaults and covenants relating to, among other things, the incurrence of debt, affiliate transactions, liens and restricted payments. On or after February 1, 2017, the Issuers may redeem all of the 2020 Notes at a price equal to 104.5% of the principal amount of the 2020 Notes, plus accrued and unpaid interest, with such option redemption prices decreasing to 103.0% on and after August 1, 2017, 101.5% on or after August 1, 2018 and 100% on and after August 1, 2019. Before August 1, 2016, the Issuers may redeem up to 35% of the aggregate principal amount of 2020 Notes with the net proceeds of certain equity offerings at a price equal to 106.0% of the aggregate principal amount thereof, plus accrued and unpaid interest to the date of redemption, provided that at least 65% of the aggregate principal amount of the 2020 Notes, as the case may be, originally issued remains outstanding immediately after such redemption. In addition, the 2020 Notes are redeemable prior to February 1, 2017 by paying a “make whole” premium. If the Issuers experience a change of control, the Issuers must offer to purchase for cash all or any part of each holder's notes at a purchase price equal to 101% of the principal amount of the notes, plus accrued and unpaid interest.</w:t>
      </w:r>
    </w:p>
    <w:p>
      <w:pPr>
        <w:spacing w:after="0" w:line="7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2020 Notes and the related guarantee are the senior unsecured obligations of the Issuers and the Guarantor and rank equally with all of the Issuers' and the Guarantor's existing and future senior unsecured indebtedness and rank senior to all of the Issuers' and the Guarantor's existing and future subordinated indebtedness. The series of notes constituting the 2020 Notes and the related guarantee are effectively subordinated to the Issuers' and the Guarantor's existing and future secured indebtedness to the extent of the collateral securing such indebtedness. The series of notes constituting the 2020 Notes and the related guarantee are also effectively subordinated to all indebtedness and other liabilities of the Issuers' subsidiaries other than the Guarantor.</w:t>
      </w:r>
    </w:p>
    <w:p>
      <w:pPr>
        <w:spacing w:after="0" w:line="76"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Initial 2020 Notes on August 1, 2013, the Issuers and the Guarantor entered into a registration rights agreement dated August 1, 2013. On September 26, 2013, we filed an initial registration statement on Form S-4 with respect to the Initial 2020 Notes for the sole purpose of exchanging the unregistered Initial 2020 Notes for notes that are registered with the SEC ("Exchange Notes"). The exchange offer registration statement on Form S-4 with respect to the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420"/>
          </w:cols>
          <w:pgMar w:left="240" w:top="333" w:right="239" w:bottom="1440" w:gutter="0" w:footer="0" w:header="0"/>
        </w:sectPr>
      </w:pPr>
    </w:p>
    <w:bookmarkStart w:id="187" w:name="page188"/>
    <w:bookmarkEnd w:id="1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Initial 2020 Notes was declared effective on December 9, 2013. Pursuant to the registration rights agreement dated August 1, 2013, we subsequently commenced the exchange offer to exchange the Initial 2020 Notes for Exchange Notes which exchange offer expired on January 15, 2014. All of the Initial 2020 Notes were properly tendered in the exchange offer and accepted by us in exchange for the Exchange Notes.</w:t>
      </w:r>
    </w:p>
    <w:p>
      <w:pPr>
        <w:spacing w:after="0" w:line="6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In connection with the sale of the Additional 2020 Notes, the Issuers and the Guarantor entered into a certain registration rights agreement dated January 29, 2014. See below for further discussion of this registration rights agreement.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4.875% Senior Unsecured Notes Due 2019 and 3.50% Senior Notes due 2017</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January 21, 2014, the Issuers issued $1.275 billion in aggregate principal amount of our 4.875% Senior Notes due 2019 (the “2019 Notes”)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$1.175 billion in aggregate principal amount of our 3.500% Senior Notes due 2017 (the “2017 Notes”) pursuant to the purchase agreement, dated January 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by and among the Issuers, Icahn Enterprises Holdings, as guarantor, and Citigroup Global Markets Inc., Credit Suisse Securities (USA) LLC, Morgan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Stanley &amp; Co. LLC, Jefferies LLC and UBS Securities LLC, as initial purchasers (the “New Notes Purchasers”). The net proceeds from the sale of the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the 2017 Notes were $1.269 billion and $1.169 billion, respectively, after deducting the initial purchasers' discount and commission and estimated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and expenses related to the offering. Interest on the 2019 Notes and the 2017 Notes is payable on March 15 and September 15 of each year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commenced September 15, 2014.</w:t>
      </w:r>
    </w:p>
    <w:p>
      <w:pPr>
        <w:spacing w:after="0" w:line="9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used the proceeds from the issuance of the Additional 2020 Notes, the 2019 Notes, and the 2017 Notes to refinance our 2010-2012 Notes (as defined below). As a result of this refinancing, we purchased $3.500 billion aggregate principal of the 2010-2012 Notes and recognized a loss of $108 million on extinguishment of debt during the first quarter of 2014, and is reflected in other income, net in the consolidated statements of operations. The 2016 Notes (as defined below) and the 2018 Notes (as defined below) comprising the 2010-2012 Notes were discharged in full on February 6, 2014.</w:t>
      </w:r>
    </w:p>
    <w:p>
      <w:pPr>
        <w:spacing w:after="0" w:line="72"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The Issuers issued the 2019 Notes and the 2017 Notes under an indenture dated as of January 21, 2014 (the “2017 and 2019 Indenture”), among the Issuers, Icahn Enterprises Holdings, as guarantor, and Wilmington Trust Company, as trustee. The 2017 and 2019 Indenture contains customary events of defaults and covenants relating to, among other things, the incurrence of debt, affiliate transactions, liens and restricted payments. On or after July 15, 2016 and prior to January 15, 2017, the Issuers may redeem all or part of the 2019 Notes at a price equal to 103.6563% of the principal amount of the 2019 Notes, plus accrued and unpaid interest, with such optional redemption prices decreasing to 102.4375% on and after January 15, 2017 and 100.000% on and after January 15, 2018. Before July 15, 2016, the Issuers may redeem the 2019 Notes upon repayment of a make-whole premium. Before July 15, 2016, the Issuers may redeem up to 35% of the aggregate principal amount of the 2019 Notes with the net proceeds of certain equity offerings at a price equal to 104.8750% of the aggregate principal amount thereof, plus accrued and unpaid interest to the date of redemption, provided that at least 65% of the aggregate principal amount of the 2019 Notes originally issued remains outstanding immediately after such redemption. On or after February 15, 2017, the Issuers may redeem some or all of the 2017 Notes at a price equal to 100.000% of the principal amount of the 2017 Notes, plus accrued and unpaid interest. If the Issuers experience a change of control, the Issuers must offer to purchase for cash all or any part of each holder’s 2019 Notes and 2017 Notes at a purchase price equal to 101% of the principal amount of 2019 Notes and 2017 Notes, plus accrued and unpaid interest.</w:t>
      </w:r>
    </w:p>
    <w:p>
      <w:pPr>
        <w:spacing w:after="0" w:line="83"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Additional 2020 Notes, the 2019 Notes and the 2017 Notes (collectively, the "New Notes") and the 2022 Notes, the Issuers and the Guarantor entered into two registration rights agreements, one dated January 21, 2014 and the other January 29, 2014 (the “Registration Rights Agreements”), with the New Notes Purchasers and the 2022 Notes Purchaser, respectively. Pursuant to the Registration Rights Agreements, on March 28, 2014, we filed an initial Form S-4 with respect to the New Notes and 2022 Notes for the sole purpose of exchanging the unregistered New Notes and the 2022 Notes for Exchange Notes. The exchange offer registration statement on Form S-4 with respect to the New Notes and the 2022 Notes was declared effective on April 24, 2014. Pursuant to the Registration Rights Agreements, we subsequently commenced the exchange offer to exchange the New Notes and the 2022 Notes for Exchange Notes which exchange offer expired on May 23, 2014. Substantially all of the New Notes and 2022 Notes were properly tendered in the exchange offer and accepted by us in exchange for registered Exchange Notes.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 Senior Unsecured Notes Due 2018 and 7.75% Senior Unsecured Notes Due 2016</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January 15, 2010, the Issuers issued $850 million aggregate principal amount of 7.75% Senior Unsecured Notes due 2016 (the “2016 Notes”)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$1,150 million aggregate principal amount of 8% Senior Unsecured Notes due 2018 (the “2018 Notes” and, together with the 2016 Notes, the “Initial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purchase agreement, dated January 12, 2010, by and among the Issuers, Icahn Enterprises Holdings, as guarantor, and Jefferies &amp;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as initial purchaser. The gross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420"/>
          </w:cols>
          <w:pgMar w:left="240" w:top="333" w:right="2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proceeds from the sale of the Initial Notes were $1,987 million, a portion of which was used to retire certain notes during 2010. Interest on the Initial Notes was payable on January 15 and July 15 of each year, commencing July 15, 2010.</w:t>
      </w:r>
    </w:p>
    <w:p>
      <w:pPr>
        <w:spacing w:after="0" w:line="54"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On November 12, 2010, the Issuers issued an additional $200 million aggregate principal amount of the 2016 Notes and $300 million aggregate principal amount of the 2018 Notes (such notes are collectively referred to as the “2010 Additional Notes”), pursuant to the purchase agreement, dated November 8, 2010, by and among the Issuers, Icahn Enterprises Holdings, as guarantor and Jefferies &amp; Company, Inc., as initial purchaser. The gross proceeds from the sale of the 2010 Additional Notes were $512 million. On January 17, 2012, February 6, 2012 and July 12, 2012, the Issuers issued an additional $1,000 million aggregate principal amount of the 2018 Notes (such notes are collectively referred to as the “2012 Additional Notes”), pursuant to their respective purchase agreements, by and among the Issuers, Icahn Enterprises Holdings, as guarantor and Jefferies &amp; Company, Inc., as initial purchaser. The 2010 Additional Notes and the 2012 Additional Notes constituted the same series of securities as the Initial Notes for purposes of the indenture governing the notes and voted together on all matters with such series. The 2010 Additional Notes and the 2012 Additional Notes had substantially identical terms as the Initial Notes.</w:t>
      </w:r>
    </w:p>
    <w:p>
      <w:pPr>
        <w:spacing w:after="0" w:line="81"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The Initial Notes, the 2010 Additional Notes and the 2012 Additional Notes (referred to collectively as the "2010-2012 Notes") were issued under and are governed by an indenture, dated January 15, 2010 (the “2016 and 2018 Indenture”), among the Issuers, the Guarantor and Wilmington Trust Company, as trustee. The 2016 and 2018 Indenture contains customary events of defaults and covenants relating to, among other things, the incurrence of debt, affiliate transactions, liens and restricted payments. On or after January 15, 2013, the Issuers were able to redeem all of the 2016 Notes at a price equal to 103.875% of the principal amount of the 2016 Notes, plus accrued and unpaid interest, with such optional redemption prices decreasing to 101.938% on and after January 15, 2014 and 100% on and after January 15, 2015. On or after January 15, 2014, the Issuers were able to redeem all of the 2018 Notes at a price equal to</w:t>
      </w:r>
    </w:p>
    <w:p>
      <w:pPr>
        <w:ind w:right="40"/>
        <w:spacing w:after="0" w:line="252" w:lineRule="auto"/>
        <w:rPr>
          <w:sz w:val="20"/>
          <w:szCs w:val="20"/>
          <w:color w:val="auto"/>
        </w:rPr>
      </w:pPr>
      <w:r>
        <w:rPr>
          <w:rFonts w:ascii="Times New Roman" w:cs="Times New Roman" w:eastAsia="Times New Roman" w:hAnsi="Times New Roman"/>
          <w:sz w:val="18"/>
          <w:szCs w:val="18"/>
          <w:color w:val="auto"/>
        </w:rPr>
        <w:t>104.000% of the principal amount of the 2018 Notes, plus accrued and unpaid interest, with such optional redemption prices decreasing to 102.000% on and after January 15, 2015 and 100% on and after January 15, 2016. Before January 15, 2013, the Issuers were able to redeem up to 35% of the aggregate principal amount of each of the 2016 Notes and 2018 Notes with the net proceeds of certain equity offerings at a price equal to 107.750% and 108.000%, respectively, of the aggregate principal amount thereof, plus accrued and unpaid interest to the date of redemption, provided that at least 65% of the aggregate principal amount of the 2016 Notes or 2018 Notes, as the case may be, originally issued remained outstanding immediately after such redemption. If the Issuers experienced a change of control, the Issuers were required to purchase for cash all or any part of each holder's notes at a purchase price equal to 101% of the principal amount of the notes, plus accrued and unpaid interest.</w:t>
      </w:r>
    </w:p>
    <w:p>
      <w:pPr>
        <w:spacing w:after="0" w:line="81" w:lineRule="exact"/>
        <w:rPr>
          <w:sz w:val="20"/>
          <w:szCs w:val="20"/>
          <w:color w:val="auto"/>
        </w:rPr>
      </w:pPr>
    </w:p>
    <w:p>
      <w:pPr>
        <w:ind w:right="780" w:firstLine="405"/>
        <w:spacing w:after="0" w:line="282" w:lineRule="auto"/>
        <w:rPr>
          <w:sz w:val="20"/>
          <w:szCs w:val="20"/>
          <w:color w:val="auto"/>
        </w:rPr>
      </w:pPr>
      <w:r>
        <w:rPr>
          <w:rFonts w:ascii="Times New Roman" w:cs="Times New Roman" w:eastAsia="Times New Roman" w:hAnsi="Times New Roman"/>
          <w:sz w:val="18"/>
          <w:szCs w:val="18"/>
          <w:color w:val="auto"/>
        </w:rPr>
        <w:t>As discussed above, we used the proceeds from the issuance of the New Notes and the 2022 Notes on January 21, 2014 and January 29, 2014, respectively, to refinance our 2010-2012 Notes.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 Restrictions and Covenants</w:t>
      </w:r>
    </w:p>
    <w:p>
      <w:pPr>
        <w:spacing w:after="0" w:line="119" w:lineRule="exact"/>
        <w:rPr>
          <w:sz w:val="20"/>
          <w:szCs w:val="20"/>
          <w:color w:val="auto"/>
        </w:rPr>
      </w:pPr>
    </w:p>
    <w:p>
      <w:pPr>
        <w:ind w:right="180" w:firstLine="378"/>
        <w:spacing w:after="0" w:line="258" w:lineRule="auto"/>
        <w:rPr>
          <w:sz w:val="20"/>
          <w:szCs w:val="20"/>
          <w:color w:val="auto"/>
        </w:rPr>
      </w:pPr>
      <w:r>
        <w:rPr>
          <w:rFonts w:ascii="Times New Roman" w:cs="Times New Roman" w:eastAsia="Times New Roman" w:hAnsi="Times New Roman"/>
          <w:sz w:val="18"/>
          <w:szCs w:val="18"/>
          <w:color w:val="auto"/>
        </w:rPr>
        <w:t>The indentures governing both the 2012 Notes and the New Notes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we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w:t>
      </w:r>
    </w:p>
    <w:p>
      <w:pPr>
        <w:spacing w:after="0" w:line="76" w:lineRule="exact"/>
        <w:rPr>
          <w:sz w:val="20"/>
          <w:szCs w:val="20"/>
          <w:color w:val="auto"/>
        </w:rPr>
      </w:pPr>
    </w:p>
    <w:p>
      <w:pPr>
        <w:ind w:right="20" w:firstLine="378"/>
        <w:spacing w:after="0" w:line="266" w:lineRule="auto"/>
        <w:rPr>
          <w:sz w:val="20"/>
          <w:szCs w:val="20"/>
          <w:color w:val="auto"/>
        </w:rPr>
      </w:pPr>
      <w:r>
        <w:rPr>
          <w:rFonts w:ascii="Times New Roman" w:cs="Times New Roman" w:eastAsia="Times New Roman" w:hAnsi="Times New Roman"/>
          <w:sz w:val="18"/>
          <w:szCs w:val="18"/>
          <w:color w:val="auto"/>
        </w:rPr>
        <w:t>As of December 31, 2014 and 2013, we were in compliance with all covenants, including maintaining certain minimum financial ratios, as defined in the indentures. Additionally, as of December 31, 2014, based on covenants in the indentures governing our senior unsecured notes, we are permitted to incur approximately $930 million in additional indebtedness.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420"/>
          </w:cols>
          <w:pgMar w:left="240" w:top="334" w:right="2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Facilities - Automotive</w:t>
      </w:r>
    </w:p>
    <w:p>
      <w:pPr>
        <w:spacing w:after="0" w:line="9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December 6, 2013, Federal-Mogul entered into an amendment (the “Federal-Mogul Revolver Amendment”) of its Term Loan and Revolving Credit Agreement dated as of December 27, 2007 (as amended, the “Federal-Mogul Credit Agreement”), among Federal-Mogul, the lenders party thereto, Citicorp USA, Inc., as Administrative Agent, JPMorgan Chase Bank, N.A., as Syndication Agent, and Wachovia Capital Finance Corporation and Wells Fargo Foothill, LLC, as Co-Documentation Agents, to amend its existing revolving credit facility to provide for a replacement revolving credit facility (the “Federal-Mogul Replacement Revolving Facility”). The Federal-Mogul Revolver Amendment, among other things, (i) increased the aggregate commitments available under the Federal-Mogul Replacement Revolving Facility from $540 million to $550 million, (ii) extended the maturity date of the Federal-Mogul Replacement Revolving Facility to December 6, 2018, subject to certain limited exceptions described below, and (iii) amended Federal-Mogul’s borrowing base to provide it with additional liquidity.</w:t>
      </w:r>
    </w:p>
    <w:p>
      <w:pPr>
        <w:spacing w:after="0" w:line="5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Advances under the Federal-Mogul Replacement Revolving Facility generally bear interest at a variable rate per annum equal to (i) the Alternate Base Rate (as defined in the Federal-Mogul Credit Agreement) plus an adjustable margin of 0.50% to 1.00% based on the average monthly availability under the Federal-Mogul Replacement Revolving Facility or (ii) Adjusted LIBOR Rate (as defined in the Federal-Mogul Credit Agreement) plus a margin of 1.50% to 2.00%based on the average monthly availability under the Federal-Mogul Replacement Revolving Facility. An unused commitment fee of 0.375% also is payable under the terms of the Federal-Mogul Replacement Revolving Facility.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Credit Agreement</w:t>
      </w:r>
    </w:p>
    <w:p>
      <w:pPr>
        <w:spacing w:after="0" w:line="119" w:lineRule="exact"/>
        <w:rPr>
          <w:sz w:val="20"/>
          <w:szCs w:val="20"/>
          <w:color w:val="auto"/>
        </w:rPr>
      </w:pPr>
    </w:p>
    <w:p>
      <w:pPr>
        <w:ind w:right="80" w:firstLine="405"/>
        <w:spacing w:after="0" w:line="252" w:lineRule="auto"/>
        <w:rPr>
          <w:sz w:val="20"/>
          <w:szCs w:val="20"/>
          <w:color w:val="auto"/>
        </w:rPr>
      </w:pPr>
      <w:r>
        <w:rPr>
          <w:rFonts w:ascii="Times New Roman" w:cs="Times New Roman" w:eastAsia="Times New Roman" w:hAnsi="Times New Roman"/>
          <w:sz w:val="18"/>
          <w:szCs w:val="18"/>
          <w:color w:val="auto"/>
        </w:rPr>
        <w:t>On April 15, 2014, Federal-Mogul Holdings Corporation entered into a new tranche B term loan facility (the “New Tranche B Facility”) and a new tranche C term loan facility (the “New Tranche C Facility,” and together with the New Tranche B Facility, the “New Federal-Mogul Term Facilities”), which were arranged by Citigroup Global Markets Inc. and Credit Suisse Securities (USA) LLC (the "Term Arrangers"), and assumed all of the obligations of Federal-Mogul Corporation with respect to the Federal-Mogul Replacement Revolving Facility. The New Federal-Mogul Term Facilities were entered into, and the Federal-Mogul Replacement Revolving Facility was assumed, by Federal-Mogul Holdings Corporation, pursuant to an amendment dated as of April 15, 2014 to the previously existing Term Loan and Federal-Mogul Credit Agreement dated December 27, 2007 among Federal-Mogul Corporation, the lenders party thereto (listed below), Citibank, N.A., as Revolving Administrative Agent, Citibank, N.A., as Tranche B Term Administrative Agent, Credit Suisse AG, as Tranche C Term Administrative Agent, Citigroup Global Markets Inc., Credit Suisse Securities (USA) LLC and Wells Fargo Bank, N.A., as Joint Lead Arrangers and Joint Bookrunners with respect to the Federal-Mogul Credit Agreement and Wells Fargo Bank, N.A., as sole Documentation Agent with respect to the Federal-Mogul Credit Agreement. Immediately following the closing of the New Federal-Mogul Term Facilities, Federal-Mogul Holdings Corporation contributed all of the net proceeds from the New Facilities to Federal-Mogul Corporation, and Federal-Mogul Corporation repaid its existing outstanding indebtedness as a borrower under the tranche B and tranche C term loan facilities. In connection with this debt refinancing, our Automotive segment recognized a non-cash loss on debt extinguishment of $36 million during the second quarter of 2014, which was primarily attributable to the write-off of debt discounts, and is reflected in other income, net in the consolidated statements of operations.</w:t>
      </w:r>
    </w:p>
    <w:p>
      <w:pPr>
        <w:spacing w:after="0" w:line="9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 xml:space="preserve">The New Federal-Mogul Term Facilities, among other things, (i) provide for aggregate commitments under the New Tranche B Facility of $700 million with a maturity date of April 15, 2018, (ii) provide for aggregate commitments under the New Tranche C Facility of approximately $1.9 billion with a maturity date of April 15, 2021, (iii) increase the interest rates applicable to the New Federal-Mogul Facilities as described below, (iv) provide that for all outstanding letters of credit there is a corresponding decrease in borrowings available under the Federal-Mogul Replacement Revolving Facility, (v) provide that in the event that as of a particular determination date more than $700 million aggregate principal amount of existing term loans and certain related refinancing indebtedness will become due within 91 days of such determination date, the Federal-Mogul Replacement Revolving Facility will mature on such determination date, (vi) provide for additional incremental indebtedness,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of an unlimited amount of additional indebtedness if Federal-Mogul meets a financial covenant incurrence test, and (vii) amend certain other restrictive covenants. Pursuant to the New Federal-Mogul Term Facilities, Federal-Mogul Holdings Corporation assumed all of the obligations of Federal-Mogul Corporation with respect to the Federal-Mogul Replacement Revolving Facility.</w:t>
      </w:r>
    </w:p>
    <w:p>
      <w:pPr>
        <w:spacing w:after="0" w:line="78"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Advances under the New Tranche B Facility generally bear interest at a variable rate per annum equal to (i) the Alternate Base Rate plus a margin of 2.00% or (ii) the Adjusted LIBOR Rate plus a margin of 3.00%, subject, in each case, to a minimum rate of 1.00% plus the applicable margin. Advances under the New Tranche C Facility generally bear interest at a variable rate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420"/>
          </w:cols>
          <w:pgMar w:left="240" w:top="333" w:right="239" w:bottom="1440" w:gutter="0" w:footer="0" w:header="0"/>
        </w:sectPr>
      </w:pPr>
    </w:p>
    <w:bookmarkStart w:id="190" w:name="page191"/>
    <w:bookmarkEnd w:id="1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per annum equal to (i) the Alternate Base Rate plus a margin of 2.75% or (ii) the Adjusted LIBOR Rate plus a margin of 3.75%, subject, in each case, to a minimum rate of 1.00% plus the applicable margin.</w:t>
      </w:r>
    </w:p>
    <w:p>
      <w:pPr>
        <w:spacing w:after="0" w:line="54"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Due to the refinancing of Federal-Mogul's term loans, the backstop commitment letter provided to Federal-Mogul on December 6, 2013 from High River Limited Partnership, an affiliate of Mr. Carl C. Icahn, was terminated.</w:t>
      </w:r>
    </w:p>
    <w:p>
      <w:pPr>
        <w:spacing w:after="0" w:line="54"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obligations of Federal-Mogul under the Federal-Mogul Credit Agreement are guaranteed by substantially all of its domestic subsidiaries and certain foreign subsidiaries, and are secured by substantially all personal property and certain real property of Federal-Mogul and such guarantors, subject to certain limitations. The liens granted to secure these obligations and certain cash management and hedging obligations have first priority.</w:t>
      </w:r>
    </w:p>
    <w:p>
      <w:pPr>
        <w:spacing w:after="0" w:line="6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Federal-Mogul Credit Agreement contains certain affirmative and negative covenants and events of default, including, subject to certain exceptions, restrictions on incurring additional indebtedness, mandatory prepayment provisions associated with specified asset sales and dispositions, and limitations on:</w:t>
      </w:r>
    </w:p>
    <w:p>
      <w:pPr>
        <w:jc w:val="both"/>
        <w:ind w:right="40" w:firstLine="8"/>
        <w:spacing w:after="0" w:line="255" w:lineRule="auto"/>
        <w:tabs>
          <w:tab w:leader="none" w:pos="1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ii) certain acquisitions, mergers or consolidations; iii) sale and leaseback transactions; iv) certain transactions with affiliates; and v) dividends and other payments in respect of capital stock. Pursuant to the terms of the credit facility, $50 million of the tranche C term loan proceeds were deposited in a term letter of credit account. At December 31, 2014 and 2013, Federal-Mogul was in compliance with all debt covenants.</w:t>
      </w:r>
    </w:p>
    <w:p>
      <w:pPr>
        <w:spacing w:after="0" w:line="78" w:lineRule="exact"/>
        <w:rPr>
          <w:sz w:val="20"/>
          <w:szCs w:val="20"/>
          <w:color w:val="auto"/>
        </w:rPr>
      </w:pPr>
    </w:p>
    <w:p>
      <w:pPr>
        <w:ind w:right="40" w:firstLine="378"/>
        <w:spacing w:after="0" w:line="261" w:lineRule="auto"/>
        <w:rPr>
          <w:sz w:val="20"/>
          <w:szCs w:val="20"/>
          <w:color w:val="auto"/>
        </w:rPr>
      </w:pPr>
      <w:r>
        <w:rPr>
          <w:rFonts w:ascii="Times New Roman" w:cs="Times New Roman" w:eastAsia="Times New Roman" w:hAnsi="Times New Roman"/>
          <w:sz w:val="18"/>
          <w:szCs w:val="18"/>
          <w:color w:val="auto"/>
        </w:rPr>
        <w:t>As of December 31, 2014 and 2013, the borrowing availability under the Federal-Mogul Replacement Revolving Facility was $516 million and $550 million, respectively. Federal-Mogul had $34 million and $39 million of letters of credit outstanding as of December 31, 2014 and 2013, respectively, pertaining to the term loan credit facility. To the extent letters of credit associated with the Federal-Mogul Replacement Revolving Facility are issued, there is a corresponding decrease in borrowings available under this facility.</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weighted average cash interest rates for debt were approximately 4.7% and 2.3% as of December 31, 2014 and 2013,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Facilities - Energy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Notes</w:t>
      </w:r>
    </w:p>
    <w:p>
      <w:pPr>
        <w:spacing w:after="0" w:line="11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On January 23, 2013, a portion of the proceeds from CVR Refining's IPO were utilized to satisfy and discharge the indenture governing the CVR Second Lien Secured Notes due 2017 ("CVR Second Lien Notes"). As a result, all of the outstanding CVR Second Lien Notes were redeemed on January 23, 2013 resulting in a gain on extinguishment of debt of $5 million for our Energy segment in the first quarter of 2013.</w:t>
      </w:r>
    </w:p>
    <w:p>
      <w:pPr>
        <w:spacing w:after="0" w:line="68"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On October 23, 2012, CVR Refining LLC (“Refining LLC”) and its wholly owned subsidiary, Coffeyville Finance Inc., completed a private offering of $500 million in aggregate principal amount of 6.50% Senior Notes due 2022 (the "CVR 2022 Notes"). The CVR 2022 Notes were issued at par.</w:t>
      </w:r>
    </w:p>
    <w:p>
      <w:pPr>
        <w:ind w:right="140"/>
        <w:spacing w:after="0" w:line="254" w:lineRule="auto"/>
        <w:rPr>
          <w:sz w:val="20"/>
          <w:szCs w:val="20"/>
          <w:color w:val="auto"/>
        </w:rPr>
      </w:pPr>
      <w:r>
        <w:rPr>
          <w:rFonts w:ascii="Times New Roman" w:cs="Times New Roman" w:eastAsia="Times New Roman" w:hAnsi="Times New Roman"/>
          <w:sz w:val="18"/>
          <w:szCs w:val="18"/>
          <w:color w:val="auto"/>
        </w:rPr>
        <w:t>Refining LLC received $493 million of cash proceeds, net of underwriting fees. The CVR 2022 Notes are fully and unconditionally guaranteed by CVR Refining and each of CVR Refining's existing domestic subsidiaries on a joint and several basis. The CVR 2022 Notes mature on November 1, 2022, unless earlier redeemed or repurchased by the issuers. Interest is payable on the CVR 2022 Notes semi-annually on May 1 and November 1 of each year, commencing on May 1, 2013.</w:t>
      </w:r>
    </w:p>
    <w:p>
      <w:pPr>
        <w:spacing w:after="0" w:line="7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CVR 2022 Notes contain customary covenants for a financing of this type that limit, subject to certain exceptions, the incurrence of additional indebtedness or guarantees, the creation of liens on assets, the ability to dispose of assets, the ability to make certain payments on contractually subordinated debt, the ability to merge, consolidate with or into another entity and the ability to enter into certain affiliate transactions. The CVR 2022 Notes provide that CVR Refining can make distributions to holders of its common units provided, among other things, it has a minimum fixed charge coverage ratio and there is no default or event of default under the CVR 2022 Notes. As of December 31, 2014, CVR Refining was in compliance with the covenants contained in the CVR 2022 Notes.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Asset Based (ABL) Credit Facility</w:t>
      </w:r>
    </w:p>
    <w:p>
      <w:pPr>
        <w:spacing w:after="0" w:line="119" w:lineRule="exact"/>
        <w:rPr>
          <w:sz w:val="20"/>
          <w:szCs w:val="20"/>
          <w:color w:val="auto"/>
        </w:rPr>
      </w:pPr>
    </w:p>
    <w:p>
      <w:pPr>
        <w:ind w:right="20" w:firstLine="378"/>
        <w:spacing w:after="0" w:line="261" w:lineRule="auto"/>
        <w:rPr>
          <w:sz w:val="20"/>
          <w:szCs w:val="20"/>
          <w:color w:val="auto"/>
        </w:rPr>
      </w:pPr>
      <w:r>
        <w:rPr>
          <w:rFonts w:ascii="Times New Roman" w:cs="Times New Roman" w:eastAsia="Times New Roman" w:hAnsi="Times New Roman"/>
          <w:sz w:val="18"/>
          <w:szCs w:val="18"/>
          <w:color w:val="auto"/>
        </w:rPr>
        <w:t>CVR Refining has a senior secured asset based revolving credit facility (the "Amended and Restated ABL Credit Facility") with a group of lenders and Wells Fargo Bank, National Association (“Wells Fargo”), as administrative agent and collateral agent. The Amended and Restated ABL Credit Facility has an aggregate principal amount of up to $400 million with an incremental facility, which permits an increase in borrowings of up to $200 million subject to receipt of additional lender commitments and certain other conditions. The proceeds of the loans may be used for capital expenditures and working capital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400"/>
          </w:cols>
          <w:pgMar w:left="240" w:top="333" w:right="259" w:bottom="1440" w:gutter="0" w:footer="0" w:header="0"/>
        </w:sectPr>
      </w:pPr>
    </w:p>
    <w:bookmarkStart w:id="191" w:name="page192"/>
    <w:bookmarkEnd w:id="19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and general corporate purposes of CVR Refining and its subsidiaries. The Amended and Restated ABL Credit Facility provides for loans and letters of credit in an amount up to the aggregate availability under the facility, subject to meeting certain borrowing base conditions, with sub-limits of 10% of the total facility commitment for swingline loans and 90% of the total facility commitment for letters of credit. The Amended and Restated ABL Credit Facility is scheduled to mature on December 20, 2017.</w:t>
      </w:r>
    </w:p>
    <w:p>
      <w:pPr>
        <w:spacing w:after="0" w:line="72"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Borrowings under the Amended and Restated ABL Credit Facility bear interest at either a base rate or LIBOR plus an applicable margin. The applicable margin is (i) (a) 1.75% for LIBOR borrowings and (b) 0.75% for prime rate borrowings, in each case if quarterly average excess availability exceeds 50% of the lesser of the borrowing base and the total commitments and (ii) (a) 2.00% for LIBOR borrowings and (b) 1.00% for prime rate borrowings, in each case if quarterly average excess availability is less than or equal to 50% of the lesser of the borrowing base and the total commitments. The Amended and Restated ABL Credit Facility also requires the payment of customary fees, including an unused line fee of (i) 0.40% if the daily average amount of loans and letters of credit outstanding is less than 50% of the lesser of the borrowing base and the total commitments and (ii) 0.30% if the daily average amount of loans and letters of credit outstanding is equal to or greater than 50% of the lesser of the borrowing base and the total commitments. CVR Refining will also be required to pay customary letter of credit fees equal to, for standby letters of credit, the applicable margin on LIBOR loans on the maximum amount available to be drawn under and, for commercial letters of credit, the applicable margin on LIBOR loans less 0.50% on the maximum amount available to be drawn under, and customary facing fees equal to 0.125% of the face amount of, each letter of credit.</w:t>
      </w:r>
    </w:p>
    <w:p>
      <w:pPr>
        <w:spacing w:after="0" w:line="78" w:lineRule="exact"/>
        <w:rPr>
          <w:sz w:val="20"/>
          <w:szCs w:val="20"/>
          <w:color w:val="auto"/>
        </w:rPr>
      </w:pPr>
    </w:p>
    <w:p>
      <w:pPr>
        <w:ind w:right="260" w:firstLine="378"/>
        <w:spacing w:after="0" w:line="258" w:lineRule="auto"/>
        <w:rPr>
          <w:sz w:val="20"/>
          <w:szCs w:val="20"/>
          <w:color w:val="auto"/>
        </w:rPr>
      </w:pPr>
      <w:r>
        <w:rPr>
          <w:rFonts w:ascii="Times New Roman" w:cs="Times New Roman" w:eastAsia="Times New Roman" w:hAnsi="Times New Roman"/>
          <w:sz w:val="18"/>
          <w:szCs w:val="18"/>
          <w:color w:val="auto"/>
        </w:rPr>
        <w:t>The Amended and Restated ABL Credit Facility also contains customary covenants for a financing of this type that limit the ability of CVR Refining and its respective subsidiaries to, among other things, incur liens, engage in a consolidation, merger, purchase or sale of assets, pay dividends, incur indebtedness, make advances, investments and loans, enter into affiliate transactions, issue equity interests, or create subsidiaries and unrestricted subsidiaries. The amended and restated facility also contains a fixed charge coverage ratio financial covenant, as defined therein. CVR Refining was in compliance with the covenants of the Amended and Restated ABL Credit Facility as of December 31, 2014.</w:t>
      </w:r>
    </w:p>
    <w:p>
      <w:pPr>
        <w:spacing w:after="0" w:line="76" w:lineRule="exact"/>
        <w:rPr>
          <w:sz w:val="20"/>
          <w:szCs w:val="20"/>
          <w:color w:val="auto"/>
        </w:rPr>
      </w:pPr>
    </w:p>
    <w:p>
      <w:pPr>
        <w:ind w:right="40" w:firstLine="378"/>
        <w:spacing w:after="0" w:line="266" w:lineRule="auto"/>
        <w:rPr>
          <w:sz w:val="20"/>
          <w:szCs w:val="20"/>
          <w:color w:val="auto"/>
        </w:rPr>
      </w:pPr>
      <w:r>
        <w:rPr>
          <w:rFonts w:ascii="Times New Roman" w:cs="Times New Roman" w:eastAsia="Times New Roman" w:hAnsi="Times New Roman"/>
          <w:sz w:val="18"/>
          <w:szCs w:val="18"/>
          <w:color w:val="auto"/>
        </w:rPr>
        <w:t>As of December 31, 2014, CVR Refining and its subsidiaries had availability under the Amended and Restated ABL Credit Facility of $373 million and had letters of credit outstanding of $27 million. There were no borrowings outstanding under the Amended and Restated ABL Credit Facility as of December 31, 2014.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CVR Partners Credit Facility</w:t>
      </w:r>
    </w:p>
    <w:p>
      <w:pPr>
        <w:spacing w:after="0" w:line="119" w:lineRule="exact"/>
        <w:rPr>
          <w:sz w:val="20"/>
          <w:szCs w:val="20"/>
          <w:color w:val="auto"/>
        </w:rPr>
      </w:pPr>
    </w:p>
    <w:p>
      <w:pPr>
        <w:jc w:val="both"/>
        <w:ind w:right="520" w:firstLine="378"/>
        <w:spacing w:after="0" w:line="266" w:lineRule="auto"/>
        <w:rPr>
          <w:sz w:val="20"/>
          <w:szCs w:val="20"/>
          <w:color w:val="auto"/>
        </w:rPr>
      </w:pPr>
      <w:r>
        <w:rPr>
          <w:rFonts w:ascii="Times New Roman" w:cs="Times New Roman" w:eastAsia="Times New Roman" w:hAnsi="Times New Roman"/>
          <w:sz w:val="18"/>
          <w:szCs w:val="18"/>
          <w:color w:val="auto"/>
        </w:rPr>
        <w:t>CVR Partner's credit facility includes a term loan facility of $125 million and a revolving credit facility of $25 million, which was undrawn as of December 31, 2014, with an uncommitted incremental facility of up to $50 million. No amounts were outstanding under the revolving credit facility at December 31, 2014. There is no scheduled amortization of the credit facility, which matures in April 2016.</w:t>
      </w:r>
    </w:p>
    <w:p>
      <w:pPr>
        <w:spacing w:after="0" w:line="68" w:lineRule="exact"/>
        <w:rPr>
          <w:sz w:val="20"/>
          <w:szCs w:val="20"/>
          <w:color w:val="auto"/>
        </w:rPr>
      </w:pPr>
    </w:p>
    <w:p>
      <w:pPr>
        <w:ind w:right="60" w:firstLine="378"/>
        <w:spacing w:after="0" w:line="261" w:lineRule="auto"/>
        <w:rPr>
          <w:sz w:val="20"/>
          <w:szCs w:val="20"/>
          <w:color w:val="auto"/>
        </w:rPr>
      </w:pPr>
      <w:r>
        <w:rPr>
          <w:rFonts w:ascii="Times New Roman" w:cs="Times New Roman" w:eastAsia="Times New Roman" w:hAnsi="Times New Roman"/>
          <w:sz w:val="18"/>
          <w:szCs w:val="18"/>
          <w:color w:val="auto"/>
        </w:rPr>
        <w:t>Borrowings under the credit facility bear interest based on a pricing grid determined by the trailing four quarter leverage ratio. The initial pricing for Eurodollar rate loans under the credit facility is the Eurodollar rate plus a margin of 3.50% or, for base rate loans, the prime rate plus 2.50%. Under its terms, the lenders under the credit facility were granted a first priority security interest (subject to certain customary exceptions) in substantially all of the assets of CRNF and CVR Partners.</w:t>
      </w:r>
    </w:p>
    <w:p>
      <w:pPr>
        <w:spacing w:after="0" w:line="72" w:lineRule="exact"/>
        <w:rPr>
          <w:sz w:val="20"/>
          <w:szCs w:val="20"/>
          <w:color w:val="auto"/>
        </w:rPr>
      </w:pPr>
    </w:p>
    <w:p>
      <w:pPr>
        <w:ind w:right="60" w:firstLine="378"/>
        <w:spacing w:after="0" w:line="255" w:lineRule="auto"/>
        <w:rPr>
          <w:sz w:val="20"/>
          <w:szCs w:val="20"/>
          <w:color w:val="auto"/>
        </w:rPr>
      </w:pPr>
      <w:r>
        <w:rPr>
          <w:rFonts w:ascii="Times New Roman" w:cs="Times New Roman" w:eastAsia="Times New Roman" w:hAnsi="Times New Roman"/>
          <w:sz w:val="18"/>
          <w:szCs w:val="18"/>
          <w:color w:val="auto"/>
        </w:rPr>
        <w:t>The credit facility requires CVR Partners to maintain a minimum interest coverage ratio and a maximum leverage ratio and contains customary covenants for a financing of this type that limit, subject to certain exceptions, the incurrence of additional indebtedness or guarantees, the creation of liens on assets, the ability of CVR Partners to dispose of assets, the ability to make restricted payments, investments and acquisitions, sale-leaseback transactions and affiliate transactions. The credit facility provides that CVR Partners can make distributions to holders of its common units provided, among other things, it is in compliance with the leverage ratio and interest coverage ratio on a pro forma basis after giving effect to any distribution and there is no default or event of default under the credit facility. As of December 31, 2014, CRNF was in compliance with the covenants of the credit facility and there were no borrowings outstanding under the credit facility.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Facilities - Railcar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ARI</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2007 Senior Unsecured Notes</w:t>
      </w:r>
    </w:p>
    <w:p>
      <w:pPr>
        <w:spacing w:after="0" w:line="119" w:lineRule="exact"/>
        <w:rPr>
          <w:sz w:val="20"/>
          <w:szCs w:val="20"/>
          <w:color w:val="auto"/>
        </w:rPr>
      </w:pPr>
    </w:p>
    <w:p>
      <w:pPr>
        <w:ind w:right="100" w:firstLine="378"/>
        <w:spacing w:after="0" w:line="282" w:lineRule="auto"/>
        <w:rPr>
          <w:sz w:val="20"/>
          <w:szCs w:val="20"/>
          <w:color w:val="auto"/>
        </w:rPr>
      </w:pPr>
      <w:r>
        <w:rPr>
          <w:rFonts w:ascii="Times New Roman" w:cs="Times New Roman" w:eastAsia="Times New Roman" w:hAnsi="Times New Roman"/>
          <w:sz w:val="18"/>
          <w:szCs w:val="18"/>
          <w:color w:val="auto"/>
        </w:rPr>
        <w:t>In February 2007, ARI issued $275 million senior unsecured fixed rate notes that were subsequently exchanged for registered notes in March 2007 (the “ARI 2007 Notes”). In September 2012, ARI voluntarily redeemed $100 million of its ARI</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380"/>
          </w:cols>
          <w:pgMar w:left="240" w:top="333" w:right="279" w:bottom="1440" w:gutter="0" w:footer="0" w:header="0"/>
        </w:sectPr>
      </w:pPr>
    </w:p>
    <w:bookmarkStart w:id="192" w:name="page193"/>
    <w:bookmarkEnd w:id="19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2007 Notes utilizing cash on hand. On March 1, 2013, ARI voluntarily redeemed the remaining $175 million of its ARI 2007 Notes outstanding. In connection with these redemptions, ARI recorded a loss on extinguishment of debt of less than $1 million and $2 million for the years ended December 31, 2013 and 2012, respectively, which are reflected in other income (loss), net in our consolidated statements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2012 Lease Fleet Financing</w:t>
      </w:r>
    </w:p>
    <w:p>
      <w:pPr>
        <w:spacing w:after="0" w:line="119" w:lineRule="exact"/>
        <w:rPr>
          <w:sz w:val="20"/>
          <w:szCs w:val="20"/>
          <w:color w:val="auto"/>
        </w:rPr>
      </w:pPr>
    </w:p>
    <w:p>
      <w:pPr>
        <w:ind w:right="40" w:firstLine="378"/>
        <w:spacing w:after="0" w:line="255" w:lineRule="auto"/>
        <w:rPr>
          <w:sz w:val="20"/>
          <w:szCs w:val="20"/>
          <w:color w:val="auto"/>
        </w:rPr>
      </w:pPr>
      <w:r>
        <w:rPr>
          <w:rFonts w:ascii="Times New Roman" w:cs="Times New Roman" w:eastAsia="Times New Roman" w:hAnsi="Times New Roman"/>
          <w:sz w:val="18"/>
          <w:szCs w:val="18"/>
          <w:color w:val="auto"/>
        </w:rPr>
        <w:t>In December 2012, ARI, through its wholly owned subsidiary Longtrain Leasing I LLC ("Longtrain Leasing I"), entered into a senior secured delayed draw term loan facility ("Original ARI Term Loan") that is secured by a portfolio of railcars, railcar leases, the receivables associated with those railcars and leases and certain other related assets of Longtrain Leasing I. The Original ARI Term Loan provided for an initial draw at closing and allowed for up to two additional draws. Upon closing, the initial draw was $98 million, net of fees and expenses. During the first half of 2013, ARI made two additional draws that resulted in aggregate net proceeds of $100 million, fully utilizing the capacity of the ARI Term Loan. As December 31, 2013, the outstanding principal balance on the Original ARI Term Loan was $195 million. The Original ARI Term Loan, which had a maturity date of February 27, 2018, bore interest at one-month LIBOR plus 2.5%, for a rate of 2.7% as of December 31, 2013. The Original ARI Term Loan was paid in full during the first quarter of 2014 in connection with the refinancing transaction discussed below.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2014 Lease Fleet Financing</w:t>
      </w:r>
    </w:p>
    <w:p>
      <w:pPr>
        <w:spacing w:after="0" w:line="11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In January 2014, Longtrain Leasing I refinanced its Original ARI Term Loan under an amended and restated credit agreement (the "ARI Amended and Restated Credit Agreement") to, among other things, increase the aggregate borrowings available thereunder. In connection with the refinancing, Longtrain Leasing I received borrowings of $316 million, net of fees and expenses (the "ARI Refinanced Term Loan"). Of this amount, $194 million was used to refinance the Original ARI Term Loan, resulting in net proceeds of $122 million. In conjunction with the refinancing, ARI incurred a $2 million loss on extinguishment of debt, which is reflected in other income, net in our consolidated statements of operations.</w:t>
      </w:r>
    </w:p>
    <w:p>
      <w:pPr>
        <w:spacing w:after="0" w:line="7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ARI Refinanced Term Loan accrues interest at a rate per annum equal to the 1-month LIBOR rate plus 2.0%, for a rate of 2.2% as of December 31, 2014, subject to an alternative rate as set forth in the ARI Amended and Restated Credit Agreement. The interest rate increases by 2.0% following certain events of default. Pursuant to the terms of the Original ARI Term Loan and the ARI Amended and Restated Credit Agreement, ARI is required to maintain deposits in an interest reserve bank account equal to nine and seven months, respectively, of interest payments. As of both December 31, 2014 and 2013, the interest reserve amount was $4 million and is included in cash held at consolidated affiliated partnerships and restricted cash in our consolidated balance sheets. The ARI Refinanced Term Loan may be prepaid at ARI's option at any time without premium or penalty (other than customary LIBOR breakage fees) prior to the final scheduled maturity of the ARI Refinanced Term Loan, which is January 15, 2020.</w:t>
      </w:r>
    </w:p>
    <w:p>
      <w:pPr>
        <w:spacing w:after="0" w:line="8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Longtrain Leasing I is required to maintain a loan to value ratio of at least 80% of the Net Aggregate Equipment Value, as defined in the Amended and Restated Credit Agreement. The Amended and Restated Credit Agreement contains certain representations, warranties, and affirmative and negative covenants applicable to ARI and/or Longtrain Leasing I, which are customarily applicable to senior secured facilities. Key covenants include limitations on Longtrain Leasing I's indebtedness, liens, investments, acquisitions, asset sales, redemption payments, and affiliate and extraordinary transactions; full cash sweep; covenants relating to the maintenance of Longtrain Leasing I as a separate legal entity; financial and other reporting and periodic appraisals; maintenance of railcars, leases, and other assets; and Longtrain Leasing I's compliance with a Debt Service Coverage Ratio (as defined in the ARI Amended and Restated Credit Agreement) of 1.05 to 1.00, measured quarterly on a nine-month trailing basis, and subject to up to a 75 to 135 day cure period. ARI was in compliance with all of its covenants under the ARI Refinanced Term Loan as of December 31, 2014.</w:t>
      </w:r>
    </w:p>
    <w:p>
      <w:pPr>
        <w:spacing w:after="0" w:line="77"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terms of the Amended and Restated Credit Agreement also provided a certain subsidiary of ARI with the right, but not the obligation, within the 90 day period ended on October 15, 2014, to increase the amount of the ARI Refinanced Term Loan in an aggregate additional amount not to exceed $100 million subject to the conditions set forth in the Amended and Restated Credit Agreement. ARI did not exercise this right.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2014 bridge financing</w:t>
      </w:r>
    </w:p>
    <w:p>
      <w:pPr>
        <w:spacing w:after="0" w:line="119" w:lineRule="exact"/>
        <w:rPr>
          <w:sz w:val="20"/>
          <w:szCs w:val="20"/>
          <w:color w:val="auto"/>
        </w:rPr>
      </w:pPr>
    </w:p>
    <w:p>
      <w:pPr>
        <w:ind w:right="580" w:firstLine="405"/>
        <w:spacing w:after="0" w:line="282" w:lineRule="auto"/>
        <w:rPr>
          <w:sz w:val="20"/>
          <w:szCs w:val="20"/>
          <w:color w:val="auto"/>
        </w:rPr>
      </w:pPr>
      <w:r>
        <w:rPr>
          <w:rFonts w:ascii="Times New Roman" w:cs="Times New Roman" w:eastAsia="Times New Roman" w:hAnsi="Times New Roman"/>
          <w:sz w:val="18"/>
          <w:szCs w:val="18"/>
          <w:color w:val="auto"/>
        </w:rPr>
        <w:t>In October 2014, ARI, through Longtrain Leasing II LLC ("Longtrain Leasing II"), a wholly owned subsidiary of ARI, entered into a lease fleet financing facility for $100 million under a term loan agreement ("Longtrain Leasing II Term Loan") in</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360"/>
          </w:cols>
          <w:pgMar w:left="240" w:top="333" w:right="299" w:bottom="1440" w:gutter="0" w:footer="0" w:header="0"/>
        </w:sectPr>
      </w:pPr>
    </w:p>
    <w:bookmarkStart w:id="193" w:name="page194"/>
    <w:bookmarkEnd w:id="1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order to support the growth of its leasing business. The Longtrain Leasing II Term Loan is scheduled to mature in April 2015. As of December 31, 2014, the outstanding principal balance on the Longtrain Leasing II Term Loan was $100 million.</w:t>
      </w:r>
    </w:p>
    <w:p>
      <w:pPr>
        <w:spacing w:after="0" w:line="54" w:lineRule="exact"/>
        <w:rPr>
          <w:sz w:val="20"/>
          <w:szCs w:val="20"/>
          <w:color w:val="auto"/>
        </w:rPr>
      </w:pPr>
    </w:p>
    <w:p>
      <w:pPr>
        <w:ind w:right="120" w:firstLine="405"/>
        <w:spacing w:after="0" w:line="270" w:lineRule="auto"/>
        <w:rPr>
          <w:sz w:val="20"/>
          <w:szCs w:val="20"/>
          <w:color w:val="auto"/>
        </w:rPr>
      </w:pPr>
      <w:r>
        <w:rPr>
          <w:rFonts w:ascii="Times New Roman" w:cs="Times New Roman" w:eastAsia="Times New Roman" w:hAnsi="Times New Roman"/>
          <w:sz w:val="17"/>
          <w:szCs w:val="17"/>
          <w:color w:val="auto"/>
        </w:rPr>
        <w:t>Subject to the provisions of the Longtrain Leasing II Term Loan, the principal borrowed thereunder (the "ARI Loan") accrues interest at a rate determined by reference to an index or, subject to certain circumstances, at a base rate. For the portion of the ARI Loan accruing interest at a rate determined by reference to an index, (i) except during a period when the lender for such portion of the ARI Loan is funding and maintaining such portion of the ARI Loan through the issuance of or other financing arrangement in respect of commercial paper, the sum of LIBOR (as determined under the Longtrain Leasing</w:t>
      </w:r>
    </w:p>
    <w:p>
      <w:pPr>
        <w:spacing w:after="0" w:line="3" w:lineRule="exact"/>
        <w:rPr>
          <w:sz w:val="20"/>
          <w:szCs w:val="20"/>
          <w:color w:val="auto"/>
        </w:rPr>
      </w:pPr>
    </w:p>
    <w:p>
      <w:pPr>
        <w:ind w:right="20" w:firstLine="8"/>
        <w:spacing w:after="0" w:line="252" w:lineRule="auto"/>
        <w:tabs>
          <w:tab w:leader="none" w:pos="16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for such period plus the Applicable Margin (described below), and (ii) during a period when the lender for such portion of the ARI Loan is funding and maintaining such portion of the ARI Loan through the issuance of or other financing arrangement in respect of commercial paper, the sum of the applicable commercial paper rate (the CP Rate as determined under the Longtrain Leasing II Term Loan) plus the Applicable Margin (described below). From and including October 16, 2014 and through and including April 16, 2015, the Applicable Margin is equal to a rate per annum of 1.45%, for a rate of 1.7% as of December 31, 2014. Thereafter, the Applicable Margin increases to a rate per annum equal to 2.95%. The interest rate increases by 2.0% following certain defaults. For the portion of the ARI Loan accruing interest at the base rate, the interest rate is the higher of the federal funds rate designated by the Longtrain Leasing II Term Loan, plus 0.5%, or the prime rate designated by the Longtrain Leasing II Term Loan. Principal and interest payments are due monthly, with any remaining balance payable on the scheduled maturity date, which is April 16, 2015.</w:t>
      </w:r>
    </w:p>
    <w:p>
      <w:pPr>
        <w:spacing w:after="0" w:line="80"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Longtrain Leasing II Term Loan contains certain representations, warranties, and affirmative and negative covenants applicable to ARI and a certain subsidiary of ARI, which are customarily applicable to senior secured facilities. Key covenants include limitations on a certain subsidiary of ARI's indebtedness, liens, investments, acquisitions, asset sales, and affiliate and extraordinary transactions; full cash sweep; covenants relating to the maintenance of Longtrain Leasing II as a separate legal entity; financial and other reporting and periodic appraisals; maintenance of railcars, leases, and other assets; and Longtrain Leasing II's compliance with an 80% utilization covenant (as defined in the Longtrain Leasing II Term Loan). ARI was in compliance with all of its covenants under the Longtrain Leasing II Term Loan as of December 31, 2014.</w:t>
      </w:r>
    </w:p>
    <w:p>
      <w:pPr>
        <w:spacing w:after="0" w:line="80"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Both the Longtrain Leasing I and Longtrain Leasing II lease fleet financings are obligations of the respective wholly-owned subsidiary, are generally non-recourse to ARI, and are secured by a first lien on substantially all assets of Longtrain Leasing I and Longtrain Leasing II, respectively, consisting of railcars, railcar leases, receivables and related assets, subject to limited exceptions. ARI has, however, entered into agreements containing certain representations, undertakings, and indemnities customary for asset sellers and parent companies in transactions of this type, and ARI is obligated to make any selections of transfers of railcars, railcar leases, receivables and related assets to be transferred to Longtrain Leasing I and Longtrain Leasing II without any adverse selection, to cause ARL, as the manager, to maintain, lease, and re-lease Longtrain Leasing I and Longtrain Leasing II's equipment no less favorably than similar portfolios serviced by ARL, and to repurchase or replace certain railcars under certain conditions set forth in the respective loan documents.</w:t>
      </w:r>
    </w:p>
    <w:p>
      <w:pPr>
        <w:spacing w:after="0" w:line="81"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In January 2015, Longtrain Leasing III LLC ("Longtrain Leasing III"), a wholly owned subsidiary of ARI, completed a private placement of $626 million in aggregate principal amount of notes. See Note 18, "Subsequent Events - Railcar," for further discussion.</w:t>
      </w:r>
    </w:p>
    <w:p>
      <w:pPr>
        <w:spacing w:after="0" w:line="5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2014 and 2013, the net book value of the railcars that were pledged as part of the Lease Fleet Financings was $277 million and $217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10202"/>
        </w:rPr>
        <w:t>Revolving Credit Facilities</w:t>
      </w:r>
    </w:p>
    <w:p>
      <w:pPr>
        <w:spacing w:after="0" w:line="11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On January 14, 2011 ARL closed on the refinancing of a revolving credit agreement (the "ARL Sovereign Revolver") with Sovereign Bank as the administrative agent, along with several other participating banks. The available capacity of the original ARL Sovereign Revolver was $40 million. The refinanced facility increased the ARL Sovereign Revolver's availability to $110 million. On June 8, 2011 ARL entered into an Amendment No. 1 to the revolving credit agreement whereby an additional bank participated, increasing the available capacity of the ARL Sovereign Revolver to $130 million. On July 12, 2013 ARL entered into an Amendment No. 2 which reduced the availability capacity to $120 million and extended the maturity date to July 14, 2014. On July 9, 2014, ARL entered into an Amendment No. 3 which extended the maturity date to January 14, 2015.</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obligations under the ARL Sovereign Revolver bear interest at a variable rate based on LIBOR plus an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420"/>
          </w:cols>
          <w:pgMar w:left="240" w:top="334" w:right="239" w:bottom="1440" w:gutter="0" w:footer="0" w:header="0"/>
        </w:sectPr>
      </w:pPr>
    </w:p>
    <w:bookmarkStart w:id="194" w:name="page195"/>
    <w:bookmarkEnd w:id="1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margin and are secured by railcars and related leases and lease receivables and are subject to certain covenants, including maintenance of certain financial ratios related to net worth, utilization and loan to value. December 31, 2014, ARL was in compliance with all debt covenants with respect to the Sovereign Revolver.</w:t>
      </w:r>
    </w:p>
    <w:p>
      <w:pPr>
        <w:spacing w:after="0" w:line="6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During the third quarter of 2014, ARL paid off the ARL Sovereign Revolver in full. As discussed below, on December 19, 2014, the ARL Sovereign Revolver was replaced by the Citizen Bank Revolver (as defined below). As of December 31, 2013, ARL had availability under the ARL Sovereign Revolver of $73 million and had outstanding borrowings of $47 million.</w:t>
      </w:r>
    </w:p>
    <w:p>
      <w:pPr>
        <w:spacing w:after="0" w:line="6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December 19, 2014, ARL closed on the Citizen's Bank revolving credit facility (the "Citizen Bank Revolver"), with Citizen Bank's as the administrative agent, along with several other participating banks, replacing the ARL Sovereign Revolver. The available capacity of the Citizen Bank Revolver is $250 million as of December 31, 2014. In addition, under certain circumstances, ARL has the ability to increase the Citizen Bank Revolver credit availability by $100 million to a total availability of $350 million. The Citizen Bank Revolver bears interest of LIBOR plus 1.45% with a maturity date of December 19, 2017. The Citizen Bank Revolver is secured by railcars and related leases and lease receivables and is subject to certain covenants, including maintenance of certain financial ratios related to net worth, utilization and loan to value. As of December 31, 2014, there were no borrowings under the Citizen Bank Revolver. In addition, as of December 31, 2014, ARL was in compliance with all covenants of the Citizen Bank Revolver.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10202"/>
        </w:rPr>
        <w:t>Term Notes</w:t>
      </w:r>
    </w:p>
    <w:p>
      <w:pPr>
        <w:spacing w:after="0" w:line="11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ARL and its wholly owned subsidiaries have various term loans, all of which are non-recourse to us, some of which bear interest at variable rates based on LIBOR and have maturities between July 14, 2014 and July 16, 2019, and the rest bear interest at rates between 3.35% and 6.95% and have maturities between July 28, 2014 and February 25, 2020. Substantially all of the term loans are secured by railcars and related leases and lease receivables and are subject to certain covenants, including maintenance of certain financial ratios related to net worth, utilization and loan to value.</w:t>
      </w:r>
    </w:p>
    <w:p>
      <w:pPr>
        <w:spacing w:after="0" w:line="72"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On February 21, 2014, NCF I, LLC, a subsidiary of ARL entered into a new $250 million term loan (the “NCF I Term Loan”) with Key Equipment Finance, a division of KeyBank National Association. The NCF I Term Loan matures on February 21, 2019. Interest shall accrue on the principal balance at the rate of 30-day LIBOR plus 2.0%, with the rate to reset monthly that is payable monthly, commencing on March 20, 2014.</w:t>
      </w:r>
    </w:p>
    <w:p>
      <w:pPr>
        <w:spacing w:after="0" w:line="6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On February 25, 2014, NCF II, LLC, a subsidiary of ARL entered into a new $135 million term loan (the “NCF II Term Loan”) with AIG Commercial Asset Finance. The NCF II Term Loan matures on February 25, 2020. Interest shall accrue on the principal balance at the rate of 3.7% that is payable monthly, commencing on March 25, 2014.</w:t>
      </w:r>
    </w:p>
    <w:p>
      <w:pPr>
        <w:spacing w:after="0" w:line="6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NCF I Term Loan and NCF II Term Loan are each subject to a maximum 80% loan to value ratio, to be measured monthly and verified annually by collateral appraisal. Both of the NCF I Term Loan and the NCF II Term Loan are secured by railcar assets and guaranteed by an affiliated company and includes a tangible net worth covenant for the guarantor, among other covenants.</w:t>
      </w:r>
    </w:p>
    <w:p>
      <w:pPr>
        <w:spacing w:after="0" w:line="68"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As required by the ARL Contribution Agreement, the NCF I Term Loan and the NCF II Term Loans were incurred to finance ARL’s distribution of $381 million of cash to IRL Holding LLC, an affiliate of Mr. Icahn, which occurred on February 26, 2014.</w:t>
      </w:r>
    </w:p>
    <w:p>
      <w:pPr>
        <w:spacing w:after="0" w:line="54"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On March 27, 2014, RCF 2014, LLC, a subsidiary of ARL entered into a $300 million term loan (the “RCF Term Loan”) with the Royal Bank of Scotland PLC. Proceeds of the RCF Term Loan, along with $256 million in cash, were used to pay off a certain term note that matured in March 2014 with a certain subsidiary of ARL. The RCF Term Loan matures on September 27, 2014. Interest shall accrue on the principal balance at the rate of 30-day LIBOR plus 1.45%, with the rate to reset monthly and is payable monthly, commencing on April 15, 2014. The RCF Term Loan is secured by railcars and related leases and lease receivables and is subject to certain covenants, including maintenance of certain financial ratios related to net worth, utilization and loan to value. During September 2014, as discussed below, proceeds from the Credit Agricole Term Loan (as defined below) were used to pay off in full the RCF Term Loan.</w:t>
      </w:r>
    </w:p>
    <w:p>
      <w:pPr>
        <w:spacing w:after="0" w:line="8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On June 23, 2014, ARL entered into a $12 million term loan with Heartland Bank (the “Heartland Bank Term Loan”). The Heartland Bank Term Loan matures on July 1, 2015. On December 23, 2014, ARL entered into an amendment to the Heartland Bank Term Loan, which extended the maturity to July 1, 2019. Interest accrues on the principal balance at the rate of 30-day LIBOR plus 2.0%, with the rate to reset monthly, and is payable monthly, commencing on August 1, 2014. The Heartland Bank Term Loan is subject to a maximum 85% loan to value ratio and is secured by railcar assets.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400"/>
          </w:cols>
          <w:pgMar w:left="240" w:top="333" w:right="259" w:bottom="1440" w:gutter="0" w:footer="0" w:header="0"/>
        </w:sectPr>
      </w:pPr>
    </w:p>
    <w:bookmarkStart w:id="195" w:name="page196"/>
    <w:bookmarkEnd w:id="1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On September 3, 2014, RCF 2014, LLC, a subsidiary of ARL entered into a new $375 million term loan with Credit Agricole Corporate and Investment Bank ("Credit Agricole Term Loan") with a maturity date of September 3, 2021. Interest shall accrue on the principal balance of the loan at the rate of 30-day LIBOR plus 1.75%, with the rate to reset monthly. The loan is payable monthly, commencing on October 3, 2014. Proceeds from the Credit Agricole Term Loan were used to pay off the RCF Term Loan and the ARL Sovereign Revolver.</w:t>
      </w:r>
    </w:p>
    <w:p>
      <w:pPr>
        <w:spacing w:after="0" w:line="72"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On September 26, 2014, a subsidiary of ARL entered into a new $47 million term loan with Banc of America Leasing &amp; Capital, LLC with a maturity date of September 26, 2021. Interest shall accrue on the principal balance of the loan at the rate of 30-day LIBOR plus 1.75%, with the rate to reset monthly. The loan is payable monthly, commencing on October 26, 2014.</w:t>
      </w:r>
    </w:p>
    <w:p>
      <w:pPr>
        <w:spacing w:after="0" w:line="68" w:lineRule="exact"/>
        <w:rPr>
          <w:sz w:val="20"/>
          <w:szCs w:val="20"/>
          <w:color w:val="auto"/>
        </w:rPr>
      </w:pPr>
    </w:p>
    <w:p>
      <w:pPr>
        <w:ind w:right="840" w:firstLine="405"/>
        <w:spacing w:after="0" w:line="266" w:lineRule="auto"/>
        <w:rPr>
          <w:sz w:val="20"/>
          <w:szCs w:val="20"/>
          <w:color w:val="auto"/>
        </w:rPr>
      </w:pPr>
      <w:r>
        <w:rPr>
          <w:rFonts w:ascii="Times New Roman" w:cs="Times New Roman" w:eastAsia="Times New Roman" w:hAnsi="Times New Roman"/>
          <w:sz w:val="18"/>
          <w:szCs w:val="18"/>
          <w:color w:val="auto"/>
        </w:rPr>
        <w:t>On September 26, 2014, a subsidiary of ARL entered into a new $15 million term loan with Talmer Bank with a maturity date of October 1, 2019. Interest shall accrue on the principal balance at the rate of 30-day LIBOR plus 1.50%, with the rate to reset monthly that is payable monthly, commencing on October 26, 2014.</w:t>
      </w:r>
    </w:p>
    <w:p>
      <w:pPr>
        <w:spacing w:after="0" w:line="6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As of both December 31, 2014 and 2013, ARL and its wholly owned subsidiaries were in compliance with all debt covenants with respect to all of their term loans.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Bond Securitizations</w:t>
      </w:r>
    </w:p>
    <w:p>
      <w:pPr>
        <w:spacing w:after="0" w:line="11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December 12, 2012, a subsidiary of ARL entered into a bond securitization transaction with RBS Securities, Inc. ("RBS") as the initial purchaser of the $110 million principal amount of the Floating Secured Railcar Equipment Notes, Class A-1 ("ARL 2012 Class A-1 Notes"), and the $106 million principal amount of the Fixed Rate Secured Railcar Equipment Notes, Class A-2 ("ARL 2012 Class A-2 Notes") and, together with the ARL Class A-1 Notes, collectively referred to herein as the "ARL 2012 Bond Securitization Notes"). The ARL 2012 Class A-1 Notes bear interest of LIBOR plus 1.75%; the ARL 2012 Class A-2 Notes bear a fixed interest rate of 3.81%. Interest on each of the ARL 2012 Bond Securitization Notes are payable on the 15th calendar day of each month starting on January 15, 2013. The expected principal repayment date for the ARL 2012 Bond Securitization Notes is December 15, 2022 and the legal final maturity date for the ARL 2012 Bond Securitization Notes is December 15, 2042.</w:t>
      </w:r>
    </w:p>
    <w:p>
      <w:pPr>
        <w:spacing w:after="0" w:line="81" w:lineRule="exact"/>
        <w:rPr>
          <w:sz w:val="20"/>
          <w:szCs w:val="20"/>
          <w:color w:val="auto"/>
        </w:rPr>
      </w:pPr>
    </w:p>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On June 25, 2014, a certain subsidiary of ARL entered into a bond securitization transaction with RBS as the initial purchaser of the $175 million principal amount of the Fixed Secured Railcar Equipment Notes, Class A-1 ("ARL 2014 Class A-1 Notes"), and the $150 million principal amount of the Fixed Rate Secured Railcar Equipment Notes, Class A-2 ("ARL 2014 Class A-2 Notes" and, together with the ARL 2014 Class A-1 Notes, collectively referred to herein as the "ARL 2014 Bond Securitization Notes"). $156 million of the proceeds from the ARL 2014 Bond Securitization Notes were used to pay down the RCF Term Loan. The ARL 2014 Class A-1 Notes bear a fixed interest rate of 2.92%; the ARL 2014 Class A-2 Notes bear a fixed interest rate of 3.97%. Interest on each of the ARL 2014 Bond Securitization Notes are payable on the 15th calendar day of each month starting on July 15, 2014. The expected principal repayment date for the ARL 2014 Bond Securitization Notes is June 15, 2024 and the legal final maturity date for the ARL 2014 Bond Securitization Notes is June 15, 2044.</w:t>
      </w:r>
    </w:p>
    <w:p>
      <w:pPr>
        <w:spacing w:after="0" w:line="77"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Each of the ARL 2012 Bond Securitization Notes and ARL 2014 Bond Securitization Notes is subject to certain covenants, including the maintenance of certain financial ratios related to net worth, utilization and debt service coverage. As of both December 31, 2014 and 2013, ARL was in compliance with all debt covenants with respect to the ARL 2012 Bond Securitization Notes and ARL 2014 Bond Securitization Notes.</w:t>
      </w:r>
    </w:p>
    <w:p>
      <w:pPr>
        <w:spacing w:after="0" w:line="6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30-day LIBOR rate was 0.17% at both December 31, 2014 and 2013. ARL's weighted average interest rate on all borrowings was 3.16% and 3.26% for the year ended December 31, 2014 and 2013,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 - Gaming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11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November 27, 2013, Tropicana entered into (i) a senior secured first lien term loan facility in an aggregate principal amount of $300 million, issued at a discount of 0.5% (the “Tropicana Term Loan Facility”) and (ii) a senior secured first lien revolving credit facility in an aggregate principal amount of $15 million (the “Tropicana Revolving Facility” and, together with the Tropicana Term Loan Facility, the “Tropicana Credit Facilities”). Commencing on December 31, 2013, the Tropicana Term Loan Facility will amortize in equal quarterly installments in an amount of $750,000, with any remaining balance payable on the final maturity date of the Tropicana Term Loan Facility, which is November 27, 2020. Amounts under the Tropicana Revolving Facility are available to be borrowed and re-borrowed until its termination on November 27, 2018.</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400"/>
          </w:cols>
          <w:pgMar w:left="240" w:top="333" w:right="259" w:bottom="1440" w:gutter="0" w:footer="0" w:header="0"/>
        </w:sectPr>
      </w:pPr>
    </w:p>
    <w:bookmarkStart w:id="196" w:name="page197"/>
    <w:bookmarkEnd w:id="1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300" w:firstLine="405"/>
        <w:spacing w:after="0" w:line="258" w:lineRule="auto"/>
        <w:rPr>
          <w:sz w:val="20"/>
          <w:szCs w:val="20"/>
          <w:color w:val="auto"/>
        </w:rPr>
      </w:pPr>
      <w:r>
        <w:rPr>
          <w:rFonts w:ascii="Times New Roman" w:cs="Times New Roman" w:eastAsia="Times New Roman" w:hAnsi="Times New Roman"/>
          <w:sz w:val="18"/>
          <w:szCs w:val="18"/>
          <w:color w:val="auto"/>
        </w:rPr>
        <w:t>Net proceeds of $172 million from the Tropicana Credit Facilities were used to repay in full the principal amounts outstanding under the Tropicana's prior credit facilities. Tropicana's prior credit facilities were terminated effective as of November 27, 2013. Our Gaming segment recognized a loss on extinguishment of debt of $5 million which related to the write-off of unamortized debt issuance costs and discounts during the fourth quarter of 2013. A portion of the proceeds from the Tropicana Credit Facilities was used to finance Tropicana's acquisition of the Lumière as further described in Note 3, "Operating Units - Gaming."</w:t>
      </w:r>
    </w:p>
    <w:p>
      <w:pPr>
        <w:spacing w:after="0" w:line="76"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Tropicana Term Loan Facility accrues interest, at Tropicana's option, at a per annum rate equal to either (i) the LIBO Rate (as defined in the Credit Agreement) (subject to a 1.00% floor) plus an applicable margin equal to 3.00%, or (ii) the alternate base rate (as defined in the Credit Agreement) (subject to a 2.00% floor) plus an applicable margin equal to 2.00%; such that in either case, the applicable interest rate shall not be less than 4.0%. The Tropicana Revolving Facility accrues interest, at Tropicana's option, at a per annum rate equal to either (i) the LIBO Rate plus an applicable margin ranging from 2.00% (if the total net leverage ratio is less than 2.50:1.00) to 2.50% (if the total net leverage ratio is greater than or equal to 3.00:1.00); or (ii) the alternate base rate plus an applicable margin ranging from 1.00% (if the total net leverage ratio is less than 2.50:1.00) to 1.50% (if the total net leverage ratio is greater than or equal to 3.00:1.00). The interest rate increases by 2.00% following certain defaults. As of December 31, 2014, the interest rate on the Tropicana Term Loan Facility was 4.0% and $15 million was available under the Revolving Facility.</w:t>
      </w:r>
    </w:p>
    <w:p>
      <w:pPr>
        <w:spacing w:after="0" w:line="77"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Tropicana Credit Facilities are guaranteed by all of Tropicana's domestic subsidiaries, subject to limited exceptions where gaming approval is being sought, and additional subsidiaries may be required to provide guarantees, subject to limited exceptions. The Tropicana Credit Facilities are secured by a first lien on substantially all assets of Tropicana and the domestic subsidiaries that are guarantors, with certain limited exceptions. Subsidiaries that become guarantors will be required, with certain limited exceptions, to provide first liens and security interests in substantially all their assets to secure the Tropicana Credit Facilities.</w:t>
      </w:r>
    </w:p>
    <w:p>
      <w:pPr>
        <w:spacing w:after="0" w:line="76"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At the election of Tropicana and subject to certain conditions, including a maximum senior secured net leverage ratio of 3.25:1.00, the amount available under the Tropicana Credit Facilities may be increased, which increased amount may be comprised of additional term loans and revolving loans.</w:t>
      </w:r>
    </w:p>
    <w:p>
      <w:pPr>
        <w:spacing w:after="0" w:line="5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Tropicana Term Loan Facility may be prepaid at the option of the Tropicana at any time without penalty (other than customary LIBO Rate breakage fees), except that a 1% re-pricing premium will apply in certain circumstances if any term loans under the Tropicana Term Loan Facility are prepaid prior to May 27, 2014. Tropicana is required to make mandatory payments of the Tropicana Credit Facilities with (i) net cash proceeds of certain asset sales (subject to reinvestment rights), (ii) net cash proceeds from certain issuances of debt and equity (with certain exceptions), (iii) up to 50% of annual excess cash flow (as low as 0% if the Tropicana's total leverage ratio is below 2.75:1.00), and (iv) certain casualty proceeds and condemnation awards (subject to reinvestment rights).</w:t>
      </w:r>
    </w:p>
    <w:p>
      <w:pPr>
        <w:spacing w:after="0" w:line="80"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8"/>
          <w:szCs w:val="18"/>
          <w:color w:val="auto"/>
        </w:rPr>
        <w:t>Key covenants binding Tropicana and its subsidiaries include (i) limitations on indebtedness, liens, investments, acquisitions, asset sales, dividends and other restricted payments, and affiliate and extraordinary transactions, and (ii) if, as of the last day of any fiscal quarter, the amount of outstanding revolving loans exceed 35% of the permitted borrowing under the Tropicana Revolving Facility, compliance with a maximum senior secured net leverage ratio test of 3.25:1.00. Key default provisions include (i) failure to repay principal, interest, fees and other amounts owing under the facility, (ii) cross default to certain other indebtedness, (iii) the rendering of certain judgments against Tropicana or its subsidiaries, (iv) failure of security documents to create valid liens on property securing the Tropicana Credit Facilities and to perfect such liens, (v) revocation of casino, gambling, or gaming licenses, (vi) Tropicana's or its material subsidiaries' bankruptcy or insolvency; and (vii) the occurrence of a Change of Control (as defined in the Credit Agreement). Many defaults are also subject to cure periods prior to such default giving rise to the right of the lenders to accelerate the loans and to exercise remedies. Tropicana was in compliance with the covenants of the Tropicana Term Loan Facility at December 31, 2014.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 and Revolving Credit Facility - Food Packaging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Credit Facility</w:t>
      </w:r>
    </w:p>
    <w:p>
      <w:pPr>
        <w:spacing w:after="0" w:line="119"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certain financing transactions, on January 30, 2014, Viskase entered into a credit agreement with UBS AG, Stamford Branch, as Administrative Agent and Collateral Agent, and the Lenders parties thereto, providing for a $275 million senior secured covenant lite term loan facility (“Viskase Term Loan”). A portion of the proceeds from the Viskase Term Loan was used to satisfy and discharge all of the existing Viskase 9.875% Notes and Viskase recorded a loss of $16 million 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400"/>
          </w:cols>
          <w:pgMar w:left="240" w:top="333" w:right="259"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extinguishment during the first quarter of 2014, which is reflected in other income, net in the consolidated statements of operations.</w:t>
      </w:r>
    </w:p>
    <w:p>
      <w:pPr>
        <w:spacing w:after="0" w:line="117"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Viskase Term Loan bears interest at a LIBO Rate plus 3.25% (with the LIBO Rate carrying a 1.00% floor), or at a Base Rate equal to the sum of (1) the greatest of (a) the Prime Rate, (b) the Federal Funds Effective Rate plus 0.50%, (c) one-month LIBOR plus 1.0%, or (d) 2.0%, plus (2) 2.25%. The Viskase Term Loan has a 1% per annum amortization with a maturity date of January 30, 2021. The Viskase Term Loan is subject to certain additional mandatory prepayments upon asset sales, incurrence of indebtedness not otherwise permitted, and based upon a percentage of excess cash flow. Prepayments on the Viskase Term Loan may be made at any time, subject to a prepayment premium of 1% for certain prepayments during the first six months of the term.</w:t>
      </w:r>
    </w:p>
    <w:p>
      <w:pPr>
        <w:spacing w:after="0" w:line="7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Indebtedness under the Viskase Term Loan is secured by liens on substantially all of Viskase’s domestic and Mexican assets, with liens on (i) the Fixed Asset Priority Collateral, to be contractually senior to the liens securing the Revolving Credit Facility pursuant to the intercreditor agreement, (ii) the ABL Priority Collateral, to be contractually subordinate to the liens securing the Revolving Credit Facility pursuant to the intercreditor agreement, and (iii) all other assets, to be contractually pari passu with the liens securing the Revolving Credit Facility pursuant to the intercreditor agreement. Viskase's future direct or indirect material domestic subsidiaries are required to guarantee the obligations under the Viskase Term Loan, and to provide security by liens on their assets as described above.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Credit Facility</w:t>
      </w:r>
    </w:p>
    <w:p>
      <w:pPr>
        <w:spacing w:after="0" w:line="119" w:lineRule="exact"/>
        <w:rPr>
          <w:sz w:val="20"/>
          <w:szCs w:val="20"/>
          <w:color w:val="auto"/>
        </w:rPr>
      </w:pPr>
    </w:p>
    <w:p>
      <w:pPr>
        <w:ind w:right="40" w:firstLine="378"/>
        <w:spacing w:after="0" w:line="258" w:lineRule="auto"/>
        <w:rPr>
          <w:sz w:val="20"/>
          <w:szCs w:val="20"/>
          <w:color w:val="auto"/>
        </w:rPr>
      </w:pPr>
      <w:r>
        <w:rPr>
          <w:rFonts w:ascii="Times New Roman" w:cs="Times New Roman" w:eastAsia="Times New Roman" w:hAnsi="Times New Roman"/>
          <w:sz w:val="18"/>
          <w:szCs w:val="18"/>
          <w:color w:val="auto"/>
        </w:rPr>
        <w:t>In December 2009, Viskase issued $175 million of 9.875% Senior Secured Notes due 2018 (the “Viskase 9.875% Notes”). The Viskase 9.875% Notes bore interest at a rate of 9.875% per annum, payable semi-annually in cash on January 15 and July 15, commencing on July 15, 2010. In May 2010, Viskase issued an additional $40 million aggregate principal amount of Viskase 9.875% Notes under the indenture governing the Viskase 9.875% Notes. As discussed above, in connection with certain financing transactions, the Viskase 2018 Notes were paid off in full on January 30, 2014 and our Food Packaging segment recorded a loss on debt extinguishment of $16 million during the first quarter of 2014.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ind w:right="20" w:firstLine="378"/>
        <w:spacing w:after="0" w:line="282" w:lineRule="auto"/>
        <w:rPr>
          <w:sz w:val="20"/>
          <w:szCs w:val="20"/>
          <w:color w:val="auto"/>
        </w:rPr>
      </w:pPr>
      <w:r>
        <w:rPr>
          <w:rFonts w:ascii="Times New Roman" w:cs="Times New Roman" w:eastAsia="Times New Roman" w:hAnsi="Times New Roman"/>
          <w:sz w:val="18"/>
          <w:szCs w:val="18"/>
          <w:color w:val="auto"/>
        </w:rPr>
        <w:t>In its foreign operations, Viskase has unsecured lines of credit with various banks providing $8 million of availability. There were $1 million borrowings under the lines of credit at December 31, 2014.</w:t>
      </w:r>
    </w:p>
    <w:p>
      <w:pPr>
        <w:spacing w:after="0" w:line="54" w:lineRule="exact"/>
        <w:rPr>
          <w:sz w:val="20"/>
          <w:szCs w:val="20"/>
          <w:color w:val="auto"/>
        </w:rPr>
      </w:pPr>
    </w:p>
    <w:p>
      <w:pPr>
        <w:ind w:right="820" w:firstLine="378"/>
        <w:spacing w:after="0" w:line="282" w:lineRule="auto"/>
        <w:rPr>
          <w:sz w:val="20"/>
          <w:szCs w:val="20"/>
          <w:color w:val="auto"/>
        </w:rPr>
      </w:pPr>
      <w:r>
        <w:rPr>
          <w:rFonts w:ascii="Times New Roman" w:cs="Times New Roman" w:eastAsia="Times New Roman" w:hAnsi="Times New Roman"/>
          <w:sz w:val="18"/>
          <w:szCs w:val="18"/>
          <w:color w:val="auto"/>
        </w:rPr>
        <w:t>Letters of credit in the amount of $1 million were outstanding under facilities with a commercial bank, and were cash collateralized at each of December 31, 2014 and 2013.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Mortgages Payable - Real Estate</w:t>
      </w:r>
    </w:p>
    <w:p>
      <w:pPr>
        <w:spacing w:after="0" w:line="121" w:lineRule="exact"/>
        <w:rPr>
          <w:sz w:val="20"/>
          <w:szCs w:val="20"/>
          <w:color w:val="auto"/>
        </w:rPr>
      </w:pPr>
    </w:p>
    <w:p>
      <w:pPr>
        <w:ind w:right="120" w:firstLine="378"/>
        <w:spacing w:after="0" w:line="282" w:lineRule="auto"/>
        <w:rPr>
          <w:sz w:val="20"/>
          <w:szCs w:val="20"/>
          <w:color w:val="auto"/>
        </w:rPr>
      </w:pPr>
      <w:r>
        <w:rPr>
          <w:rFonts w:ascii="Times New Roman" w:cs="Times New Roman" w:eastAsia="Times New Roman" w:hAnsi="Times New Roman"/>
          <w:sz w:val="18"/>
          <w:szCs w:val="18"/>
          <w:color w:val="auto"/>
        </w:rPr>
        <w:t>Mortgages payable, all of which are non-recourse to us, bear interest at rates between 4.97% and 7.00% and have maturities between June 30, 2016 and October 31, 2028.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Revolving Credit Agreement - Home Fashion</w:t>
      </w:r>
    </w:p>
    <w:p>
      <w:pPr>
        <w:spacing w:after="0" w:line="121" w:lineRule="exact"/>
        <w:rPr>
          <w:sz w:val="20"/>
          <w:szCs w:val="20"/>
          <w:color w:val="auto"/>
        </w:rPr>
      </w:pPr>
    </w:p>
    <w:p>
      <w:pPr>
        <w:ind w:right="180" w:firstLine="378"/>
        <w:spacing w:after="0" w:line="258" w:lineRule="auto"/>
        <w:rPr>
          <w:sz w:val="20"/>
          <w:szCs w:val="20"/>
          <w:color w:val="auto"/>
        </w:rPr>
      </w:pPr>
      <w:r>
        <w:rPr>
          <w:rFonts w:ascii="Times New Roman" w:cs="Times New Roman" w:eastAsia="Times New Roman" w:hAnsi="Times New Roman"/>
          <w:sz w:val="18"/>
          <w:szCs w:val="18"/>
          <w:color w:val="auto"/>
        </w:rPr>
        <w:t>On October 15, 2012, upon the expiration of a certain senior secured revolving credit facility of WPH, WPH entered into a letter of credit facility (the "LC Facility"), with a nationally recognized bank (the "LC Issuer"). This one-year LC Facility, which was renewed on October 15, 2013 and October 15, 2014, has a $10 million credit line. Issuance of letters of credit under the LC Facility is subject to 0.50% annual fee on the outstanding face amount of the letters of credit issued under the LC Facility, which face amount as of December 31, 2014 was approximately $6 million. Obligations under the LC Facility are secured by a cash collateral account pledged by WPH to LC Issuer. The LC Facility does not contain any financial covenants.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420"/>
          </w:cols>
          <w:pgMar w:left="240" w:top="333" w:right="2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Maturities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the maturities of our debt and capital lease obligations as of December 31, 2014: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80" w:type="dxa"/>
            <w:vAlign w:val="bottom"/>
          </w:tcPr>
          <w:p>
            <w:pPr>
              <w:spacing w:after="0"/>
              <w:rPr>
                <w:sz w:val="20"/>
                <w:szCs w:val="20"/>
                <w:color w:val="auto"/>
              </w:rPr>
            </w:pP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0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Capital Leases</w:t>
            </w:r>
          </w:p>
        </w:tc>
      </w:tr>
      <w:tr>
        <w:trPr>
          <w:trHeight w:val="27"/>
        </w:trPr>
        <w:tc>
          <w:tcPr>
            <w:tcW w:w="7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r>
      <w:tr>
        <w:trPr>
          <w:trHeight w:val="259"/>
        </w:trPr>
        <w:tc>
          <w:tcPr>
            <w:tcW w:w="7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140" w:type="dxa"/>
            <w:vAlign w:val="bottom"/>
            <w:gridSpan w:val="4"/>
          </w:tcPr>
          <w:p>
            <w:pPr>
              <w:jc w:val="right"/>
              <w:ind w:right="1310"/>
              <w:spacing w:after="0"/>
              <w:rPr>
                <w:sz w:val="20"/>
                <w:szCs w:val="20"/>
                <w:color w:val="auto"/>
              </w:rPr>
            </w:pPr>
            <w:r>
              <w:rPr>
                <w:rFonts w:ascii="Times New Roman" w:cs="Times New Roman" w:eastAsia="Times New Roman" w:hAnsi="Times New Roman"/>
                <w:sz w:val="14"/>
                <w:szCs w:val="14"/>
                <w:color w:val="auto"/>
              </w:rPr>
              <w:t>(in millions)</w:t>
            </w: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11,561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Pension, Other Post-employment Benefits and Employee Benefit Plans.</w:t>
      </w:r>
    </w:p>
    <w:p>
      <w:pPr>
        <w:spacing w:after="0" w:line="121"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Federal-Mogul, ARI and Viskase each sponsor several defined benefit pension plans (the ''Pension Benefits''). Additionally, Federal-Mogul and Viskase each sponsors health care and life insurance benefits (''Other Post-Employment Benefits'') for certain employees and retirees around the world. ARI also previously sponsored a post-employment medical benefit plan that provided access to healthcare for certain retired employees; this plan was terminated effective December 31, 2013. The Pension Benefits are funded based on the funding requirements of federal and international laws and regulations, as applicable, in advance of benefit payments and the Other Benefits as benefits are provided to participating employees. As prescribed by applicable U.S. GAAP, Federal-Mogul, ARI and Viskase each uses, as applicable, appropriate actuarial methods and assumptions in accounting for its defined benefit pension plans, non-pension post-employment benefits, and disability, early retirement and other post-employment benefits. The measurement date for all defined benefit plans is December 31 of each year.</w:t>
      </w:r>
    </w:p>
    <w:p>
      <w:pPr>
        <w:spacing w:after="0" w:line="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Components of net periodic benefit cost (credit) for the years ended December 31, 2014, 2013 and 2012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80" w:type="dxa"/>
            <w:vAlign w:val="bottom"/>
            <w:gridSpan w:val="7"/>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Other Post-Employment Benefits</w:t>
            </w:r>
          </w:p>
        </w:tc>
      </w:tr>
      <w:tr>
        <w:trPr>
          <w:trHeight w:val="27"/>
        </w:trPr>
        <w:tc>
          <w:tcPr>
            <w:tcW w:w="4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6"/>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6"/>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1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00" w:type="dxa"/>
            <w:vAlign w:val="bottom"/>
            <w:gridSpan w:val="6"/>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7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4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5"/>
        </w:trPr>
        <w:tc>
          <w:tcPr>
            <w:tcW w:w="4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8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8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 loss (gain)</w:t>
            </w: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Curtailment gain</w:t>
            </w: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7"/>
        </w:trPr>
        <w:tc>
          <w:tcPr>
            <w:tcW w:w="4000" w:type="dxa"/>
            <w:vAlign w:val="bottom"/>
          </w:tcPr>
          <w:p>
            <w:pPr>
              <w:spacing w:after="0"/>
              <w:rPr>
                <w:sz w:val="20"/>
                <w:szCs w:val="20"/>
                <w:color w:val="auto"/>
              </w:rPr>
            </w:pPr>
          </w:p>
        </w:tc>
        <w:tc>
          <w:tcPr>
            <w:tcW w:w="80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4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872"/>
        </w:trPr>
        <w:tc>
          <w:tcPr>
            <w:tcW w:w="4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ind w:right="100" w:firstLine="378"/>
        <w:spacing w:after="0" w:line="282" w:lineRule="auto"/>
        <w:rPr>
          <w:sz w:val="20"/>
          <w:szCs w:val="20"/>
          <w:color w:val="auto"/>
        </w:rPr>
      </w:pPr>
      <w:r>
        <w:rPr>
          <w:rFonts w:ascii="Times New Roman" w:cs="Times New Roman" w:eastAsia="Times New Roman" w:hAnsi="Times New Roman"/>
          <w:sz w:val="18"/>
          <w:szCs w:val="18"/>
          <w:color w:val="auto"/>
        </w:rPr>
        <w:t>The following provides disclosures for our Automotive segment's benefit obligations, plan assets, funded status, recognition in the consolidated balance sheets and inputs and valuation assumptions: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United States Plans</w:t>
            </w:r>
          </w:p>
        </w:tc>
        <w:tc>
          <w:tcPr>
            <w:tcW w:w="260" w:type="dxa"/>
            <w:vAlign w:val="bottom"/>
          </w:tcPr>
          <w:p>
            <w:pPr>
              <w:spacing w:after="0"/>
              <w:rPr>
                <w:sz w:val="20"/>
                <w:szCs w:val="20"/>
                <w:color w:val="auto"/>
              </w:rPr>
            </w:pPr>
          </w:p>
        </w:tc>
        <w:tc>
          <w:tcPr>
            <w:tcW w:w="224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Non-U.S. Plans</w:t>
            </w:r>
          </w:p>
        </w:tc>
        <w:tc>
          <w:tcPr>
            <w:tcW w:w="180" w:type="dxa"/>
            <w:vAlign w:val="bottom"/>
          </w:tcPr>
          <w:p>
            <w:pPr>
              <w:spacing w:after="0"/>
              <w:rPr>
                <w:sz w:val="20"/>
                <w:szCs w:val="20"/>
                <w:color w:val="auto"/>
              </w:rPr>
            </w:pPr>
          </w:p>
        </w:tc>
        <w:tc>
          <w:tcPr>
            <w:tcW w:w="216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Post-Employment Benefits</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(in millions)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benefit obligation:</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Benefit obligation, beginning of year</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Service cost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cost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Employee contributions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Benefits paid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Medicare subsidies received</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Plan amendments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Curtailments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Actuarial losses (gains) and changes in actuarial</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assumptions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transfers in (out)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Currency translation</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Benefit obligation, end of year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 in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Fair value of plan assets, beginning of year</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Employee contributions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Company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Benefits paid</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Medicare subsidies received</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Currency translation</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Fair value of plan assets, end of year</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912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909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Funded status of the plan</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Amounts recognized in the consolidated balance sheets: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Net liability recognized</w:t>
            </w: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Amounts recognized in accumulated other comprehensive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inclusive of tax impacts: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actuarial loss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Prior service cost (credit)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198</w:t>
      </w:r>
    </w:p>
    <w:p>
      <w:pPr>
        <w:sectPr>
          <w:pgSz w:w="11900" w:h="16838" w:orient="portrait"/>
          <w:cols w:equalWidth="0" w:num="1">
            <w:col w:w="11420"/>
          </w:cols>
          <w:pgMar w:left="240" w:top="333" w:right="239" w:bottom="1440" w:gutter="0" w:footer="0" w:header="0"/>
          <w:type w:val="continuous"/>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Weighted-average assumptions used to determine the benefit obligation as of December 31, 2014 and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820" w:type="dxa"/>
            <w:vAlign w:val="bottom"/>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gridSpan w:val="2"/>
          </w:tcPr>
          <w:p>
            <w:pPr>
              <w:jc w:val="center"/>
              <w:ind w:right="494"/>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8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80" w:type="dxa"/>
            <w:vAlign w:val="bottom"/>
          </w:tcPr>
          <w:p>
            <w:pPr>
              <w:spacing w:after="0"/>
              <w:rPr>
                <w:sz w:val="23"/>
                <w:szCs w:val="23"/>
                <w:color w:val="auto"/>
              </w:rPr>
            </w:pPr>
          </w:p>
        </w:tc>
      </w:tr>
      <w:tr>
        <w:trPr>
          <w:trHeight w:val="237"/>
        </w:trPr>
        <w:tc>
          <w:tcPr>
            <w:tcW w:w="3820" w:type="dxa"/>
            <w:vAlign w:val="bottom"/>
          </w:tcPr>
          <w:p>
            <w:pPr>
              <w:spacing w:after="0"/>
              <w:rPr>
                <w:sz w:val="20"/>
                <w:szCs w:val="20"/>
                <w:color w:val="auto"/>
              </w:rPr>
            </w:pPr>
          </w:p>
        </w:tc>
        <w:tc>
          <w:tcPr>
            <w:tcW w:w="27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United States Plans</w:t>
            </w:r>
          </w:p>
        </w:tc>
        <w:tc>
          <w:tcPr>
            <w:tcW w:w="242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Non-U.S. Plans</w:t>
            </w:r>
          </w:p>
        </w:tc>
        <w:tc>
          <w:tcPr>
            <w:tcW w:w="2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Post-Employment Benefits</w:t>
            </w:r>
          </w:p>
        </w:tc>
      </w:tr>
      <w:tr>
        <w:trPr>
          <w:trHeight w:val="27"/>
        </w:trPr>
        <w:tc>
          <w:tcPr>
            <w:tcW w:w="38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20" w:type="dxa"/>
            <w:vAlign w:val="bottom"/>
            <w:gridSpan w:val="2"/>
          </w:tcPr>
          <w:p>
            <w:pPr>
              <w:jc w:val="center"/>
              <w:ind w:right="494"/>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7"/>
        </w:trPr>
        <w:tc>
          <w:tcPr>
            <w:tcW w:w="38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5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2014</w:t>
            </w: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16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38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5"/>
        </w:trPr>
        <w:tc>
          <w:tcPr>
            <w:tcW w:w="3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5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5"/>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14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3.85%</w:t>
            </w:r>
          </w:p>
        </w:tc>
        <w:tc>
          <w:tcPr>
            <w:tcW w:w="13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4.55%</w:t>
            </w:r>
          </w:p>
        </w:tc>
        <w:tc>
          <w:tcPr>
            <w:tcW w:w="15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1.77%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3.84%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Weighted-average assumptions used to determine net periodic benefit cost (credit) for the years ended December 31, 2014 and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820" w:type="dxa"/>
            <w:vAlign w:val="bottom"/>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gridSpan w:val="2"/>
          </w:tcPr>
          <w:p>
            <w:pPr>
              <w:jc w:val="center"/>
              <w:ind w:right="413"/>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8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80" w:type="dxa"/>
            <w:vAlign w:val="bottom"/>
          </w:tcPr>
          <w:p>
            <w:pPr>
              <w:spacing w:after="0"/>
              <w:rPr>
                <w:sz w:val="23"/>
                <w:szCs w:val="23"/>
                <w:color w:val="auto"/>
              </w:rPr>
            </w:pPr>
          </w:p>
        </w:tc>
      </w:tr>
      <w:tr>
        <w:trPr>
          <w:trHeight w:val="237"/>
        </w:trPr>
        <w:tc>
          <w:tcPr>
            <w:tcW w:w="3820" w:type="dxa"/>
            <w:vAlign w:val="bottom"/>
          </w:tcPr>
          <w:p>
            <w:pPr>
              <w:spacing w:after="0"/>
              <w:rPr>
                <w:sz w:val="20"/>
                <w:szCs w:val="20"/>
                <w:color w:val="auto"/>
              </w:rPr>
            </w:pPr>
          </w:p>
        </w:tc>
        <w:tc>
          <w:tcPr>
            <w:tcW w:w="27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United States Plans</w:t>
            </w:r>
          </w:p>
        </w:tc>
        <w:tc>
          <w:tcPr>
            <w:tcW w:w="242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Non-U.S. Plans</w:t>
            </w:r>
          </w:p>
        </w:tc>
        <w:tc>
          <w:tcPr>
            <w:tcW w:w="2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Post-Employment Benefits</w:t>
            </w:r>
          </w:p>
        </w:tc>
      </w:tr>
      <w:tr>
        <w:trPr>
          <w:trHeight w:val="27"/>
        </w:trPr>
        <w:tc>
          <w:tcPr>
            <w:tcW w:w="38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r>
      <w:tr>
        <w:trPr>
          <w:trHeight w:val="214"/>
        </w:trPr>
        <w:tc>
          <w:tcPr>
            <w:tcW w:w="3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38"/>
        </w:trPr>
        <w:tc>
          <w:tcPr>
            <w:tcW w:w="3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900" w:type="dxa"/>
            <w:vAlign w:val="bottom"/>
            <w:gridSpan w:val="2"/>
          </w:tcPr>
          <w:p>
            <w:pPr>
              <w:jc w:val="center"/>
              <w:ind w:right="413"/>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7"/>
        </w:trPr>
        <w:tc>
          <w:tcPr>
            <w:tcW w:w="38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3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5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2014</w:t>
            </w: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16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38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5"/>
        </w:trPr>
        <w:tc>
          <w:tcPr>
            <w:tcW w:w="38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5"/>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4.55%</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3.70%</w:t>
            </w:r>
          </w:p>
        </w:tc>
        <w:tc>
          <w:tcPr>
            <w:tcW w:w="15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3.49%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4.45%</w:t>
            </w:r>
          </w:p>
        </w:tc>
        <w:tc>
          <w:tcPr>
            <w:tcW w:w="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3.60%</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6.95%</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7.45%</w:t>
            </w:r>
          </w:p>
        </w:tc>
        <w:tc>
          <w:tcPr>
            <w:tcW w:w="1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4.18%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1"/>
                <w:szCs w:val="21"/>
                <w:color w:val="auto"/>
              </w:rPr>
            </w:pP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38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3.17%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38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right="60" w:firstLine="378"/>
        <w:spacing w:after="0" w:line="282" w:lineRule="auto"/>
        <w:rPr>
          <w:sz w:val="20"/>
          <w:szCs w:val="20"/>
          <w:color w:val="auto"/>
        </w:rPr>
      </w:pPr>
      <w:r>
        <w:rPr>
          <w:rFonts w:ascii="Times New Roman" w:cs="Times New Roman" w:eastAsia="Times New Roman" w:hAnsi="Times New Roman"/>
          <w:sz w:val="18"/>
          <w:szCs w:val="18"/>
          <w:color w:val="auto"/>
        </w:rPr>
        <w:t>Federal-Mogul evaluates its discount rate assumption annually as of December 31 for each of its retirement-related benefit plans based upon the yield of high quality, fixed-income debt instruments, the maturities of which correspond to expected benefit payment dates.</w:t>
      </w:r>
    </w:p>
    <w:p>
      <w:pPr>
        <w:spacing w:after="0" w:line="54" w:lineRule="exact"/>
        <w:rPr>
          <w:sz w:val="20"/>
          <w:szCs w:val="20"/>
          <w:color w:val="auto"/>
        </w:rPr>
      </w:pPr>
    </w:p>
    <w:p>
      <w:pPr>
        <w:jc w:val="both"/>
        <w:ind w:right="140" w:firstLine="378"/>
        <w:spacing w:after="0" w:line="266" w:lineRule="auto"/>
        <w:rPr>
          <w:sz w:val="20"/>
          <w:szCs w:val="20"/>
          <w:color w:val="auto"/>
        </w:rPr>
      </w:pPr>
      <w:r>
        <w:rPr>
          <w:rFonts w:ascii="Times New Roman" w:cs="Times New Roman" w:eastAsia="Times New Roman" w:hAnsi="Times New Roman"/>
          <w:sz w:val="18"/>
          <w:szCs w:val="18"/>
          <w:color w:val="auto"/>
        </w:rPr>
        <w:t>Federal-Mogul's expected return on assets is established annually through analysis of anticipated future long-term investment performance for the plan based upon the asset allocation strategy. While the study gives appropriate consideration to recent fund performance and historical returns, the assumption is primarily a long-term prospective rate.</w:t>
      </w:r>
    </w:p>
    <w:p>
      <w:pPr>
        <w:spacing w:after="0" w:line="68" w:lineRule="exact"/>
        <w:rPr>
          <w:sz w:val="20"/>
          <w:szCs w:val="20"/>
          <w:color w:val="auto"/>
        </w:rPr>
      </w:pPr>
    </w:p>
    <w:p>
      <w:pPr>
        <w:ind w:firstLine="378"/>
        <w:spacing w:after="0" w:line="261" w:lineRule="auto"/>
        <w:rPr>
          <w:sz w:val="20"/>
          <w:szCs w:val="20"/>
          <w:color w:val="auto"/>
        </w:rPr>
      </w:pPr>
      <w:r>
        <w:rPr>
          <w:rFonts w:ascii="Times New Roman" w:cs="Times New Roman" w:eastAsia="Times New Roman" w:hAnsi="Times New Roman"/>
          <w:sz w:val="18"/>
          <w:szCs w:val="18"/>
          <w:color w:val="auto"/>
        </w:rPr>
        <w:t>The U.S. investment strategy mitigates risk by incorporating diversification across appropriate asset classes to meet the plan's objectives. It is intended to reduce risk, provide long-term financial stability for the plan and maintain funded levels that meet long-term plan obligations while preserving sufficient liquidity for near-term benefit payments. Risk assumed is considered appropriate for the return anticipated and consistent with the total diversification of plan assets.</w:t>
      </w:r>
    </w:p>
    <w:p>
      <w:pPr>
        <w:spacing w:after="0" w:line="72" w:lineRule="exact"/>
        <w:rPr>
          <w:sz w:val="20"/>
          <w:szCs w:val="20"/>
          <w:color w:val="auto"/>
        </w:rPr>
      </w:pPr>
    </w:p>
    <w:p>
      <w:pPr>
        <w:ind w:right="360" w:firstLine="378"/>
        <w:spacing w:after="0" w:line="282" w:lineRule="auto"/>
        <w:rPr>
          <w:sz w:val="20"/>
          <w:szCs w:val="20"/>
          <w:color w:val="auto"/>
        </w:rPr>
      </w:pPr>
      <w:r>
        <w:rPr>
          <w:rFonts w:ascii="Times New Roman" w:cs="Times New Roman" w:eastAsia="Times New Roman" w:hAnsi="Times New Roman"/>
          <w:sz w:val="18"/>
          <w:szCs w:val="18"/>
          <w:color w:val="auto"/>
        </w:rPr>
        <w:t>Federal-Mogul's investment strategy, which includes a target asset allocation of 50% equity investments, 25% fixed income investments and 25% in other investment types including hedge funds. Approximately 76% of the U.S. plan assets were invested in actively managed investment funds.</w:t>
      </w:r>
    </w:p>
    <w:p>
      <w:pPr>
        <w:spacing w:after="0" w:line="54" w:lineRule="exact"/>
        <w:rPr>
          <w:sz w:val="20"/>
          <w:szCs w:val="20"/>
          <w:color w:val="auto"/>
        </w:rPr>
      </w:pPr>
    </w:p>
    <w:p>
      <w:pPr>
        <w:ind w:right="140" w:firstLine="378"/>
        <w:spacing w:after="0" w:line="261" w:lineRule="auto"/>
        <w:rPr>
          <w:sz w:val="20"/>
          <w:szCs w:val="20"/>
          <w:color w:val="auto"/>
        </w:rPr>
      </w:pPr>
      <w:r>
        <w:rPr>
          <w:rFonts w:ascii="Times New Roman" w:cs="Times New Roman" w:eastAsia="Times New Roman" w:hAnsi="Times New Roman"/>
          <w:sz w:val="18"/>
          <w:szCs w:val="18"/>
          <w:color w:val="auto"/>
        </w:rPr>
        <w:t>The majority of the assets of the non-U.S. plans are invested through insurance contracts. The insurance contracts guarantee a minimum rate of return. Federal-Mogul has no input into the investment strategy of the assets underlying the contracts, but they are typically heavily invested in active bond markets and are highly regulated by local law. The target asset allocation for the non-U.S. pension plans is 80% insurance contracts, 15% debt investments and 5% equity investments.</w:t>
      </w:r>
    </w:p>
    <w:p>
      <w:pPr>
        <w:spacing w:after="0" w:line="72" w:lineRule="exact"/>
        <w:rPr>
          <w:sz w:val="20"/>
          <w:szCs w:val="20"/>
          <w:color w:val="auto"/>
        </w:rPr>
      </w:pPr>
    </w:p>
    <w:p>
      <w:pPr>
        <w:ind w:right="300" w:firstLine="378"/>
        <w:spacing w:after="0" w:line="282" w:lineRule="auto"/>
        <w:rPr>
          <w:sz w:val="20"/>
          <w:szCs w:val="20"/>
          <w:color w:val="auto"/>
        </w:rPr>
      </w:pPr>
      <w:r>
        <w:rPr>
          <w:rFonts w:ascii="Times New Roman" w:cs="Times New Roman" w:eastAsia="Times New Roman" w:hAnsi="Times New Roman"/>
          <w:sz w:val="18"/>
          <w:szCs w:val="18"/>
          <w:color w:val="auto"/>
        </w:rPr>
        <w:t>Refer to Note 6, “Fair Value Measurements,” for discussion of the fair value of each major category of plan assets, including the inputs and valuation techniques used to develop the fair value measurements of the plans' assets, at December 31, 2014 and 2013.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420"/>
          </w:cols>
          <w:pgMar w:left="240" w:top="333" w:right="23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Information for defined benefit plans with projected benefit obligations in excess of plan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0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gridSpan w:val="3"/>
          </w:tcPr>
          <w:p>
            <w:pPr>
              <w:jc w:val="right"/>
              <w:ind w:right="494"/>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40" w:type="dxa"/>
            <w:vAlign w:val="bottom"/>
          </w:tcPr>
          <w:p>
            <w:pPr>
              <w:spacing w:after="0"/>
              <w:rPr>
                <w:sz w:val="23"/>
                <w:szCs w:val="23"/>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United States Plans</w:t>
            </w:r>
          </w:p>
        </w:tc>
        <w:tc>
          <w:tcPr>
            <w:tcW w:w="360" w:type="dxa"/>
            <w:vAlign w:val="bottom"/>
          </w:tcPr>
          <w:p>
            <w:pPr>
              <w:spacing w:after="0"/>
              <w:rPr>
                <w:sz w:val="20"/>
                <w:szCs w:val="20"/>
                <w:color w:val="auto"/>
              </w:rPr>
            </w:pPr>
          </w:p>
        </w:tc>
        <w:tc>
          <w:tcPr>
            <w:tcW w:w="222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Non-U.S. Plans</w:t>
            </w:r>
          </w:p>
        </w:tc>
        <w:tc>
          <w:tcPr>
            <w:tcW w:w="160" w:type="dxa"/>
            <w:vAlign w:val="bottom"/>
          </w:tcPr>
          <w:p>
            <w:pPr>
              <w:spacing w:after="0"/>
              <w:rPr>
                <w:sz w:val="20"/>
                <w:szCs w:val="20"/>
                <w:color w:val="auto"/>
              </w:rPr>
            </w:pPr>
          </w:p>
        </w:tc>
        <w:tc>
          <w:tcPr>
            <w:tcW w:w="222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Post-Employment Benefits</w:t>
            </w: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gridSpan w:val="3"/>
          </w:tcPr>
          <w:p>
            <w:pPr>
              <w:jc w:val="right"/>
              <w:ind w:right="614"/>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3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rPr>
              <w:t>2014</w:t>
            </w:r>
          </w:p>
        </w:tc>
        <w:tc>
          <w:tcPr>
            <w:tcW w:w="4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5"/>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1,291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574</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368</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912</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909</w:t>
            </w:r>
          </w:p>
        </w:tc>
        <w:tc>
          <w:tcPr>
            <w:tcW w:w="3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Information for pension plans with accumulated benefit obligations in excess of plan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3"/>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United States Plans</w:t>
            </w:r>
          </w:p>
        </w:tc>
        <w:tc>
          <w:tcPr>
            <w:tcW w:w="440" w:type="dxa"/>
            <w:vAlign w:val="bottom"/>
          </w:tcPr>
          <w:p>
            <w:pPr>
              <w:spacing w:after="0"/>
              <w:rPr>
                <w:sz w:val="20"/>
                <w:szCs w:val="20"/>
                <w:color w:val="auto"/>
              </w:rPr>
            </w:pPr>
          </w:p>
        </w:tc>
        <w:tc>
          <w:tcPr>
            <w:tcW w:w="204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Non-U.S. Plans</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2013</w:t>
            </w:r>
          </w:p>
        </w:tc>
        <w:tc>
          <w:tcPr>
            <w:tcW w:w="44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5"/>
        </w:trPr>
        <w:tc>
          <w:tcPr>
            <w:tcW w:w="6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center"/>
              <w:ind w:left="433"/>
              <w:spacing w:after="0"/>
              <w:rPr>
                <w:sz w:val="20"/>
                <w:szCs w:val="20"/>
                <w:color w:val="auto"/>
              </w:rPr>
            </w:pPr>
            <w:r>
              <w:rPr>
                <w:rFonts w:ascii="Times New Roman" w:cs="Times New Roman" w:eastAsia="Times New Roman" w:hAnsi="Times New Roman"/>
                <w:sz w:val="14"/>
                <w:szCs w:val="14"/>
                <w:color w:val="auto"/>
              </w:rPr>
              <w:t>(in millions)</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1,184</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1,291</w:t>
            </w:r>
          </w:p>
        </w:tc>
        <w:tc>
          <w:tcPr>
            <w:tcW w:w="3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1,184</w:t>
            </w:r>
          </w:p>
        </w:tc>
        <w:tc>
          <w:tcPr>
            <w:tcW w:w="4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514</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912</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909</w:t>
            </w: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6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accumulated benefit obligation for all pension plans was $1,809 million and $1,598 million as of December 31, 2014 and 2013,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Welfare Benefit Plan</w:t>
      </w:r>
    </w:p>
    <w:p>
      <w:pPr>
        <w:spacing w:after="0" w:line="119"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In May 2013, Federal-Mogul ceased operations at one of its U.S. manufacturing locations. The resulting reduction in the average remaining future service period to the full eligibility date of the remaining active plan participants in Federal-Mogul's U.S. Welfare Benefit Plan triggered the recognition of an OPEB curtailment gain of $19 million, which is included as a reduction to selling, general and administrative in the consolidated statements of operations, for the year ended December 31, 2013. Additionally, in the third quarter of 2013, Federal-Mogul completed the sale of its fuel manufacturing facility and research and development center located in the U.S., resulting in the termination of certain employees that participated in Federal-Mogul's U.S. Welfare Benefit Plan. The resulting reduction in the average remaining future service period to the full eligibility date of the remaining active plan participants in Federal-Mogul's U.S. Welfare Benefit Plan triggered the recognition of an additional OPEB curtailment gain of $19 million, which is included in the determination of net loss on disposition of assets within other income, net in the consolidated statements of operations for the year ended December 31, 2013. Our Automotive segment recorded aggregate OPEB curtailment gains of $38 million for the year ended December 31, 2013.</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Amounts in accumulated other comprehensive loss expected to be recognized as components of net periodic benefit cost in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3340" w:type="dxa"/>
            <w:vAlign w:val="bottom"/>
            <w:gridSpan w:val="4"/>
            <w:vMerge w:val="restart"/>
          </w:tcPr>
          <w:p>
            <w:pPr>
              <w:jc w:val="right"/>
              <w:ind w:right="714"/>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Other Post-</w:t>
            </w:r>
          </w:p>
        </w:tc>
        <w:tc>
          <w:tcPr>
            <w:tcW w:w="0" w:type="dxa"/>
            <w:vAlign w:val="bottom"/>
          </w:tcPr>
          <w:p>
            <w:pPr>
              <w:spacing w:after="0"/>
              <w:rPr>
                <w:sz w:val="1"/>
                <w:szCs w:val="1"/>
                <w:color w:val="auto"/>
              </w:rPr>
            </w:pPr>
          </w:p>
        </w:tc>
      </w:tr>
      <w:tr>
        <w:trPr>
          <w:trHeight w:val="90"/>
        </w:trPr>
        <w:tc>
          <w:tcPr>
            <w:tcW w:w="6180" w:type="dxa"/>
            <w:vAlign w:val="bottom"/>
          </w:tcPr>
          <w:p>
            <w:pPr>
              <w:spacing w:after="0"/>
              <w:rPr>
                <w:sz w:val="7"/>
                <w:szCs w:val="7"/>
                <w:color w:val="auto"/>
              </w:rPr>
            </w:pPr>
          </w:p>
        </w:tc>
        <w:tc>
          <w:tcPr>
            <w:tcW w:w="3340" w:type="dxa"/>
            <w:vAlign w:val="bottom"/>
            <w:gridSpan w:val="4"/>
            <w:vMerge w:val="continue"/>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Employment</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6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6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Non-U.S.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6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(in millions)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9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48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9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420"/>
          </w:cols>
          <w:pgMar w:left="240" w:top="333" w:right="23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assumed health care and drug cost trend rates used to measure next year's post-employment healthcare benefits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352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Other Post-Employment Benefits</w:t>
            </w:r>
          </w:p>
        </w:tc>
      </w:tr>
      <w:tr>
        <w:trPr>
          <w:trHeight w:val="27"/>
        </w:trPr>
        <w:tc>
          <w:tcPr>
            <w:tcW w:w="79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2013</w:t>
            </w: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Health care cost trend rate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6.88%</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Ultimate health care cost trend rate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ultimate health care cost trend rate reached</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84"/>
        </w:trPr>
        <w:tc>
          <w:tcPr>
            <w:tcW w:w="7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Drug cost trend rate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7.81%</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Ultimate drug cost trend rate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ultimate drug cost trend rate reached</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7"/>
        </w:trPr>
        <w:tc>
          <w:tcPr>
            <w:tcW w:w="79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right="160" w:firstLine="378"/>
        <w:spacing w:after="0" w:line="282" w:lineRule="auto"/>
        <w:rPr>
          <w:sz w:val="20"/>
          <w:szCs w:val="20"/>
          <w:color w:val="auto"/>
        </w:rPr>
      </w:pPr>
      <w:r>
        <w:rPr>
          <w:rFonts w:ascii="Times New Roman" w:cs="Times New Roman" w:eastAsia="Times New Roman" w:hAnsi="Times New Roman"/>
          <w:sz w:val="18"/>
          <w:szCs w:val="18"/>
          <w:color w:val="auto"/>
        </w:rPr>
        <w:t>The assumed health care cost trend rate has a significant impact on the amounts reported for OPEB plans. The following table illustrates the sensitivity to a change in the assumed health care cost trend rate: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Total Service and</w:t>
            </w: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7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Interest Cost</w:t>
            </w:r>
          </w:p>
        </w:tc>
        <w:tc>
          <w:tcPr>
            <w:tcW w:w="52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APBO</w:t>
            </w:r>
          </w:p>
        </w:tc>
      </w:tr>
      <w:tr>
        <w:trPr>
          <w:trHeight w:val="27"/>
        </w:trPr>
        <w:tc>
          <w:tcPr>
            <w:tcW w:w="7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5"/>
        </w:trPr>
        <w:tc>
          <w:tcPr>
            <w:tcW w:w="7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(in millions)</w:t>
            </w:r>
          </w:p>
        </w:tc>
        <w:tc>
          <w:tcPr>
            <w:tcW w:w="1240" w:type="dxa"/>
            <w:vAlign w:val="bottom"/>
          </w:tcPr>
          <w:p>
            <w:pPr>
              <w:spacing w:after="0"/>
              <w:rPr>
                <w:sz w:val="21"/>
                <w:szCs w:val="2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100 basis point (“bp”) increase in health care cost trend 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100 bp decrease in health care cost trend rate</w:t>
            </w:r>
          </w:p>
        </w:tc>
        <w:tc>
          <w:tcPr>
            <w:tcW w:w="14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333" w:lineRule="exact"/>
        <w:rPr>
          <w:sz w:val="20"/>
          <w:szCs w:val="20"/>
          <w:color w:val="auto"/>
        </w:rPr>
      </w:pPr>
    </w:p>
    <w:p>
      <w:pPr>
        <w:ind w:right="100" w:firstLine="378"/>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sensitivity to a change in certain assumptions for projected benefit obligations (“PBO”), associated expense and other comprehensive loss (“OCL”). The changes in these assumptions have no impact on Federal-Mogul's 2015 funding requirements.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7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5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Other Post-Employment</w:t>
            </w:r>
          </w:p>
        </w:tc>
      </w:tr>
      <w:tr>
        <w:trPr>
          <w:trHeight w:val="237"/>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United States Plans</w:t>
            </w: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Non-U.S. Plans</w:t>
            </w:r>
          </w:p>
        </w:tc>
        <w:tc>
          <w:tcPr>
            <w:tcW w:w="120" w:type="dxa"/>
            <w:vAlign w:val="bottom"/>
          </w:tcPr>
          <w:p>
            <w:pPr>
              <w:spacing w:after="0"/>
              <w:rPr>
                <w:sz w:val="20"/>
                <w:szCs w:val="20"/>
                <w:color w:val="auto"/>
              </w:rPr>
            </w:pPr>
          </w:p>
        </w:tc>
        <w:tc>
          <w:tcPr>
            <w:tcW w:w="14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740" w:type="dxa"/>
            <w:vAlign w:val="bottom"/>
          </w:tcPr>
          <w:p>
            <w:pPr>
              <w:spacing w:after="0"/>
              <w:rPr>
                <w:sz w:val="20"/>
                <w:szCs w:val="20"/>
                <w:color w:val="auto"/>
              </w:rPr>
            </w:pPr>
          </w:p>
        </w:tc>
      </w:tr>
      <w:tr>
        <w:trPr>
          <w:trHeight w:val="27"/>
        </w:trPr>
        <w:tc>
          <w:tcPr>
            <w:tcW w:w="1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4"/>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16"/>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320" w:type="dxa"/>
            <w:vAlign w:val="bottom"/>
          </w:tcPr>
          <w:p>
            <w:pPr>
              <w:spacing w:after="0"/>
              <w:rPr>
                <w:sz w:val="18"/>
                <w:szCs w:val="18"/>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240" w:type="dxa"/>
            <w:vAlign w:val="bottom"/>
          </w:tcPr>
          <w:p>
            <w:pPr>
              <w:spacing w:after="0"/>
              <w:rPr>
                <w:sz w:val="18"/>
                <w:szCs w:val="18"/>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w:t>
            </w:r>
          </w:p>
        </w:tc>
        <w:tc>
          <w:tcPr>
            <w:tcW w:w="1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accumulated</w:t>
            </w:r>
          </w:p>
        </w:tc>
        <w:tc>
          <w:tcPr>
            <w:tcW w:w="12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2"/>
              </w:rPr>
              <w:t>in</w:t>
            </w:r>
          </w:p>
        </w:tc>
      </w:tr>
      <w:tr>
        <w:trPr>
          <w:trHeight w:val="238"/>
        </w:trPr>
        <w:tc>
          <w:tcPr>
            <w:tcW w:w="17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2015 expense</w:t>
            </w:r>
          </w:p>
        </w:tc>
        <w:tc>
          <w:tcPr>
            <w:tcW w:w="320" w:type="dxa"/>
            <w:vAlign w:val="bottom"/>
          </w:tcPr>
          <w:p>
            <w:pPr>
              <w:spacing w:after="0"/>
              <w:rPr>
                <w:sz w:val="20"/>
                <w:szCs w:val="20"/>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PBO</w:t>
            </w:r>
          </w:p>
        </w:tc>
        <w:tc>
          <w:tcPr>
            <w:tcW w:w="2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OCL</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2015 expense</w:t>
            </w:r>
          </w:p>
        </w:tc>
        <w:tc>
          <w:tcPr>
            <w:tcW w:w="240" w:type="dxa"/>
            <w:vAlign w:val="bottom"/>
          </w:tcPr>
          <w:p>
            <w:pPr>
              <w:spacing w:after="0"/>
              <w:rPr>
                <w:sz w:val="20"/>
                <w:szCs w:val="20"/>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PBO</w:t>
            </w:r>
          </w:p>
        </w:tc>
        <w:tc>
          <w:tcPr>
            <w:tcW w:w="18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OCL</w:t>
            </w:r>
          </w:p>
        </w:tc>
        <w:tc>
          <w:tcPr>
            <w:tcW w:w="12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2015 expense</w:t>
            </w:r>
          </w:p>
        </w:tc>
        <w:tc>
          <w:tcPr>
            <w:tcW w:w="7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PBO</w:t>
            </w:r>
          </w:p>
        </w:tc>
      </w:tr>
      <w:tr>
        <w:trPr>
          <w:trHeight w:val="27"/>
        </w:trPr>
        <w:tc>
          <w:tcPr>
            <w:tcW w:w="1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5"/>
        </w:trPr>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30"/>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25 bp decrease in</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41"/>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 bp increase in</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4"/>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14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5"/>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25 bp decrease in</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41"/>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return on assets rate</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 bp increase in</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4"/>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return on assets rate</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918"/>
        </w:trPr>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334" w:right="23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Federal-Mogul's projected benefit payments from the plans are estimated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3"/>
            <w:vMerge w:val="restart"/>
          </w:tcPr>
          <w:p>
            <w:pPr>
              <w:jc w:val="right"/>
              <w:ind w:right="1052"/>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34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Other Post-</w:t>
            </w:r>
          </w:p>
        </w:tc>
        <w:tc>
          <w:tcPr>
            <w:tcW w:w="0" w:type="dxa"/>
            <w:vAlign w:val="bottom"/>
          </w:tcPr>
          <w:p>
            <w:pPr>
              <w:spacing w:after="0"/>
              <w:rPr>
                <w:sz w:val="1"/>
                <w:szCs w:val="1"/>
                <w:color w:val="auto"/>
              </w:rPr>
            </w:pPr>
          </w:p>
        </w:tc>
      </w:tr>
      <w:tr>
        <w:trPr>
          <w:trHeight w:val="90"/>
        </w:trPr>
        <w:tc>
          <w:tcPr>
            <w:tcW w:w="5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2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14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Employment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5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United States Plans</w:t>
            </w:r>
          </w:p>
        </w:tc>
        <w:tc>
          <w:tcPr>
            <w:tcW w:w="280" w:type="dxa"/>
            <w:vAlign w:val="bottom"/>
          </w:tcPr>
          <w:p>
            <w:pPr>
              <w:spacing w:after="0"/>
              <w:rPr>
                <w:sz w:val="20"/>
                <w:szCs w:val="20"/>
                <w:color w:val="auto"/>
              </w:rPr>
            </w:pPr>
          </w:p>
        </w:tc>
        <w:tc>
          <w:tcPr>
            <w:tcW w:w="15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Non-U.S. Plans</w:t>
            </w:r>
          </w:p>
        </w:tc>
        <w:tc>
          <w:tcPr>
            <w:tcW w:w="340" w:type="dxa"/>
            <w:vAlign w:val="bottom"/>
          </w:tcPr>
          <w:p>
            <w:pPr>
              <w:spacing w:after="0"/>
              <w:rPr>
                <w:sz w:val="20"/>
                <w:szCs w:val="20"/>
                <w:color w:val="auto"/>
              </w:rPr>
            </w:pP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2020-2023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139</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Federal-Mogul expects to contribute approximately $108 million to its pension plans in fiscal 2015.</w:t>
      </w:r>
    </w:p>
    <w:p>
      <w:pPr>
        <w:spacing w:after="0" w:line="117" w:lineRule="exact"/>
        <w:rPr>
          <w:sz w:val="20"/>
          <w:szCs w:val="20"/>
          <w:color w:val="auto"/>
        </w:rPr>
      </w:pPr>
    </w:p>
    <w:p>
      <w:pPr>
        <w:ind w:right="140" w:firstLine="378"/>
        <w:spacing w:after="0" w:line="261" w:lineRule="auto"/>
        <w:rPr>
          <w:sz w:val="20"/>
          <w:szCs w:val="20"/>
          <w:color w:val="auto"/>
        </w:rPr>
      </w:pPr>
      <w:r>
        <w:rPr>
          <w:rFonts w:ascii="Times New Roman" w:cs="Times New Roman" w:eastAsia="Times New Roman" w:hAnsi="Times New Roman"/>
          <w:sz w:val="18"/>
          <w:szCs w:val="18"/>
          <w:color w:val="auto"/>
        </w:rPr>
        <w:t>Federal-Mogul also maintains certain defined contribution pension plans for eligible employees. Effective January 1, 2013, Federal-Mogul amended its U.S. defined contribution plan to allow for an enhanced company match and company provided age-based contributions for eligible U.S. salaried and non-union hourly employees. The total expenses attributable to Federal-Mogul's defined contribution savings plan were $45 million, $42 million and $23 million for the years ended December 31, 2014, 2013 and 2012,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Benefits</w:t>
      </w:r>
    </w:p>
    <w:p>
      <w:pPr>
        <w:spacing w:after="0" w:line="119" w:lineRule="exact"/>
        <w:rPr>
          <w:sz w:val="20"/>
          <w:szCs w:val="20"/>
          <w:color w:val="auto"/>
        </w:rPr>
      </w:pPr>
    </w:p>
    <w:p>
      <w:pPr>
        <w:jc w:val="both"/>
        <w:ind w:right="280" w:firstLine="378"/>
        <w:spacing w:after="0" w:line="266" w:lineRule="auto"/>
        <w:rPr>
          <w:sz w:val="20"/>
          <w:szCs w:val="20"/>
          <w:color w:val="auto"/>
        </w:rPr>
      </w:pPr>
      <w:r>
        <w:rPr>
          <w:rFonts w:ascii="Times New Roman" w:cs="Times New Roman" w:eastAsia="Times New Roman" w:hAnsi="Times New Roman"/>
          <w:sz w:val="18"/>
          <w:szCs w:val="18"/>
          <w:color w:val="auto"/>
        </w:rPr>
        <w:t xml:space="preserve">Federal-Mogul accounts for benefits to former or inactive employees paid after employment but before retirement pursuant to FASB ASC Topic 712, </w:t>
      </w:r>
      <w:r>
        <w:rPr>
          <w:rFonts w:ascii="Times New Roman" w:cs="Times New Roman" w:eastAsia="Times New Roman" w:hAnsi="Times New Roman"/>
          <w:sz w:val="18"/>
          <w:szCs w:val="18"/>
          <w:i w:val="1"/>
          <w:iCs w:val="1"/>
          <w:color w:val="auto"/>
        </w:rPr>
        <w:t>Compensation - Nonretirement Post-employment Benefits</w:t>
      </w:r>
      <w:r>
        <w:rPr>
          <w:rFonts w:ascii="Times New Roman" w:cs="Times New Roman" w:eastAsia="Times New Roman" w:hAnsi="Times New Roman"/>
          <w:sz w:val="18"/>
          <w:szCs w:val="18"/>
          <w:color w:val="auto"/>
        </w:rPr>
        <w:t>. The liabilities for such U.S. and European post-employment benefits were $25 million and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at December 31, 2014 and 2013,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Railcar and Food Packaging</w:t>
      </w:r>
    </w:p>
    <w:p>
      <w:pPr>
        <w:spacing w:after="0" w:line="121"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ARI is the sponsor of three defined benefit pension plans, two of which cover certain employees at designated repair facilities. All three of ARI's defined benefit pension plans are frozen and no additional benefits are accruing thereunder. Viskase and its subsidiaries have defined contribution and defined benefit plans varying by country and subsidiary. Viskase's operations in the United States, France, Germany and Canada have historically offered defined benefit retirement plans and post-retirement health care and life insurance benefits to their employees. Most of these benefits have been terminated, resulting in reductions in various liabilities.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420"/>
          </w:cols>
          <w:pgMar w:left="240" w:top="333" w:right="2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160" w:firstLine="378"/>
        <w:spacing w:after="0" w:line="266" w:lineRule="auto"/>
        <w:rPr>
          <w:sz w:val="20"/>
          <w:szCs w:val="20"/>
          <w:color w:val="auto"/>
        </w:rPr>
      </w:pPr>
      <w:r>
        <w:rPr>
          <w:rFonts w:ascii="Times New Roman" w:cs="Times New Roman" w:eastAsia="Times New Roman" w:hAnsi="Times New Roman"/>
          <w:sz w:val="18"/>
          <w:szCs w:val="18"/>
          <w:color w:val="auto"/>
        </w:rPr>
        <w:t>The following provides disclosures for ARI's and Viskase's benefit obligations, plan assets, funded status, and recognition in the consolidated balance sheets. As pension costs for ARI and Viskase are not material to our consolidated financial position and results of operations, we do not provide information regarding their inputs and valuation assumptions.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Post-Employment Benefits</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color w:val="auto"/>
              </w:rPr>
              <w:t>(in millions)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cost</w:t>
            </w:r>
          </w:p>
        </w:tc>
        <w:tc>
          <w:tcPr>
            <w:tcW w:w="11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Actuarial gain (loss)</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Currency translation</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1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plan assets:</w:t>
            </w:r>
          </w:p>
        </w:tc>
        <w:tc>
          <w:tcPr>
            <w:tcW w:w="1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1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Company contributions</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Currency translation</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1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Funded status of the plan</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Amounts recognized in the consolidated balance sheets: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liability recognized</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Amounts recognized in accumulated other</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24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loss, inclusive of tax impacts:</w:t>
            </w: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actuarial (loss) gain</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LP Unit.</w:t>
      </w:r>
    </w:p>
    <w:p>
      <w:pPr>
        <w:spacing w:after="0" w:line="121" w:lineRule="exact"/>
        <w:rPr>
          <w:sz w:val="20"/>
          <w:szCs w:val="20"/>
          <w:color w:val="auto"/>
        </w:rPr>
      </w:pPr>
    </w:p>
    <w:p>
      <w:pPr>
        <w:ind w:right="280" w:firstLine="37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allocation of net (loss) income attributable to Icahn Enterprises allocable to limited partners and the computation of basic and diluted (loss) income per LP unit of Icahn Enterprises for the periods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740" w:type="dxa"/>
            <w:vAlign w:val="bottom"/>
            <w:gridSpan w:val="7"/>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6"/>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6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40" w:type="dxa"/>
            <w:vAlign w:val="bottom"/>
            <w:gridSpan w:val="6"/>
          </w:tcPr>
          <w:p>
            <w:pPr>
              <w:jc w:val="center"/>
              <w:ind w:right="230"/>
              <w:spacing w:after="0"/>
              <w:rPr>
                <w:sz w:val="20"/>
                <w:szCs w:val="20"/>
                <w:color w:val="auto"/>
              </w:rPr>
            </w:pPr>
            <w:r>
              <w:rPr>
                <w:rFonts w:ascii="Times New Roman" w:cs="Times New Roman" w:eastAsia="Times New Roman" w:hAnsi="Times New Roman"/>
                <w:sz w:val="14"/>
                <w:szCs w:val="14"/>
                <w:color w:val="auto"/>
              </w:rPr>
              <w:t>(in millions, except per unit data)</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Icahn Enterprises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5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Less: Net income attributable to Icahn Enterprises allocable to general partner</w:t>
            </w:r>
            <w:r>
              <w:rPr>
                <w:rFonts w:ascii="Times New Roman" w:cs="Times New Roman" w:eastAsia="Times New Roman" w:hAnsi="Times New Roman"/>
                <w:sz w:val="25"/>
                <w:szCs w:val="25"/>
                <w:color w:val="auto"/>
                <w:vertAlign w:val="superscript"/>
              </w:rPr>
              <w:t>(1)</w:t>
            </w:r>
          </w:p>
        </w:tc>
        <w:tc>
          <w:tcPr>
            <w:tcW w:w="10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5"/>
        </w:trPr>
        <w:tc>
          <w:tcPr>
            <w:tcW w:w="6400" w:type="dxa"/>
            <w:vAlign w:val="bottom"/>
            <w:tcBorders>
              <w:top w:val="single" w:sz="8" w:color="CCEEFF"/>
            </w:tcBorders>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Net (loss) income attributable to Icahn Enterprises net of portion allocable 100% to</w:t>
            </w:r>
          </w:p>
        </w:tc>
        <w:tc>
          <w:tcPr>
            <w:tcW w:w="10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10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324"/>
        </w:trPr>
        <w:tc>
          <w:tcPr>
            <w:tcW w:w="6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Icahn Enterprises allocable to limited partners</w:t>
            </w:r>
          </w:p>
        </w:tc>
        <w:tc>
          <w:tcPr>
            <w:tcW w:w="1060" w:type="dxa"/>
            <w:vAlign w:val="bottom"/>
            <w:vMerge w:val="restart"/>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54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41"/>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(98.01% allocation)</w:t>
            </w:r>
          </w:p>
        </w:tc>
        <w:tc>
          <w:tcPr>
            <w:tcW w:w="1060" w:type="dxa"/>
            <w:vAlign w:val="bottom"/>
            <w:vMerge w:val="continue"/>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540" w:type="dxa"/>
            <w:vAlign w:val="bottom"/>
            <w:gridSpan w:val="3"/>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income per LP unit</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5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weighted average LP units outstanding</w:t>
            </w:r>
          </w:p>
        </w:tc>
        <w:tc>
          <w:tcPr>
            <w:tcW w:w="10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311"/>
        </w:trPr>
        <w:tc>
          <w:tcPr>
            <w:tcW w:w="6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Dilutive effect of variable rate convertible notes:</w:t>
            </w: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Units</w:t>
            </w: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(loss) income per LP unit</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51"/>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 average LP units outstanding</w:t>
            </w:r>
          </w:p>
        </w:tc>
        <w:tc>
          <w:tcPr>
            <w:tcW w:w="106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right="60" w:firstLine="8"/>
        <w:spacing w:after="0" w:line="283" w:lineRule="auto"/>
        <w:tabs>
          <w:tab w:leader="none" w:pos="178" w:val="left"/>
        </w:tabs>
        <w:numPr>
          <w:ilvl w:val="0"/>
          <w:numId w:val="6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2"/>
          <w:szCs w:val="12"/>
          <w:color w:val="auto"/>
        </w:rPr>
        <w:t>Amount represents net income allocable to the general partner for the period May 5, 2012 through August 23, 2012, the period in which Mr. Icahn and his affiliates' ownership in IEP Energy, other than Icahn Enterprises' ownership, were considered under common control. On August 24, 2012, Mr. Icahn and his affiliates contributed this interest to us in exchange for our depositary units.</w:t>
      </w:r>
    </w:p>
    <w:p>
      <w:pPr>
        <w:spacing w:after="0" w:line="70" w:lineRule="exact"/>
        <w:rPr>
          <w:sz w:val="20"/>
          <w:szCs w:val="20"/>
          <w:color w:val="auto"/>
        </w:rPr>
      </w:pPr>
    </w:p>
    <w:p>
      <w:pPr>
        <w:ind w:right="660" w:firstLine="378"/>
        <w:spacing w:after="0" w:line="282" w:lineRule="auto"/>
        <w:rPr>
          <w:sz w:val="20"/>
          <w:szCs w:val="20"/>
          <w:color w:val="auto"/>
        </w:rPr>
      </w:pPr>
      <w:r>
        <w:rPr>
          <w:rFonts w:ascii="Times New Roman" w:cs="Times New Roman" w:eastAsia="Times New Roman" w:hAnsi="Times New Roman"/>
          <w:sz w:val="18"/>
          <w:szCs w:val="18"/>
          <w:color w:val="auto"/>
        </w:rPr>
        <w:t>Because their effect would have been anti-dilutive, 5 million equivalent units relating to our variable rate notes have been excluded from diluted weighted average LP units outstanding for the year ended December 31, 2012.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 Distributions</w:t>
      </w:r>
    </w:p>
    <w:p>
      <w:pPr>
        <w:spacing w:after="0" w:line="121"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During 2014, we declared four quarterly distributions aggregating $6.00 per depositary unit. Depositary unitholders were given the option to make an election to receive the distributions in either cash or additional depositary units; if a holder did not make an election, it was automatically deemed to have elected to receive the distributions in cash.</w:t>
      </w:r>
    </w:p>
    <w:p>
      <w:pPr>
        <w:spacing w:after="0" w:line="6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 November 2013, Icahn Enterprises declared a quarterly distribution in the amount of $1.50 per depositary unit in which each depositary unitholder had the option to make an election to receive either cash or additional depositary units. The distribution was not made as of December 31, 2013. Therefore, because depositary unitholders had the election to receive the distribution either in cash or additional depositary units, we recorded a unit distribution liability of $142 million on our consolidated balance sheets as the unit distribution had not been made as of December 31, 2013. In addition, the unit distribution liability was considered a potentially dilutive security and is considered in the calculation of diluted income per LP unit as disclosed above. The difference between the liability recorded and the amount representing the aggregate value of the number of depositary units distributed and cash paid was charged to equity in 2014. There was no unit distribution liability as of December 31, 2014 as the distribution was declared and paid during the fourth quarter of 2014.</w:t>
      </w:r>
    </w:p>
    <w:p>
      <w:pPr>
        <w:spacing w:after="0" w:line="81"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As a result of the above declared distributions, during 2014 we distributed an aggregate 7,203,105 of Icahn Enterprises' depositary units to those Depositary unitholders who elected to receive such distributions in additional depositary units.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420"/>
          </w:cols>
          <w:pgMar w:left="240" w:top="333" w:right="2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100" w:firstLine="378"/>
        <w:spacing w:after="0" w:line="282" w:lineRule="auto"/>
        <w:rPr>
          <w:sz w:val="20"/>
          <w:szCs w:val="20"/>
          <w:color w:val="auto"/>
        </w:rPr>
      </w:pPr>
      <w:r>
        <w:rPr>
          <w:rFonts w:ascii="Times New Roman" w:cs="Times New Roman" w:eastAsia="Times New Roman" w:hAnsi="Times New Roman"/>
          <w:sz w:val="18"/>
          <w:szCs w:val="18"/>
          <w:color w:val="auto"/>
        </w:rPr>
        <w:t>Mr. Icahn and his affiliates elected to receive a majority of their proportionate share of these distributions in depositary units. As of December 31, 2014, Mr. Icahn and his affiliates owned approximately 88.4% of Icahn Enterprises outstanding depositary units.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Offerings</w:t>
      </w:r>
    </w:p>
    <w:p>
      <w:pPr>
        <w:spacing w:after="0" w:line="121" w:lineRule="exact"/>
        <w:rPr>
          <w:sz w:val="20"/>
          <w:szCs w:val="20"/>
          <w:color w:val="auto"/>
        </w:rPr>
      </w:pPr>
    </w:p>
    <w:p>
      <w:pPr>
        <w:ind w:right="360" w:firstLine="378"/>
        <w:spacing w:after="0" w:line="258" w:lineRule="auto"/>
        <w:rPr>
          <w:sz w:val="20"/>
          <w:szCs w:val="20"/>
          <w:color w:val="auto"/>
        </w:rPr>
      </w:pPr>
      <w:r>
        <w:rPr>
          <w:rFonts w:ascii="Times New Roman" w:cs="Times New Roman" w:eastAsia="Times New Roman" w:hAnsi="Times New Roman"/>
          <w:sz w:val="18"/>
          <w:szCs w:val="18"/>
          <w:color w:val="auto"/>
        </w:rPr>
        <w:t>On February 28, 2013, Icahn Enterprises entered into an underwriting agreement (the “February 2013 Underwriting Agreement”) with Jefferies &amp; Company, Inc., providing for the issuance and purchase of an aggregate of 3,174,604 depositary units representing limited partner interests in Icahn Enterprises at a price to the public of $63.00 per depositary unit. The depositary units were delivered to the unitholders on March 6, 2013. Pursuant to the February 2013 Underwriting Agreement, Icahn Enterprises also granted Jefferies &amp; Company, Inc. a 30-day option to purchase up to 476,191 additional depositary units at the same public offering price, which expired unexercised.</w:t>
      </w:r>
    </w:p>
    <w:p>
      <w:pPr>
        <w:spacing w:after="0" w:line="76"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On June 12, 2013, Icahn Enterprises entered into an underwriting agreement (the “June 2013 Underwriting Agreement”) with Credit Suisse Securities (USA) LLC, UBS Securities LLC, Jefferies LLC, Citigroup Global Markets Inc., Oppenheimer &amp; Co. Inc., Keefe, Bruyette &amp; Woods, Inc., Wunderlich Securities, Inc. and KeyBanc Capital Markets Inc. (the “Underwriters”), providing for the issuance and purchase of an aggregate of 1,600,000 depositary units representing limited partner interests in Icahn Enterprises at a price to the public of $75.54 per depositary unit. The depositary units were delivered to the unitholders on June 17, 2013. Pursuant to the June 2013 Underwriting Agreement, Icahn Enterprises also granted the Underwriters a 30-day option to purchase up to an additional aggregate 240,000 additional depositary units at the same public offering price, which expired unexercised.</w:t>
      </w:r>
    </w:p>
    <w:p>
      <w:pPr>
        <w:spacing w:after="0" w:line="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December 9, 2013, Icahn Enterprises entered into an underwriting agreement (the “December 2013 Underwriting Agreement”) with Morgan Stanley</w:t>
      </w:r>
    </w:p>
    <w:p>
      <w:pPr>
        <w:spacing w:after="0" w:line="27" w:lineRule="exact"/>
        <w:rPr>
          <w:sz w:val="20"/>
          <w:szCs w:val="20"/>
          <w:color w:val="auto"/>
        </w:rPr>
      </w:pPr>
    </w:p>
    <w:p>
      <w:pPr>
        <w:ind w:right="180" w:firstLine="8"/>
        <w:spacing w:after="0" w:line="254" w:lineRule="auto"/>
        <w:tabs>
          <w:tab w:leader="none" w:pos="1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LLC ("Morgan Stanley"), providing for the issuance and purchase of an aggregate of 2,000,000 depositary units representing limited partner interests in Icahn Enterprises at a price to the public of $135.00 per depositary unit. The depositary units were delivered to the unitholders on December 13, 2013. Pursuant to the December 2013 Underwriting Agreement, Icahn Enterprises also granted Morgan Stanley a 30-day option to purchase up to an additional aggregate 300,000 additional depositary units at the same public offering price, which expired unexercised.</w:t>
      </w:r>
    </w:p>
    <w:p>
      <w:pPr>
        <w:spacing w:after="0" w:line="78" w:lineRule="exact"/>
        <w:rPr>
          <w:sz w:val="20"/>
          <w:szCs w:val="20"/>
          <w:color w:val="auto"/>
        </w:rPr>
      </w:pPr>
    </w:p>
    <w:p>
      <w:pPr>
        <w:ind w:right="100" w:firstLine="378"/>
        <w:spacing w:after="0" w:line="261" w:lineRule="auto"/>
        <w:rPr>
          <w:sz w:val="20"/>
          <w:szCs w:val="20"/>
          <w:color w:val="auto"/>
        </w:rPr>
      </w:pPr>
      <w:r>
        <w:rPr>
          <w:rFonts w:ascii="Times New Roman" w:cs="Times New Roman" w:eastAsia="Times New Roman" w:hAnsi="Times New Roman"/>
          <w:sz w:val="18"/>
          <w:szCs w:val="18"/>
          <w:color w:val="auto"/>
        </w:rPr>
        <w:t>Aggregate net proceeds from these equity offerings was $581 million during the year ended December 31, 2013 after deducting underwriting discounts, commissions and other offering related fees and expenses. Additionally, in connection with these equity offerings, our general partner made aggregate contributions of $12 million to Icahn Enterprises and Icahn Enterprises Holdings during the year ended December 31, 2013 in order to maintain its 1% general partner interest in each of Icahn Enterprises and Icahn Enterprises Holdings.</w:t>
      </w:r>
    </w:p>
    <w:p>
      <w:pPr>
        <w:spacing w:after="0" w:line="72" w:lineRule="exact"/>
        <w:rPr>
          <w:sz w:val="20"/>
          <w:szCs w:val="20"/>
          <w:color w:val="auto"/>
        </w:rPr>
      </w:pPr>
    </w:p>
    <w:p>
      <w:pPr>
        <w:ind w:right="80" w:firstLine="378"/>
        <w:spacing w:after="0" w:line="258" w:lineRule="auto"/>
        <w:rPr>
          <w:sz w:val="20"/>
          <w:szCs w:val="20"/>
          <w:color w:val="auto"/>
        </w:rPr>
      </w:pPr>
      <w:r>
        <w:rPr>
          <w:rFonts w:ascii="Times New Roman" w:cs="Times New Roman" w:eastAsia="Times New Roman" w:hAnsi="Times New Roman"/>
          <w:sz w:val="18"/>
          <w:szCs w:val="18"/>
          <w:color w:val="auto"/>
        </w:rPr>
        <w:t>The issuance and sale of the depositary units in connection with the equity offerings in February 2013 and June 2013 are registered under the Securities Act of 1933, as amended, pursuant to a shelf registration statement on Form S-3 (File No. 333-158705) filed with the SEC by Icahn Enterprises on April 22, 2009 and declared effective by the SEC on May 17, 2010. The issuance and sale of the depositary units in connection with the equity offering in December 2013 are registered under the Securities Act of 1933, as amended, pursuant to a shelf registration statement on Form S-3 (File No. 333-188360) filed with the SEC by Icahn Enterprises on May 3, 2013 and declared effective by the SEC on October 9, 2013.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Offering</w:t>
      </w:r>
    </w:p>
    <w:p>
      <w:pPr>
        <w:spacing w:after="0" w:line="121" w:lineRule="exact"/>
        <w:rPr>
          <w:sz w:val="20"/>
          <w:szCs w:val="20"/>
          <w:color w:val="auto"/>
        </w:rPr>
      </w:pPr>
    </w:p>
    <w:p>
      <w:pPr>
        <w:ind w:right="120" w:firstLine="378"/>
        <w:spacing w:after="0" w:line="253" w:lineRule="auto"/>
        <w:rPr>
          <w:sz w:val="20"/>
          <w:szCs w:val="20"/>
          <w:color w:val="auto"/>
        </w:rPr>
      </w:pPr>
      <w:r>
        <w:rPr>
          <w:rFonts w:ascii="Times New Roman" w:cs="Times New Roman" w:eastAsia="Times New Roman" w:hAnsi="Times New Roman"/>
          <w:sz w:val="18"/>
          <w:szCs w:val="18"/>
          <w:color w:val="auto"/>
        </w:rPr>
        <w:t>Pursuant to a rights offering, we distributed transferable subscription rights pro rata to the holders of record of its depositary units as of the close of business on December 27, 2011, the record date. Our depositary unitholders received 0.15881 rights for each depositary unit held as of the record date. Each whole right entitled the holder to acquire one of our newly issued depositary units at a subscription price of $36.7933. The subscription price for the depositary units offered in the rights offering was equal to the volume-weighted average price per depositary unit for the ten consecutive trading days commencing 11 trading days prior to December 27, 2011, the record date. In addition, holders of rights were entitled to subscribe for additional depositary units that remained unsubscribed as a result of any unexercised subscription rights. Icahn Enterprises distributed the rights to the record date unitholders on January 3, 2012. The rights traded on the NASDAQ Global Select Market ("NASDAQ") under the ticker symbol "IEPRR" from January 3, 2012 until the close of NASDAQ on January 20, 2012, the expiration date of the rights offering. No fractional depositary units were issued in the rights offering. The number of depositary units issued upon exercise by all unitholders of its rights were rounded to the nearest whole depositary unit to eliminate fractional depositary units. In connection with this rights offering, we distributed and aggregate 13,590,238 additional depositary units to unitholders that subscribed to the basic subscription rights and the over-subscription rights and we received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420"/>
          </w:cols>
          <w:pgMar w:left="240" w:top="333" w:right="23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proceeds of $500 million. Of these additional depositary units distributed pursuant to the rights offering, Mr. Icahn and his affiliates received 12,995,584 additional depositary units.</w:t>
      </w:r>
    </w:p>
    <w:p>
      <w:pPr>
        <w:spacing w:after="0" w:line="54" w:lineRule="exact"/>
        <w:rPr>
          <w:sz w:val="20"/>
          <w:szCs w:val="20"/>
          <w:color w:val="auto"/>
        </w:rPr>
      </w:pPr>
    </w:p>
    <w:p>
      <w:pPr>
        <w:ind w:right="80" w:firstLine="378"/>
        <w:spacing w:after="0" w:line="266" w:lineRule="auto"/>
        <w:rPr>
          <w:sz w:val="20"/>
          <w:szCs w:val="20"/>
          <w:color w:val="auto"/>
        </w:rPr>
      </w:pPr>
      <w:r>
        <w:rPr>
          <w:rFonts w:ascii="Times New Roman" w:cs="Times New Roman" w:eastAsia="Times New Roman" w:hAnsi="Times New Roman"/>
          <w:sz w:val="18"/>
          <w:szCs w:val="18"/>
          <w:color w:val="auto"/>
        </w:rPr>
        <w:t>The issuance and sale of the depositary units in connection with the rights offering in December 2011 are registered under the Securities Act of 1933, as amended, pursuant to a shelf registration statement on Form S-3 (File No. 333-178249) filed with the SEC by Icahn Enterprises on December 1, 2011 and declared effective by the SEC on December 27, 2011.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and Geographic Reporting.</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2014, our nine operating segments, which also constitute our reporting segments, are: (1) Investment; (2) Automotive; (3) Energy;</w:t>
      </w:r>
    </w:p>
    <w:p>
      <w:pPr>
        <w:spacing w:after="0" w:line="27" w:lineRule="exact"/>
        <w:rPr>
          <w:sz w:val="20"/>
          <w:szCs w:val="20"/>
          <w:color w:val="auto"/>
        </w:rPr>
      </w:pPr>
    </w:p>
    <w:p>
      <w:pPr>
        <w:ind w:firstLine="8"/>
        <w:spacing w:after="0" w:line="252" w:lineRule="auto"/>
        <w:tabs>
          <w:tab w:leader="none" w:pos="2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Metals; (5) Railcar; (6) Gaming; (7) Food Packaging; (8) Real Estate and (9) Home Fashion. Our determination of what constitutes an operating segment is based on the various industries in which our businesses operate and how we manage those businesses in accordance with our investment strategy. We assess and measure segment operating results based on net income from continuing operations attributable to Icahn Enterprises and Icahn Enterprises Holdings, as disclosed below. Certain terms of financings for certain of our segments impose restrictions on the segments' ability to transfer funds to us, including restrictions on dividends, distributions, loans and other transactions. See Note 3, “Operating Units,” for a detailed description of each of our reporting segments.</w:t>
      </w:r>
    </w:p>
    <w:p>
      <w:pPr>
        <w:spacing w:after="0" w:line="82" w:lineRule="exact"/>
        <w:rPr>
          <w:sz w:val="20"/>
          <w:szCs w:val="20"/>
          <w:color w:val="auto"/>
        </w:rPr>
      </w:pPr>
    </w:p>
    <w:p>
      <w:pPr>
        <w:ind w:right="840" w:firstLine="378"/>
        <w:spacing w:after="0" w:line="282" w:lineRule="auto"/>
        <w:rPr>
          <w:sz w:val="20"/>
          <w:szCs w:val="20"/>
          <w:color w:val="auto"/>
        </w:rPr>
      </w:pPr>
      <w:r>
        <w:rPr>
          <w:rFonts w:ascii="Times New Roman" w:cs="Times New Roman" w:eastAsia="Times New Roman" w:hAnsi="Times New Roman"/>
          <w:sz w:val="18"/>
          <w:szCs w:val="18"/>
          <w:color w:val="auto"/>
        </w:rPr>
        <w:t>In addition to our nine reporting segments, we present the results of the Holding Company which includes the unconsolidated results of Icahn Enterprises and Icahn Enterprises Holdings, and investment activity and expenses associated with the activities of the Holding Company.</w:t>
      </w:r>
    </w:p>
    <w:p>
      <w:pPr>
        <w:spacing w:after="0" w:line="54" w:lineRule="exact"/>
        <w:rPr>
          <w:sz w:val="20"/>
          <w:szCs w:val="20"/>
          <w:color w:val="auto"/>
        </w:rPr>
      </w:pPr>
    </w:p>
    <w:p>
      <w:pPr>
        <w:ind w:right="540" w:firstLine="378"/>
        <w:spacing w:after="0" w:line="282" w:lineRule="auto"/>
        <w:rPr>
          <w:sz w:val="20"/>
          <w:szCs w:val="20"/>
          <w:color w:val="auto"/>
        </w:rPr>
      </w:pPr>
      <w:r>
        <w:rPr>
          <w:rFonts w:ascii="Times New Roman" w:cs="Times New Roman" w:eastAsia="Times New Roman" w:hAnsi="Times New Roman"/>
          <w:sz w:val="18"/>
          <w:szCs w:val="18"/>
          <w:color w:val="auto"/>
        </w:rPr>
        <w:t>Icahn Enterprises' condensed statements of operations by reporting segment for the years ended December 31, 2014, 2013 and 2012 are presented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 2014</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6"/>
        </w:trPr>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Food</w:t>
            </w:r>
          </w:p>
        </w:tc>
        <w:tc>
          <w:tcPr>
            <w:tcW w:w="100" w:type="dxa"/>
            <w:vAlign w:val="bottom"/>
          </w:tcPr>
          <w:p>
            <w:pPr>
              <w:spacing w:after="0"/>
              <w:rPr>
                <w:sz w:val="10"/>
                <w:szCs w:val="10"/>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Real</w:t>
            </w:r>
          </w:p>
        </w:tc>
        <w:tc>
          <w:tcPr>
            <w:tcW w:w="80" w:type="dxa"/>
            <w:vAlign w:val="bottom"/>
          </w:tcPr>
          <w:p>
            <w:pPr>
              <w:spacing w:after="0"/>
              <w:rPr>
                <w:sz w:val="10"/>
                <w:szCs w:val="10"/>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Home</w:t>
            </w:r>
          </w:p>
        </w:tc>
        <w:tc>
          <w:tcPr>
            <w:tcW w:w="120" w:type="dxa"/>
            <w:vAlign w:val="bottom"/>
          </w:tcPr>
          <w:p>
            <w:pPr>
              <w:spacing w:after="0"/>
              <w:rPr>
                <w:sz w:val="10"/>
                <w:szCs w:val="10"/>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Holding</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2"/>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180" w:type="dxa"/>
            <w:vAlign w:val="bottom"/>
          </w:tcPr>
          <w:p>
            <w:pPr>
              <w:spacing w:after="0"/>
              <w:rPr>
                <w:sz w:val="12"/>
                <w:szCs w:val="12"/>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Metals</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Railcar</w:t>
            </w:r>
          </w:p>
        </w:tc>
        <w:tc>
          <w:tcPr>
            <w:tcW w:w="14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Gaming</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Packaging</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Fashion</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Consolidated</w:t>
            </w:r>
          </w:p>
        </w:tc>
      </w:tr>
      <w:tr>
        <w:trPr>
          <w:trHeight w:val="22"/>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 millions)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7,317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9,109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18,072</w:t>
            </w:r>
          </w:p>
        </w:tc>
      </w:tr>
      <w:tr>
        <w:trPr>
          <w:trHeight w:val="248"/>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1,250</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(loss)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(564)</w:t>
            </w:r>
          </w:p>
        </w:tc>
      </w:tr>
      <w:tr>
        <w:trPr>
          <w:trHeight w:val="248"/>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217</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182</w:t>
            </w:r>
          </w:p>
        </w:tc>
      </w:tr>
      <w:tr>
        <w:trPr>
          <w:trHeight w:val="242"/>
        </w:trPr>
        <w:tc>
          <w:tcPr>
            <w:tcW w:w="21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(218)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7,324</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9,292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711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809</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849</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346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101</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181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(238)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19,157</w:t>
            </w: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6,260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8,774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1"/>
                <w:szCs w:val="21"/>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16,485</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613</w:t>
            </w:r>
          </w:p>
        </w:tc>
      </w:tr>
      <w:tr>
        <w:trPr>
          <w:trHeight w:val="248"/>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1,625</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84</w:t>
            </w:r>
          </w:p>
        </w:tc>
      </w:tr>
      <w:tr>
        <w:trPr>
          <w:trHeight w:val="248"/>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135</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847</w:t>
            </w:r>
          </w:p>
        </w:tc>
      </w:tr>
      <w:tr>
        <w:trPr>
          <w:trHeight w:val="242"/>
        </w:trPr>
        <w:tc>
          <w:tcPr>
            <w:tcW w:w="21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466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7,323</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9,051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754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565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727</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334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79</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179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311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19,789</w:t>
            </w: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Income (loss) before income tax benefit</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2"/>
        </w:trPr>
        <w:tc>
          <w:tcPr>
            <w:tcW w:w="2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(expense) benefit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(684)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(43)</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244</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22</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(549)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(632)</w:t>
            </w:r>
          </w:p>
        </w:tc>
      </w:tr>
      <w:tr>
        <w:trPr>
          <w:trHeight w:val="248"/>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103</w:t>
            </w: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(loss) income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(684)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(529)</w:t>
            </w:r>
          </w:p>
        </w:tc>
      </w:tr>
      <w:tr>
        <w:trPr>
          <w:trHeight w:val="135"/>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Less: net loss (income) attributable to non-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1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controlling interests</w:t>
            </w:r>
          </w:p>
        </w:tc>
        <w:tc>
          <w:tcPr>
            <w:tcW w:w="12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379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156</w:t>
            </w: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income (loss) attributable to Icahn</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81"/>
        </w:trPr>
        <w:tc>
          <w:tcPr>
            <w:tcW w:w="2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(305)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(87)</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(388)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(373)</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1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418</w:t>
            </w:r>
          </w:p>
        </w:tc>
        <w:tc>
          <w:tcPr>
            <w:tcW w:w="120" w:type="dxa"/>
            <w:vAlign w:val="bottom"/>
          </w:tcPr>
          <w:p>
            <w:pPr>
              <w:spacing w:after="0"/>
              <w:rPr>
                <w:sz w:val="21"/>
                <w:szCs w:val="21"/>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626</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21"/>
                <w:szCs w:val="21"/>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1,411</w:t>
            </w: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Depreciation and amortization</w:t>
            </w:r>
            <w:r>
              <w:rPr>
                <w:rFonts w:ascii="Times New Roman" w:cs="Times New Roman" w:eastAsia="Times New Roman" w:hAnsi="Times New Roman"/>
                <w:sz w:val="8"/>
                <w:szCs w:val="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22</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787</w:t>
            </w:r>
          </w:p>
        </w:tc>
      </w:tr>
      <w:tr>
        <w:trPr>
          <w:trHeight w:val="22"/>
        </w:trPr>
        <w:tc>
          <w:tcPr>
            <w:tcW w:w="2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13804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13804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-1259840</wp:posOffset>
            </wp:positionV>
            <wp:extent cx="13804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-1628775</wp:posOffset>
            </wp:positionV>
            <wp:extent cx="13804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-3018155</wp:posOffset>
            </wp:positionV>
            <wp:extent cx="13804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206</w:t>
      </w:r>
    </w:p>
    <w:p>
      <w:pPr>
        <w:sectPr>
          <w:pgSz w:w="11900" w:h="16838" w:orient="portrait"/>
          <w:cols w:equalWidth="0" w:num="1">
            <w:col w:w="11420"/>
          </w:cols>
          <w:pgMar w:left="240" w:top="334" w:right="239" w:bottom="1440" w:gutter="0" w:footer="0" w:header="0"/>
          <w:type w:val="continuous"/>
        </w:sectPr>
      </w:pPr>
    </w:p>
    <w:bookmarkStart w:id="208" w:name="page209"/>
    <w:bookmarkEnd w:id="208"/>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1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1"/>
          <w:szCs w:val="11"/>
          <w:b w:val="1"/>
          <w:bCs w:val="1"/>
          <w:color w:val="auto"/>
        </w:rPr>
        <w:t>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24130</wp:posOffset>
            </wp:positionV>
            <wp:extent cx="58661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Food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Real</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Home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2"/>
        </w:trPr>
        <w:tc>
          <w:tcPr>
            <w:tcW w:w="2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84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4"/>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99"/>
              </w:rPr>
              <w:t>Energy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3"/>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rPr>
              <w:t>Metals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1"/>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Gaming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Packaging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5"/>
              </w:rPr>
              <w:t>Estate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Fashion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Consolidated</w:t>
            </w:r>
          </w:p>
        </w:tc>
      </w:tr>
      <w:tr>
        <w:trPr>
          <w:trHeight w:val="22"/>
        </w:trPr>
        <w:tc>
          <w:tcPr>
            <w:tcW w:w="2180" w:type="dxa"/>
            <w:vAlign w:val="bottom"/>
          </w:tcPr>
          <w:p>
            <w:pPr>
              <w:spacing w:after="0" w:line="20" w:lineRule="exact"/>
              <w:rPr>
                <w:sz w:val="1"/>
                <w:szCs w:val="1"/>
                <w:color w:val="auto"/>
              </w:rPr>
            </w:pPr>
          </w:p>
        </w:tc>
        <w:tc>
          <w:tcPr>
            <w:tcW w:w="9240" w:type="dxa"/>
            <w:vAlign w:val="bottom"/>
            <w:tcBorders>
              <w:bottom w:val="single" w:sz="8" w:color="auto"/>
            </w:tcBorders>
            <w:gridSpan w:val="56"/>
          </w:tcPr>
          <w:p>
            <w:pPr>
              <w:spacing w:after="0" w:line="20" w:lineRule="exact"/>
              <w:rPr>
                <w:sz w:val="1"/>
                <w:szCs w:val="1"/>
                <w:color w:val="auto"/>
              </w:rPr>
            </w:pPr>
          </w:p>
        </w:tc>
      </w:tr>
      <w:tr>
        <w:trPr>
          <w:trHeight w:val="228"/>
        </w:trPr>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w w:val="94"/>
              </w:rPr>
              <w:t>(in millions)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11420" w:type="dxa"/>
            <w:vAlign w:val="bottom"/>
            <w:gridSpan w:val="57"/>
          </w:tcPr>
          <w:p>
            <w:pPr>
              <w:ind w:left="40"/>
              <w:spacing w:after="0"/>
              <w:rPr>
                <w:sz w:val="20"/>
                <w:szCs w:val="20"/>
                <w:color w:val="auto"/>
              </w:rPr>
            </w:pPr>
            <w:r>
              <w:rPr>
                <w:rFonts w:ascii="Times New Roman" w:cs="Times New Roman" w:eastAsia="Times New Roman" w:hAnsi="Times New Roman"/>
                <w:sz w:val="11"/>
                <w:szCs w:val="11"/>
                <w:color w:val="auto"/>
              </w:rPr>
              <w:t>Revenues:</w:t>
            </w:r>
          </w:p>
        </w:tc>
      </w:tr>
      <w:tr>
        <w:trPr>
          <w:trHeight w:val="22"/>
        </w:trPr>
        <w:tc>
          <w:tcPr>
            <w:tcW w:w="11420" w:type="dxa"/>
            <w:vAlign w:val="bottom"/>
            <w:gridSpan w:val="57"/>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6"/>
              </w:rPr>
              <w:t>6,905</w:t>
            </w:r>
          </w:p>
        </w:tc>
        <w:tc>
          <w:tcPr>
            <w:tcW w:w="380" w:type="dxa"/>
            <w:vAlign w:val="bottom"/>
            <w:tcBorders>
              <w:bottom w:val="single" w:sz="8" w:color="CCEEFF"/>
            </w:tcBorders>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8,986</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84"/>
              </w:rPr>
              <w:t>929</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17,785</w:t>
            </w:r>
          </w:p>
        </w:tc>
      </w:tr>
      <w:tr>
        <w:trPr>
          <w:trHeight w:val="248"/>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Other revenues from operations</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988</w:t>
            </w:r>
          </w:p>
        </w:tc>
      </w:tr>
      <w:tr>
        <w:trPr>
          <w:trHeight w:val="22"/>
        </w:trPr>
        <w:tc>
          <w:tcPr>
            <w:tcW w:w="11420" w:type="dxa"/>
            <w:vAlign w:val="bottom"/>
            <w:gridSpan w:val="57"/>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gain (loss) from investment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1,694</w:t>
            </w:r>
          </w:p>
        </w:tc>
      </w:tr>
      <w:tr>
        <w:trPr>
          <w:trHeight w:val="248"/>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Interest and dividend income</w:t>
            </w:r>
          </w:p>
        </w:tc>
        <w:tc>
          <w:tcPr>
            <w:tcW w:w="100" w:type="dxa"/>
            <w:vAlign w:val="bottom"/>
          </w:tcPr>
          <w:p>
            <w:pPr>
              <w:spacing w:after="0"/>
              <w:rPr>
                <w:sz w:val="21"/>
                <w:szCs w:val="21"/>
                <w:color w:val="auto"/>
              </w:rPr>
            </w:pPr>
          </w:p>
        </w:tc>
        <w:tc>
          <w:tcPr>
            <w:tcW w:w="7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194</w:t>
            </w:r>
          </w:p>
        </w:tc>
      </w:tr>
      <w:tr>
        <w:trPr>
          <w:trHeight w:val="22"/>
        </w:trPr>
        <w:tc>
          <w:tcPr>
            <w:tcW w:w="11420" w:type="dxa"/>
            <w:vAlign w:val="bottom"/>
            <w:gridSpan w:val="57"/>
          </w:tcPr>
          <w:p>
            <w:pPr>
              <w:spacing w:after="0" w:line="20" w:lineRule="exact"/>
              <w:rPr>
                <w:sz w:val="1"/>
                <w:szCs w:val="1"/>
                <w:color w:val="auto"/>
              </w:rPr>
            </w:pPr>
          </w:p>
        </w:tc>
      </w:tr>
      <w:tr>
        <w:trPr>
          <w:trHeight w:val="27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Other income (loss), net</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21</w:t>
            </w:r>
          </w:p>
        </w:tc>
      </w:tr>
      <w:tr>
        <w:trPr>
          <w:trHeight w:val="242"/>
        </w:trPr>
        <w:tc>
          <w:tcPr>
            <w:tcW w:w="21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2,031</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96"/>
              </w:rPr>
              <w:t>6,876</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9,063</w:t>
            </w: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84"/>
              </w:rPr>
              <w:t>929</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744</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571</w:t>
            </w: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346</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85</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20,682</w:t>
            </w: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gridSpan w:val="6"/>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gridSpan w:val="6"/>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r>
      <w:tr>
        <w:trPr>
          <w:trHeight w:val="244"/>
        </w:trPr>
        <w:tc>
          <w:tcPr>
            <w:tcW w:w="11420" w:type="dxa"/>
            <w:vAlign w:val="bottom"/>
            <w:tcBorders>
              <w:bottom w:val="single" w:sz="8" w:color="CCEEFF"/>
            </w:tcBorders>
            <w:gridSpan w:val="57"/>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Expenses:</w:t>
            </w:r>
          </w:p>
        </w:tc>
      </w:tr>
      <w:tr>
        <w:trPr>
          <w:trHeight w:val="248"/>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Cost of goods sold</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96"/>
              </w:rPr>
              <w:t>5,885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8,204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84"/>
              </w:rPr>
              <w:t>948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285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15,809</w:t>
            </w:r>
          </w:p>
        </w:tc>
      </w:tr>
      <w:tr>
        <w:trPr>
          <w:trHeight w:val="22"/>
        </w:trPr>
        <w:tc>
          <w:tcPr>
            <w:tcW w:w="11420" w:type="dxa"/>
            <w:vAlign w:val="bottom"/>
            <w:gridSpan w:val="57"/>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Other expenses from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504</w:t>
            </w:r>
          </w:p>
        </w:tc>
      </w:tr>
      <w:tr>
        <w:trPr>
          <w:trHeight w:val="248"/>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100" w:type="dxa"/>
            <w:vAlign w:val="bottom"/>
          </w:tcPr>
          <w:p>
            <w:pPr>
              <w:spacing w:after="0"/>
              <w:rPr>
                <w:sz w:val="21"/>
                <w:szCs w:val="21"/>
                <w:color w:val="auto"/>
              </w:rPr>
            </w:pPr>
          </w:p>
        </w:tc>
        <w:tc>
          <w:tcPr>
            <w:tcW w:w="7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1,417</w:t>
            </w:r>
          </w:p>
        </w:tc>
      </w:tr>
      <w:tr>
        <w:trPr>
          <w:trHeight w:val="22"/>
        </w:trPr>
        <w:tc>
          <w:tcPr>
            <w:tcW w:w="11420" w:type="dxa"/>
            <w:vAlign w:val="bottom"/>
            <w:gridSpan w:val="57"/>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Restructuring</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50</w:t>
            </w:r>
          </w:p>
        </w:tc>
      </w:tr>
      <w:tr>
        <w:trPr>
          <w:trHeight w:val="248"/>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Impairment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w:t>
            </w:r>
          </w:p>
        </w:tc>
      </w:tr>
      <w:tr>
        <w:trPr>
          <w:trHeight w:val="22"/>
        </w:trPr>
        <w:tc>
          <w:tcPr>
            <w:tcW w:w="11420" w:type="dxa"/>
            <w:vAlign w:val="bottom"/>
            <w:gridSpan w:val="57"/>
          </w:tcPr>
          <w:p>
            <w:pPr>
              <w:spacing w:after="0" w:line="20" w:lineRule="exact"/>
              <w:rPr>
                <w:sz w:val="1"/>
                <w:szCs w:val="1"/>
                <w:color w:val="auto"/>
              </w:rPr>
            </w:pPr>
          </w:p>
        </w:tc>
      </w:tr>
      <w:tr>
        <w:trPr>
          <w:trHeight w:val="27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Interest expense</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560</w:t>
            </w:r>
          </w:p>
        </w:tc>
      </w:tr>
      <w:tr>
        <w:trPr>
          <w:trHeight w:val="242"/>
        </w:trPr>
        <w:tc>
          <w:tcPr>
            <w:tcW w:w="21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129</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96"/>
              </w:rPr>
              <w:t>6,793</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8,389</w:t>
            </w: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84"/>
              </w:rPr>
              <w:t>977</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574</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549</w:t>
            </w: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354</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68</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320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18,356</w:t>
            </w: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gridSpan w:val="6"/>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gridSpan w:val="6"/>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r>
      <w:tr>
        <w:trPr>
          <w:trHeight w:val="128"/>
        </w:trPr>
        <w:tc>
          <w:tcPr>
            <w:tcW w:w="11420" w:type="dxa"/>
            <w:vAlign w:val="bottom"/>
            <w:gridSpan w:val="57"/>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Income (loss) before income tax benefit</w:t>
            </w:r>
          </w:p>
        </w:tc>
      </w:tr>
      <w:tr>
        <w:trPr>
          <w:trHeight w:val="142"/>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(expense)</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1,902</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83</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(48)</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17</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(470)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2,326</w:t>
            </w:r>
          </w:p>
        </w:tc>
      </w:tr>
      <w:tr>
        <w:trPr>
          <w:trHeight w:val="248"/>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Income tax benefit (expense)</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118</w:t>
            </w: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gridSpan w:val="6"/>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gridSpan w:val="6"/>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r>
      <w:tr>
        <w:trPr>
          <w:trHeight w:val="23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income (loss)</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1,902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(28)</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2,444</w:t>
            </w:r>
          </w:p>
        </w:tc>
      </w:tr>
      <w:tr>
        <w:trPr>
          <w:trHeight w:val="135"/>
        </w:trPr>
        <w:tc>
          <w:tcPr>
            <w:tcW w:w="11420" w:type="dxa"/>
            <w:vAlign w:val="bottom"/>
            <w:gridSpan w:val="57"/>
          </w:tcPr>
          <w:p>
            <w:pPr>
              <w:ind w:left="40"/>
              <w:spacing w:after="0"/>
              <w:rPr>
                <w:sz w:val="20"/>
                <w:szCs w:val="20"/>
                <w:color w:val="auto"/>
              </w:rPr>
            </w:pPr>
            <w:r>
              <w:rPr>
                <w:rFonts w:ascii="Times New Roman" w:cs="Times New Roman" w:eastAsia="Times New Roman" w:hAnsi="Times New Roman"/>
                <w:sz w:val="11"/>
                <w:szCs w:val="11"/>
                <w:color w:val="auto"/>
              </w:rPr>
              <w:t>Less: net income attributable to non-controlling</w:t>
            </w:r>
          </w:p>
        </w:tc>
      </w:tr>
      <w:tr>
        <w:trPr>
          <w:trHeight w:val="140"/>
        </w:trPr>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interests</w:t>
            </w:r>
          </w:p>
        </w:tc>
        <w:tc>
          <w:tcPr>
            <w:tcW w:w="100" w:type="dxa"/>
            <w:vAlign w:val="bottom"/>
          </w:tcPr>
          <w:p>
            <w:pPr>
              <w:spacing w:after="0"/>
              <w:rPr>
                <w:sz w:val="12"/>
                <w:szCs w:val="12"/>
                <w:color w:val="auto"/>
              </w:rPr>
            </w:pPr>
          </w:p>
        </w:tc>
        <w:tc>
          <w:tcPr>
            <w:tcW w:w="7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(1,090)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(190)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(1,419)</w:t>
            </w: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gridSpan w:val="6"/>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gridSpan w:val="6"/>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r>
      <w:tr>
        <w:trPr>
          <w:trHeight w:val="128"/>
        </w:trPr>
        <w:tc>
          <w:tcPr>
            <w:tcW w:w="11420" w:type="dxa"/>
            <w:vAlign w:val="bottom"/>
            <w:gridSpan w:val="57"/>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income (loss) attributable to Icahn</w:t>
            </w:r>
          </w:p>
        </w:tc>
      </w:tr>
      <w:tr>
        <w:trPr>
          <w:trHeight w:val="181"/>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Enterprises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812</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250</w:t>
            </w:r>
          </w:p>
        </w:tc>
        <w:tc>
          <w:tcPr>
            <w:tcW w:w="380" w:type="dxa"/>
            <w:vAlign w:val="bottom"/>
            <w:tcBorders>
              <w:bottom w:val="single" w:sz="8" w:color="CCEEFF"/>
            </w:tcBorders>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(28)</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3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17</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(374)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1,025</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6"/>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6"/>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r>
      <w:tr>
        <w:trPr>
          <w:trHeight w:val="224"/>
        </w:trPr>
        <w:tc>
          <w:tcPr>
            <w:tcW w:w="11420" w:type="dxa"/>
            <w:vAlign w:val="bottom"/>
            <w:gridSpan w:val="57"/>
          </w:tcPr>
          <w:p>
            <w:pPr>
              <w:spacing w:after="0"/>
              <w:rPr>
                <w:sz w:val="19"/>
                <w:szCs w:val="19"/>
                <w:color w:val="auto"/>
              </w:rPr>
            </w:pPr>
          </w:p>
        </w:tc>
      </w:tr>
      <w:tr>
        <w:trPr>
          <w:trHeight w:val="250"/>
        </w:trPr>
        <w:tc>
          <w:tcPr>
            <w:tcW w:w="11420" w:type="dxa"/>
            <w:vAlign w:val="bottom"/>
            <w:tcBorders>
              <w:bottom w:val="single" w:sz="8" w:color="CCEEFF"/>
            </w:tcBorders>
            <w:gridSpan w:val="57"/>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Supplemental information:</w:t>
            </w:r>
          </w:p>
        </w:tc>
      </w:tr>
      <w:tr>
        <w:trPr>
          <w:trHeight w:val="248"/>
        </w:trPr>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Capital expenditures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380</w:t>
            </w:r>
          </w:p>
        </w:tc>
        <w:tc>
          <w:tcPr>
            <w:tcW w:w="38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32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20</w:t>
            </w:r>
          </w:p>
        </w:tc>
        <w:tc>
          <w:tcPr>
            <w:tcW w:w="120" w:type="dxa"/>
            <w:vAlign w:val="bottom"/>
          </w:tcPr>
          <w:p>
            <w:pPr>
              <w:spacing w:after="0"/>
              <w:rPr>
                <w:sz w:val="21"/>
                <w:szCs w:val="21"/>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1,161</w:t>
            </w:r>
          </w:p>
        </w:tc>
      </w:tr>
      <w:tr>
        <w:trPr>
          <w:trHeight w:val="22"/>
        </w:trPr>
        <w:tc>
          <w:tcPr>
            <w:tcW w:w="11420" w:type="dxa"/>
            <w:vAlign w:val="bottom"/>
            <w:gridSpan w:val="57"/>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Depreciation and amortization</w:t>
            </w:r>
            <w:r>
              <w:rPr>
                <w:rFonts w:ascii="Times New Roman" w:cs="Times New Roman" w:eastAsia="Times New Roman" w:hAnsi="Times New Roman"/>
                <w:sz w:val="8"/>
                <w:szCs w:val="8"/>
                <w:color w:val="auto"/>
              </w:rPr>
              <w:t>(1)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296</w:t>
            </w:r>
          </w:p>
        </w:tc>
        <w:tc>
          <w:tcPr>
            <w:tcW w:w="380" w:type="dxa"/>
            <w:vAlign w:val="bottom"/>
            <w:tcBorders>
              <w:bottom w:val="single" w:sz="8" w:color="CCEEFF"/>
            </w:tcBorders>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3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708</w:t>
            </w:r>
          </w:p>
        </w:tc>
      </w:tr>
      <w:tr>
        <w:trPr>
          <w:trHeight w:val="383"/>
        </w:trPr>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13"/>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Year Ended December 31, 2012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6"/>
        </w:trPr>
        <w:tc>
          <w:tcPr>
            <w:tcW w:w="2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Food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Real</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Home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Holding</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2"/>
        </w:trPr>
        <w:tc>
          <w:tcPr>
            <w:tcW w:w="2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76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Energy</w:t>
            </w:r>
            <w:r>
              <w:rPr>
                <w:rFonts w:ascii="Times New Roman" w:cs="Times New Roman" w:eastAsia="Times New Roman" w:hAnsi="Times New Roman"/>
                <w:sz w:val="8"/>
                <w:szCs w:val="8"/>
                <w:b w:val="1"/>
                <w:bCs w:val="1"/>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4"/>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Metals</w:t>
            </w:r>
          </w:p>
        </w:tc>
        <w:tc>
          <w:tcPr>
            <w:tcW w:w="120" w:type="dxa"/>
            <w:vAlign w:val="bottom"/>
          </w:tcPr>
          <w:p>
            <w:pPr>
              <w:spacing w:after="0"/>
              <w:rPr>
                <w:sz w:val="12"/>
                <w:szCs w:val="12"/>
                <w:color w:val="auto"/>
              </w:rPr>
            </w:pPr>
          </w:p>
        </w:tc>
        <w:tc>
          <w:tcPr>
            <w:tcW w:w="580" w:type="dxa"/>
            <w:vAlign w:val="bottom"/>
            <w:gridSpan w:val="4"/>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Railcar</w:t>
            </w:r>
          </w:p>
        </w:tc>
        <w:tc>
          <w:tcPr>
            <w:tcW w:w="120" w:type="dxa"/>
            <w:vAlign w:val="bottom"/>
          </w:tcPr>
          <w:p>
            <w:pPr>
              <w:spacing w:after="0"/>
              <w:rPr>
                <w:sz w:val="12"/>
                <w:szCs w:val="12"/>
                <w:color w:val="auto"/>
              </w:rPr>
            </w:pPr>
          </w:p>
        </w:tc>
        <w:tc>
          <w:tcPr>
            <w:tcW w:w="760" w:type="dxa"/>
            <w:vAlign w:val="bottom"/>
            <w:gridSpan w:val="5"/>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Gaming</w:t>
            </w:r>
          </w:p>
        </w:tc>
        <w:tc>
          <w:tcPr>
            <w:tcW w:w="12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Packaging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Estate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6"/>
              </w:rPr>
              <w:t>Fashion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Consolidated</w:t>
            </w:r>
          </w:p>
        </w:tc>
      </w:tr>
      <w:tr>
        <w:trPr>
          <w:trHeight w:val="22"/>
        </w:trPr>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5"/>
          </w:tcPr>
          <w:p>
            <w:pPr>
              <w:jc w:val="right"/>
              <w:ind w:right="220"/>
              <w:spacing w:after="0"/>
              <w:rPr>
                <w:sz w:val="20"/>
                <w:szCs w:val="20"/>
                <w:color w:val="auto"/>
              </w:rPr>
            </w:pPr>
            <w:r>
              <w:rPr>
                <w:rFonts w:ascii="Times New Roman" w:cs="Times New Roman" w:eastAsia="Times New Roman" w:hAnsi="Times New Roman"/>
                <w:sz w:val="11"/>
                <w:szCs w:val="11"/>
                <w:color w:val="auto"/>
                <w:w w:val="94"/>
              </w:rPr>
              <w:t>(in millions)</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11420" w:type="dxa"/>
            <w:vAlign w:val="bottom"/>
            <w:gridSpan w:val="57"/>
          </w:tcPr>
          <w:p>
            <w:pPr>
              <w:ind w:left="40"/>
              <w:spacing w:after="0"/>
              <w:rPr>
                <w:sz w:val="20"/>
                <w:szCs w:val="20"/>
                <w:color w:val="auto"/>
              </w:rPr>
            </w:pPr>
            <w:r>
              <w:rPr>
                <w:rFonts w:ascii="Times New Roman" w:cs="Times New Roman" w:eastAsia="Times New Roman" w:hAnsi="Times New Roman"/>
                <w:sz w:val="11"/>
                <w:szCs w:val="11"/>
                <w:color w:val="auto"/>
              </w:rPr>
              <w:t>Revenues:</w:t>
            </w:r>
          </w:p>
        </w:tc>
      </w:tr>
      <w:tr>
        <w:trPr>
          <w:trHeight w:val="22"/>
        </w:trPr>
        <w:tc>
          <w:tcPr>
            <w:tcW w:w="2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sales</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6,664</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CCEEFF"/>
            </w:tcBorders>
            <w:gridSpan w:val="3"/>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6"/>
              </w:rPr>
              <w:t>530</w:t>
            </w:r>
          </w:p>
        </w:tc>
        <w:tc>
          <w:tcPr>
            <w:tcW w:w="560" w:type="dxa"/>
            <w:vAlign w:val="bottom"/>
            <w:tcBorders>
              <w:bottom w:val="single" w:sz="8" w:color="CCEEFF"/>
            </w:tcBorders>
            <w:gridSpan w:val="2"/>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343</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228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14,574</w:t>
            </w:r>
          </w:p>
        </w:tc>
      </w:tr>
      <w:tr>
        <w:trPr>
          <w:trHeight w:val="248"/>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Other revenues from operations</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w w:val="96"/>
              </w:rPr>
              <w:t>256</w:t>
            </w:r>
          </w:p>
        </w:tc>
        <w:tc>
          <w:tcPr>
            <w:tcW w:w="76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613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82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72"/>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951</w:t>
            </w:r>
          </w:p>
        </w:tc>
      </w:tr>
      <w:tr>
        <w:trPr>
          <w:trHeight w:val="22"/>
        </w:trPr>
        <w:tc>
          <w:tcPr>
            <w:tcW w:w="2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gain from investment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2"/>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343</w:t>
            </w:r>
          </w:p>
        </w:tc>
      </w:tr>
      <w:tr>
        <w:trPr>
          <w:trHeight w:val="248"/>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Interest and dividend income</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72"/>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103</w:t>
            </w:r>
          </w:p>
        </w:tc>
      </w:tr>
      <w:tr>
        <w:trPr>
          <w:trHeight w:val="22"/>
        </w:trPr>
        <w:tc>
          <w:tcPr>
            <w:tcW w:w="2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Other (loss) income, net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92"/>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93"/>
              </w:rPr>
              <w:t>(3)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(175)</w:t>
            </w:r>
          </w:p>
        </w:tc>
      </w:tr>
      <w:tr>
        <w:trPr>
          <w:trHeight w:val="242"/>
        </w:trPr>
        <w:tc>
          <w:tcPr>
            <w:tcW w:w="2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398</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6,677</w:t>
            </w: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5,519</w:t>
            </w:r>
          </w:p>
        </w:tc>
        <w:tc>
          <w:tcPr>
            <w:tcW w:w="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1,103</w:t>
            </w:r>
          </w:p>
        </w:tc>
        <w:tc>
          <w:tcPr>
            <w:tcW w:w="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11"/>
                <w:szCs w:val="11"/>
                <w:color w:val="auto"/>
                <w:w w:val="96"/>
              </w:rPr>
              <w:t>799</w:t>
            </w:r>
          </w:p>
        </w:tc>
        <w:tc>
          <w:tcPr>
            <w:tcW w:w="120" w:type="dxa"/>
            <w:vAlign w:val="bottom"/>
          </w:tcPr>
          <w:p>
            <w:pPr>
              <w:spacing w:after="0"/>
              <w:rPr>
                <w:sz w:val="21"/>
                <w:szCs w:val="21"/>
                <w:color w:val="auto"/>
              </w:rPr>
            </w:pPr>
          </w:p>
        </w:tc>
        <w:tc>
          <w:tcPr>
            <w:tcW w:w="64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611</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341</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88</w:t>
            </w:r>
          </w:p>
        </w:tc>
        <w:tc>
          <w:tcPr>
            <w:tcW w:w="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231</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15,796</w:t>
            </w:r>
          </w:p>
        </w:tc>
      </w:tr>
      <w:tr>
        <w:trPr>
          <w:trHeight w:val="22"/>
        </w:trPr>
        <w:tc>
          <w:tcPr>
            <w:tcW w:w="2640" w:type="dxa"/>
            <w:vAlign w:val="bottom"/>
            <w:tcBorders>
              <w:bottom w:val="single" w:sz="8" w:color="CCEEFF"/>
            </w:tcBorders>
            <w:gridSpan w:val="4"/>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56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r>
      <w:tr>
        <w:trPr>
          <w:trHeight w:val="244"/>
        </w:trPr>
        <w:tc>
          <w:tcPr>
            <w:tcW w:w="11420" w:type="dxa"/>
            <w:vAlign w:val="bottom"/>
            <w:tcBorders>
              <w:bottom w:val="single" w:sz="8" w:color="CCEEFF"/>
            </w:tcBorders>
            <w:gridSpan w:val="57"/>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Expenses:</w:t>
            </w:r>
          </w:p>
        </w:tc>
      </w:tr>
      <w:tr>
        <w:trPr>
          <w:trHeight w:val="248"/>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Cost of goods sold</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21"/>
                <w:szCs w:val="21"/>
                <w:color w:val="auto"/>
              </w:rPr>
            </w:pPr>
          </w:p>
        </w:tc>
        <w:tc>
          <w:tcPr>
            <w:tcW w:w="3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5,753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4,848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1,116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w w:val="96"/>
              </w:rPr>
              <w:t>419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gridSpan w:val="4"/>
          </w:tcPr>
          <w:p>
            <w:pPr>
              <w:jc w:val="right"/>
              <w:ind w:right="220"/>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206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12,606</w:t>
            </w:r>
          </w:p>
        </w:tc>
      </w:tr>
      <w:tr>
        <w:trPr>
          <w:trHeight w:val="22"/>
        </w:trPr>
        <w:tc>
          <w:tcPr>
            <w:tcW w:w="2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Other expenses from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6"/>
              </w:rPr>
              <w:t>141</w:t>
            </w:r>
          </w:p>
        </w:tc>
        <w:tc>
          <w:tcPr>
            <w:tcW w:w="7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49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2"/>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502</w:t>
            </w:r>
          </w:p>
        </w:tc>
      </w:tr>
      <w:tr>
        <w:trPr>
          <w:trHeight w:val="248"/>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710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37</w:t>
            </w:r>
          </w:p>
        </w:tc>
        <w:tc>
          <w:tcPr>
            <w:tcW w:w="76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250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72"/>
              </w:rPr>
              <w:t>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1,275</w:t>
            </w:r>
          </w:p>
        </w:tc>
      </w:tr>
      <w:tr>
        <w:trPr>
          <w:trHeight w:val="22"/>
        </w:trPr>
        <w:tc>
          <w:tcPr>
            <w:tcW w:w="2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Restructuring</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31</w:t>
            </w:r>
          </w:p>
        </w:tc>
      </w:tr>
      <w:tr>
        <w:trPr>
          <w:trHeight w:val="248"/>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Impairment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21"/>
                <w:szCs w:val="21"/>
                <w:color w:val="auto"/>
              </w:rPr>
            </w:pPr>
          </w:p>
        </w:tc>
        <w:tc>
          <w:tcPr>
            <w:tcW w:w="3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72"/>
              </w:rPr>
              <w:t>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129</w:t>
            </w:r>
          </w:p>
        </w:tc>
      </w:tr>
      <w:tr>
        <w:trPr>
          <w:trHeight w:val="22"/>
        </w:trPr>
        <w:tc>
          <w:tcPr>
            <w:tcW w:w="2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Interest expense</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3"/>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2"/>
              </w:rPr>
              <w:t>13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21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5</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2"/>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572</w:t>
            </w:r>
          </w:p>
        </w:tc>
      </w:tr>
      <w:tr>
        <w:trPr>
          <w:trHeight w:val="242"/>
        </w:trPr>
        <w:tc>
          <w:tcPr>
            <w:tcW w:w="2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26</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6,728</w:t>
            </w: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4,999</w:t>
            </w:r>
          </w:p>
        </w:tc>
        <w:tc>
          <w:tcPr>
            <w:tcW w:w="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1,162</w:t>
            </w:r>
          </w:p>
        </w:tc>
        <w:tc>
          <w:tcPr>
            <w:tcW w:w="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11"/>
                <w:szCs w:val="11"/>
                <w:color w:val="auto"/>
                <w:w w:val="96"/>
              </w:rPr>
              <w:t>665</w:t>
            </w:r>
          </w:p>
        </w:tc>
        <w:tc>
          <w:tcPr>
            <w:tcW w:w="120" w:type="dxa"/>
            <w:vAlign w:val="bottom"/>
          </w:tcPr>
          <w:p>
            <w:pPr>
              <w:spacing w:after="0"/>
              <w:rPr>
                <w:sz w:val="21"/>
                <w:szCs w:val="21"/>
                <w:color w:val="auto"/>
              </w:rPr>
            </w:pPr>
          </w:p>
        </w:tc>
        <w:tc>
          <w:tcPr>
            <w:tcW w:w="64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577</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330</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69</w:t>
            </w:r>
          </w:p>
        </w:tc>
        <w:tc>
          <w:tcPr>
            <w:tcW w:w="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258</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301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15,115</w:t>
            </w:r>
          </w:p>
        </w:tc>
      </w:tr>
      <w:tr>
        <w:trPr>
          <w:trHeight w:val="22"/>
        </w:trPr>
        <w:tc>
          <w:tcPr>
            <w:tcW w:w="2200" w:type="dxa"/>
            <w:vAlign w:val="bottom"/>
            <w:tcBorders>
              <w:bottom w:val="single" w:sz="8" w:color="CCEEFF"/>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96"/>
              </w:rPr>
              <w:t>Income (loss) before income tax benefit (expense)</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372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97"/>
              </w:rPr>
              <w:t>(59)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3"/>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6"/>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2"/>
              </w:rPr>
              <w:t>34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19</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681</w:t>
            </w:r>
          </w:p>
        </w:tc>
      </w:tr>
      <w:tr>
        <w:trPr>
          <w:trHeight w:val="248"/>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Income tax benefit (expense)</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21"/>
                <w:szCs w:val="21"/>
                <w:color w:val="auto"/>
              </w:rPr>
            </w:pPr>
          </w:p>
        </w:tc>
        <w:tc>
          <w:tcPr>
            <w:tcW w:w="3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w w:val="92"/>
              </w:rPr>
              <w:t>(182)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(42)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93"/>
              </w:rPr>
              <w:t>(4)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72"/>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81</w:t>
            </w:r>
          </w:p>
        </w:tc>
      </w:tr>
      <w:tr>
        <w:trPr>
          <w:trHeight w:val="22"/>
        </w:trPr>
        <w:tc>
          <w:tcPr>
            <w:tcW w:w="2200" w:type="dxa"/>
            <w:vAlign w:val="bottom"/>
            <w:tcBorders>
              <w:bottom w:val="single" w:sz="8" w:color="CCEEFF"/>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income (loss)</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372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97"/>
              </w:rPr>
              <w:t>(58)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3"/>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2"/>
              </w:rPr>
              <w:t>30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19</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762</w:t>
            </w:r>
          </w:p>
        </w:tc>
      </w:tr>
      <w:tr>
        <w:trPr>
          <w:trHeight w:val="135"/>
        </w:trPr>
        <w:tc>
          <w:tcPr>
            <w:tcW w:w="3120" w:type="dxa"/>
            <w:vAlign w:val="bottom"/>
            <w:gridSpan w:val="6"/>
          </w:tcPr>
          <w:p>
            <w:pPr>
              <w:ind w:left="40"/>
              <w:spacing w:after="0"/>
              <w:rPr>
                <w:sz w:val="20"/>
                <w:szCs w:val="20"/>
                <w:color w:val="auto"/>
              </w:rPr>
            </w:pPr>
            <w:r>
              <w:rPr>
                <w:rFonts w:ascii="Times New Roman" w:cs="Times New Roman" w:eastAsia="Times New Roman" w:hAnsi="Times New Roman"/>
                <w:sz w:val="11"/>
                <w:szCs w:val="11"/>
                <w:color w:val="auto"/>
              </w:rPr>
              <w:t>Less: net (income) loss attributable to non-controlling</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interests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(215)</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(63)</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93"/>
              </w:rPr>
              <w:t>(9)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72"/>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(366)</w:t>
            </w:r>
          </w:p>
        </w:tc>
      </w:tr>
      <w:tr>
        <w:trPr>
          <w:trHeight w:val="22"/>
        </w:trPr>
        <w:tc>
          <w:tcPr>
            <w:tcW w:w="2300" w:type="dxa"/>
            <w:vAlign w:val="bottom"/>
            <w:tcBorders>
              <w:bottom w:val="single" w:sz="8" w:color="CCEEFF"/>
            </w:tcBorders>
            <w:gridSpan w:val="3"/>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income (loss) attributable to Icahn Enterprises</w:t>
            </w:r>
          </w:p>
        </w:tc>
        <w:tc>
          <w:tcPr>
            <w:tcW w:w="700" w:type="dxa"/>
            <w:vAlign w:val="bottom"/>
            <w:tcBorders>
              <w:bottom w:val="single" w:sz="8" w:color="CCEEFF"/>
            </w:tcBorders>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97"/>
              </w:rPr>
              <w:t>(58)</w:t>
            </w:r>
          </w:p>
        </w:tc>
        <w:tc>
          <w:tcPr>
            <w:tcW w:w="400" w:type="dxa"/>
            <w:vAlign w:val="bottom"/>
            <w:tcBorders>
              <w:bottom w:val="single" w:sz="8" w:color="CCEEFF"/>
            </w:tcBorders>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CCEEFF"/>
            </w:tcBorders>
            <w:gridSpan w:val="3"/>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w:t>
            </w:r>
          </w:p>
        </w:tc>
        <w:tc>
          <w:tcPr>
            <w:tcW w:w="560" w:type="dxa"/>
            <w:vAlign w:val="bottom"/>
            <w:tcBorders>
              <w:bottom w:val="single" w:sz="8" w:color="CCEEFF"/>
            </w:tcBorders>
            <w:gridSpan w:val="2"/>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2"/>
              </w:rPr>
              <w:t>21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4</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19</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396</w:t>
            </w:r>
          </w:p>
        </w:tc>
      </w:tr>
      <w:tr>
        <w:trPr>
          <w:trHeight w:val="20"/>
        </w:trPr>
        <w:tc>
          <w:tcPr>
            <w:tcW w:w="2640" w:type="dxa"/>
            <w:vAlign w:val="bottom"/>
            <w:tcBorders>
              <w:top w:val="single" w:sz="8" w:color="CCEEFF"/>
            </w:tcBorders>
            <w:gridSpan w:val="4"/>
          </w:tcPr>
          <w:p>
            <w:pPr>
              <w:spacing w:after="0" w:line="20" w:lineRule="exact"/>
              <w:rPr>
                <w:sz w:val="1"/>
                <w:szCs w:val="1"/>
                <w:color w:val="auto"/>
              </w:rPr>
            </w:pPr>
          </w:p>
        </w:tc>
        <w:tc>
          <w:tcPr>
            <w:tcW w:w="82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r>
      <w:tr>
        <w:trPr>
          <w:trHeight w:val="224"/>
        </w:trPr>
        <w:tc>
          <w:tcPr>
            <w:tcW w:w="11420" w:type="dxa"/>
            <w:vAlign w:val="bottom"/>
            <w:gridSpan w:val="57"/>
          </w:tcPr>
          <w:p>
            <w:pPr>
              <w:spacing w:after="0"/>
              <w:rPr>
                <w:sz w:val="19"/>
                <w:szCs w:val="19"/>
                <w:color w:val="auto"/>
              </w:rPr>
            </w:pPr>
          </w:p>
        </w:tc>
      </w:tr>
      <w:tr>
        <w:trPr>
          <w:trHeight w:val="250"/>
        </w:trPr>
        <w:tc>
          <w:tcPr>
            <w:tcW w:w="11420" w:type="dxa"/>
            <w:vAlign w:val="bottom"/>
            <w:tcBorders>
              <w:bottom w:val="single" w:sz="8" w:color="CCEEFF"/>
            </w:tcBorders>
            <w:gridSpan w:val="57"/>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Supplemental information:</w:t>
            </w:r>
          </w:p>
        </w:tc>
      </w:tr>
      <w:tr>
        <w:trPr>
          <w:trHeight w:val="248"/>
        </w:trPr>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Capital expenditures</w:t>
            </w:r>
          </w:p>
        </w:tc>
        <w:tc>
          <w:tcPr>
            <w:tcW w:w="100" w:type="dxa"/>
            <w:vAlign w:val="bottom"/>
          </w:tcPr>
          <w:p>
            <w:pPr>
              <w:spacing w:after="0"/>
              <w:rPr>
                <w:sz w:val="21"/>
                <w:szCs w:val="21"/>
                <w:color w:val="auto"/>
              </w:rPr>
            </w:pPr>
          </w:p>
        </w:tc>
        <w:tc>
          <w:tcPr>
            <w:tcW w:w="70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387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20" w:type="dxa"/>
            <w:vAlign w:val="bottom"/>
          </w:tcPr>
          <w:p>
            <w:pPr>
              <w:spacing w:after="0"/>
              <w:rPr>
                <w:sz w:val="21"/>
                <w:szCs w:val="21"/>
                <w:color w:val="auto"/>
              </w:rPr>
            </w:pPr>
          </w:p>
        </w:tc>
        <w:tc>
          <w:tcPr>
            <w:tcW w:w="2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20" w:type="dxa"/>
            <w:vAlign w:val="bottom"/>
          </w:tcPr>
          <w:p>
            <w:pPr>
              <w:spacing w:after="0"/>
              <w:rPr>
                <w:sz w:val="21"/>
                <w:szCs w:val="21"/>
                <w:color w:val="auto"/>
              </w:rPr>
            </w:pPr>
          </w:p>
        </w:tc>
        <w:tc>
          <w:tcPr>
            <w:tcW w:w="40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w w:val="96"/>
              </w:rPr>
              <w:t>302</w:t>
            </w:r>
          </w:p>
        </w:tc>
        <w:tc>
          <w:tcPr>
            <w:tcW w:w="560" w:type="dxa"/>
            <w:vAlign w:val="bottom"/>
            <w:gridSpan w:val="2"/>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72"/>
              </w:rPr>
              <w:t>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39</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72"/>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936</w:t>
            </w:r>
          </w:p>
        </w:tc>
      </w:tr>
      <w:tr>
        <w:trPr>
          <w:trHeight w:val="22"/>
        </w:trPr>
        <w:tc>
          <w:tcPr>
            <w:tcW w:w="2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Depreciation and amortization</w:t>
            </w:r>
            <w:r>
              <w:rPr>
                <w:rFonts w:ascii="Times New Roman" w:cs="Times New Roman" w:eastAsia="Times New Roman" w:hAnsi="Times New Roman"/>
                <w:sz w:val="8"/>
                <w:szCs w:val="8"/>
                <w:color w:val="auto"/>
              </w:rPr>
              <w:t>(1)</w:t>
            </w: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3"/>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83</w:t>
            </w:r>
          </w:p>
        </w:tc>
        <w:tc>
          <w:tcPr>
            <w:tcW w:w="560" w:type="dxa"/>
            <w:vAlign w:val="bottom"/>
            <w:gridSpan w:val="2"/>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2"/>
              </w:rPr>
              <w:t>32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18</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23</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607</w:t>
            </w:r>
          </w:p>
        </w:tc>
      </w:tr>
      <w:tr>
        <w:trPr>
          <w:trHeight w:val="22"/>
        </w:trPr>
        <w:tc>
          <w:tcPr>
            <w:tcW w:w="11420" w:type="dxa"/>
            <w:vAlign w:val="bottom"/>
            <w:gridSpan w:val="57"/>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-5487670</wp:posOffset>
            </wp:positionV>
            <wp:extent cx="13804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-5685155</wp:posOffset>
            </wp:positionV>
            <wp:extent cx="13804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-6045200</wp:posOffset>
            </wp:positionV>
            <wp:extent cx="13804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-6414135</wp:posOffset>
            </wp:positionV>
            <wp:extent cx="13804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-7803515</wp:posOffset>
            </wp:positionV>
            <wp:extent cx="13804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16725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16725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-1217295</wp:posOffset>
            </wp:positionV>
            <wp:extent cx="16725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-1560195</wp:posOffset>
            </wp:positionV>
            <wp:extent cx="16725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-2949575</wp:posOffset>
            </wp:positionV>
            <wp:extent cx="16725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ectPr>
          <w:pgSz w:w="11900" w:h="16844" w:orient="portrait"/>
          <w:cols w:equalWidth="0" w:num="1">
            <w:col w:w="11420"/>
          </w:cols>
          <w:pgMar w:left="240" w:top="333" w:right="239" w:bottom="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7"/>
          <w:szCs w:val="17"/>
          <w:color w:val="auto"/>
        </w:rPr>
        <w:t>207</w:t>
      </w:r>
    </w:p>
    <w:p>
      <w:pPr>
        <w:sectPr>
          <w:pgSz w:w="11900" w:h="16838" w:orient="portrait"/>
          <w:cols w:equalWidth="0" w:num="1">
            <w:col w:w="9019"/>
          </w:cols>
          <w:pgMar w:left="1440" w:top="743" w:right="1440"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180" w:right="580" w:hanging="172"/>
        <w:spacing w:after="0" w:line="253" w:lineRule="auto"/>
        <w:tabs>
          <w:tab w:leader="none" w:pos="180" w:val="left"/>
        </w:tabs>
        <w:numPr>
          <w:ilvl w:val="0"/>
          <w:numId w:val="6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amounts related to the amortization of debt discounts and premiums included in interest expense in the amounts of $22 million, $34 million and $28 million for the years ended December 31, 2014, 2013 and 2012, respectively.</w:t>
      </w:r>
    </w:p>
    <w:p>
      <w:pPr>
        <w:ind w:left="180" w:hanging="172"/>
        <w:spacing w:after="0"/>
        <w:tabs>
          <w:tab w:leader="none" w:pos="180" w:val="left"/>
        </w:tabs>
        <w:numPr>
          <w:ilvl w:val="0"/>
          <w:numId w:val="6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consolidated CVR effective May 4, 2012.</w:t>
      </w:r>
    </w:p>
    <w:p>
      <w:pPr>
        <w:spacing w:after="0" w:line="2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Icahn Enterprises' condensed balance sheets by reporting segment as of December 31, 2014 and 2013 are presented below:</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December 31, 2014</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Food</w:t>
            </w:r>
          </w:p>
        </w:tc>
        <w:tc>
          <w:tcPr>
            <w:tcW w:w="100" w:type="dxa"/>
            <w:vAlign w:val="bottom"/>
          </w:tcPr>
          <w:p>
            <w:pPr>
              <w:spacing w:after="0"/>
              <w:rPr>
                <w:sz w:val="10"/>
                <w:szCs w:val="10"/>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Real</w:t>
            </w:r>
          </w:p>
        </w:tc>
        <w:tc>
          <w:tcPr>
            <w:tcW w:w="80" w:type="dxa"/>
            <w:vAlign w:val="bottom"/>
          </w:tcPr>
          <w:p>
            <w:pPr>
              <w:spacing w:after="0"/>
              <w:rPr>
                <w:sz w:val="10"/>
                <w:szCs w:val="10"/>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Home</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Holding</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Metals</w:t>
            </w:r>
          </w:p>
        </w:tc>
        <w:tc>
          <w:tcPr>
            <w:tcW w:w="10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7"/>
              </w:rPr>
              <w:t>Railcar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Gaming</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Packaging</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color w:val="auto"/>
                <w:w w:val="98"/>
              </w:rPr>
              <w:t>(in millions)</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40" w:type="dxa"/>
            <w:vAlign w:val="bottom"/>
          </w:tcPr>
          <w:p>
            <w:pPr>
              <w:ind w:left="118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412</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2,912</w:t>
            </w:r>
          </w:p>
        </w:tc>
        <w:tc>
          <w:tcPr>
            <w:tcW w:w="0" w:type="dxa"/>
            <w:vAlign w:val="bottom"/>
          </w:tcPr>
          <w:p>
            <w:pPr>
              <w:spacing w:after="0"/>
              <w:rPr>
                <w:sz w:val="1"/>
                <w:szCs w:val="1"/>
                <w:color w:val="auto"/>
              </w:rPr>
            </w:pPr>
          </w:p>
        </w:tc>
      </w:tr>
      <w:tr>
        <w:trPr>
          <w:trHeight w:val="135"/>
        </w:trPr>
        <w:tc>
          <w:tcPr>
            <w:tcW w:w="2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Cash held at consolidated affiliated partnerships and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7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restricted cash</w:t>
            </w:r>
          </w:p>
        </w:tc>
        <w:tc>
          <w:tcPr>
            <w:tcW w:w="12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1,366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1,435</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13,961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14,500</w:t>
            </w: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Accounts receivable,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1,691</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117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1,879</w:t>
            </w: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2,376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633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8,955</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3,088</w:t>
            </w: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Other assets</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1,320</w:t>
            </w:r>
          </w:p>
        </w:tc>
        <w:tc>
          <w:tcPr>
            <w:tcW w:w="0" w:type="dxa"/>
            <w:vAlign w:val="bottom"/>
          </w:tcPr>
          <w:p>
            <w:pPr>
              <w:spacing w:after="0"/>
              <w:rPr>
                <w:sz w:val="1"/>
                <w:szCs w:val="1"/>
                <w:color w:val="auto"/>
              </w:rPr>
            </w:pPr>
          </w:p>
        </w:tc>
      </w:tr>
      <w:tr>
        <w:trPr>
          <w:trHeight w:val="22"/>
        </w:trPr>
        <w:tc>
          <w:tcPr>
            <w:tcW w:w="2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15,460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7,529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5,334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315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3,120</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1,260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436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745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1,373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35,780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1"/>
                <w:szCs w:val="11"/>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7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Accounts payable, 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294</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4,877</w:t>
            </w: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Securities sold, not yet purchased, at fair value</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337</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5,197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5,197</w:t>
            </w: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Post-employment benefit liability</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1,391</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2,690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2,133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274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5,486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11,588</w:t>
            </w:r>
          </w:p>
        </w:tc>
        <w:tc>
          <w:tcPr>
            <w:tcW w:w="0" w:type="dxa"/>
            <w:vAlign w:val="bottom"/>
          </w:tcPr>
          <w:p>
            <w:pPr>
              <w:spacing w:after="0"/>
              <w:rPr>
                <w:sz w:val="1"/>
                <w:szCs w:val="1"/>
                <w:color w:val="auto"/>
              </w:rPr>
            </w:pPr>
          </w:p>
        </w:tc>
      </w:tr>
      <w:tr>
        <w:trPr>
          <w:trHeight w:val="228"/>
        </w:trPr>
        <w:tc>
          <w:tcPr>
            <w:tcW w:w="2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6,398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5,951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2,146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2,436</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425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390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52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5,499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23,390</w:t>
            </w:r>
          </w:p>
        </w:tc>
        <w:tc>
          <w:tcPr>
            <w:tcW w:w="0" w:type="dxa"/>
            <w:vAlign w:val="bottom"/>
          </w:tcPr>
          <w:p>
            <w:pPr>
              <w:spacing w:after="0"/>
              <w:rPr>
                <w:sz w:val="1"/>
                <w:szCs w:val="1"/>
                <w:color w:val="auto"/>
              </w:rPr>
            </w:pPr>
          </w:p>
        </w:tc>
      </w:tr>
      <w:tr>
        <w:trPr>
          <w:trHeight w:val="22"/>
        </w:trPr>
        <w:tc>
          <w:tcPr>
            <w:tcW w:w="2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Equity attributable to Icahn Enterprises</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711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693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(4,126)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5,443</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4,778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347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1,576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6,947</w:t>
            </w:r>
          </w:p>
        </w:tc>
        <w:tc>
          <w:tcPr>
            <w:tcW w:w="0" w:type="dxa"/>
            <w:vAlign w:val="bottom"/>
          </w:tcPr>
          <w:p>
            <w:pPr>
              <w:spacing w:after="0"/>
              <w:rPr>
                <w:sz w:val="1"/>
                <w:szCs w:val="1"/>
                <w:color w:val="auto"/>
              </w:rPr>
            </w:pPr>
          </w:p>
        </w:tc>
      </w:tr>
      <w:tr>
        <w:trPr>
          <w:trHeight w:val="228"/>
        </w:trPr>
        <w:tc>
          <w:tcPr>
            <w:tcW w:w="2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9,062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1,578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3,188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250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684</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835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693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(4,126)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12,390</w:t>
            </w:r>
          </w:p>
        </w:tc>
        <w:tc>
          <w:tcPr>
            <w:tcW w:w="0" w:type="dxa"/>
            <w:vAlign w:val="bottom"/>
          </w:tcPr>
          <w:p>
            <w:pPr>
              <w:spacing w:after="0"/>
              <w:rPr>
                <w:sz w:val="1"/>
                <w:szCs w:val="1"/>
                <w:color w:val="auto"/>
              </w:rPr>
            </w:pPr>
          </w:p>
        </w:tc>
      </w:tr>
      <w:tr>
        <w:trPr>
          <w:trHeight w:val="22"/>
        </w:trPr>
        <w:tc>
          <w:tcPr>
            <w:tcW w:w="2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liabilities and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15,460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7,529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5,334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315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3,120</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1,260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436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745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1,373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35,780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420"/>
          </w:cols>
          <w:pgMar w:left="240" w:top="333" w:right="23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5"/>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8"/>
              </w:rPr>
              <w:t>December 31, 2013</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Food</w:t>
            </w:r>
          </w:p>
        </w:tc>
        <w:tc>
          <w:tcPr>
            <w:tcW w:w="100" w:type="dxa"/>
            <w:vAlign w:val="bottom"/>
          </w:tcPr>
          <w:p>
            <w:pPr>
              <w:spacing w:after="0"/>
              <w:rPr>
                <w:sz w:val="10"/>
                <w:szCs w:val="10"/>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Real</w:t>
            </w:r>
          </w:p>
        </w:tc>
        <w:tc>
          <w:tcPr>
            <w:tcW w:w="80" w:type="dxa"/>
            <w:vAlign w:val="bottom"/>
          </w:tcPr>
          <w:p>
            <w:pPr>
              <w:spacing w:after="0"/>
              <w:rPr>
                <w:sz w:val="10"/>
                <w:szCs w:val="10"/>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Home</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Holding</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Metals</w:t>
            </w:r>
          </w:p>
        </w:tc>
        <w:tc>
          <w:tcPr>
            <w:tcW w:w="1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7"/>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Gaming</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Packaging</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color w:val="auto"/>
                <w:w w:val="98"/>
              </w:rPr>
              <w:t>(in millions)</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40" w:type="dxa"/>
            <w:vAlign w:val="bottom"/>
          </w:tcPr>
          <w:p>
            <w:pPr>
              <w:ind w:left="118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417</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3,262</w:t>
            </w:r>
          </w:p>
        </w:tc>
        <w:tc>
          <w:tcPr>
            <w:tcW w:w="0" w:type="dxa"/>
            <w:vAlign w:val="bottom"/>
          </w:tcPr>
          <w:p>
            <w:pPr>
              <w:spacing w:after="0"/>
              <w:rPr>
                <w:sz w:val="1"/>
                <w:szCs w:val="1"/>
                <w:color w:val="auto"/>
              </w:rPr>
            </w:pPr>
          </w:p>
        </w:tc>
      </w:tr>
      <w:tr>
        <w:trPr>
          <w:trHeight w:val="135"/>
        </w:trPr>
        <w:tc>
          <w:tcPr>
            <w:tcW w:w="2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Cash held at consolidated affiliated partnerships and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7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restricted cash</w:t>
            </w:r>
          </w:p>
        </w:tc>
        <w:tc>
          <w:tcPr>
            <w:tcW w:w="12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396</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11,826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12,261</w:t>
            </w: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Accounts receivable,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1,750</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1,902</w:t>
            </w: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1,889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656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8,077</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1,307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3,187</w:t>
            </w: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Other assets</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910</w:t>
            </w:r>
          </w:p>
        </w:tc>
        <w:tc>
          <w:tcPr>
            <w:tcW w:w="0" w:type="dxa"/>
            <w:vAlign w:val="bottom"/>
          </w:tcPr>
          <w:p>
            <w:pPr>
              <w:spacing w:after="0"/>
              <w:rPr>
                <w:sz w:val="1"/>
                <w:szCs w:val="1"/>
                <w:color w:val="auto"/>
              </w:rPr>
            </w:pPr>
          </w:p>
        </w:tc>
      </w:tr>
      <w:tr>
        <w:trPr>
          <w:trHeight w:val="22"/>
        </w:trPr>
        <w:tc>
          <w:tcPr>
            <w:tcW w:w="2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12,197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7,545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5,748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334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2,547</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405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780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31,745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1"/>
                <w:szCs w:val="11"/>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7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Accounts payable, 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204</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4,943</w:t>
            </w: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Securities sold, not yet purchased, at fair value</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884</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2,203</w:t>
            </w: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Post-employment benefit liability</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1,111</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2,586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676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1,448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217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4,016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9,295</w:t>
            </w:r>
          </w:p>
        </w:tc>
        <w:tc>
          <w:tcPr>
            <w:tcW w:w="0" w:type="dxa"/>
            <w:vAlign w:val="bottom"/>
          </w:tcPr>
          <w:p>
            <w:pPr>
              <w:spacing w:after="0"/>
              <w:rPr>
                <w:sz w:val="1"/>
                <w:szCs w:val="1"/>
                <w:color w:val="auto"/>
              </w:rPr>
            </w:pPr>
          </w:p>
        </w:tc>
      </w:tr>
      <w:tr>
        <w:trPr>
          <w:trHeight w:val="228"/>
        </w:trPr>
        <w:tc>
          <w:tcPr>
            <w:tcW w:w="2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3,844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5,421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2,226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1,657</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430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330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69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4,367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18,436</w:t>
            </w:r>
          </w:p>
        </w:tc>
        <w:tc>
          <w:tcPr>
            <w:tcW w:w="0" w:type="dxa"/>
            <w:vAlign w:val="bottom"/>
          </w:tcPr>
          <w:p>
            <w:pPr>
              <w:spacing w:after="0"/>
              <w:rPr>
                <w:sz w:val="1"/>
                <w:szCs w:val="1"/>
                <w:color w:val="auto"/>
              </w:rPr>
            </w:pPr>
          </w:p>
        </w:tc>
      </w:tr>
      <w:tr>
        <w:trPr>
          <w:trHeight w:val="22"/>
        </w:trPr>
        <w:tc>
          <w:tcPr>
            <w:tcW w:w="2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Equity attributable to Icahn Enterprises</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591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711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(3,403)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6,092</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4,657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464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1,596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7,217</w:t>
            </w:r>
          </w:p>
        </w:tc>
        <w:tc>
          <w:tcPr>
            <w:tcW w:w="0" w:type="dxa"/>
            <w:vAlign w:val="bottom"/>
          </w:tcPr>
          <w:p>
            <w:pPr>
              <w:spacing w:after="0"/>
              <w:rPr>
                <w:sz w:val="1"/>
                <w:szCs w:val="1"/>
                <w:color w:val="auto"/>
              </w:rPr>
            </w:pPr>
          </w:p>
        </w:tc>
      </w:tr>
      <w:tr>
        <w:trPr>
          <w:trHeight w:val="228"/>
        </w:trPr>
        <w:tc>
          <w:tcPr>
            <w:tcW w:w="2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8,353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2,124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3,522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273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890</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566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711</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191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(3,396)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13,309</w:t>
            </w:r>
          </w:p>
        </w:tc>
        <w:tc>
          <w:tcPr>
            <w:tcW w:w="0" w:type="dxa"/>
            <w:vAlign w:val="bottom"/>
          </w:tcPr>
          <w:p>
            <w:pPr>
              <w:spacing w:after="0"/>
              <w:rPr>
                <w:sz w:val="1"/>
                <w:szCs w:val="1"/>
                <w:color w:val="auto"/>
              </w:rPr>
            </w:pPr>
          </w:p>
        </w:tc>
      </w:tr>
      <w:tr>
        <w:trPr>
          <w:trHeight w:val="22"/>
        </w:trPr>
        <w:tc>
          <w:tcPr>
            <w:tcW w:w="2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liabilities and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12,197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7,545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5,748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334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2,547</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405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780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31,745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620" w:firstLine="37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segments' geographic net sales from external customers, other revenues from operations and property, plant and equipment, net for the periods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Property, Plant and</w:t>
            </w:r>
          </w:p>
        </w:tc>
      </w:tr>
      <w:tr>
        <w:trPr>
          <w:trHeight w:val="238"/>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80" w:type="dxa"/>
            <w:vAlign w:val="bottom"/>
            <w:gridSpan w:val="8"/>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Other Revenues From Operations</w:t>
            </w:r>
          </w:p>
        </w:tc>
        <w:tc>
          <w:tcPr>
            <w:tcW w:w="26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Equipment, Net</w:t>
            </w:r>
          </w:p>
        </w:tc>
      </w:tr>
      <w:tr>
        <w:trPr>
          <w:trHeight w:val="27"/>
        </w:trPr>
        <w:tc>
          <w:tcPr>
            <w:tcW w:w="1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6"/>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6"/>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6"/>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gridSpan w:val="6"/>
          </w:tcPr>
          <w:p>
            <w:pPr>
              <w:jc w:val="center"/>
              <w:ind w:left="472"/>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7"/>
        </w:trPr>
        <w:tc>
          <w:tcPr>
            <w:tcW w:w="1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2012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1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5"/>
        </w:trPr>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5"/>
        </w:trPr>
        <w:tc>
          <w:tcPr>
            <w:tcW w:w="1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   $</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13,171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10,202</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6,207</w:t>
            </w:r>
          </w:p>
        </w:tc>
      </w:tr>
      <w:tr>
        <w:trPr>
          <w:trHeight w:val="243"/>
        </w:trPr>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r>
      <w:tr>
        <w:trPr>
          <w:trHeight w:val="27"/>
        </w:trPr>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3,197</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1,445</w:t>
            </w:r>
          </w:p>
        </w:tc>
      </w:tr>
      <w:tr>
        <w:trPr>
          <w:trHeight w:val="237"/>
        </w:trPr>
        <w:tc>
          <w:tcPr>
            <w:tcW w:w="12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18,072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17,785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14,574</w:t>
            </w:r>
          </w:p>
        </w:tc>
        <w:tc>
          <w:tcPr>
            <w:tcW w:w="2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951</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8,955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8,077</w:t>
            </w:r>
          </w:p>
        </w:tc>
      </w:tr>
      <w:tr>
        <w:trPr>
          <w:trHeight w:val="27"/>
        </w:trPr>
        <w:tc>
          <w:tcPr>
            <w:tcW w:w="1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Geographic location is based on location of the customer and location of the asset.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420"/>
          </w:cols>
          <w:pgMar w:left="240" w:top="333" w:right="23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Icahn Enterprises Holdings</w:t>
      </w:r>
    </w:p>
    <w:p>
      <w:pPr>
        <w:spacing w:after="0" w:line="121" w:lineRule="exact"/>
        <w:rPr>
          <w:sz w:val="20"/>
          <w:szCs w:val="20"/>
          <w:color w:val="auto"/>
        </w:rPr>
      </w:pPr>
    </w:p>
    <w:p>
      <w:pPr>
        <w:ind w:right="180" w:firstLine="378"/>
        <w:spacing w:after="0" w:line="261" w:lineRule="auto"/>
        <w:rPr>
          <w:sz w:val="20"/>
          <w:szCs w:val="20"/>
          <w:color w:val="auto"/>
        </w:rPr>
      </w:pPr>
      <w:r>
        <w:rPr>
          <w:rFonts w:ascii="Times New Roman" w:cs="Times New Roman" w:eastAsia="Times New Roman" w:hAnsi="Times New Roman"/>
          <w:sz w:val="18"/>
          <w:szCs w:val="18"/>
          <w:color w:val="auto"/>
        </w:rPr>
        <w:t>Due to the structure of our business, the consolidated results of operations for Icahn Enterprises and Icahn Enterprises Holdings are substantially the same. Differences primarily relate to non-cash portions of interest expense, and are only reflected in the results of operations for our Holding Company. See Note 10, "Debt," for additional information. Segment information for Icahn Enterprises Holdings is presented below for significant financial statement line items affected by these differences.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8"/>
          </w:tcPr>
          <w:p>
            <w:pPr>
              <w:jc w:val="center"/>
              <w:ind w:right="86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264"/>
        </w:trPr>
        <w:tc>
          <w:tcPr>
            <w:tcW w:w="10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2014</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2013</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2012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2"/>
              </w:rPr>
              <w:t>2014</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2013</w:t>
            </w:r>
          </w:p>
        </w:tc>
      </w:tr>
      <w:tr>
        <w:trPr>
          <w:trHeight w:val="142"/>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Net Income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Net Income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Net (Loss) Income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Attributable to</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Attributable to</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Attributable to</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Icahn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Icahn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Net (Loss)</w:t>
            </w:r>
          </w:p>
        </w:tc>
        <w:tc>
          <w:tcPr>
            <w:tcW w:w="118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Icahn Enterprises</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Net Income</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Enterprises</w:t>
            </w:r>
          </w:p>
        </w:tc>
        <w:tc>
          <w:tcPr>
            <w:tcW w:w="1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Net Income</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Enterprises</w:t>
            </w:r>
          </w:p>
        </w:tc>
        <w:tc>
          <w:tcPr>
            <w:tcW w:w="140" w:type="dxa"/>
            <w:vAlign w:val="bottom"/>
          </w:tcPr>
          <w:p>
            <w:pPr>
              <w:spacing w:after="0"/>
              <w:rPr>
                <w:sz w:val="11"/>
                <w:szCs w:val="11"/>
                <w:color w:val="auto"/>
              </w:rPr>
            </w:pPr>
          </w:p>
        </w:tc>
        <w:tc>
          <w:tcPr>
            <w:tcW w:w="6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11"/>
                <w:szCs w:val="11"/>
                <w:color w:val="auto"/>
              </w:rPr>
            </w:pPr>
          </w:p>
        </w:tc>
        <w:tc>
          <w:tcPr>
            <w:tcW w:w="5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176"/>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Holdings</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Expense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Holdings</w:t>
            </w:r>
          </w:p>
        </w:tc>
        <w:tc>
          <w:tcPr>
            <w:tcW w:w="10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12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Holdings</w:t>
            </w:r>
          </w:p>
        </w:tc>
        <w:tc>
          <w:tcPr>
            <w:tcW w:w="140" w:type="dxa"/>
            <w:vAlign w:val="bottom"/>
          </w:tcPr>
          <w:p>
            <w:pPr>
              <w:spacing w:after="0"/>
              <w:rPr>
                <w:sz w:val="15"/>
                <w:szCs w:val="15"/>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Assets</w:t>
            </w:r>
          </w:p>
        </w:tc>
        <w:tc>
          <w:tcPr>
            <w:tcW w:w="120" w:type="dxa"/>
            <w:vAlign w:val="bottom"/>
          </w:tcPr>
          <w:p>
            <w:pPr>
              <w:spacing w:after="0"/>
              <w:rPr>
                <w:sz w:val="15"/>
                <w:szCs w:val="15"/>
                <w:color w:val="auto"/>
              </w:rPr>
            </w:pPr>
          </w:p>
        </w:tc>
        <w:tc>
          <w:tcPr>
            <w:tcW w:w="5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Assets</w:t>
            </w:r>
          </w:p>
        </w:tc>
      </w:tr>
      <w:tr>
        <w:trPr>
          <w:trHeight w:val="249"/>
        </w:trPr>
        <w:tc>
          <w:tcPr>
            <w:tcW w:w="10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(in millions)</w:t>
            </w: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gridSpan w:val="4"/>
          </w:tcPr>
          <w:p>
            <w:pPr>
              <w:jc w:val="right"/>
              <w:ind w:right="317"/>
              <w:spacing w:after="0"/>
              <w:rPr>
                <w:sz w:val="20"/>
                <w:szCs w:val="20"/>
                <w:color w:val="auto"/>
              </w:rPr>
            </w:pPr>
            <w:r>
              <w:rPr>
                <w:rFonts w:ascii="Times New Roman" w:cs="Times New Roman" w:eastAsia="Times New Roman" w:hAnsi="Times New Roman"/>
                <w:sz w:val="13"/>
                <w:szCs w:val="13"/>
                <w:color w:val="auto"/>
              </w:rPr>
              <w:t>(in millions)</w:t>
            </w:r>
          </w:p>
        </w:tc>
      </w:tr>
      <w:tr>
        <w:trPr>
          <w:trHeight w:val="278"/>
        </w:trPr>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Investment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(684)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(305)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812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15,460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12,197</w:t>
            </w:r>
          </w:p>
        </w:tc>
      </w:tr>
      <w:tr>
        <w:trPr>
          <w:trHeight w:val="262"/>
        </w:trPr>
        <w:tc>
          <w:tcPr>
            <w:tcW w:w="1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Automotive</w:t>
            </w:r>
          </w:p>
        </w:tc>
        <w:tc>
          <w:tcPr>
            <w:tcW w:w="120" w:type="dxa"/>
            <w:vAlign w:val="bottom"/>
          </w:tcPr>
          <w:p>
            <w:pPr>
              <w:spacing w:after="0"/>
              <w:rPr>
                <w:sz w:val="22"/>
                <w:szCs w:val="22"/>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7,529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7,545</w:t>
            </w:r>
          </w:p>
        </w:tc>
      </w:tr>
      <w:tr>
        <w:trPr>
          <w:trHeight w:val="278"/>
        </w:trPr>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Energy</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479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338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5,334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5,748</w:t>
            </w:r>
          </w:p>
        </w:tc>
      </w:tr>
      <w:tr>
        <w:trPr>
          <w:trHeight w:val="262"/>
        </w:trPr>
        <w:tc>
          <w:tcPr>
            <w:tcW w:w="1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Metals</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334</w:t>
            </w:r>
          </w:p>
        </w:tc>
      </w:tr>
      <w:tr>
        <w:trPr>
          <w:trHeight w:val="278"/>
        </w:trPr>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Railcar</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3,120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2,547</w:t>
            </w:r>
          </w:p>
        </w:tc>
      </w:tr>
      <w:tr>
        <w:trPr>
          <w:trHeight w:val="262"/>
        </w:trPr>
        <w:tc>
          <w:tcPr>
            <w:tcW w:w="1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Gaming</w:t>
            </w:r>
          </w:p>
        </w:tc>
        <w:tc>
          <w:tcPr>
            <w:tcW w:w="120" w:type="dxa"/>
            <w:vAlign w:val="bottom"/>
          </w:tcPr>
          <w:p>
            <w:pPr>
              <w:spacing w:after="0"/>
              <w:rPr>
                <w:sz w:val="22"/>
                <w:szCs w:val="22"/>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185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996</w:t>
            </w:r>
          </w:p>
        </w:tc>
      </w:tr>
      <w:tr>
        <w:trPr>
          <w:trHeight w:val="278"/>
        </w:trPr>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Food Packaging</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436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405</w:t>
            </w:r>
          </w:p>
        </w:tc>
      </w:tr>
      <w:tr>
        <w:trPr>
          <w:trHeight w:val="262"/>
        </w:trPr>
        <w:tc>
          <w:tcPr>
            <w:tcW w:w="1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Real Estate</w:t>
            </w:r>
          </w:p>
        </w:tc>
        <w:tc>
          <w:tcPr>
            <w:tcW w:w="120" w:type="dxa"/>
            <w:vAlign w:val="bottom"/>
          </w:tcPr>
          <w:p>
            <w:pPr>
              <w:spacing w:after="0"/>
              <w:rPr>
                <w:sz w:val="22"/>
                <w:szCs w:val="22"/>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780</w:t>
            </w:r>
          </w:p>
        </w:tc>
      </w:tr>
      <w:tr>
        <w:trPr>
          <w:trHeight w:val="278"/>
        </w:trPr>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Home Fashion</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222</w:t>
            </w:r>
          </w:p>
        </w:tc>
      </w:tr>
      <w:tr>
        <w:trPr>
          <w:trHeight w:val="264"/>
        </w:trPr>
        <w:tc>
          <w:tcPr>
            <w:tcW w:w="1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Holding Company</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291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(387)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(387)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(374)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(374)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1,396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987</w:t>
            </w:r>
          </w:p>
        </w:tc>
      </w:tr>
      <w:tr>
        <w:trPr>
          <w:trHeight w:val="242"/>
        </w:trPr>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Consolidated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846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(528)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(372)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2,444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1,025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571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763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397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35,803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31,761</w:t>
            </w: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Amounts related to the amortization of debt discounts and premiums included in interest expense for the consolidated results of Icahn Enterprises Holdings were $21 million, $34 million and $27 million for the years ended December 31, 2014, 2013 and 2012,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difference between the book basis and the tax basis of our net assets, not directly subject to income taxes, is as follows:</w:t>
      </w:r>
    </w:p>
    <w:p>
      <w:pPr>
        <w:sectPr>
          <w:pgSz w:w="11900" w:h="16838" w:orient="portrait"/>
          <w:cols w:equalWidth="0" w:num="1">
            <w:col w:w="11420"/>
          </w:cols>
          <w:pgMar w:left="240" w:top="334" w:right="239" w:bottom="1440" w:gutter="0" w:footer="0" w:header="0"/>
        </w:sectPr>
      </w:pPr>
    </w:p>
    <w:p>
      <w:pPr>
        <w:spacing w:after="0" w:line="167" w:lineRule="exact"/>
        <w:rPr>
          <w:sz w:val="20"/>
          <w:szCs w:val="20"/>
          <w:color w:val="auto"/>
        </w:rPr>
      </w:pPr>
    </w:p>
    <w:p>
      <w:pPr>
        <w:jc w:val="center"/>
        <w:ind w:left="4200"/>
        <w:spacing w:after="0"/>
        <w:rPr>
          <w:sz w:val="20"/>
          <w:szCs w:val="20"/>
          <w:color w:val="auto"/>
        </w:rPr>
      </w:pPr>
      <w:r>
        <w:rPr>
          <w:rFonts w:ascii="Times New Roman" w:cs="Times New Roman" w:eastAsia="Times New Roman" w:hAnsi="Times New Roman"/>
          <w:sz w:val="18"/>
          <w:szCs w:val="18"/>
          <w:b w:val="1"/>
          <w:bCs w:val="1"/>
          <w:color w:val="auto"/>
        </w:rPr>
        <w:t>Icahn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36830</wp:posOffset>
            </wp:positionV>
            <wp:extent cx="2263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jc w:val="center"/>
        <w:ind w:left="4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36830</wp:posOffset>
            </wp:positionV>
            <wp:extent cx="2263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ind w:left="492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2014</w:t>
      </w:r>
      <w:r>
        <w:rPr>
          <w:sz w:val="20"/>
          <w:szCs w:val="20"/>
          <w:color w:val="auto"/>
        </w:rPr>
        <w:tab/>
      </w:r>
      <w:r>
        <w:rPr>
          <w:rFonts w:ascii="Times New Roman" w:cs="Times New Roman" w:eastAsia="Times New Roman" w:hAnsi="Times New Roman"/>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36830</wp:posOffset>
            </wp:positionV>
            <wp:extent cx="2263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1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(in millions)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Icahn Enterprises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2294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2294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2014</w:t>
      </w:r>
      <w:r>
        <w:rPr>
          <w:sz w:val="20"/>
          <w:szCs w:val="20"/>
          <w:color w:val="auto"/>
        </w:rPr>
        <w:tab/>
      </w:r>
      <w:r>
        <w:rPr>
          <w:rFonts w:ascii="Times New Roman" w:cs="Times New Roman" w:eastAsia="Times New Roman" w:hAnsi="Times New Roman"/>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2294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1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(in millions)</w:t>
      </w:r>
    </w:p>
    <w:p>
      <w:pPr>
        <w:spacing w:after="0" w:line="47" w:lineRule="exact"/>
        <w:rPr>
          <w:sz w:val="20"/>
          <w:szCs w:val="20"/>
          <w:color w:val="auto"/>
        </w:rPr>
      </w:pPr>
    </w:p>
    <w:p>
      <w:pPr>
        <w:sectPr>
          <w:pgSz w:w="11900" w:h="16838" w:orient="portrait"/>
          <w:cols w:equalWidth="0" w:num="2">
            <w:col w:w="7860" w:space="720"/>
            <w:col w:w="2840"/>
          </w:cols>
          <w:pgMar w:left="240" w:top="334" w:right="239" w:bottom="1440"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Book basis of net assets</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5,443</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6,092</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5,446</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6,114</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Book/tax basis difference</w:t>
            </w:r>
          </w:p>
        </w:tc>
        <w:tc>
          <w:tcPr>
            <w:tcW w:w="6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r>
      <w:tr>
        <w:trPr>
          <w:trHeight w:val="27"/>
        </w:trPr>
        <w:tc>
          <w:tcPr>
            <w:tcW w:w="42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basis of net assets</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3,877</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3,844</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3,901</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3,866</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649"/>
        </w:trPr>
        <w:tc>
          <w:tcPr>
            <w:tcW w:w="4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26841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26841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corporate subsidiaries recorded the following income tax benefit (expense) attributable to continuing operations for our taxable subsidiaries: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80" w:type="dxa"/>
            <w:vAlign w:val="bottom"/>
            <w:gridSpan w:val="6"/>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6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0"/>
        </w:trPr>
        <w:tc>
          <w:tcPr>
            <w:tcW w:w="6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(in millions)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1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Domestic</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60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w:t>
            </w: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1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Domestic</w:t>
            </w: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r>
      <w:tr>
        <w:trPr>
          <w:trHeight w:val="243"/>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60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w:t>
            </w:r>
          </w:p>
        </w:tc>
        <w:tc>
          <w:tcPr>
            <w:tcW w:w="1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r>
      <w:tr>
        <w:trPr>
          <w:trHeight w:val="237"/>
        </w:trPr>
        <w:tc>
          <w:tcPr>
            <w:tcW w:w="606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6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
        </w:trPr>
        <w:tc>
          <w:tcPr>
            <w:tcW w:w="6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60" w:firstLine="378"/>
        <w:spacing w:after="0" w:line="282" w:lineRule="auto"/>
        <w:rPr>
          <w:sz w:val="20"/>
          <w:szCs w:val="20"/>
          <w:color w:val="auto"/>
        </w:rPr>
      </w:pPr>
      <w:r>
        <w:rPr>
          <w:rFonts w:ascii="Times New Roman" w:cs="Times New Roman" w:eastAsia="Times New Roman" w:hAnsi="Times New Roman"/>
          <w:sz w:val="18"/>
          <w:szCs w:val="18"/>
          <w:color w:val="auto"/>
        </w:rPr>
        <w:t>The tax effect of significant differences representing deferred tax assets (liabilities) (the difference between financial statement carrying value and the tax basis of assets and liabilities)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0"/>
        </w:trPr>
        <w:tc>
          <w:tcPr>
            <w:tcW w:w="7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color w:val="auto"/>
              </w:rPr>
              <w:t>(in millions)</w:t>
            </w:r>
          </w:p>
        </w:tc>
        <w:tc>
          <w:tcPr>
            <w:tcW w:w="1120" w:type="dxa"/>
            <w:vAlign w:val="bottom"/>
          </w:tcPr>
          <w:p>
            <w:pPr>
              <w:spacing w:after="0"/>
              <w:rPr>
                <w:sz w:val="20"/>
                <w:szCs w:val="20"/>
                <w:color w:val="auto"/>
              </w:rPr>
            </w:pPr>
          </w:p>
        </w:tc>
      </w:tr>
      <w:tr>
        <w:trPr>
          <w:trHeight w:val="25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43"/>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w:t>
            </w:r>
          </w:p>
        </w:tc>
        <w:tc>
          <w:tcPr>
            <w:tcW w:w="10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1,137</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credits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r>
      <w:tr>
        <w:trPr>
          <w:trHeight w:val="243"/>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Post-employment benefits, including pensions</w:t>
            </w:r>
          </w:p>
        </w:tc>
        <w:tc>
          <w:tcPr>
            <w:tcW w:w="10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Reorganization costs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2,016</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79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43"/>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in U.S. subsidiaries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43"/>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r>
      <w:tr>
        <w:trPr>
          <w:trHeight w:val="237"/>
        </w:trPr>
        <w:tc>
          <w:tcPr>
            <w:tcW w:w="7900" w:type="dxa"/>
            <w:vAlign w:val="bottom"/>
          </w:tcPr>
          <w:p>
            <w:pPr>
              <w:spacing w:after="0"/>
              <w:rPr>
                <w:sz w:val="20"/>
                <w:szCs w:val="20"/>
                <w:color w:val="auto"/>
              </w:rPr>
            </w:pPr>
          </w:p>
        </w:tc>
        <w:tc>
          <w:tcPr>
            <w:tcW w:w="108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61658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-1645920</wp:posOffset>
            </wp:positionV>
            <wp:extent cx="61658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-1826260</wp:posOffset>
            </wp:positionV>
            <wp:extent cx="61658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-2177415</wp:posOffset>
            </wp:positionV>
            <wp:extent cx="61658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286" w:lineRule="exact"/>
        <w:rPr>
          <w:sz w:val="20"/>
          <w:szCs w:val="20"/>
          <w:color w:val="auto"/>
        </w:rPr>
      </w:pPr>
    </w:p>
    <w:p>
      <w:pPr>
        <w:ind w:right="120" w:firstLine="378"/>
        <w:spacing w:after="0" w:line="282" w:lineRule="auto"/>
        <w:rPr>
          <w:sz w:val="20"/>
          <w:szCs w:val="20"/>
          <w:color w:val="auto"/>
        </w:rPr>
      </w:pPr>
      <w:r>
        <w:rPr>
          <w:rFonts w:ascii="Times New Roman" w:cs="Times New Roman" w:eastAsia="Times New Roman" w:hAnsi="Times New Roman"/>
          <w:sz w:val="18"/>
          <w:szCs w:val="18"/>
          <w:color w:val="auto"/>
        </w:rPr>
        <w:t>We recorded deferred tax assets and deferred tax liabilities of $389 million and $1,255 million, respectively, as of December 31, 2014 and $229 million and $1,394 million, respectively, as of December 31, 2013. Deferred tax assets are included in other assets in our consolidated balance sheets.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420"/>
          </w:cols>
          <w:pgMar w:left="240" w:top="333" w:right="23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20" w:firstLine="378"/>
        <w:spacing w:after="0" w:line="254" w:lineRule="auto"/>
        <w:rPr>
          <w:sz w:val="20"/>
          <w:szCs w:val="20"/>
          <w:color w:val="auto"/>
        </w:rPr>
      </w:pPr>
      <w:r>
        <w:rPr>
          <w:rFonts w:ascii="Times New Roman" w:cs="Times New Roman" w:eastAsia="Times New Roman" w:hAnsi="Times New Roman"/>
          <w:sz w:val="18"/>
          <w:szCs w:val="18"/>
          <w:color w:val="auto"/>
        </w:rPr>
        <w:t>We analyze all positive and negative evidence to consider whether it is more likely than not that all of the deferred tax assets will be realized. Projected future income, tax planning strategies and the expected reversal of deferred tax liabilities are considered in making this assessment. As of December 31, 2014 we had a valuation allowance of approximately $1.1 billion primarily related to tax loss and credit carryforwards, post-retirement benefits and other deferred tax assets. The current and future provisions for income taxes may be significantly impacted by changes to valuation allowances. These allowances will be maintained until it is more likely than not that the deferred tax assets will be realized. For the year ended December 31, 2014, the valuation allowance on deferred tax assets decreased by $157 million. The decrease was attributable to $193 million decrease recorded by our Gaming segment offset by an increase of $33 million and $3 million recorded by our Automotive segment and American Entertainment Properties Corp (“AEPC”), an indirect wholly owned subsidiary of ours, respectively. For the year ended December 31, 2013, the valuation allowance on deferred tax assets decreased by $334 million. The decrease is primarily attributable to $279 million recorded by our Automotive segment and $55 million recorded by Food Packaging segment.</w:t>
      </w:r>
    </w:p>
    <w:p>
      <w:pPr>
        <w:spacing w:after="0" w:line="81" w:lineRule="exact"/>
        <w:rPr>
          <w:sz w:val="20"/>
          <w:szCs w:val="20"/>
          <w:color w:val="auto"/>
        </w:rPr>
      </w:pPr>
    </w:p>
    <w:p>
      <w:pPr>
        <w:ind w:right="80" w:firstLine="378"/>
        <w:spacing w:after="0" w:line="282" w:lineRule="auto"/>
        <w:rPr>
          <w:sz w:val="20"/>
          <w:szCs w:val="20"/>
          <w:color w:val="auto"/>
        </w:rPr>
      </w:pPr>
      <w:r>
        <w:rPr>
          <w:rFonts w:ascii="Times New Roman" w:cs="Times New Roman" w:eastAsia="Times New Roman" w:hAnsi="Times New Roman"/>
          <w:sz w:val="18"/>
          <w:szCs w:val="18"/>
          <w:color w:val="auto"/>
        </w:rPr>
        <w:t>A reconciliation of the effective tax rate on continuing operations as shown in the consolidated statements of operations to the federal statutory rate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3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4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9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58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statutory rate</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operations</w:t>
            </w:r>
          </w:p>
        </w:tc>
        <w:tc>
          <w:tcPr>
            <w:tcW w:w="1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6.7</w:t>
            </w:r>
          </w:p>
        </w:tc>
        <w:tc>
          <w:tcPr>
            <w:tcW w:w="1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5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21.5</w:t>
            </w:r>
          </w:p>
        </w:tc>
        <w:tc>
          <w:tcPr>
            <w:tcW w:w="19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14.8</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7.5</w:t>
            </w:r>
          </w:p>
        </w:tc>
        <w:tc>
          <w:tcPr>
            <w:tcW w:w="19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5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19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settlement of liabilities subject to compromise</w:t>
            </w:r>
          </w:p>
        </w:tc>
        <w:tc>
          <w:tcPr>
            <w:tcW w:w="1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2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(51.7)</w:t>
            </w:r>
          </w:p>
        </w:tc>
      </w:tr>
      <w:tr>
        <w:trPr>
          <w:trHeight w:val="27"/>
        </w:trPr>
        <w:tc>
          <w:tcPr>
            <w:tcW w:w="5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not subject to taxation</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(47.2)</w:t>
            </w:r>
          </w:p>
        </w:tc>
        <w:tc>
          <w:tcPr>
            <w:tcW w:w="19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1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58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9"/>
        </w:trPr>
        <w:tc>
          <w:tcPr>
            <w:tcW w:w="58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6963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96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36963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ind w:right="80" w:firstLine="378"/>
        <w:spacing w:after="0" w:line="261" w:lineRule="auto"/>
        <w:rPr>
          <w:sz w:val="20"/>
          <w:szCs w:val="20"/>
          <w:color w:val="auto"/>
        </w:rPr>
      </w:pPr>
      <w:r>
        <w:rPr>
          <w:rFonts w:ascii="Times New Roman" w:cs="Times New Roman" w:eastAsia="Times New Roman" w:hAnsi="Times New Roman"/>
          <w:sz w:val="18"/>
          <w:szCs w:val="18"/>
          <w:color w:val="auto"/>
        </w:rPr>
        <w:t>Federal-Mogul did not record taxes on its undistributed earnings from foreign subsidiaries of $902 million at December 31, 2014 since these earnings are considered to be permanently reinvested. If at some future date, these earnings cease to be permanently reinvested, Federal-Mogul may be subject to U.S. income taxes and foreign withholding taxes on such amounts. Determining the unrecognized deferred tax liability on the potential distribution of these earnings is not practicable as such liability, if any, is dependent on circumstances existing when remittance occurs.</w:t>
      </w:r>
    </w:p>
    <w:p>
      <w:pPr>
        <w:spacing w:after="0" w:line="72" w:lineRule="exact"/>
        <w:rPr>
          <w:sz w:val="20"/>
          <w:szCs w:val="20"/>
          <w:color w:val="auto"/>
        </w:rPr>
      </w:pPr>
    </w:p>
    <w:p>
      <w:pPr>
        <w:ind w:right="120" w:firstLine="378"/>
        <w:spacing w:after="0" w:line="258" w:lineRule="auto"/>
        <w:rPr>
          <w:sz w:val="20"/>
          <w:szCs w:val="20"/>
          <w:color w:val="auto"/>
        </w:rPr>
      </w:pPr>
      <w:r>
        <w:rPr>
          <w:rFonts w:ascii="Times New Roman" w:cs="Times New Roman" w:eastAsia="Times New Roman" w:hAnsi="Times New Roman"/>
          <w:sz w:val="18"/>
          <w:szCs w:val="18"/>
          <w:color w:val="auto"/>
        </w:rPr>
        <w:t>As of December 31, 2014, Federal-Mogul had $332 million of cash and cash equivalents, of which $138 million was held by foreign subsidiaries. In accordance with FASB ASC 740-30-25-17 through 19, Federal-Mogul asserts that these funds are indefinitely reinvested due to operational and investing needs of the foreign locations. Furthermore, Federal-Mogul will accrue any applicable taxes in the period when it no longer intends to indefinitely reinvest these funds. Federal-Mogul expects that the impact on cash taxes would be immaterial due to: the availability of net operation loss carryforwards and related valuation allowances; earnings considered previously taxed; and applicable tax treaties.</w:t>
      </w:r>
    </w:p>
    <w:p>
      <w:pPr>
        <w:spacing w:after="0" w:line="76"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Federal-Mogul continues to maintain a valuation allowance related to its net deferred tax assets in multiple jurisdictions. As of December 31, 2014, our Automotive segment had valuation allowances of $868 million related to tax loss and credit carryforwards. The current and future provisions for income taxes may be significantly impacted by changes to valuation allowances in certain countries. These allowances will be maintained until it is more likely than not that the deferred tax assets will be realized. The future provision for income taxes will include no tax benefit with respect to losses incurred and no tax expense with respect to income generated in these countries until the respective valuation allowance is eliminated.</w:t>
      </w:r>
    </w:p>
    <w:p>
      <w:pPr>
        <w:spacing w:after="0" w:line="76" w:lineRule="exact"/>
        <w:rPr>
          <w:sz w:val="20"/>
          <w:szCs w:val="20"/>
          <w:color w:val="auto"/>
        </w:rPr>
      </w:pPr>
    </w:p>
    <w:p>
      <w:pPr>
        <w:ind w:right="160" w:firstLine="378"/>
        <w:spacing w:after="0" w:line="266" w:lineRule="auto"/>
        <w:rPr>
          <w:sz w:val="20"/>
          <w:szCs w:val="20"/>
          <w:color w:val="auto"/>
        </w:rPr>
      </w:pPr>
      <w:r>
        <w:rPr>
          <w:rFonts w:ascii="Times New Roman" w:cs="Times New Roman" w:eastAsia="Times New Roman" w:hAnsi="Times New Roman"/>
          <w:sz w:val="18"/>
          <w:szCs w:val="18"/>
          <w:color w:val="auto"/>
        </w:rPr>
        <w:t>At December 31, 2014, our Automotive segment had a deferred tax asset before valuation allowance of $893 million for tax loss carryforwards and tax credits, including approximately $498 million in the United States with expiration dates from fiscal 2015 through fiscal 2034; $181 million in the United Kingdom with no expiration date; and $214 million in other jurisdictions with various expiration dates.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420"/>
          </w:cols>
          <w:pgMar w:left="240" w:top="333" w:right="239" w:bottom="1440" w:gutter="0" w:footer="0" w:header="0"/>
        </w:sectPr>
      </w:pPr>
    </w:p>
    <w:bookmarkStart w:id="215" w:name="page216"/>
    <w:bookmarkEnd w:id="2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60" w:firstLine="378"/>
        <w:spacing w:after="0" w:line="258" w:lineRule="auto"/>
        <w:rPr>
          <w:sz w:val="20"/>
          <w:szCs w:val="20"/>
          <w:color w:val="auto"/>
        </w:rPr>
      </w:pPr>
      <w:r>
        <w:rPr>
          <w:rFonts w:ascii="Times New Roman" w:cs="Times New Roman" w:eastAsia="Times New Roman" w:hAnsi="Times New Roman"/>
          <w:sz w:val="18"/>
          <w:szCs w:val="18"/>
          <w:color w:val="auto"/>
        </w:rPr>
        <w:t>During 2013, IEH FM Holdings LLC, the parent company of Federal-Mogul, was contributed to American Entertainment Properties Corp. ("AEPC") in a tax-free transaction. Pursuant to the contribution and additional shares purchased, AEPC owns more than 80% of Federal-Mogul and Federal-Mogul is now included in the federal income tax consolidated group of AEPC. Positive and negative evidence was evaluated and AEPC was able to conclude that it was more likely than not to realize a portion of the Federal-Mogul deferred tax assets as part of the consolidated U.S. tax filing and released $18 million and $287 million of valuation allowance during the years ended December 31, 2014 and 2013, respectively.</w:t>
      </w:r>
    </w:p>
    <w:p>
      <w:pPr>
        <w:spacing w:after="0" w:line="76" w:lineRule="exact"/>
        <w:rPr>
          <w:sz w:val="20"/>
          <w:szCs w:val="20"/>
          <w:color w:val="auto"/>
        </w:rPr>
      </w:pPr>
    </w:p>
    <w:p>
      <w:pPr>
        <w:jc w:val="both"/>
        <w:ind w:right="220" w:firstLine="378"/>
        <w:spacing w:after="0" w:line="266" w:lineRule="auto"/>
        <w:rPr>
          <w:sz w:val="20"/>
          <w:szCs w:val="20"/>
          <w:color w:val="auto"/>
        </w:rPr>
      </w:pPr>
      <w:r>
        <w:rPr>
          <w:rFonts w:ascii="Times New Roman" w:cs="Times New Roman" w:eastAsia="Times New Roman" w:hAnsi="Times New Roman"/>
          <w:sz w:val="18"/>
          <w:szCs w:val="18"/>
          <w:color w:val="auto"/>
        </w:rPr>
        <w:t>Our Automotive segment has also concluded that there is a more than remote possibility that existing valuation allowances of up to $148 million as of December 31, 2014 could be released within the next 12 months. If releases of such valuation allowances occur, they may have a significant impact on our consolidated statements of operations in the quarter in which it is deemed appropriate to release the reserve.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21"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On May 19, 2012, CVR became a member of the consolidated federal tax group of AEPC. At December 31, 2014, CVR has Kansas state income tax credits of approximately $2 million, which are available to reduce future Kansas state regular income taxes. These credits, if not used, will expire in 2030. Additionally, CVR has Oklahoma state income tax credits of approximately $18 million which are available to reduce future Oklahoma state regular income taxes. These credits have an indefinite life.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Gaming, Home Fashion, Food Packaging and Other</w:t>
      </w:r>
    </w:p>
    <w:p>
      <w:pPr>
        <w:spacing w:after="0" w:line="121" w:lineRule="exact"/>
        <w:rPr>
          <w:sz w:val="20"/>
          <w:szCs w:val="20"/>
          <w:color w:val="auto"/>
        </w:rPr>
      </w:pPr>
    </w:p>
    <w:p>
      <w:pPr>
        <w:ind w:right="20" w:firstLine="378"/>
        <w:spacing w:after="0" w:line="254" w:lineRule="auto"/>
        <w:rPr>
          <w:sz w:val="20"/>
          <w:szCs w:val="20"/>
          <w:color w:val="auto"/>
        </w:rPr>
      </w:pPr>
      <w:r>
        <w:rPr>
          <w:rFonts w:ascii="Times New Roman" w:cs="Times New Roman" w:eastAsia="Times New Roman" w:hAnsi="Times New Roman"/>
          <w:sz w:val="18"/>
          <w:szCs w:val="18"/>
          <w:color w:val="auto"/>
        </w:rPr>
        <w:t>At December 31, 2014, AEPC, which includes CVR, Metals, Home Fashion and Real Estate segments, among others, had $1.3 billion of net operating loss carryforwards with expiration dates from years 2026 through 2034. During 2012, WPH merged into a newly formed single member limited liability company owned by AEPC. The merger constituted a tax free reorganization. In addition, AEPC acquired a controlling interest in CVR during 2012. CVR has a history of significant earnings and projections of future earnings. Pursuant to these transactions, AEPC evaluated all positive and negative evidence associated with its deferred tax assets and, primarily as a result of the merger of WPH and the change in estimated future earnings from the acquisition of CVR, AEPC concluded it was more likely than not that all of the federal net operating loss carryforward related to our Home Fashion segment would be realized. Accordingly, during 2012, AEPC reversed $221 million of valuation allowance related to our Home Fashion segment's deferred tax assets. Due to separate company net operating loss limitations, AEPC could not determine that it was more likely than not to realize some of the state net operating loss carryforwards and the federal net operating loss carryforward from other segments. The valuation allowance on these deferred tax assets is approximately $55 million as of December 31, 2014.</w:t>
      </w:r>
    </w:p>
    <w:p>
      <w:pPr>
        <w:spacing w:after="0" w:line="18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AEPC did not record taxes on its undistributed earnings from Metals and Home Fashion foreign subsidiaries of approximately $18 million as of December 31, 2014 since these earnings are considered to be permanently reinvested. AEPC may be subject to U.S. income taxes and foreign withholding taxes on such amounts. Determining the unrecognized deferred tax liability on the potential distribution of these earnings is not practicable as such liability, if any, is dependent on circumstances existing when remittance occurs.</w:t>
      </w:r>
    </w:p>
    <w:p>
      <w:pPr>
        <w:spacing w:after="0" w:line="72" w:lineRule="exact"/>
        <w:rPr>
          <w:sz w:val="20"/>
          <w:szCs w:val="20"/>
          <w:color w:val="auto"/>
        </w:rPr>
      </w:pPr>
    </w:p>
    <w:p>
      <w:pPr>
        <w:ind w:right="120" w:firstLine="378"/>
        <w:spacing w:after="0" w:line="261" w:lineRule="auto"/>
        <w:rPr>
          <w:sz w:val="20"/>
          <w:szCs w:val="20"/>
          <w:color w:val="auto"/>
        </w:rPr>
      </w:pPr>
      <w:r>
        <w:rPr>
          <w:rFonts w:ascii="Times New Roman" w:cs="Times New Roman" w:eastAsia="Times New Roman" w:hAnsi="Times New Roman"/>
          <w:sz w:val="18"/>
          <w:szCs w:val="18"/>
          <w:color w:val="auto"/>
        </w:rPr>
        <w:t>At December 31, 2014, Viskase had U.S. federal and state net operating loss carryforwards of $100 million which will begin expiring in the year 2024 and forward, and foreign net operating loss carryforwards of $15 million with an unlimited carryforward period. During the fourth quarter of 2013, Viskase's management determined that it was more likely than not that all of the deferred tax assets would be fully realized based on the expectation of positive evidence and projected income in future years. Accordingly, Viskase released all $55 million of its valuation allowance on deferred tax assets.</w:t>
      </w:r>
    </w:p>
    <w:p>
      <w:pPr>
        <w:spacing w:after="0" w:line="72" w:lineRule="exact"/>
        <w:rPr>
          <w:sz w:val="20"/>
          <w:szCs w:val="20"/>
          <w:color w:val="auto"/>
        </w:rPr>
      </w:pPr>
    </w:p>
    <w:p>
      <w:pPr>
        <w:ind w:right="400" w:firstLine="405"/>
        <w:spacing w:after="0" w:line="261" w:lineRule="auto"/>
        <w:rPr>
          <w:sz w:val="20"/>
          <w:szCs w:val="20"/>
          <w:color w:val="auto"/>
        </w:rPr>
      </w:pPr>
      <w:r>
        <w:rPr>
          <w:rFonts w:ascii="Times New Roman" w:cs="Times New Roman" w:eastAsia="Times New Roman" w:hAnsi="Times New Roman"/>
          <w:sz w:val="18"/>
          <w:szCs w:val="18"/>
          <w:color w:val="auto"/>
        </w:rPr>
        <w:t>Viskase did not record taxes on its undistributed earnings from foreign subsidiaries of $68 million at December 31, 2014 since these earnings are considered to be permanently reinvested. Viskase may be subject to U.S. income taxes and foreign withholding taxes on such amounts. Determining the unrecognized deferred tax liability on the potential distribution of these earnings is not practicable as such liability, if any, is dependent on circumstances existing when remittance occurs.</w:t>
      </w:r>
    </w:p>
    <w:p>
      <w:pPr>
        <w:spacing w:after="0" w:line="72" w:lineRule="exact"/>
        <w:rPr>
          <w:sz w:val="20"/>
          <w:szCs w:val="20"/>
          <w:color w:val="auto"/>
        </w:rPr>
      </w:pPr>
    </w:p>
    <w:p>
      <w:pPr>
        <w:ind w:right="100" w:firstLine="378"/>
        <w:spacing w:after="0" w:line="261" w:lineRule="auto"/>
        <w:rPr>
          <w:sz w:val="20"/>
          <w:szCs w:val="20"/>
          <w:color w:val="auto"/>
        </w:rPr>
      </w:pPr>
      <w:r>
        <w:rPr>
          <w:rFonts w:ascii="Times New Roman" w:cs="Times New Roman" w:eastAsia="Times New Roman" w:hAnsi="Times New Roman"/>
          <w:sz w:val="18"/>
          <w:szCs w:val="18"/>
          <w:color w:val="auto"/>
        </w:rPr>
        <w:t>At December 31, 2014, ARI had federal net operating losses of $32 million, all of which will be carried back to offset prior years' taxable income. ARI considers its Canadian earnings to be permanently reinvested, and therefore has not recorded a provision for U.S. income tax or foreign withholding taxes on the cumulative earnings of its Canadian subsidiary. Such undistributed earnings of $3 million from ARI's Canadian subsidiary have been included in consolidated equity as of both December 31, 2014 and 2013. If ARI were to change its intentions and such earnings were remitted to the U.S., these earnings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420"/>
          </w:cols>
          <w:pgMar w:left="240" w:top="333" w:right="23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would be subject to U.S. income taxes. However, as of December 31, 2014 and 2013 foreign tax credits would be available to offset these taxes such that the U.S. tax impact would be insignificant.</w:t>
      </w:r>
    </w:p>
    <w:p>
      <w:pPr>
        <w:spacing w:after="0" w:line="54"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Our Gaming segment has federal NOL carryforwards pursuant to the purchase of Adamar of New Jersey, Inc. (“Adamar”). Internal Revenue Code Section 382 (“Code 382”) places certain limitations on the annual amount of NOL carryforwards that can be utilized when a change of ownership occurs. Our Gaming segment believes its purchase of Adamar was a change in ownership pursuant to Code 382. As a result of the annual limitation, the NOL carryforward amount available to be used in future periods is $161 million and will begin to expire in the year 2028 and forward. As of March 8, 2010, Tropicana had various net deferred tax assets made up primarily of the expected future tax benefit of net operating loss carryforwards and excess tax basis not yet deductible for tax purposes. A valuation allowance was provided in full against these net deferred tax assets upon emergence from bankruptcy. During the year ended December 31, 2014, our Gaming segment reversed the valuation allowance related to the net deferred tax assets by $196 million. The reduction in the valuation allowance is a result of our Gaming segment analyzing all positive and negative evidence and concluding that it is more likely than not to realize the benefit of this portion of its net deferred tax assets. The reduction in the valuation allowance was recorded as an income tax benefit during the year ended December 31, 2014.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Uncertainty in Income Taxes</w:t>
      </w:r>
    </w:p>
    <w:p>
      <w:pPr>
        <w:spacing w:after="0" w:line="121" w:lineRule="exact"/>
        <w:rPr>
          <w:sz w:val="20"/>
          <w:szCs w:val="20"/>
          <w:color w:val="auto"/>
        </w:rPr>
      </w:pPr>
    </w:p>
    <w:p>
      <w:pPr>
        <w:ind w:right="560" w:firstLine="378"/>
        <w:spacing w:after="0" w:line="282" w:lineRule="auto"/>
        <w:rPr>
          <w:sz w:val="20"/>
          <w:szCs w:val="20"/>
          <w:color w:val="auto"/>
        </w:rPr>
      </w:pPr>
      <w:r>
        <w:rPr>
          <w:rFonts w:ascii="Times New Roman" w:cs="Times New Roman" w:eastAsia="Times New Roman" w:hAnsi="Times New Roman"/>
          <w:sz w:val="18"/>
          <w:szCs w:val="18"/>
          <w:color w:val="auto"/>
        </w:rPr>
        <w:t>A summary of the changes in the gross amounts of unrecognized tax benefits for the fiscal years ended December 31, 2014, 2013 and 2012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6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6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5"/>
        </w:trPr>
        <w:tc>
          <w:tcPr>
            <w:tcW w:w="60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(in millions)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r>
      <w:tr>
        <w:trPr>
          <w:trHeight w:val="243"/>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 based on tax positions related to the current year</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 of CVR</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for tax positions of prior years</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for tax positions of prior years</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for statute of limitation expiration</w:t>
            </w:r>
          </w:p>
        </w:tc>
        <w:tc>
          <w:tcPr>
            <w:tcW w:w="1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Settlements</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57"/>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currency translation and other</w:t>
            </w:r>
          </w:p>
        </w:tc>
        <w:tc>
          <w:tcPr>
            <w:tcW w:w="12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0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6102350</wp:posOffset>
            </wp:positionH>
            <wp:positionV relativeFrom="paragraph">
              <wp:posOffset>-33655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50171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171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38417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286" w:lineRule="exact"/>
        <w:rPr>
          <w:sz w:val="20"/>
          <w:szCs w:val="20"/>
          <w:color w:val="auto"/>
        </w:rPr>
      </w:pPr>
    </w:p>
    <w:p>
      <w:pPr>
        <w:ind w:right="180" w:firstLine="378"/>
        <w:spacing w:after="0" w:line="261" w:lineRule="auto"/>
        <w:rPr>
          <w:sz w:val="20"/>
          <w:szCs w:val="20"/>
          <w:color w:val="auto"/>
        </w:rPr>
      </w:pPr>
      <w:r>
        <w:rPr>
          <w:rFonts w:ascii="Times New Roman" w:cs="Times New Roman" w:eastAsia="Times New Roman" w:hAnsi="Times New Roman"/>
          <w:sz w:val="18"/>
          <w:szCs w:val="18"/>
          <w:color w:val="auto"/>
        </w:rPr>
        <w:t>At December 31, 2014, 2013 and 2012, we had unrecognized tax benefits of $113 million, $132 million and $113 million, respectively. Of these totals, $76 million, $54 million and $71 million represents the amount of unrecognized tax benefits that if recognized, would affect the annual effective tax rate in the respective periods. The total unrecognized tax benefits differ from the amount which would affect the effective tax rate primarily due to the impact of valuation allowances.</w:t>
      </w:r>
    </w:p>
    <w:p>
      <w:pPr>
        <w:spacing w:after="0" w:line="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During the next 12 months, Federal-Mogul believes that it is reasonably possible that unrecognized tax benefits of Federal-Mogul may decrease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$3 million due to audit settlements or statute expirations, of which approximately $2 million, if recognized, could impact the effective tax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anticipate any significant changes to the amount of our unrecognized tax benefits in our other business segments during the next 12 months.</w:t>
      </w:r>
    </w:p>
    <w:p>
      <w:pPr>
        <w:spacing w:after="0" w:line="99" w:lineRule="exact"/>
        <w:rPr>
          <w:sz w:val="20"/>
          <w:szCs w:val="20"/>
          <w:color w:val="auto"/>
        </w:rPr>
      </w:pPr>
    </w:p>
    <w:p>
      <w:pPr>
        <w:ind w:right="140" w:firstLine="378"/>
        <w:spacing w:after="0" w:line="255" w:lineRule="auto"/>
        <w:rPr>
          <w:sz w:val="20"/>
          <w:szCs w:val="20"/>
          <w:color w:val="auto"/>
        </w:rPr>
      </w:pPr>
      <w:r>
        <w:rPr>
          <w:rFonts w:ascii="Times New Roman" w:cs="Times New Roman" w:eastAsia="Times New Roman" w:hAnsi="Times New Roman"/>
          <w:sz w:val="18"/>
          <w:szCs w:val="18"/>
          <w:color w:val="auto"/>
        </w:rPr>
        <w:t>We recognize interest and penalties accrued related to unrecognized tax benefits as a component of income tax expense. We recorded $19 million, $27 million and $17 million as of December 31, 2014, 2013 and 2012, respectively, in liabilities for tax related net interest and penalties in our consolidated balance sheets. Income tax (benefit) expense related to interest and penalties were $(11) million, $8 million and $3 million for the years December 31, 2014, 2013 and 2012, respectively. We or certain of our subsidiaries file income tax returns in the U.S. federal jurisdiction, various state jurisdictions and various non-U.S. jurisdictions. We and our subsidiaries are no longer subject to U.S. federal tax examinations for years before 2010 or state and local examinations for years before 2008, with limited exceptions. We, or our subsidiaries, are currently under various income tax examinations in several states and foreign jurisdictions, but are no longer subject to income tax examinations in major foreign jurisdictions for years prior to 2005.</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420"/>
          </w:cols>
          <w:pgMar w:left="240" w:top="333" w:right="23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Changes in Accumulated Other Comprehensive Loss.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Changes in accumulated other comprehensive loss consists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Post-Employment</w:t>
            </w: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Hedge Instruments,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Adjustments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4700" w:type="dxa"/>
            <w:vAlign w:val="bottom"/>
          </w:tcPr>
          <w:p>
            <w:pPr>
              <w:spacing w:after="0"/>
              <w:rPr>
                <w:sz w:val="20"/>
                <w:szCs w:val="20"/>
                <w:color w:val="auto"/>
              </w:rPr>
            </w:pP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Benefits, Net of Tax</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Other, Net of Tax</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5"/>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gridSpan w:val="5"/>
          </w:tcPr>
          <w:p>
            <w:pPr>
              <w:ind w:left="104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before reclassifications, net of tax</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Reclassifications from accumulated other comprehensive loss to</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61"/>
        </w:trPr>
        <w:tc>
          <w:tcPr>
            <w:tcW w:w="4700" w:type="dxa"/>
            <w:vAlign w:val="bottom"/>
            <w:shd w:val="clear" w:color="auto" w:fill="CCEEFF"/>
          </w:tcPr>
          <w:p>
            <w:pPr>
              <w:ind w:left="120"/>
              <w:spacing w:after="0" w:line="262" w:lineRule="exact"/>
              <w:rPr>
                <w:sz w:val="20"/>
                <w:szCs w:val="20"/>
                <w:color w:val="auto"/>
              </w:rPr>
            </w:pPr>
            <w:r>
              <w:rPr>
                <w:rFonts w:ascii="Times New Roman" w:cs="Times New Roman" w:eastAsia="Times New Roman" w:hAnsi="Times New Roman"/>
                <w:sz w:val="18"/>
                <w:szCs w:val="18"/>
                <w:color w:val="auto"/>
              </w:rPr>
              <w:t>earnings</w:t>
            </w:r>
            <w:r>
              <w:rPr>
                <w:rFonts w:ascii="Times New Roman" w:cs="Times New Roman" w:eastAsia="Times New Roman" w:hAnsi="Times New Roman"/>
                <w:sz w:val="25"/>
                <w:szCs w:val="25"/>
                <w:color w:val="auto"/>
                <w:vertAlign w:val="superscript"/>
              </w:rPr>
              <w:t>(1)</w:t>
            </w:r>
          </w:p>
        </w:tc>
        <w:tc>
          <w:tcPr>
            <w:tcW w:w="1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40" w:firstLine="8"/>
        <w:spacing w:after="0" w:line="255" w:lineRule="auto"/>
        <w:tabs>
          <w:tab w:leader="none" w:pos="162" w:val="left"/>
        </w:tabs>
        <w:numPr>
          <w:ilvl w:val="0"/>
          <w:numId w:val="6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Refer to Note 11, "Pension, Other Post-employment Benefits and Employee Benefit Plans," and Note 7, "Financial Instruments," for additional information with respect to reclassifications from accumulated other comprehensive loss to earnings relating to post-employment benefits, net of tax and hedge instruments, net of tax, respectively. Such items do not represent reclassifications in their entirety.</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 Other Income (Loss), Net.</w:t>
            </w: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24"/>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(loss), net consists of the following:</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6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720" w:type="dxa"/>
            <w:vAlign w:val="bottom"/>
            <w:gridSpan w:val="6"/>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20" w:type="dxa"/>
            <w:vAlign w:val="bottom"/>
          </w:tcPr>
          <w:p>
            <w:pPr>
              <w:spacing w:after="0"/>
              <w:rPr>
                <w:sz w:val="24"/>
                <w:szCs w:val="24"/>
                <w:color w:val="auto"/>
              </w:rPr>
            </w:pPr>
          </w:p>
        </w:tc>
      </w:tr>
      <w:tr>
        <w:trPr>
          <w:trHeight w:val="27"/>
        </w:trPr>
        <w:tc>
          <w:tcPr>
            <w:tcW w:w="64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64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5"/>
        </w:trPr>
        <w:tc>
          <w:tcPr>
            <w:tcW w:w="6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 (Note 10)</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and unrealized gain (loss) on derivatives, net (Note 7)</w:t>
            </w:r>
          </w:p>
        </w:tc>
        <w:tc>
          <w:tcPr>
            <w:tcW w:w="10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7"/>
        </w:trPr>
        <w:tc>
          <w:tcPr>
            <w:tcW w:w="6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settlement gain (loss)</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gain (loss) on disposition of assets</w:t>
            </w:r>
          </w:p>
        </w:tc>
        <w:tc>
          <w:tcPr>
            <w:tcW w:w="10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Predecessor claim settlement</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earnings from non-consolidated affiliates</w:t>
            </w:r>
          </w:p>
        </w:tc>
        <w:tc>
          <w:tcPr>
            <w:tcW w:w="10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6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64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December 2014, our Gaming segment settled certain predecessor claims which resulted in a one-time gain of $53 million during 2014.</w:t>
      </w:r>
    </w:p>
    <w:p>
      <w:pPr>
        <w:spacing w:after="0" w:line="252" w:lineRule="exact"/>
        <w:rPr>
          <w:sz w:val="20"/>
          <w:szCs w:val="20"/>
          <w:color w:val="auto"/>
        </w:rPr>
      </w:pPr>
    </w:p>
    <w:p>
      <w:pPr>
        <w:ind w:right="120" w:firstLine="378"/>
        <w:spacing w:after="0" w:line="255" w:lineRule="auto"/>
        <w:rPr>
          <w:sz w:val="20"/>
          <w:szCs w:val="20"/>
          <w:color w:val="auto"/>
        </w:rPr>
      </w:pPr>
      <w:r>
        <w:rPr>
          <w:rFonts w:ascii="Times New Roman" w:cs="Times New Roman" w:eastAsia="Times New Roman" w:hAnsi="Times New Roman"/>
          <w:sz w:val="18"/>
          <w:szCs w:val="18"/>
          <w:color w:val="auto"/>
        </w:rPr>
        <w:t>The net gain on disposition of assets for 2014 primarily relates to net gains on the sale of fixed assets within various segments. The net loss on disposition of assets for 2013 primarily relates to various divestitures by our Automotive segment. During the first quarter of 2013, our Automotive segment recorded a loss on divestiture of $48 million related to the disposal of its sintered components operations located in France. During the second quarter of 2013, our Automotive segment recorded a loss on divestiture of $6 million related to its connecting rod manufacturing facility located in Canada and its camshaft foundry located in the United Kingdom. During the third quarter of 2013, our Automotive segment recorded a loss on divestiture relating to its fuel pump business of $6 million, which is net of a $19 million OPEB curtailment gain, as discussed further in Note 11, "Pension, Other Post-employment Benefits and Employee Benefit Plans." Because the financial results from the disposition of these businesses were not material, individually or in the aggregate, to our consolidated financial statements, we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420"/>
          </w:cols>
          <w:pgMar w:left="240" w:top="334" w:right="239" w:bottom="1440" w:gutter="0" w:footer="0" w:header="0"/>
        </w:sectPr>
      </w:pPr>
    </w:p>
    <w:bookmarkStart w:id="218" w:name="page219"/>
    <w:bookmarkEnd w:id="2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did not reflect the dispositions of these businesses as discontinued operations in either the current period or on a retrospective basis.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2014, our Gaming segment recorded a gain of $32 million related to the settlement of a certain property tax matter in Atlantic City,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2013, our Food Packaging segment recorded a loss of $23 million related to the settlement of a certain tax matter.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Dynegy Inc.</w:t>
      </w:r>
    </w:p>
    <w:p>
      <w:pPr>
        <w:spacing w:after="0" w:line="117"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 xml:space="preserve">On March 28, 2012 an action was filed in the U.S. District Court, Southern District of New York (the "Court"), entitled </w:t>
      </w:r>
      <w:r>
        <w:rPr>
          <w:rFonts w:ascii="Times New Roman" w:cs="Times New Roman" w:eastAsia="Times New Roman" w:hAnsi="Times New Roman"/>
          <w:sz w:val="18"/>
          <w:szCs w:val="18"/>
          <w:i w:val="1"/>
          <w:iCs w:val="1"/>
          <w:color w:val="auto"/>
        </w:rPr>
        <w:t>Silsby v. Icahn et. al</w:t>
      </w:r>
      <w:r>
        <w:rPr>
          <w:rFonts w:ascii="Times New Roman" w:cs="Times New Roman" w:eastAsia="Times New Roman" w:hAnsi="Times New Roman"/>
          <w:sz w:val="18"/>
          <w:szCs w:val="18"/>
          <w:color w:val="auto"/>
        </w:rPr>
        <w:t>. Defendants include Carl C. Icahn and two officers of Dynegy Inc. ("Dynegy") and certain of its directors. As initially filed, the action purports to be brought as a class action on behalf of Dynegy shareholders who acquired their shares between September 2011 and March 2012. The complaint alleges violations of the federal securities laws by defendants' allegedly making false and misleading statements in securities filings which statements artificially inflated the price of Dynegy stock. The individual defendants are alleged to have been controlling persons of Dynegy. Plaintiff is seeking damages in an unspecified amount. Subsequent to the filing of this action, Dynegy filed for bankruptcy, and a U.S. bankruptcy court has approved a Plan of Reorganization. Plaintiff is proceeding with the action and has filed an amended complaint that purports to be a class action on behalf of Dynegy shareholders who acquired their securities between July 10, 2011 and March 9, 2012. We believe that we have meritorious defenses to the claims and filed a motion to dismiss on July 19, 2013. On April 30, 2014, the Court granted defendants' motion to dismiss and the case was dismissed with prejudice. On May 30, 2014, the Plaintiff filed an appeal, which is currently pending.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ind w:right="140" w:firstLine="378"/>
        <w:spacing w:after="0" w:line="255" w:lineRule="auto"/>
        <w:rPr>
          <w:sz w:val="20"/>
          <w:szCs w:val="20"/>
          <w:color w:val="auto"/>
        </w:rPr>
      </w:pPr>
      <w:r>
        <w:rPr>
          <w:rFonts w:ascii="Times New Roman" w:cs="Times New Roman" w:eastAsia="Times New Roman" w:hAnsi="Times New Roman"/>
          <w:sz w:val="18"/>
          <w:szCs w:val="18"/>
          <w:color w:val="auto"/>
        </w:rPr>
        <w:t>Federal-Mogul is a defendant in lawsuits filed, or the recipient of administrative orders issued or demand letters received, in various jurisdictions pursuant to the Federal Comprehensive Environmental Response Compensation and Liability Act of 1980 (“CERCLA”) or other similar national, provincial or state environmental remedial laws. These laws provide that responsible parties may be liable to pay for remediating contamination resulting from hazardous substances that were discharged into the environment by them, by prior owners or occupants of property they currently own or operate, or by others to whom they sent such substances for treatment or other disposition at third party locations. Federal-Mogul has been notified by the United States Environmental Protection Agency, other national environmental agencies, and various provincial and state agencies that it may be a potentially responsible party (“PRP”) under such laws for the cost of remediating hazardous substances pursuant to CERCLA and other national and state or provincial environmental laws. PRP designation often results in the funding of site investigations and subsequent remedial activities.</w:t>
      </w:r>
    </w:p>
    <w:p>
      <w:pPr>
        <w:spacing w:after="0" w:line="77" w:lineRule="exact"/>
        <w:rPr>
          <w:sz w:val="20"/>
          <w:szCs w:val="20"/>
          <w:color w:val="auto"/>
        </w:rPr>
      </w:pPr>
    </w:p>
    <w:p>
      <w:pPr>
        <w:ind w:firstLine="378"/>
        <w:spacing w:after="0" w:line="261" w:lineRule="auto"/>
        <w:rPr>
          <w:sz w:val="20"/>
          <w:szCs w:val="20"/>
          <w:color w:val="auto"/>
        </w:rPr>
      </w:pPr>
      <w:r>
        <w:rPr>
          <w:rFonts w:ascii="Times New Roman" w:cs="Times New Roman" w:eastAsia="Times New Roman" w:hAnsi="Times New Roman"/>
          <w:sz w:val="18"/>
          <w:szCs w:val="18"/>
          <w:color w:val="auto"/>
        </w:rPr>
        <w:t>Many of the sites that are likely to be the costliest to remediate are often current or former commercial waste disposal facilities to which numerous companies sent wastes. Despite the potential joint and several liability which might be imposed on Federal-Mogul under CERCLA and some of the other laws pertaining to these sites, its share of the total waste sent to these sites has generally been small. Federal-Mogul believes its exposure for liability at these sites is limited.</w:t>
      </w:r>
    </w:p>
    <w:p>
      <w:pPr>
        <w:spacing w:after="0" w:line="72"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Federal-Mogul has also identified certain other present and former properties at which it may be responsible for cleaning up or addressing environmental contamination, in some cases as a result of contractual commitments and/or federal or state environmental laws. Federal-Mogul is actively seeking to resolve these actual and potential statutory, regulatory and contractual obligations. Although difficult to quantify based on the complexity of the issues, Federal-Mogul has accrued amounts corresponding to its best estimate of the costs associated with such regulatory and contractual obligations on the basis of available information from site investigations and best professional judgment of consultants.</w:t>
      </w:r>
    </w:p>
    <w:p>
      <w:pPr>
        <w:spacing w:after="0" w:line="76" w:lineRule="exact"/>
        <w:rPr>
          <w:sz w:val="20"/>
          <w:szCs w:val="20"/>
          <w:color w:val="auto"/>
        </w:rPr>
      </w:pPr>
    </w:p>
    <w:p>
      <w:pPr>
        <w:ind w:right="280" w:firstLine="378"/>
        <w:spacing w:after="0" w:line="282" w:lineRule="auto"/>
        <w:rPr>
          <w:sz w:val="20"/>
          <w:szCs w:val="20"/>
          <w:color w:val="auto"/>
        </w:rPr>
      </w:pPr>
      <w:r>
        <w:rPr>
          <w:rFonts w:ascii="Times New Roman" w:cs="Times New Roman" w:eastAsia="Times New Roman" w:hAnsi="Times New Roman"/>
          <w:sz w:val="18"/>
          <w:szCs w:val="18"/>
          <w:color w:val="auto"/>
        </w:rPr>
        <w:t>Total environmental liabilities, determined on an undiscounted basis, were $15 million and $14 million at December 31, 2014 and 2013, respectively, and are included in accrued expenses and other liabilities in our consolidated balance sheets.</w:t>
      </w:r>
    </w:p>
    <w:p>
      <w:pPr>
        <w:spacing w:after="0" w:line="54" w:lineRule="exact"/>
        <w:rPr>
          <w:sz w:val="20"/>
          <w:szCs w:val="20"/>
          <w:color w:val="auto"/>
        </w:rPr>
      </w:pPr>
    </w:p>
    <w:p>
      <w:pPr>
        <w:ind w:right="40" w:firstLine="378"/>
        <w:spacing w:after="0" w:line="266" w:lineRule="auto"/>
        <w:rPr>
          <w:sz w:val="20"/>
          <w:szCs w:val="20"/>
          <w:color w:val="auto"/>
        </w:rPr>
      </w:pPr>
      <w:r>
        <w:rPr>
          <w:rFonts w:ascii="Times New Roman" w:cs="Times New Roman" w:eastAsia="Times New Roman" w:hAnsi="Times New Roman"/>
          <w:sz w:val="18"/>
          <w:szCs w:val="18"/>
          <w:color w:val="auto"/>
        </w:rPr>
        <w:t>Federal-Mogul believes that recorded environmental liabilities will be adequate to cover its estimated liability for its exposure in respect to such matters. In the event that such liabilities were to significantly exceed the amounts recorded by Federal-Mogul, our Automotive segment's results of operations could be materially affected. At December 31, 2014, Federal-</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420"/>
          </w:cols>
          <w:pgMar w:left="240" w:top="333" w:right="23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Mogul estimates reasonably possible material additional losses, above and beyond its best estimate of required remediation costs as recorded, to approximate $40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 Obligations</w:t>
      </w:r>
    </w:p>
    <w:p>
      <w:pPr>
        <w:spacing w:after="0" w:line="119" w:lineRule="exact"/>
        <w:rPr>
          <w:sz w:val="20"/>
          <w:szCs w:val="20"/>
          <w:color w:val="auto"/>
        </w:rPr>
      </w:pPr>
    </w:p>
    <w:p>
      <w:pPr>
        <w:ind w:right="120" w:firstLine="378"/>
        <w:spacing w:after="0" w:line="261" w:lineRule="auto"/>
        <w:rPr>
          <w:sz w:val="20"/>
          <w:szCs w:val="20"/>
          <w:color w:val="auto"/>
        </w:rPr>
      </w:pPr>
      <w:r>
        <w:rPr>
          <w:rFonts w:ascii="Times New Roman" w:cs="Times New Roman" w:eastAsia="Times New Roman" w:hAnsi="Times New Roman"/>
          <w:sz w:val="18"/>
          <w:szCs w:val="18"/>
          <w:color w:val="auto"/>
        </w:rPr>
        <w:t>Federal-Mogul has identified sites with contractual obligations and several sites that are closed or expected to be closed and sold. In connection with these sites, Federal-Mogul has accrued $24 million and $26 million at December 31, 2014 and 2013, respectively, for ARO's, primarily related to anticipated costs of removing hazardous building materials at its facilities, and has considered impairment issues that may result from capitalization of these ARO amounts.</w:t>
      </w:r>
    </w:p>
    <w:p>
      <w:pPr>
        <w:spacing w:after="0" w:line="72" w:lineRule="exact"/>
        <w:rPr>
          <w:sz w:val="20"/>
          <w:szCs w:val="20"/>
          <w:color w:val="auto"/>
        </w:rPr>
      </w:pPr>
    </w:p>
    <w:p>
      <w:pPr>
        <w:ind w:right="100" w:firstLine="378"/>
        <w:spacing w:after="0" w:line="261" w:lineRule="auto"/>
        <w:rPr>
          <w:sz w:val="20"/>
          <w:szCs w:val="20"/>
          <w:color w:val="auto"/>
        </w:rPr>
      </w:pPr>
      <w:r>
        <w:rPr>
          <w:rFonts w:ascii="Times New Roman" w:cs="Times New Roman" w:eastAsia="Times New Roman" w:hAnsi="Times New Roman"/>
          <w:sz w:val="18"/>
          <w:szCs w:val="18"/>
          <w:color w:val="auto"/>
        </w:rPr>
        <w:t>Federal-Mogul has conditional asset retirement obligations ("CARO"), primarily related to removal costs of hazardous materials in buildings, for which it believes reasonable cost estimates cannot be made at this time because it does not believe it has a reasonable basis to assign probabilities to a range of potential settlement dates for these retirement obligations. Accordingly, Federal-Mogul is currently unable to determine amounts to accrue for CARO at such sites.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w:t>
      </w:r>
    </w:p>
    <w:p>
      <w:pPr>
        <w:spacing w:after="0" w:line="119" w:lineRule="exact"/>
        <w:rPr>
          <w:sz w:val="20"/>
          <w:szCs w:val="20"/>
          <w:color w:val="auto"/>
        </w:rPr>
      </w:pPr>
    </w:p>
    <w:p>
      <w:pPr>
        <w:ind w:right="380" w:firstLine="378"/>
        <w:spacing w:after="0" w:line="258" w:lineRule="auto"/>
        <w:rPr>
          <w:sz w:val="20"/>
          <w:szCs w:val="20"/>
          <w:color w:val="auto"/>
        </w:rPr>
      </w:pPr>
      <w:r>
        <w:rPr>
          <w:rFonts w:ascii="Times New Roman" w:cs="Times New Roman" w:eastAsia="Times New Roman" w:hAnsi="Times New Roman"/>
          <w:sz w:val="18"/>
          <w:szCs w:val="18"/>
          <w:color w:val="auto"/>
        </w:rPr>
        <w:t>On April 25, 2014, a group of plaintiffs brought an action against Federal-Mogul Products, Inc. (“F-M Products”), a wholly-owned subsidiary of Federal-Mogul, alleging injuries and damages associated with the discharge of chlorinated hydrocarbons by the former owner of a facility located in Kentucky. Since 1998, when F-M Products acquired the facility, it has been cooperating with the applicable regulatory agencies on remediating the prior discharges pursuant to an order entered into by the facility’s former owner. Federal-Mogul is unable to estimate any reasonably possible range of loss for reasons including that the plaintiffs did not claim any amount of damages in their complaint. F-M Products intends to vigorously defend this litigation.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Unconditional Purchase Obligations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minimum required payments for CVR's unconditional purchase obligations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9"/>
              </w:rPr>
              <w:t>Unconditional</w:t>
            </w:r>
          </w:p>
        </w:tc>
      </w:tr>
      <w:tr>
        <w:trPr>
          <w:trHeight w:val="216"/>
        </w:trPr>
        <w:tc>
          <w:tcPr>
            <w:tcW w:w="9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8"/>
              </w:rPr>
              <w:t>Purchase</w:t>
            </w:r>
          </w:p>
        </w:tc>
      </w:tr>
      <w:tr>
        <w:trPr>
          <w:trHeight w:val="265"/>
        </w:trPr>
        <w:tc>
          <w:tcPr>
            <w:tcW w:w="98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center"/>
              <w:ind w:right="112"/>
              <w:spacing w:after="0" w:line="265" w:lineRule="exact"/>
              <w:rPr>
                <w:sz w:val="20"/>
                <w:szCs w:val="20"/>
                <w:color w:val="auto"/>
              </w:rPr>
            </w:pPr>
            <w:r>
              <w:rPr>
                <w:rFonts w:ascii="Times New Roman" w:cs="Times New Roman" w:eastAsia="Times New Roman" w:hAnsi="Times New Roman"/>
                <w:sz w:val="18"/>
                <w:szCs w:val="18"/>
                <w:b w:val="1"/>
                <w:bCs w:val="1"/>
                <w:color w:val="auto"/>
                <w:w w:val="95"/>
              </w:rPr>
              <w:t>Obligations</w:t>
            </w:r>
            <w:r>
              <w:rPr>
                <w:rFonts w:ascii="Times New Roman" w:cs="Times New Roman" w:eastAsia="Times New Roman" w:hAnsi="Times New Roman"/>
                <w:sz w:val="25"/>
                <w:szCs w:val="25"/>
                <w:b w:val="1"/>
                <w:bCs w:val="1"/>
                <w:color w:val="auto"/>
                <w:w w:val="95"/>
                <w:vertAlign w:val="superscript"/>
              </w:rPr>
              <w:t>(1)</w:t>
            </w:r>
          </w:p>
        </w:tc>
      </w:tr>
      <w:tr>
        <w:trPr>
          <w:trHeight w:val="191"/>
        </w:trPr>
        <w:tc>
          <w:tcPr>
            <w:tcW w:w="9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center"/>
              <w:ind w:right="112"/>
              <w:spacing w:after="0"/>
              <w:rPr>
                <w:sz w:val="20"/>
                <w:szCs w:val="20"/>
                <w:color w:val="auto"/>
              </w:rPr>
            </w:pPr>
            <w:r>
              <w:rPr>
                <w:rFonts w:ascii="Times New Roman" w:cs="Times New Roman" w:eastAsia="Times New Roman" w:hAnsi="Times New Roman"/>
                <w:sz w:val="14"/>
                <w:szCs w:val="14"/>
                <w:color w:val="auto"/>
              </w:rPr>
              <w:t>(in millions)</w:t>
            </w:r>
          </w:p>
        </w:tc>
      </w:tr>
      <w:tr>
        <w:trPr>
          <w:trHeight w:val="255"/>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718</w:t>
            </w:r>
          </w:p>
        </w:tc>
      </w:tr>
      <w:tr>
        <w:trPr>
          <w:trHeight w:val="27"/>
        </w:trPr>
        <w:tc>
          <w:tcPr>
            <w:tcW w:w="9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1,271</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80" w:right="80" w:hanging="80"/>
        <w:spacing w:after="0" w:line="255" w:lineRule="auto"/>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This amount includes $800 million payable ratably over sixteen years pursuant to petroleum transportation service agreements between CRRM and each of TransCanada Keystone Limited</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Partnership and TransCanada Keystone Pipeline, LP (together, "TransCanada"). The purchase obligation reflects the exchange rate between the Canadian dollar and the U.S. dollar as of December 31, 2014, where applicable. Under the agreements, CRRM receives transportation of at least 25,000 barrels per day of crude oil with a delivery point at Cushing, Oklahoma for a term of 20 years on TransCanada's Keystone pipeline system. CRRM began receiving crude oil under the agreements in the first quarter of 2011.</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Unconditional Purchase Obligations</w:t>
      </w:r>
    </w:p>
    <w:p>
      <w:pPr>
        <w:spacing w:after="0" w:line="119" w:lineRule="exact"/>
        <w:rPr>
          <w:sz w:val="20"/>
          <w:szCs w:val="20"/>
          <w:color w:val="auto"/>
        </w:rPr>
      </w:pPr>
    </w:p>
    <w:p>
      <w:pPr>
        <w:ind w:right="160" w:firstLine="378"/>
        <w:spacing w:after="0" w:line="258" w:lineRule="auto"/>
        <w:rPr>
          <w:sz w:val="20"/>
          <w:szCs w:val="20"/>
          <w:color w:val="auto"/>
        </w:rPr>
      </w:pPr>
      <w:r>
        <w:rPr>
          <w:rFonts w:ascii="Times New Roman" w:cs="Times New Roman" w:eastAsia="Times New Roman" w:hAnsi="Times New Roman"/>
          <w:sz w:val="18"/>
          <w:szCs w:val="18"/>
          <w:color w:val="auto"/>
        </w:rPr>
        <w:t>CVR leases various equipment, including rail cars and real properties under long-term operating leases expiring at various dates. For the years ended December 31, 2014 and 2013 and the period May 5, 2012 through December 31, 2012, total lease expense was $9 million, $9 million and $6 million, respectively. The lease agreements have various remaining terms. Some agreements are renewable, at CVR's option, for additional periods. It is expected, in the ordinary course of business, that leases will be renewed or replaced as they expire. Additionally, in the normal course of business, CVR has long-term commitments to purchase oxygen, nitrogen, electricity, storage capacity and pipeline transportation services.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420"/>
          </w:cols>
          <w:pgMar w:left="240" w:top="333" w:right="239" w:bottom="1440" w:gutter="0" w:footer="0" w:header="0"/>
        </w:sectPr>
      </w:pPr>
    </w:p>
    <w:bookmarkStart w:id="220" w:name="page221"/>
    <w:bookmarkEnd w:id="2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Crude Oil Supply Agreement</w:t>
      </w:r>
    </w:p>
    <w:p>
      <w:pPr>
        <w:spacing w:after="0" w:line="119" w:lineRule="exact"/>
        <w:rPr>
          <w:sz w:val="20"/>
          <w:szCs w:val="20"/>
          <w:color w:val="auto"/>
        </w:rPr>
      </w:pPr>
    </w:p>
    <w:p>
      <w:pPr>
        <w:ind w:right="200" w:firstLine="378"/>
        <w:spacing w:after="0" w:line="256" w:lineRule="auto"/>
        <w:rPr>
          <w:sz w:val="20"/>
          <w:szCs w:val="20"/>
          <w:color w:val="auto"/>
        </w:rPr>
      </w:pPr>
      <w:r>
        <w:rPr>
          <w:rFonts w:ascii="Times New Roman" w:cs="Times New Roman" w:eastAsia="Times New Roman" w:hAnsi="Times New Roman"/>
          <w:sz w:val="18"/>
          <w:szCs w:val="18"/>
          <w:color w:val="auto"/>
        </w:rPr>
        <w:t>On August 31, 2012, CRRM and Vitol Inc. ("Vitol"), entered into an Amended and Restated Crude Oil Supply Agreement (the "Vitol Agreement"). Under the Vitol Agreement, Vitol supplies the petroleum business with crude oil and intermediation logistics, which helps to reduce CVR Refining's inventory position and mitigate crude oil pricing risk. The Vitol Agreement had an initial term commencing on August 31, 2012 and extending through December 31, 2014 (the "Initial Term"). Following the Initial Term, the Vitol Agreement will automatically renew for successive one-year terms (each such term, a "Renewal Term") unless either party provides the other with notice of nonrenewal at least 180 days prior to expiration of the Initial Term or any Renewal Term. The Vitol Agreement was extended for a one-year Renewal Term through December 31, 2015.</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From time to time, CVR is involved in various lawsuits arising in the normal course of business, including matters such as those described below under, "Environmental, Health and Safety Matters." Liabilities related to such litigation are recognized when the related costs are probable and can be reasonably estimated. These provisions are reviewed at least quarterly and adjusted to reflect the impacts of negotiations, settlements, rulings, advice of legal counsel and other information and events pertaining to a particular case. It is possible that CVR's management estimates of the outcomes will change within the next year due to uncertainties inherent in litigation and settlement negotiations. In the opinion of CVR management, the ultimate resolution of any other litigation matters is not expected to have a material adverse effect on the accompanying consolidated financial statements. There can be no assurance that CVR management's beliefs or opinions with respect to liability for potential litigation matters will prove to be accurate.</w:t>
      </w:r>
    </w:p>
    <w:p>
      <w:pPr>
        <w:spacing w:after="0" w:line="81" w:lineRule="exact"/>
        <w:rPr>
          <w:sz w:val="20"/>
          <w:szCs w:val="20"/>
          <w:color w:val="auto"/>
        </w:rPr>
      </w:pPr>
    </w:p>
    <w:p>
      <w:pPr>
        <w:ind w:right="100" w:firstLine="378"/>
        <w:spacing w:after="0" w:line="256" w:lineRule="auto"/>
        <w:rPr>
          <w:sz w:val="20"/>
          <w:szCs w:val="20"/>
          <w:color w:val="auto"/>
        </w:rPr>
      </w:pPr>
      <w:r>
        <w:rPr>
          <w:rFonts w:ascii="Times New Roman" w:cs="Times New Roman" w:eastAsia="Times New Roman" w:hAnsi="Times New Roman"/>
          <w:sz w:val="18"/>
          <w:szCs w:val="18"/>
          <w:color w:val="auto"/>
        </w:rPr>
        <w:t>On June 21, 2012, Goldman, Sachs &amp; Co. ("GS") filed suit against CVR in state court in New York, alleging that CVR failed to pay GS fees allegedly due to GS by CVR pursuant to an engagement letter dated March 21, 2012, which according to the allegations set forth in the complaint, provided that GS was engaged by CVR to assist CVR and the CVR board of directors in connection with a tender offer for CVR's stock, made by Carl C. Icahn and certain of his affiliates. On September 8, 2014, the court (in its decision granting GS's motion for summary judgment against CVR) directed the court clerk to enter judgment against CVR in the amount of approximately $22.6 million. CVR filed its notice of appeal on October 3, 2014 and intends to vigorously pursue the appeal. On November 24, 2014, CVR paid the judgment to GS, subject to a right of refund if it is successful on appeal.</w:t>
      </w:r>
    </w:p>
    <w:p>
      <w:pPr>
        <w:spacing w:after="0" w:line="80" w:lineRule="exact"/>
        <w:rPr>
          <w:sz w:val="20"/>
          <w:szCs w:val="20"/>
          <w:color w:val="auto"/>
        </w:rPr>
      </w:pPr>
    </w:p>
    <w:p>
      <w:pPr>
        <w:ind w:right="60" w:firstLine="378"/>
        <w:spacing w:after="0" w:line="256" w:lineRule="auto"/>
        <w:rPr>
          <w:sz w:val="20"/>
          <w:szCs w:val="20"/>
          <w:color w:val="auto"/>
        </w:rPr>
      </w:pPr>
      <w:r>
        <w:rPr>
          <w:rFonts w:ascii="Times New Roman" w:cs="Times New Roman" w:eastAsia="Times New Roman" w:hAnsi="Times New Roman"/>
          <w:sz w:val="18"/>
          <w:szCs w:val="18"/>
          <w:color w:val="auto"/>
        </w:rPr>
        <w:t>On August 10, 2012, Deutsche Bank ("DB") filed suit against CVR in state court in New York, alleging that CVR failed to pay DB fees allegedly due to DB by CVR pursuant to an engagement letter dated March 23, 2012, which according to the allegations set forth in the complaint, provided that DB was engaged by CVR to assist CVR and the CVR board of directors in connection with a tender offer for CVR's stock made by Carl C. Icahn and certain of his affiliates. On September 8, 2014, the court (in its decision granting DB's motion for summary judgment against CVR) directed the court clerk to enter judgment against CVR in the amount of approximately $22.7 million. CVR filed its notice of appeal on October 3, 2014 and intends to vigorously pursue the appeal. On October 27, 2014, CVR paid the judgment to DB, subject to a right of refund if it is successful on appeal.</w:t>
      </w:r>
    </w:p>
    <w:p>
      <w:pPr>
        <w:spacing w:after="0" w:line="80" w:lineRule="exact"/>
        <w:rPr>
          <w:sz w:val="20"/>
          <w:szCs w:val="20"/>
          <w:color w:val="auto"/>
        </w:rPr>
      </w:pPr>
    </w:p>
    <w:p>
      <w:pPr>
        <w:ind w:firstLine="378"/>
        <w:spacing w:after="0" w:line="253" w:lineRule="auto"/>
        <w:rPr>
          <w:sz w:val="20"/>
          <w:szCs w:val="20"/>
          <w:color w:val="auto"/>
        </w:rPr>
      </w:pPr>
      <w:r>
        <w:rPr>
          <w:rFonts w:ascii="Times New Roman" w:cs="Times New Roman" w:eastAsia="Times New Roman" w:hAnsi="Times New Roman"/>
          <w:sz w:val="18"/>
          <w:szCs w:val="18"/>
          <w:color w:val="auto"/>
        </w:rPr>
        <w:t>CRNF received a ten year property tax abatement from Montgomery County, Kansas in connection with the construction of the nitrogen fertilizer plant that expired on December 31, 2007. In connection with the expiration of the abatement, the county reclassified and reassessed CRNF's nitrogen fertilizer plant for property tax purposes. The reclassification and reassessment resulted in an increase in CRNF's annual property tax expense by an average of $11 million per year for each of the years ended December 31, 2008 and 2009, $12 million for the year ended December 31, 2010 and $11 million for each of the years ended December 31, 2011 and 2012. CRNF protested the classification and resulting valuation for each of those years to the Kansas Court of Tax Appeals ("COTA"), followed by an appeal to the Kansas Court of Appeals. However, CRNF fully accrued and paid the property taxes the county claims are owed for the years ended December 31, 2008 through 2012. The Kansas Court of Appeals, in a memorandum opinion dated August 9, 2013, reversed the COTA decision in part and remanded the case to COTA, instructing COTA to classify each asset on an asset by asset basis instead of making a broad determination that the entire plant was real property as COTA did originally. The County filed a motion for rehearing with the Kansas Court of Appeals and a petition for review with the Kansas Supreme Court, both of which have been denied. CRNF believes that when that asset by asset determination is done, the majority of the plant will be classified as personal property which would result in significantly lower property taxes for CRNF for 2008 and for those years after the conclusion of the property tax settlement noted below as compared to the taxes paid by CRNF prior to the settlement.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420"/>
          </w:cols>
          <w:pgMar w:left="240" w:top="333" w:right="239" w:bottom="1440" w:gutter="0" w:footer="0" w:header="0"/>
        </w:sectPr>
      </w:pPr>
    </w:p>
    <w:bookmarkStart w:id="221" w:name="page222"/>
    <w:bookmarkEnd w:id="2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500" w:firstLine="378"/>
        <w:spacing w:after="0" w:line="261" w:lineRule="auto"/>
        <w:rPr>
          <w:sz w:val="20"/>
          <w:szCs w:val="20"/>
          <w:color w:val="auto"/>
        </w:rPr>
      </w:pPr>
      <w:r>
        <w:rPr>
          <w:rFonts w:ascii="Times New Roman" w:cs="Times New Roman" w:eastAsia="Times New Roman" w:hAnsi="Times New Roman"/>
          <w:sz w:val="18"/>
          <w:szCs w:val="18"/>
          <w:color w:val="auto"/>
        </w:rPr>
        <w:t>On February 25, 2013, Montgomery County and CRNF agreed to a settlement for tax years 2009 through 2012, which has lowered and will lower CRNF's property taxes by about $11 million per year (as compared to the 2012 tax year) for tax years 2013 to 2016 based on current mill levy rates. In addition, the settlement provides that Montgomery County will support CRNF's application before COTA for a ten-year tax exemption for the UAN expansion. Finally, the settlement provides that CRNF will continue its appeal of the 2008 reclassification and reassessment discussed above.</w:t>
      </w:r>
    </w:p>
    <w:p>
      <w:pPr>
        <w:spacing w:after="0" w:line="72" w:lineRule="exact"/>
        <w:rPr>
          <w:sz w:val="20"/>
          <w:szCs w:val="20"/>
          <w:color w:val="auto"/>
        </w:rPr>
      </w:pPr>
    </w:p>
    <w:p>
      <w:pPr>
        <w:ind w:right="200" w:firstLine="378"/>
        <w:spacing w:after="0" w:line="266" w:lineRule="auto"/>
        <w:rPr>
          <w:sz w:val="20"/>
          <w:szCs w:val="20"/>
          <w:color w:val="auto"/>
        </w:rPr>
      </w:pPr>
      <w:r>
        <w:rPr>
          <w:rFonts w:ascii="Times New Roman" w:cs="Times New Roman" w:eastAsia="Times New Roman" w:hAnsi="Times New Roman"/>
          <w:sz w:val="18"/>
          <w:szCs w:val="18"/>
          <w:color w:val="auto"/>
        </w:rPr>
        <w:t>The SEC is currently conducting an investigation in connection with CVR's disclosures following the announcement of a tender offer for CVR's stock initiated in February 2012. CVR is cooperating with the SEC and has produced, at the SEC's request, documents pertaining to the tender offer and its disclosures.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Flood, Crude Oil Discharge and Insurance</w:t>
      </w:r>
    </w:p>
    <w:p>
      <w:pPr>
        <w:spacing w:after="0" w:line="119" w:lineRule="exact"/>
        <w:rPr>
          <w:sz w:val="20"/>
          <w:szCs w:val="20"/>
          <w:color w:val="auto"/>
        </w:rPr>
      </w:pPr>
    </w:p>
    <w:p>
      <w:pPr>
        <w:ind w:right="40" w:firstLine="378"/>
        <w:spacing w:after="0" w:line="255" w:lineRule="auto"/>
        <w:rPr>
          <w:sz w:val="20"/>
          <w:szCs w:val="20"/>
          <w:color w:val="auto"/>
        </w:rPr>
      </w:pPr>
      <w:r>
        <w:rPr>
          <w:rFonts w:ascii="Times New Roman" w:cs="Times New Roman" w:eastAsia="Times New Roman" w:hAnsi="Times New Roman"/>
          <w:sz w:val="18"/>
          <w:szCs w:val="18"/>
          <w:color w:val="auto"/>
        </w:rPr>
        <w:t>Crude oil was discharged from the Coffeyville refinery on July 1, 2007, due to the short amount of time available to shutdown and secure the refinery in preparation for the flood that occurred on June 30, 2007. In connection with the discharge, CVR received in May 2008, notices of claims from 16 private claimants under the Oil Pollution Act ("OPA") in an aggregate amount of approximately $4 million (plus punitive damages). In August 2008, those claimants filed suit against CVR in the United States District Court for the District of Kansas in Wichita (the "Angleton Case"). In October 2009 and June 2010, companion cases to the Angleton Case were filed in the United States District Court for the District of Kansas in Wichita, seeking a total of approximately $3 million (plus punitive damages) for three additional plaintiffs as a result of the July 1, 2007 crude oil discharge. CVR has settled all of the claims with the plaintiffs from the Angleton Case and has settled all of the claims from the companion cases with the last remaining claim against it being settled during the first quarter of 2014. The settlements did not have a material adverse effect on our consolidated financial statements.</w:t>
      </w:r>
    </w:p>
    <w:p>
      <w:pPr>
        <w:spacing w:after="0" w:line="77" w:lineRule="exact"/>
        <w:rPr>
          <w:sz w:val="20"/>
          <w:szCs w:val="20"/>
          <w:color w:val="auto"/>
        </w:rPr>
      </w:pPr>
    </w:p>
    <w:p>
      <w:pPr>
        <w:ind w:right="20" w:firstLine="378"/>
        <w:spacing w:after="0" w:line="271" w:lineRule="auto"/>
        <w:rPr>
          <w:sz w:val="20"/>
          <w:szCs w:val="20"/>
          <w:color w:val="auto"/>
        </w:rPr>
      </w:pPr>
      <w:r>
        <w:rPr>
          <w:rFonts w:ascii="Times New Roman" w:cs="Times New Roman" w:eastAsia="Times New Roman" w:hAnsi="Times New Roman"/>
          <w:sz w:val="17"/>
          <w:szCs w:val="17"/>
          <w:color w:val="auto"/>
        </w:rPr>
        <w:t>On October 25, 2010, CVR received a letter from the United States Coast Guard on behalf of the EPA seeking approximately $2 million in oversight cost reimbursement. CVR responded by asserting defenses to the Coast Guard's claim for oversight costs. On September 23, 2011, the United States Department of Justice ("DOJ"), acting on behalf of the EPA and the United States Coast Guard, filed suit against CRRM in the United States District Court for the District of Kansas seeking recovery from CRRM related to alleged non-compliance with the Clean Air Act's Risk Management Program ("RMP"), the Clean Water Act ("CWA") and the OPA. CRRM reached an agreement with the DOJ resolving its claims under CWA and OPA. The agreement was memorialized in a Consent Decree that was filed with and approved by the Court on February 12, 2013 and March 25, 2013, respectively (the "2013 Consent Decree"). On April 19, 2013, CRRM paid a civil penalty (including accrued interest) in the amount of $0.6 million related to the CWA claims and reimbursed the Coast Guard for oversight costs under OPA in the amount of $1.7 million. The 2013 Consent Decree also requires CRRM to make small capital upgrades to the Coffeyville refinery crude oil tank farm, develop flood procedures and provide employee training, the majority of which have already been completed.</w:t>
      </w:r>
    </w:p>
    <w:p>
      <w:pPr>
        <w:spacing w:after="0" w:line="66" w:lineRule="exact"/>
        <w:rPr>
          <w:sz w:val="20"/>
          <w:szCs w:val="20"/>
          <w:color w:val="auto"/>
        </w:rPr>
      </w:pPr>
    </w:p>
    <w:p>
      <w:pPr>
        <w:ind w:firstLine="378"/>
        <w:spacing w:after="0" w:line="261" w:lineRule="auto"/>
        <w:rPr>
          <w:sz w:val="20"/>
          <w:szCs w:val="20"/>
          <w:color w:val="auto"/>
        </w:rPr>
      </w:pPr>
      <w:r>
        <w:rPr>
          <w:rFonts w:ascii="Times New Roman" w:cs="Times New Roman" w:eastAsia="Times New Roman" w:hAnsi="Times New Roman"/>
          <w:sz w:val="18"/>
          <w:szCs w:val="18"/>
          <w:color w:val="auto"/>
        </w:rPr>
        <w:t>The parties also reached an agreement to settle DOJ’s claims related to alleged non-compliance with RMP. The agreement is memorialized in a separate consent decree that was filed with and approved by the Court on May 21, 2013 and July 2, 2013, respectively, and provided for a civil penalty of $0.3 million. On July 29, 2013, CRRM paid the civil penalty related to the RMP claims. In 2014, CRRM completed several audits required by the RMP consent decree, which were related to compliance with RMP requirements.</w:t>
      </w:r>
    </w:p>
    <w:p>
      <w:pPr>
        <w:spacing w:after="0" w:line="72" w:lineRule="exact"/>
        <w:rPr>
          <w:sz w:val="20"/>
          <w:szCs w:val="20"/>
          <w:color w:val="auto"/>
        </w:rPr>
      </w:pPr>
    </w:p>
    <w:p>
      <w:pPr>
        <w:ind w:right="120" w:firstLine="378"/>
        <w:spacing w:after="0" w:line="254" w:lineRule="auto"/>
        <w:rPr>
          <w:sz w:val="20"/>
          <w:szCs w:val="20"/>
          <w:color w:val="auto"/>
        </w:rPr>
      </w:pPr>
      <w:r>
        <w:rPr>
          <w:rFonts w:ascii="Times New Roman" w:cs="Times New Roman" w:eastAsia="Times New Roman" w:hAnsi="Times New Roman"/>
          <w:sz w:val="18"/>
          <w:szCs w:val="18"/>
          <w:color w:val="auto"/>
        </w:rPr>
        <w:t>CRRM sought insurance coverage for the crude oil release and for the ultimate costs for remediation and third-party property damage claims. On July 10, 2008, CVR filed a lawsuit in the United States District Court for the District of Kansas (the "Court") against certain of CVR's environmental insurance carriers requesting insurance coverage indemnification for the June/July 2007 flood and crude oil discharge losses. Each insurer reserved its rights under various policy exclusions and limitations and cited potential coverage defenses. The Court issued summary judgment opinions that eliminated the majority of the insurance defendants' reservations and defenses. CRRM has received $25 million of insurance proceeds under its primary environmental liability insurance policy, which constitutes full payment of the primary pollution liability policy limit. In November 2014, CRRM concluded a jury trial against the remaining insurance carriers and received a verdict and judgment of $27 million, exclusive of potential prejudgment interest and attorneys' fees, which have been requested in post-trial motions. CVR Refining has a $4 million receivable related to this matter as of both December 31, 2014 and 2013. In accordance with accounting guidance related to gain contingencies, no additional amounts have been recognized related to the verdict and judgment in the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400"/>
          </w:cols>
          <w:pgMar w:left="240" w:top="333" w:right="259" w:bottom="1440" w:gutter="0" w:footer="0" w:header="0"/>
        </w:sectPr>
      </w:pPr>
    </w:p>
    <w:bookmarkStart w:id="222" w:name="page223"/>
    <w:bookmarkEnd w:id="2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Health and Safety Matters</w:t>
      </w:r>
    </w:p>
    <w:p>
      <w:pPr>
        <w:spacing w:after="0" w:line="119" w:lineRule="exact"/>
        <w:rPr>
          <w:sz w:val="20"/>
          <w:szCs w:val="20"/>
          <w:color w:val="auto"/>
        </w:rPr>
      </w:pPr>
    </w:p>
    <w:p>
      <w:pPr>
        <w:ind w:right="40" w:firstLine="378"/>
        <w:spacing w:after="0" w:line="261" w:lineRule="auto"/>
        <w:rPr>
          <w:sz w:val="20"/>
          <w:szCs w:val="20"/>
          <w:color w:val="auto"/>
        </w:rPr>
      </w:pPr>
      <w:r>
        <w:rPr>
          <w:rFonts w:ascii="Times New Roman" w:cs="Times New Roman" w:eastAsia="Times New Roman" w:hAnsi="Times New Roman"/>
          <w:sz w:val="18"/>
          <w:szCs w:val="18"/>
          <w:color w:val="auto"/>
        </w:rPr>
        <w:t>The petroleum and nitrogen fertilizer businesses are subject to various stringent federal, state, and local Environmental, Health and Safety ("EHS") rules and regulations. Liabilities related to EHS matters are recognized when the related costs are probable and can be reasonably estimated. Estimates of these costs are based upon currently available facts, existing technology, site-specific costs and currently enacted laws and regulations. In reporting EHS liabilities, no offset is made for potential recoveries.</w:t>
      </w:r>
    </w:p>
    <w:p>
      <w:pPr>
        <w:spacing w:after="0" w:line="72" w:lineRule="exact"/>
        <w:rPr>
          <w:sz w:val="20"/>
          <w:szCs w:val="20"/>
          <w:color w:val="auto"/>
        </w:rPr>
      </w:pPr>
    </w:p>
    <w:p>
      <w:pPr>
        <w:ind w:right="20" w:firstLine="378"/>
        <w:spacing w:after="0" w:line="253" w:lineRule="auto"/>
        <w:rPr>
          <w:sz w:val="20"/>
          <w:szCs w:val="20"/>
          <w:color w:val="auto"/>
        </w:rPr>
      </w:pPr>
      <w:r>
        <w:rPr>
          <w:rFonts w:ascii="Times New Roman" w:cs="Times New Roman" w:eastAsia="Times New Roman" w:hAnsi="Times New Roman"/>
          <w:sz w:val="18"/>
          <w:szCs w:val="18"/>
          <w:color w:val="auto"/>
        </w:rPr>
        <w:t>CRRM, CRNF, Coffeyville Resources Crude Transportation, LLC ("CRCT"), Wynnewood Refining Company, LLC ("WRC") and Coffeyville Resources Terminal, LLC ("CRT") own and/or operate manufacturing and ancillary operations at various locations directly related to petroleum refining and distribution and nitrogen fertilizer manufacturing. Therefore, CRRM, CRNF, CRCT, WRC and CRT have exposure to potential EHS liabilities related to past and present EHS conditions at these locations. Under the Comprehensive Environmental Response, Compensation, and Liability Act ("CERCLA"), the Resource Conservation and Recovery Act (“RCRA”), and related state laws, certain persons may be liable for the release or threatened release of hazardous substances. These persons include the current owner or operator of property where a release or threatened release occurred, any persons who owned or operated the property when the release occurred, and any persons who disposed of, or arranged for the transportation or disposal of, hazardous substances at a contaminated property. Liability under CERCLA is strict, and under certain circumstances, joint and several, so that any responsible party may be held liable for the entire cost of investigating and remediating the release of hazardous substances. Similarly, the OPA generally subjects owners and operators of facilities to strict, joint and several liability for all containment and clean-up costs, natural resource damages, and potential governmental oversight costs arising from oil spills into the waters of the United States, which has been broadly interpreted to include most water bodies including intermittent streams.</w:t>
      </w:r>
    </w:p>
    <w:p>
      <w:pPr>
        <w:spacing w:after="0" w:line="85" w:lineRule="exact"/>
        <w:rPr>
          <w:sz w:val="20"/>
          <w:szCs w:val="20"/>
          <w:color w:val="auto"/>
        </w:rPr>
      </w:pPr>
    </w:p>
    <w:p>
      <w:pPr>
        <w:ind w:right="120" w:firstLine="378"/>
        <w:spacing w:after="0" w:line="256" w:lineRule="auto"/>
        <w:rPr>
          <w:sz w:val="20"/>
          <w:szCs w:val="20"/>
          <w:color w:val="auto"/>
        </w:rPr>
      </w:pPr>
      <w:r>
        <w:rPr>
          <w:rFonts w:ascii="Times New Roman" w:cs="Times New Roman" w:eastAsia="Times New Roman" w:hAnsi="Times New Roman"/>
          <w:sz w:val="18"/>
          <w:szCs w:val="18"/>
          <w:color w:val="auto"/>
        </w:rPr>
        <w:t>CRRM, CRNF, CRCT, WRC and CRT are subject to extensive and frequently changing federal, state and local, environmental and health and safety laws and regulations governing the emission and release of hazardous substances into the environment, the treatment and discharge of waste water, the storage, handling, use and transportation of petroleum and nitrogen products, and the characteristics and composition of gasoline and diesel fuels. The ultimate impact of complying with evolving laws and regulations is not always clearly known or determinable due in part to the fact that our operations may change over time and certain implementing regulations for laws, such as the federal Clean Air Act, have not yet been finalized, are under governmental or judicial review or are being revised. These laws and regulations could result in increased capital, operating and compliance costs for our Energy segment.</w:t>
      </w:r>
    </w:p>
    <w:p>
      <w:pPr>
        <w:spacing w:after="0" w:line="80"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CRRM and CRT have agreed to perform corrective actions at the Coffeyville, Kansas refinery and the now-closed Phillipsburg, Kansas terminal facility, pursuant to Administrative Orders on Consent issued under RCRA to address historical contamination by the prior owners (RCRA Docket No. VII-94-H-20 and Docket No. VII-95-H-11, respectively). As December 31, 2014 and 2013, environmental accruals of $1 million and $2 million, respectively, were reflected in the consolidated balance sheets for probable and estimated costs for remediation of environmental contamination under the RCRA Administrative Orders. Accruals were determined based on an estimate of payment costs through 2031, for which the scope of remediation was arranged with the EPA, and were discounted at the appropriate risk free rates at December 31, 2014 and 2013. The accruals include estimated closure and post-closure costs of $1 million for the two landfills at both December 31, 2014 and 2013.</w:t>
      </w:r>
    </w:p>
    <w:p>
      <w:pPr>
        <w:spacing w:after="0" w:line="81" w:lineRule="exact"/>
        <w:rPr>
          <w:sz w:val="20"/>
          <w:szCs w:val="20"/>
          <w:color w:val="auto"/>
        </w:rPr>
      </w:pPr>
    </w:p>
    <w:p>
      <w:pPr>
        <w:ind w:right="840" w:firstLine="378"/>
        <w:spacing w:after="0" w:line="282" w:lineRule="auto"/>
        <w:rPr>
          <w:sz w:val="20"/>
          <w:szCs w:val="20"/>
          <w:color w:val="auto"/>
        </w:rPr>
      </w:pPr>
      <w:r>
        <w:rPr>
          <w:rFonts w:ascii="Times New Roman" w:cs="Times New Roman" w:eastAsia="Times New Roman" w:hAnsi="Times New Roman"/>
          <w:sz w:val="18"/>
          <w:szCs w:val="18"/>
          <w:color w:val="auto"/>
        </w:rPr>
        <w:t>CVR's management periodically reviews and, as appropriate, revises its environmental accruals. Based on current information and regulatory requirements, CVR's management believes that the accruals established for environmental expenditures are adequate.</w:t>
      </w:r>
    </w:p>
    <w:p>
      <w:pPr>
        <w:spacing w:after="0" w:line="54" w:lineRule="exact"/>
        <w:rPr>
          <w:sz w:val="20"/>
          <w:szCs w:val="20"/>
          <w:color w:val="auto"/>
        </w:rPr>
      </w:pPr>
    </w:p>
    <w:p>
      <w:pPr>
        <w:ind w:firstLine="378"/>
        <w:spacing w:after="0" w:line="266" w:lineRule="auto"/>
        <w:rPr>
          <w:sz w:val="20"/>
          <w:szCs w:val="20"/>
          <w:color w:val="auto"/>
        </w:rPr>
      </w:pPr>
      <w:r>
        <w:rPr>
          <w:rFonts w:ascii="Times New Roman" w:cs="Times New Roman" w:eastAsia="Times New Roman" w:hAnsi="Times New Roman"/>
          <w:sz w:val="18"/>
          <w:szCs w:val="18"/>
          <w:color w:val="auto"/>
        </w:rPr>
        <w:t>In 2007, the EPA promulgated the Mobile Source Air Toxic II ("MSAT II") rule that requires the reduction of benzene in gasoline by 2011. The MSAT II projects for CRRM and WRC were completed within the compliance deadline of November 1, 2014. The projects were completed at a total cost, excluding capitalized interest, of approximately $48 million for CRRM and $88 million for WRC.</w:t>
      </w:r>
    </w:p>
    <w:p>
      <w:pPr>
        <w:spacing w:after="0" w:line="68" w:lineRule="exact"/>
        <w:rPr>
          <w:sz w:val="20"/>
          <w:szCs w:val="20"/>
          <w:color w:val="auto"/>
        </w:rPr>
      </w:pPr>
    </w:p>
    <w:p>
      <w:pPr>
        <w:ind w:right="60" w:firstLine="378"/>
        <w:spacing w:after="0" w:line="258" w:lineRule="auto"/>
        <w:rPr>
          <w:sz w:val="20"/>
          <w:szCs w:val="20"/>
          <w:color w:val="auto"/>
        </w:rPr>
      </w:pPr>
      <w:r>
        <w:rPr>
          <w:rFonts w:ascii="Times New Roman" w:cs="Times New Roman" w:eastAsia="Times New Roman" w:hAnsi="Times New Roman"/>
          <w:sz w:val="18"/>
          <w:szCs w:val="18"/>
          <w:color w:val="auto"/>
        </w:rPr>
        <w:t>The petroleum business is subject to the Renewable Fuel Standard ("RFS") which requires refiners to either blend "renewable fuels" in with their transportation fuels or purchase renewable fuel credits, known as RINs in lieu of blending. Due to mandates in the RFS requiring increasing volumes of renewable fuels to replace petroleum products in the U.S. motor fuel market, there may be a decrease in demand for petroleum products. The EPA is required to determine and publish the applicable annual renewable fuel percentage standards for each compliance year by November 30 for the forthcoming year. The percentage standards represent the ratio of renewable fuel volume to gasoline and diesel volume. Beginning in 2011, the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400"/>
          </w:cols>
          <w:pgMar w:left="240" w:top="333" w:right="259" w:bottom="1440" w:gutter="0" w:footer="0" w:header="0"/>
        </w:sectPr>
      </w:pPr>
    </w:p>
    <w:bookmarkStart w:id="223" w:name="page224"/>
    <w:bookmarkEnd w:id="2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Coffeyville refinery was required to blend renewable fuels into its gasoline and diesel fuel or purchase RINs in lieu of blending. In 2013, the Wynnewood refinery was subject to the RFS for the first time. However, because the cost of purchasing RINs had been extremely volatile and had significantly increased, the Wynnewood refinery petitioned the EPA as a "small refinery" for hardship relief from the RFS requirements in 2013 based on the "disproportionate economic hardship" of the rule on the Wynnewood refinery. The EPA denied the petition in a letter dated September 5, 2014.</w:t>
      </w:r>
    </w:p>
    <w:p>
      <w:pPr>
        <w:spacing w:after="0" w:line="72" w:lineRule="exact"/>
        <w:rPr>
          <w:sz w:val="20"/>
          <w:szCs w:val="20"/>
          <w:color w:val="auto"/>
        </w:rPr>
      </w:pPr>
    </w:p>
    <w:p>
      <w:pPr>
        <w:ind w:right="20" w:firstLine="378"/>
        <w:spacing w:after="0" w:line="254" w:lineRule="auto"/>
        <w:rPr>
          <w:sz w:val="20"/>
          <w:szCs w:val="20"/>
          <w:color w:val="auto"/>
        </w:rPr>
      </w:pPr>
      <w:r>
        <w:rPr>
          <w:rFonts w:ascii="Times New Roman" w:cs="Times New Roman" w:eastAsia="Times New Roman" w:hAnsi="Times New Roman"/>
          <w:sz w:val="18"/>
          <w:szCs w:val="18"/>
          <w:color w:val="auto"/>
        </w:rPr>
        <w:t>During 2013, the cost of purchasing RINs was extremely volatile as the EPA's proposed renewable fuel volume mandates approached the "blend wall." The blend wall refers to the point at which refiners are required to blend more ethanol into the transportation supply than can be supported by the demand for E10 gasoline (gasoline containing 10 percent ethanol by volume). In November 2013, the EPA published the annual renewable fuel percentage standards for 2014, which acknowledged the blend wall and were generally lower than the volumes for 2013 and lower than statutory mandates. The price of RINs decreased significantly after the 2014 proposed percentage standards were published; however, RIN prices remained volatile and have increased subsequently in 2014. In May 2014, the EPA lowered the 2013 cellulosic biofuel standard to 0.0005%, and, in June 2014, the EPA extended the compliance demonstration deadline for the 2013 RFS to September 30, 2014. In August 2014, the EPA further extended the compliance demonstration deadline for the 2013 RFS to 30 days following the publication of the final 2014 annual renewable fuel percentage standards. In November 2014, the EPA announced that it would not finalize the 2014 annual renewable fuel percentage standards before the end of 2014 thereby extending the compliance deadline for the 2013 RFS as well.</w:t>
      </w:r>
    </w:p>
    <w:p>
      <w:pPr>
        <w:spacing w:after="0" w:line="81" w:lineRule="exact"/>
        <w:rPr>
          <w:sz w:val="20"/>
          <w:szCs w:val="20"/>
          <w:color w:val="auto"/>
        </w:rPr>
      </w:pPr>
    </w:p>
    <w:p>
      <w:pPr>
        <w:ind w:right="40" w:firstLine="378"/>
        <w:spacing w:after="0" w:line="255" w:lineRule="auto"/>
        <w:rPr>
          <w:sz w:val="20"/>
          <w:szCs w:val="20"/>
          <w:color w:val="auto"/>
        </w:rPr>
      </w:pPr>
      <w:r>
        <w:rPr>
          <w:rFonts w:ascii="Times New Roman" w:cs="Times New Roman" w:eastAsia="Times New Roman" w:hAnsi="Times New Roman"/>
          <w:sz w:val="18"/>
          <w:szCs w:val="18"/>
          <w:color w:val="auto"/>
        </w:rPr>
        <w:t>The cost of RINs for the years ended December 31, 2014 and 2013 and the period May 5, 2012 through December 31, 2012 was $127 million, $181 million and $14 million, respectively. As of December 31, 2014 and 2013, the petroleum business' biofuel blending obligation was $52 million and $17 million, respectively, which is included in accrued expenses and other liabilities on the consolidated balance sheets. The future cost of RINs for the petroleum business going forward is difficult to estimate, particularly until such time that the 2014 renewable fuel percentage standards are finalized and the 2015 renewable fuel percentage standards are announced. Additionally, the cost of RINs is dependent upon a variety of factors, which include EPA regulations, the availability of RINs for purchase, the price at which RINs can be purchased, transportation fuel production levels, the mix of the petroleum business' petroleum products, as well as the fuel blending performed at the its refineries, all of which can vary significantly from quarter to quarter.</w:t>
      </w:r>
    </w:p>
    <w:p>
      <w:pPr>
        <w:spacing w:after="0" w:line="81" w:lineRule="exact"/>
        <w:rPr>
          <w:sz w:val="20"/>
          <w:szCs w:val="20"/>
          <w:color w:val="auto"/>
        </w:rPr>
      </w:pPr>
    </w:p>
    <w:p>
      <w:pPr>
        <w:ind w:right="220" w:firstLine="378"/>
        <w:spacing w:after="0" w:line="258" w:lineRule="auto"/>
        <w:rPr>
          <w:sz w:val="20"/>
          <w:szCs w:val="20"/>
          <w:color w:val="auto"/>
        </w:rPr>
      </w:pPr>
      <w:r>
        <w:rPr>
          <w:rFonts w:ascii="Times New Roman" w:cs="Times New Roman" w:eastAsia="Times New Roman" w:hAnsi="Times New Roman"/>
          <w:sz w:val="18"/>
          <w:szCs w:val="18"/>
          <w:color w:val="auto"/>
        </w:rPr>
        <w:t>In April 2014, the EPA promulgated the Tier 3 Motor Vehicle Emission and Fuel Standards, which will require that gasoline contain no more than ten parts per million of sulfur on an annual average basis. Refineries must be in compliance with the more stringent emission standards by January 1, 2017; however, compliance with the rule is extended until January 1, 2020 for approved small volume refineries and small refiners. The Wynnewood refinery has submitted an application to EPA requesting "small volume refinery" status. It is not anticipated that the refineries will require additional controls or capital expenditures to meet the anticipated new standard.</w:t>
      </w:r>
    </w:p>
    <w:p>
      <w:pPr>
        <w:spacing w:after="0" w:line="76" w:lineRule="exact"/>
        <w:rPr>
          <w:sz w:val="20"/>
          <w:szCs w:val="20"/>
          <w:color w:val="auto"/>
        </w:rPr>
      </w:pPr>
    </w:p>
    <w:p>
      <w:pPr>
        <w:ind w:right="240" w:firstLine="378"/>
        <w:spacing w:after="0" w:line="258" w:lineRule="auto"/>
        <w:rPr>
          <w:sz w:val="20"/>
          <w:szCs w:val="20"/>
          <w:color w:val="auto"/>
        </w:rPr>
      </w:pPr>
      <w:r>
        <w:rPr>
          <w:rFonts w:ascii="Times New Roman" w:cs="Times New Roman" w:eastAsia="Times New Roman" w:hAnsi="Times New Roman"/>
          <w:sz w:val="18"/>
          <w:szCs w:val="18"/>
          <w:color w:val="auto"/>
        </w:rPr>
        <w:t>In March 2004, CRRM and CRT entered into a Consent Decree (the "2004 Consent Decree") with the EPA and the Kansas Department of Health and Environment (the "KDHE") to resolve air compliance concerns raised by the EPA and KDHE related to Farmland Industries Inc.'s prior ownership and operation of the Coffeyville crude oil refinery and the now-closed Phillipsburg terminal facilities. Under the 2004 Consent Decree, CRRM agreed to install controls to reduce emissions of sulfur dioxide, nitrogen oxides and particulate matter from its FCCU by January 1, 2011. In addition, pursuant to the 2004 Consent Decree, CRRM and CRT assumed clean-up obligations at the Coffeyville refinery and the now-closed Phillipsburg terminal facilities.</w:t>
      </w:r>
    </w:p>
    <w:p>
      <w:pPr>
        <w:spacing w:after="0" w:line="76"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In March 2012, CRRM entered into a "Second Consent Decree" with the EPA, which replaces the 2004 Consent Decree, as amended (other than certain financial assurance provisions associated with corrective action at the refinery and terminal under RCRA). The Second Consent Decree was entered by the U.S. District Court for the District of Kansas on April 19, 2012. The Second Consent Decree gives CRRM more time to install the FCCU controls from the 2004 Consent Decree and expands the scope of the settlement so that it is now considered a "global settlement" under the EPA's "National Petroleum Refining Initiative." Under the National Petroleum Refining Initiative, the EPA alleged industry-wide non-compliance with four "marquee" issues under the Clean Air Act: New Source Review, Flaring, Leak Detection and Repair, and Benzene Waste Operations NESHAP. The National Petroleum Refining Initiative has resulted in most U.S. refineries (representing more than 90% of the U.S. refining capacity) entering into consent decrees requiring the payment of civil penalties and the installation of air pollution control equipment and enhanced operating procedures. Under the Second Consent Decree, CVR was required to pay a civil penalty of less than $1 million and complete the installation of FCCU controls required under the 2004 Consent Decree, add controls to certain heaters and boilers and enhance certain work practices relating to wastewater and fugitive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420"/>
          </w:cols>
          <w:pgMar w:left="240" w:top="334" w:right="239" w:bottom="1440" w:gutter="0" w:footer="0" w:header="0"/>
        </w:sectPr>
      </w:pPr>
    </w:p>
    <w:bookmarkStart w:id="224" w:name="page225"/>
    <w:bookmarkEnd w:id="2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emissions. The remaining costs of complying with the Second Consent Decree are expected to be approximately $44 million. Additional incremental capital expenditures associated with the Second Consent Decree will not be material and will be limited primarily to the retrofit and replacement of heaters and boilers over several year time-frame.</w:t>
      </w:r>
    </w:p>
    <w:p>
      <w:pPr>
        <w:spacing w:after="0" w:line="68" w:lineRule="exact"/>
        <w:rPr>
          <w:sz w:val="20"/>
          <w:szCs w:val="20"/>
          <w:color w:val="auto"/>
        </w:rPr>
      </w:pPr>
    </w:p>
    <w:p>
      <w:pPr>
        <w:ind w:right="80" w:firstLine="378"/>
        <w:spacing w:after="0" w:line="256" w:lineRule="auto"/>
        <w:rPr>
          <w:sz w:val="20"/>
          <w:szCs w:val="20"/>
          <w:color w:val="auto"/>
        </w:rPr>
      </w:pPr>
      <w:r>
        <w:rPr>
          <w:rFonts w:ascii="Times New Roman" w:cs="Times New Roman" w:eastAsia="Times New Roman" w:hAnsi="Times New Roman"/>
          <w:sz w:val="18"/>
          <w:szCs w:val="18"/>
          <w:color w:val="auto"/>
        </w:rPr>
        <w:t>WRC entered into a Consent Order with the Oklahoma Department of Environmental Quality (the "ODEQ") in August 2011 (the "Wynnewood Consent Order"). The Wynnewood Consent Order addresses certain historic Clean Air Act compliance issues related to the operations of the prior owner. Under the Wynnewood Consent Order, WRC paid a civil penalty of $950,000 and agreed to install certain controls, enhance certain compliance programs, and undertake additional testing and auditing. A substantial portion of the costs of complying with the Wynnewood Consent Order were expended during the last turnaround. The remaining costs are expected to be approximately $3 million. In consideration for entering into the Wynnewood Consent Order, WRC received a release from liability from ODEQ for matters described in the ODEQ order.</w:t>
      </w:r>
    </w:p>
    <w:p>
      <w:pPr>
        <w:spacing w:after="0" w:line="80"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From time to time, ODEQ conducts inspections of the Wynnewood refinery and pursues enforcement related to any alleged non-compliance with the Clean Air Act seeking civil penalties and injunctive relief, which may necessitate the installation of controls. In January 2014, ODEQ issued a full compliance evaluation ("FCE") report covering the period from December 2010 through June 2013, which covered periods of the previous owner's ownership and operation and, in some cases, continued into CVR Refining's ownership of the Wynnewood refinery. In addition, on April 11, 2014, WRC received a partial compliance evaluation ("PCE") report from ODEQ alleging additional violations of the Clean Air Act. ODE conducted a follow-up inspection on June 30, 2014. WRC has responded to both the FCE and PCE. The costs of any enforcement that may arise as a result of the FCE or the PCE cannot be predicted at this time. However, based on its experience related to Clean Air Act enforcement and control requirements, CVR does not anticipate that the costs of any civil penalties, required additional controls or operational changes would be material.</w:t>
      </w:r>
    </w:p>
    <w:p>
      <w:pPr>
        <w:spacing w:after="0" w:line="77" w:lineRule="exact"/>
        <w:rPr>
          <w:sz w:val="20"/>
          <w:szCs w:val="20"/>
          <w:color w:val="auto"/>
        </w:rPr>
      </w:pPr>
    </w:p>
    <w:p>
      <w:pPr>
        <w:ind w:right="60" w:firstLine="378"/>
        <w:spacing w:after="0" w:line="258" w:lineRule="auto"/>
        <w:rPr>
          <w:sz w:val="20"/>
          <w:szCs w:val="20"/>
          <w:color w:val="auto"/>
        </w:rPr>
      </w:pPr>
      <w:r>
        <w:rPr>
          <w:rFonts w:ascii="Times New Roman" w:cs="Times New Roman" w:eastAsia="Times New Roman" w:hAnsi="Times New Roman"/>
          <w:sz w:val="18"/>
          <w:szCs w:val="18"/>
          <w:color w:val="auto"/>
        </w:rPr>
        <w:t>WRC has entered into a series of Clean Water Act consent orders with ODEQ. The latest consent order (the "CWA Consent Order"), which superseded other consent orders, became effective in September 2011. The CWA Consent Order addressed alleged non-compliance by WRC with its Oklahoma Pollutant Discharge Elimination System ("OPDES") permit limits. The CWA Consent Order required WRC to take corrective action steps, including undertaking studies to determine whether the Wynnewood refinery's wastewater treatment plant capacity is sufficient. WRC completed its obligations under the CWA Consent Order, and ODEQ notified WRC that the CWA Consent Order is closed.</w:t>
      </w:r>
    </w:p>
    <w:p>
      <w:pPr>
        <w:spacing w:after="0" w:line="76" w:lineRule="exact"/>
        <w:rPr>
          <w:sz w:val="20"/>
          <w:szCs w:val="20"/>
          <w:color w:val="auto"/>
        </w:rPr>
      </w:pPr>
    </w:p>
    <w:p>
      <w:pPr>
        <w:ind w:right="60" w:firstLine="378"/>
        <w:spacing w:after="0" w:line="258" w:lineRule="auto"/>
        <w:rPr>
          <w:sz w:val="20"/>
          <w:szCs w:val="20"/>
          <w:color w:val="auto"/>
        </w:rPr>
      </w:pPr>
      <w:r>
        <w:rPr>
          <w:rFonts w:ascii="Times New Roman" w:cs="Times New Roman" w:eastAsia="Times New Roman" w:hAnsi="Times New Roman"/>
          <w:sz w:val="18"/>
          <w:szCs w:val="18"/>
          <w:color w:val="auto"/>
        </w:rPr>
        <w:t>In January 2014, the EPA also issued an inspection report to the Wynnewood refinery related to a RCRA compliance evaluation inspection conducted in March 2013. In February 2014, ODEQ notified WRC that it concurred with the EPA's inspection findings and would be pursuing enforcement. WRC and ODEQ currently are engaged in settlement discussions related to a civil penalty and injunctive relief. The costs of any related enforcement settlement cannot be predicted at this time. However, based on its experience related to RCRA enforcement, CVR does not anticipate that the costs of any civil penalties, required additional controls or operational changes would be material.</w:t>
      </w:r>
    </w:p>
    <w:p>
      <w:pPr>
        <w:spacing w:after="0" w:line="76" w:lineRule="exact"/>
        <w:rPr>
          <w:sz w:val="20"/>
          <w:szCs w:val="20"/>
          <w:color w:val="auto"/>
        </w:rPr>
      </w:pPr>
    </w:p>
    <w:p>
      <w:pPr>
        <w:ind w:right="200" w:firstLine="378"/>
        <w:spacing w:after="0" w:line="266" w:lineRule="auto"/>
        <w:rPr>
          <w:sz w:val="20"/>
          <w:szCs w:val="20"/>
          <w:color w:val="auto"/>
        </w:rPr>
      </w:pPr>
      <w:r>
        <w:rPr>
          <w:rFonts w:ascii="Times New Roman" w:cs="Times New Roman" w:eastAsia="Times New Roman" w:hAnsi="Times New Roman"/>
          <w:sz w:val="18"/>
          <w:szCs w:val="18"/>
          <w:color w:val="auto"/>
        </w:rPr>
        <w:t>Environmental expenditures are capitalized when such expenditures are expected to result in future economic benefits. For the years ended December 31, 2014 and 2013 and the period May 5, 2012 through December 31, 2012, capital expenditures were approximately $101 million, $111 million and $21 million, respectively, and were incurred to improve the environmental compliance and efficiency of the operations.</w:t>
      </w:r>
    </w:p>
    <w:p>
      <w:pPr>
        <w:spacing w:after="0" w:line="68" w:lineRule="exact"/>
        <w:rPr>
          <w:sz w:val="20"/>
          <w:szCs w:val="20"/>
          <w:color w:val="auto"/>
        </w:rPr>
      </w:pPr>
    </w:p>
    <w:p>
      <w:pPr>
        <w:ind w:right="200" w:firstLine="378"/>
        <w:spacing w:after="0" w:line="266" w:lineRule="auto"/>
        <w:rPr>
          <w:sz w:val="20"/>
          <w:szCs w:val="20"/>
          <w:color w:val="auto"/>
        </w:rPr>
      </w:pPr>
      <w:r>
        <w:rPr>
          <w:rFonts w:ascii="Times New Roman" w:cs="Times New Roman" w:eastAsia="Times New Roman" w:hAnsi="Times New Roman"/>
          <w:sz w:val="18"/>
          <w:szCs w:val="18"/>
          <w:color w:val="auto"/>
        </w:rPr>
        <w:t>CRRM, CRNF, CRCT, WRC and CRT each believe it is in substantial compliance with existing EHS rules and regulations. There can be no assurance that the EHS matters described above or other EHS matters which may develop in the future will not have a material adverse effect on CVR's business, financial condition, or results of operations.</w:t>
      </w:r>
    </w:p>
    <w:p>
      <w:pPr>
        <w:spacing w:after="0" w:line="68" w:lineRule="exact"/>
        <w:rPr>
          <w:sz w:val="20"/>
          <w:szCs w:val="20"/>
          <w:color w:val="auto"/>
        </w:rPr>
      </w:pPr>
    </w:p>
    <w:p>
      <w:pPr>
        <w:ind w:right="20" w:firstLine="378"/>
        <w:spacing w:after="0" w:line="254" w:lineRule="auto"/>
        <w:rPr>
          <w:sz w:val="20"/>
          <w:szCs w:val="20"/>
          <w:color w:val="auto"/>
        </w:rPr>
      </w:pPr>
      <w:r>
        <w:rPr>
          <w:rFonts w:ascii="Times New Roman" w:cs="Times New Roman" w:eastAsia="Times New Roman" w:hAnsi="Times New Roman"/>
          <w:sz w:val="18"/>
          <w:szCs w:val="18"/>
          <w:color w:val="auto"/>
        </w:rPr>
        <w:t>On September 28, 2012, the Wynnewood refinery experienced an explosion in a boiler unit during startup after a short outage as part of the turnaround process. Two employees were fatally injured. Damage at the refinery was limited to the boiler. Additionally, there has been no evidence of environmental impact. The refinery was in the final stages of shutdown for turnaround maintenance at the time of the incident. The petroleum business completed an internal investigation of the incident and cooperated with OSHA in its investigation. OSHA also conducted a general inspection of the facility during the boiler incident investigation. In March 2013, OSHA completed its investigation and communicated its citations to WRC. OSHA also placed WRC in its Severe Violators Enforcement Program ("SVEP"). WRC is vigorously contesting the citations and OSHA's placement of WRC in the SVEP. Any penalties associated with OSHA's citations are not expected to have a material adverse effect on the consolidated financial statements. On September 25, 2013, WRC agreed to pay a small civil penalty to settle rather than defend claims alleged by the EPA under the Clean Air Act's general duty clause related to the boiler incident. In addition to the above, the spouses of the two employees fatally injured have filed a civil lawsuit against WRC, CVR Refining and CVR</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420"/>
          </w:cols>
          <w:pgMar w:left="240" w:top="333" w:right="239" w:bottom="1440" w:gutter="0" w:footer="0" w:header="0"/>
        </w:sectPr>
      </w:pPr>
    </w:p>
    <w:bookmarkStart w:id="225" w:name="page226"/>
    <w:bookmarkEnd w:id="2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Energy in Fort Bend County, Texas. The civil suit is in discovery and the companies will vigorously defend the suit. It is currently too early to assess a potential outcome in the matter.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Metals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ind w:right="100" w:firstLine="378"/>
        <w:spacing w:after="0" w:line="256" w:lineRule="auto"/>
        <w:rPr>
          <w:sz w:val="20"/>
          <w:szCs w:val="20"/>
          <w:color w:val="auto"/>
        </w:rPr>
      </w:pPr>
      <w:r>
        <w:rPr>
          <w:rFonts w:ascii="Times New Roman" w:cs="Times New Roman" w:eastAsia="Times New Roman" w:hAnsi="Times New Roman"/>
          <w:sz w:val="18"/>
          <w:szCs w:val="18"/>
          <w:color w:val="auto"/>
        </w:rPr>
        <w:t>Certain of PSC Metals' facilities are environmentally impaired in part as a result of operating practices at the sites prior to their acquisition by PSC Metals and as a result of PSC Metals' operations. PSC Metals has established procedures to periodically evaluate these sites, giving consideration to the nature and extent of the contamination. PSC Metals has provided for the remediation of these sites based upon management's judgment and prior experience. PSC Metals has estimated the liability to remediate these sites to be $28 million and $29 million as of December 31, 2014 and 2013, respectively. Management believes, based on past experience, that the vast majority of these environmental liabilities and costs will be assessed and paid over an extended period of time. PSC Metals believes that it will be able to fund such costs in the ordinary course of business.</w:t>
      </w:r>
    </w:p>
    <w:p>
      <w:pPr>
        <w:spacing w:after="0" w:line="8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Estimates of PSC Metals' liability for remediation of a particular site and the method and ultimate cost of remediation require a number of assumptions that are inherently difficult to make, and the ultimate outcome may be materially different from current estimates. Moreover, because PSC Metals has disposed of waste materials at numerous third-party disposal facilities, it is possible that PSC Metals will be identified as a PRP at additional sites. The impact of such future events cannot be estimated at the current time.</w:t>
      </w:r>
    </w:p>
    <w:p>
      <w:pPr>
        <w:spacing w:after="0" w:line="72"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PSC Metals has been designated as a PRP under U.S. federal and state superfund laws with respect to certain sites with which PSC Metals may have had a direct or indirect involvement. It is alleged that PSC Metals and its subsidiaries or their predecessors transported waste to the sites, disposed of waste at the sites or operated the sites in question. In addition, PSC Metals recently learned that its Knoxville location was the subject of investigations by the State of Tennessee under the federal Superfund law. These investigations were performed by the State of Tennessee pursuant to a contract with the EPA. PSC Metals is exploring a potential settlement of the matter. Currently, PSC Metals cannot assess the impact of any cost or liability associated with these investigations. With respect to all other matters in which PSC Metals has been designated as a PRP under U.S. federal and state superfund laws, PSC Metals has reviewed the nature and extent of the allegations, the number, connection and financial ability of other named and unnamed PRPs and the nature and estimated cost of the likely remedy. Based on reviewing the nature and extent of the allegations, PSC Metals has estimated its liability to remediate these sites to be immaterial at each of December 31, 2014 and 2013. If it is determined that PSC Metals has liability to remediate those sites and that more expensive remediation approaches are required in the future, PSC Metals could incur additional obligations, which could be material.</w:t>
      </w:r>
    </w:p>
    <w:p>
      <w:pPr>
        <w:spacing w:after="0" w:line="78"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In November and December of 2011, PSC Metals received three notices of violation ("NOV") from the Missouri Department of Natural Resources (“MDNR”) for hazardous waste and water violations related to its Festus, Missouri location. PSC Metals has entered into a settlement with MDNR that resolves these NOVs. Currently, PSC Metals believes that it has established adequate reserves for the cost of this settlement. In addition, PSC Metals believes that it has a claim for indemnification against the prior owner of the facility associated with the above-referenced notices of violation. MDNR and PSC Metals, as part of the resolution of MDNR's NOVs, have undertaken sampling for lead at residences near PSC Metals' Festus yard. Approximately 67 residences were sampled and tested, and of those, approximately 15 tested above residential standards for lead contamination. PSC Metals has entered into a settlement agreement with MDNR which resolves MNDR’s claims and requires limited soil remediation at the 15 residences. PSC Metals is in the process of completing the remediation required by the settlement agreement. Currently, PSC Metals believes that it has adequately reserved for the cost of remediation associated with its Festus yard and the residential areas near the yard. However, PSC Metals cannot assess its liability with certainty at this time. Additionally, PSC Metals believes that liability for off-site contamination was retained by the prior owner of the Festus yard and accordingly, it would have a claim for indemnification against the prior owner.</w:t>
      </w:r>
    </w:p>
    <w:p>
      <w:pPr>
        <w:spacing w:after="0" w:line="85"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In 2011, PSC Metals entered into a consent decree with the EPA regarding PSC Metals' scrap processing facility located in Cleveland, Ohio. The EPA alleged that PSC Metals violated the requirements of Section 608 of the Clean Air Act, 42 USC Section 761, which requires scrap processors to either recover refrigerants from appliances in accordance with the procedures described in the applicable federal regulations or verify through certifications that refrigerants have previously been evacuated. The consent decree includes injunctive relief that, among other things, will require PSC Metals to offer refrigerant extraction services at 11 of its scrap processing facilities through October 2015. PSC Metals estimates that the cost associated with the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420"/>
          </w:cols>
          <w:pgMar w:left="240" w:top="333" w:right="2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required injunctive relief will range from $0.8 million to $1.7 million, exclusive of a civil penalty of $199,000 assessed in connection with the consent decree which PSC Metals paid in 2011.</w:t>
      </w:r>
    </w:p>
    <w:p>
      <w:pPr>
        <w:spacing w:after="0" w:line="5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April 3, 2013, two citizen groups filed a citizen suit under the Clean Water Act (the “CWA”) for alleged storm water and process water discharges at PSC Metals' Nashville, TN facility that the citizen groups allege violate the CWA and PSC Metals' storm water discharge permit. The CWA requires that to maintain a citizen suit, the citizen plaintiffs must be able to show that the violations are on-going or are reasonably likely to reoccur. PSC Metals has entered into a settlement agreement with the citizen plaintiffs that resolves the citizen plaintiffs' claims. The settlement agreement requires, among other things, improvements to PSC Metals' Nashville facility in order to improve the quality of storm water discharges and more frequent storm water testing than what is currently required.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Railcar</w:t>
      </w:r>
    </w:p>
    <w:p>
      <w:pPr>
        <w:spacing w:after="0" w:line="12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On October 24, 2014, ARI filed a complaint in United States District Court for the Southern District of New York against Gyansys, Inc. ("Gyansys"). The complaint asserts a claim against Gyansys for breaching its contract with ARI to implement an enterprise resource planning system. ARI seeks to recover monetary damages in an amount still to be determined, but which ARI alleged exceeds $25 million. Gyansys filed a response to the suit denying its responsibility. It also counterclaimed against ARI for a breach of contract and wrongful termination, seeking damages in excess of $10 million and equitable relief. At this time, ARI does not have sufficient information to reasonably form an estimate of the potential outcome (gain or loss) of this litigation. However, ARI believes that Gyansys' counterclaims lack merit, and ARI has filed a motion to dismiss Gyansys' counterclaims in part.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Gaming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Tropicana AC Tax Appeal Settlement</w:t>
      </w:r>
    </w:p>
    <w:p>
      <w:pPr>
        <w:spacing w:after="0" w:line="254"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In January 2013, Tropicana settled outstanding real estate tax appeals involving our Tropicana AC property with the City of Atlantic City. The settlement involves the tax years 2008 through 2012 and also covers negotiated real estate assessments for 2013 and 2014. Under the terms of the settlement, Tropicana AC was to receive approximately $50 million refund in the form of credits against annual real estate tax bills beginning in 2013 and ending in 2017. The credits were to be front-loaded in 2013 and 2014 so that after the credits were applied, Tropicana AC paid approximately $2 million in taxes in 2013. Tropicana utilized $16 million of credits as a reduction to operating expenses in the year ended December 31, 2013. In addition, we expensed $4 million in professional fees related to this settlement in the year ended December 31, 2013. In January 2014, Tropicana received approximately $32 million in cash as payment to satisfy future credits.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Indiana Gross Income Tax Appeals</w:t>
      </w:r>
    </w:p>
    <w:p>
      <w:pPr>
        <w:spacing w:after="0" w:line="254" w:lineRule="exact"/>
        <w:rPr>
          <w:sz w:val="20"/>
          <w:szCs w:val="20"/>
          <w:color w:val="auto"/>
        </w:rPr>
      </w:pPr>
    </w:p>
    <w:p>
      <w:pPr>
        <w:ind w:right="180" w:firstLine="378"/>
        <w:spacing w:after="0" w:line="256" w:lineRule="auto"/>
        <w:rPr>
          <w:sz w:val="20"/>
          <w:szCs w:val="20"/>
          <w:color w:val="auto"/>
        </w:rPr>
      </w:pPr>
      <w:r>
        <w:rPr>
          <w:rFonts w:ascii="Times New Roman" w:cs="Times New Roman" w:eastAsia="Times New Roman" w:hAnsi="Times New Roman"/>
          <w:sz w:val="18"/>
          <w:szCs w:val="18"/>
          <w:color w:val="auto"/>
        </w:rPr>
        <w:t>In September 2014, Tropicana settled gross income tax litigation pending with the state of Indiana related to its Predecessors, Aztar Missouri Gaming Corporation ("AMO") and Aztar Indiana Gaming Corporation and its successor, Aztar Indiana Gaming, LLC (collectively, "AIN") pursuant to which it paid the state of Indiana a settlement in the amount of $0.6 million and withdrew gross income tax refund claims related to AIN and AMO for the tax years 2004 through 2008 in exchange for a dismissal of tax assessments against AIN for the tax year 2008, and an exchange of mutual releases between the parties related to Indiana gross income tax assessments and refund claims for the tax years 2004 through 2008. As a result, Tropicana recorded adjustments to both its administrative tax claim receivable and accrual in the amount of $8 million.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Fashion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ind w:right="60" w:firstLine="378"/>
        <w:spacing w:after="0" w:line="258" w:lineRule="auto"/>
        <w:rPr>
          <w:sz w:val="20"/>
          <w:szCs w:val="20"/>
          <w:color w:val="auto"/>
        </w:rPr>
      </w:pPr>
      <w:r>
        <w:rPr>
          <w:rFonts w:ascii="Times New Roman" w:cs="Times New Roman" w:eastAsia="Times New Roman" w:hAnsi="Times New Roman"/>
          <w:sz w:val="18"/>
          <w:szCs w:val="18"/>
          <w:color w:val="auto"/>
        </w:rPr>
        <w:t>WPH is subject to various federal, state and local environmental laws and regulations governing, among other things, the discharge, storage, handling and disposal of a variety of hazardous and nonhazardous substances and wastes used in or resulting from its operations and potential remediation obligations. WPH's operations are also governed by U.S. federal, state, local and foreign laws, rules and regulations relating to employee safety and health which, among other things, establish exposure limitation for cotton dust, formaldehyde, asbestos and noise, and which regulate chemical, physical and ergonomic hazards in the workplace. WPH estimated its environmental accruals to be $1 million at both December 31, 2014 and 2013.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ind w:right="80" w:firstLine="378"/>
        <w:spacing w:after="0" w:line="282" w:lineRule="auto"/>
        <w:rPr>
          <w:sz w:val="20"/>
          <w:szCs w:val="20"/>
          <w:color w:val="auto"/>
        </w:rPr>
      </w:pPr>
      <w:r>
        <w:rPr>
          <w:rFonts w:ascii="Times New Roman" w:cs="Times New Roman" w:eastAsia="Times New Roman" w:hAnsi="Times New Roman"/>
          <w:sz w:val="18"/>
          <w:szCs w:val="18"/>
          <w:color w:val="auto"/>
        </w:rPr>
        <w:t>Mr. Icahn, through certain affiliates, owns 100% of Icahn Enterprises GP and approximately 88.4% of Icahn Enterprises' outstanding depositary units as of December 31, 2014. Applicable pension and tax laws make each member of a “controlled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420"/>
          </w:cols>
          <w:pgMar w:left="240" w:top="333" w:right="239"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76" w:lineRule="exact"/>
        <w:rPr>
          <w:sz w:val="20"/>
          <w:szCs w:val="20"/>
          <w:color w:val="auto"/>
        </w:rPr>
      </w:pPr>
    </w:p>
    <w:p>
      <w:pPr>
        <w:ind w:firstLine="378"/>
        <w:spacing w:after="0" w:line="253" w:lineRule="auto"/>
        <w:rPr>
          <w:sz w:val="20"/>
          <w:szCs w:val="20"/>
          <w:color w:val="auto"/>
        </w:rPr>
      </w:pPr>
      <w:r>
        <w:rPr>
          <w:rFonts w:ascii="Times New Roman" w:cs="Times New Roman" w:eastAsia="Times New Roman" w:hAnsi="Times New Roman"/>
          <w:sz w:val="18"/>
          <w:szCs w:val="18"/>
          <w:color w:val="auto"/>
        </w:rPr>
        <w:t>As a result of the more than 80% ownership interest in us by Mr. Icahn’s affiliates, we and our subsidiaries are subject to the pension liabilities of entities in which Mr. Icahn has a direct or indirect ownership interest of at least 80%. As a result of our ownership of more than 80% in our subsidiaries, we and our subsidiaries are subject to the pension liabilities of all entities in which Mr. Icahn has a direct or indirect ownership interest of at least 80%. ACF and Federal-Mogul, are the sponsors of several pension plans. All the minimum funding requirements of the Code and the Employee Retirement Income Security Act of 1974, as amended by the Pension Protection Act of 2006, for these plans have been met as of December 31, 2014 and 2013. If the plans were voluntarily terminated, they would be underfunded by approximately $474 million and $592 million as of December 31, 2014 and 2013,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83"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68"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Leases</w:t>
      </w:r>
    </w:p>
    <w:p>
      <w:pPr>
        <w:spacing w:after="0" w:line="121" w:lineRule="exact"/>
        <w:rPr>
          <w:sz w:val="20"/>
          <w:szCs w:val="20"/>
          <w:color w:val="auto"/>
        </w:rPr>
      </w:pPr>
    </w:p>
    <w:p>
      <w:pPr>
        <w:ind w:right="280" w:firstLine="378"/>
        <w:spacing w:after="0" w:line="282" w:lineRule="auto"/>
        <w:rPr>
          <w:sz w:val="20"/>
          <w:szCs w:val="20"/>
          <w:color w:val="auto"/>
        </w:rPr>
      </w:pPr>
      <w:r>
        <w:rPr>
          <w:rFonts w:ascii="Times New Roman" w:cs="Times New Roman" w:eastAsia="Times New Roman" w:hAnsi="Times New Roman"/>
          <w:sz w:val="18"/>
          <w:szCs w:val="18"/>
          <w:color w:val="auto"/>
        </w:rPr>
        <w:t>Consolidated future minimum lease payments under operating leases with initial terms of one or more years consist of the following at December 31, 2014: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3180" w:type="dxa"/>
            <w:vAlign w:val="bottom"/>
          </w:tcPr>
          <w:p>
            <w:pPr>
              <w:spacing w:after="0"/>
              <w:rPr>
                <w:sz w:val="22"/>
                <w:szCs w:val="22"/>
                <w:color w:val="auto"/>
              </w:rPr>
            </w:pPr>
          </w:p>
        </w:tc>
        <w:tc>
          <w:tcPr>
            <w:tcW w:w="6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jc w:val="right"/>
              <w:ind w:right="512"/>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255"/>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66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6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6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6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6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6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80" w:type="dxa"/>
            <w:vAlign w:val="bottom"/>
            <w:tcBorders>
              <w:bottom w:val="single" w:sz="8" w:color="CCEEFF"/>
            </w:tcBorders>
            <w:shd w:val="clear" w:color="auto" w:fill="CCEEFF"/>
          </w:tcPr>
          <w:p>
            <w:pPr>
              <w:spacing w:after="0"/>
              <w:rPr>
                <w:sz w:val="22"/>
                <w:szCs w:val="22"/>
                <w:color w:val="auto"/>
              </w:rPr>
            </w:pPr>
          </w:p>
        </w:tc>
        <w:tc>
          <w:tcPr>
            <w:tcW w:w="66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bottom w:val="single" w:sz="8" w:color="CCEEFF"/>
            </w:tcBorders>
            <w:vMerge w:val="restart"/>
          </w:tcPr>
          <w:p>
            <w:pPr>
              <w:jc w:val="right"/>
              <w:ind w:right="343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18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228" w:name="page229"/>
    <w:bookmarkEnd w:id="2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Icahn Enterprises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w:t>
      </w:r>
    </w:p>
    <w:p>
      <w:pPr>
        <w:spacing w:after="0" w:line="119"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On February 20, 2015, the board of directors of the general partner of Icahn Enterprises declared a quarterly distribution in the amount of $1.50 per depositary unit, which will be paid on or about April 22, 2015 to depositary unitholders of record at the close of business on March 9, 2015. Depositary unitholders will have until April 2, 2015 to make an election to receive either cash or additional depositary units; if a holder does not make an election, it will automatically be deemed to have elected to receive the dividend in cash. Depositary unitholders who elect to receive additional depositary units will receive units valued at the volume weighted average trading price of the units on NASDAQ during the 10 consecutive trading days ending April 17, 2015. No fractional depositary units will be issued pursuant to the distribution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Uni-Select, Inc.</w:t>
      </w:r>
    </w:p>
    <w:p>
      <w:pPr>
        <w:spacing w:after="0" w:line="11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As previously disclosed, on February 9, 2015, Icahn Enterprises entered into a definitive agreement to acquire substantially all of the auto parts assets in the United States of Uni-Select, Inc. ("Uni-Select USA"), a leading automotive parts distributor for domestic and imported vehicles, for a purchase price of approximately $340 million, subject to customary closing conditions.</w:t>
      </w:r>
    </w:p>
    <w:p>
      <w:pPr>
        <w:spacing w:after="0" w:line="6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Uni-Select USA has 39 distribution centers and satellite locations and 240 corporate-owned jobber stores in the United States and supports a network of more than 2,000 independent wholesalers. Through its banner and technical support programs as well as its offering of premium auto parts, Uni-Select USA has built its reputation on being the partner of choice for independent entrepreneurs eager to tap into the strength of large network.</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UniSelect USA will be operated independently of Federal-Mogul and will be reported as part of our Automotive segment.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TRW Automotive Holdings Corp.</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February 6, 2015, certain subsidiaries of Federal-Mogul finalized an agreement with TRW Automotive Holdings Corp. ("TRW") to purchase certain business assets of the TRW engine components business. The business was acquired through a combination of asset and stock purchases for a base purchase price of approximately $313 million, which was funded primarily from the Federal-Mogul Replacement Revolver Facility and was subject to certain customary closing and post-closing adjustments. The purchase of TRW’s engine valve business adds a new product line to Federal-Mogul's portfolio, strengthens its position as a leading developer and supplier of core components for engines, and enhances its ability to support its customers to improve fuel economy and reduce emissions.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February 24, 2015, Federal-Mogul announced that it intends to launch a registered rights offering on or about March 6, 2015. In the rights offering, each holder of Federal-Mogul’s common stock as of the close of business on the record date of March 6, 2015 will be issued, at no charge, one transferable subscription right for each whole share of common stock owned by that stockholder on the record date (the “basic subscription privilege”). The rights offering will also include an over-subscription privilege, which will entitle stockholders who exercise all of their subscription rights in the basic subscription privilege the right to purchase additional shares of common stock in the rights offering, subject to availability and pro rata allocation of shares among rights holders exercising such over-subscription privilege.</w:t>
      </w:r>
    </w:p>
    <w:p>
      <w:pPr>
        <w:spacing w:after="0" w:line="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Federal-Mogul will offer a number of shares of its common stock in the rights offering, inclusive of the over-subscription privilege, representing approximately $250 million of gross proceeds. Federal-Mogul plans to use the proceeds from the rights offering to strengthen its balance sheet.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Railcar</w:t>
      </w:r>
    </w:p>
    <w:p>
      <w:pPr>
        <w:spacing w:after="0" w:line="121"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In January 2015, Longtrain Leasing III, a wholly owned subsidiary of ARI, completed a private placement of $626 million in aggregate principal amount of notes consisting of $250 million in aggregate principal amount of its 2.98% Fixed Rate Secured Railcar Equipment Notes, Class A-1 (the "ARI Class A-1 Notes") and $376 million in aggregate principal amount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420"/>
          </w:cols>
          <w:pgMar w:left="240" w:top="334" w:right="239" w:bottom="1440" w:gutter="0" w:footer="0" w:header="0"/>
        </w:sectPr>
      </w:pPr>
    </w:p>
    <w:bookmarkStart w:id="229" w:name="page230"/>
    <w:bookmarkEnd w:id="2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of its 4.06% Fixed Rate Secured Railcar Equipment Notes, Class A-2 (the "ARI Class A-2 Notes", and collectively with the ARI Class A-1 Notes, the "ARI 2015 Notes"). The ARI 2015 Notes have a legal final maturity date of January 17, 2045 and an expected principal repayment date of January 15, 2025. The ARI 2015 Notes are obligations of Longtrain Leasing III only and are secured by, among other things, a portfolio of railcars and leases thereon acquired by Longtrain Leasing III pursuant to a contribution and sale agreement between Longtrain Leasing III and ARI. Additionally, in connection with the ARI 2015 Notes offering, Longtrain Leasing III entered into a railcar management agreement with ARL, as manager, under which ARL will manage, operate, market, store, lease, re-lease, sublease and service the subject railcars on behalf of Longtrain Leasing III. This agreement extends at least through the Notes' final maturity date of January 17, 2045.</w:t>
      </w:r>
    </w:p>
    <w:p>
      <w:pPr>
        <w:spacing w:after="0" w:line="8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ARI 2015 Notes are not registered under the Securities Act of 1933, as amended (Securities Act), or any state securities laws, and were offered only to qualified institutional buyers in reliance on Rule 144A under the Securities Act and outside the United States in accordance with Regulation S under the Securities Act.</w:t>
      </w:r>
    </w:p>
    <w:p>
      <w:pPr>
        <w:spacing w:after="0" w:line="6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ARI 2015 Notes were issued pursuant to an indenture, dated January 29, 2015 between Longtrain Leasing III and U.S. Bank National Association ("ARI Indenture"), as indenture trustee (Indenture Trustee). The ARI Class A-1 Notes bear interest at a fixed rate of 2.98%, and the ARI Class A-2 Notes bear interest at a fixed rate of 4.06%. Interest on the ARI 2015 Notes shall be payable monthly on the 15th calendar day of each month in accordance with the flow of funds provisions described in the Indenture. While the legal final maturity date of the ARI 2015 Notes is January 17, 2045, cash flows from Longtrain Leasing III's assets will be applied, pursuant to the flow of funds provisions of the Indenture, so as to achieve monthly targeted principal balances. If the cash flow assumptions used in determining the targeted balances are met, it is anticipated that the Notes will be repaid well in advance of their stated legal final maturity date. There can be no assurance, however, that such cash flow assumptions will be realized. Also, under the flow of funds provisions of the Indenture, early amortization of the ARI 2015 Notes may be required in certain circumstances. If the ARI 2015 Notes are not repaid by the expected principal repayment date on January 15, 2025, additional interest shall accrue at a rate of 5.0% per annum and be payable monthly according to the flow of funds.</w:t>
      </w:r>
    </w:p>
    <w:p>
      <w:pPr>
        <w:spacing w:after="0" w:line="81"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Longtrain Leasing III can prepay or redeem the ARI Class A-1 Notes, in whole or in part, on any payment date and the ARI Class A-2 Notes, in whole or in part, on any payment date occurring on or after January 16, 2018.</w:t>
      </w:r>
    </w:p>
    <w:p>
      <w:pPr>
        <w:spacing w:after="0" w:line="5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ARI Indenture contains covenants which limit, among other things, Longtrain Leasing III's ability to incur additional indebtedness or encumbrances on its assets, pay dividends or make distributions, make certain investments, perform its business other than specified activities, enter into certain types of transactions with its affiliates, and sell assets or consolidate or merge with or into other companies. These covenants are subject to a number of exceptions and qualifications.</w:t>
      </w:r>
    </w:p>
    <w:p>
      <w:pPr>
        <w:spacing w:after="0" w:line="7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ARI Indenture also contains certain customary events of default, including among others, failure to pay amounts when due after applicable grace periods, failure to comply with certain covenants and agreements, and certain events of bankruptcy or insolvency. Certain events of default under the Indenture will make the outstanding principal balance and accrued interest on the ARI 2015 Notes, together with all amounts then due and owing to the noteholders, immediately due and payable without further action. For other events of default, the Indenture Trustee, acting at the direction of a majority of the noteholders, may declare the principal of and accrued interest on all Notes then outstanding to be due and payable immediately.</w:t>
      </w:r>
    </w:p>
    <w:p>
      <w:pPr>
        <w:spacing w:after="0" w:line="76"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Longtrain Leasing III has used the net proceeds from the sale of the ARI 2015 Notes to purchase railcars from ARI pursuant to a contribution and sale agreement between ARI and Longtrain Leasing III. ARI used and intends to use the proceeds from the sale of railcars to Longtrain Leasing III for general corporate purposes and to repay certain indebtedness, including two prior lease fleet financings.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420"/>
          </w:cols>
          <w:pgMar w:left="240" w:top="333" w:right="23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19. Quarterly Financial Data (Unaudited).</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78"/>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
        </w:trPr>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19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
        </w:trPr>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40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40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5"/>
        </w:trPr>
        <w:tc>
          <w:tcPr>
            <w:tcW w:w="2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340" w:type="dxa"/>
            <w:vAlign w:val="bottom"/>
            <w:gridSpan w:val="5"/>
          </w:tcPr>
          <w:p>
            <w:pPr>
              <w:jc w:val="right"/>
              <w:ind w:right="130"/>
              <w:spacing w:after="0"/>
              <w:rPr>
                <w:sz w:val="20"/>
                <w:szCs w:val="20"/>
                <w:color w:val="auto"/>
              </w:rPr>
            </w:pPr>
            <w:r>
              <w:rPr>
                <w:rFonts w:ascii="Times New Roman" w:cs="Times New Roman" w:eastAsia="Times New Roman" w:hAnsi="Times New Roman"/>
                <w:sz w:val="14"/>
                <w:szCs w:val="14"/>
                <w:color w:val="auto"/>
              </w:rPr>
              <w:t>(in millions, except per unit data)</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5"/>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4,666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4,867</w:t>
            </w:r>
          </w:p>
        </w:tc>
        <w:tc>
          <w:tcPr>
            <w:tcW w:w="4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4,557</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3,982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4,533</w:t>
            </w: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margin on net sales</w:t>
            </w:r>
          </w:p>
        </w:tc>
        <w:tc>
          <w:tcPr>
            <w:tcW w:w="2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524</w:t>
            </w:r>
          </w:p>
        </w:tc>
        <w:tc>
          <w:tcPr>
            <w:tcW w:w="4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4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339</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184</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4,990</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6,379</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4,422</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3,366</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4,872</w:t>
            </w: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w:t>
            </w:r>
          </w:p>
        </w:tc>
        <w:tc>
          <w:tcPr>
            <w:tcW w:w="4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1,123</w:t>
            </w:r>
          </w:p>
        </w:tc>
        <w:tc>
          <w:tcPr>
            <w:tcW w:w="4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(627)</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41"/>
        </w:trPr>
        <w:tc>
          <w:tcPr>
            <w:tcW w:w="2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4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624</w:t>
            </w: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5"/>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Icahn Enterprises</w:t>
            </w: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489</w:t>
            </w:r>
          </w:p>
        </w:tc>
        <w:tc>
          <w:tcPr>
            <w:tcW w:w="4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3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income per LP</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61"/>
        </w:trPr>
        <w:tc>
          <w:tcPr>
            <w:tcW w:w="2420" w:type="dxa"/>
            <w:vAlign w:val="bottom"/>
            <w:shd w:val="clear" w:color="auto" w:fill="CCEEFF"/>
          </w:tcPr>
          <w:p>
            <w:pPr>
              <w:ind w:left="120"/>
              <w:spacing w:after="0" w:line="262" w:lineRule="exact"/>
              <w:rPr>
                <w:sz w:val="20"/>
                <w:szCs w:val="20"/>
                <w:color w:val="auto"/>
              </w:rPr>
            </w:pPr>
            <w:r>
              <w:rPr>
                <w:rFonts w:ascii="Times New Roman" w:cs="Times New Roman" w:eastAsia="Times New Roman" w:hAnsi="Times New Roman"/>
                <w:sz w:val="18"/>
                <w:szCs w:val="18"/>
                <w:color w:val="auto"/>
              </w:rPr>
              <w:t>unit</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(0.24)</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4.06</w:t>
            </w:r>
          </w:p>
        </w:tc>
        <w:tc>
          <w:tcPr>
            <w:tcW w:w="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r>
      <w:tr>
        <w:trPr>
          <w:trHeight w:val="225"/>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(loss) income per LP</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33"/>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w:t>
            </w:r>
            <w:r>
              <w:rPr>
                <w:rFonts w:ascii="Times New Roman" w:cs="Times New Roman" w:eastAsia="Times New Roman" w:hAnsi="Times New Roman"/>
                <w:sz w:val="25"/>
                <w:szCs w:val="25"/>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(0.24)</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4.06</w:t>
            </w:r>
          </w:p>
        </w:tc>
        <w:tc>
          <w:tcPr>
            <w:tcW w:w="4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r>
    </w:tbl>
    <w:p>
      <w:pPr>
        <w:spacing w:after="0" w:line="122"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(loss) income per LP unit is computed separately for each quarter and therefore, the sum of such quarterly per LP unit amounts may differ from the total for the year.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420"/>
          </w:cols>
          <w:pgMar w:left="240" w:top="333" w:right="2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As of December 31, 2014,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and for an assessment of the effectiveness of internal control over financial reporting; as such items are defined in Rule 13a-15f under the Exchange Act.</w:t>
      </w:r>
    </w:p>
    <w:p>
      <w:pPr>
        <w:spacing w:after="0" w:line="54"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color w:val="auto"/>
        </w:rPr>
        <w:t>Our internal control over financial reporting is designed to provide reasonable assurance that our financial reporting and preparation of financial statements is reliable and in accordance with generally accepted accounting principles. Our policies and procedures are designed to provide reasonable assurance that transactions are recorded and records maintained in reasonable detail as necessary to accurately and fairly reflect transactions and that all transactions are properly authorized by management in order to prevent or timely detect unauthorized transactions or misappropriation of assets that could have a material effect on our financial statements.</w:t>
      </w:r>
    </w:p>
    <w:p>
      <w:pPr>
        <w:spacing w:after="0" w:line="76" w:lineRule="exact"/>
        <w:rPr>
          <w:sz w:val="20"/>
          <w:szCs w:val="20"/>
          <w:color w:val="auto"/>
        </w:rPr>
      </w:pPr>
    </w:p>
    <w:p>
      <w:pPr>
        <w:jc w:val="both"/>
        <w:ind w:right="380" w:firstLine="405"/>
        <w:spacing w:after="0" w:line="266" w:lineRule="auto"/>
        <w:rPr>
          <w:sz w:val="20"/>
          <w:szCs w:val="20"/>
          <w:color w:val="auto"/>
        </w:rPr>
      </w:pPr>
      <w:r>
        <w:rPr>
          <w:rFonts w:ascii="Times New Roman" w:cs="Times New Roman" w:eastAsia="Times New Roman" w:hAnsi="Times New Roman"/>
          <w:sz w:val="18"/>
          <w:szCs w:val="18"/>
          <w:color w:val="auto"/>
        </w:rPr>
        <w:t xml:space="preserve">Management is required to base its assessment on the effectiveness of our internal control over financial reporting on a suitable, recognized control framework. Management has utilized the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to evaluate the effectiveness of internal control over financial reporting.</w:t>
      </w:r>
    </w:p>
    <w:p>
      <w:pPr>
        <w:spacing w:after="0" w:line="68"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Our management has performed an assessment according to the guidelines established by COSO. Based on the assessment, management has concluded that our system of internal control over financial reporting, as of December 31, 2014, is effective.</w:t>
      </w:r>
    </w:p>
    <w:p>
      <w:pPr>
        <w:spacing w:after="0" w:line="54"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Grant Thornton LLP, our independent registered public accounting firm, has audited and issued their reports on Icahn Enterprises' internal control over financial reporting, which appears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fourth quarter of 2014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400"/>
          </w:cols>
          <w:pgMar w:left="240" w:top="360" w:right="259" w:bottom="1440" w:gutter="0" w:footer="0" w:header="0"/>
        </w:sectPr>
      </w:pPr>
    </w:p>
    <w:bookmarkStart w:id="232" w:name="page233"/>
    <w:bookmarkEnd w:id="2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Partners of</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Icahn Enterprises L.P.</w:t>
      </w:r>
    </w:p>
    <w:p>
      <w:pPr>
        <w:spacing w:after="0" w:line="31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Icahn Enterprises L.P. (a Delaware limited partnership) and subsidiaries (the “Partnership”) as of December 31, 2014,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w:t>
      </w:r>
    </w:p>
    <w:p>
      <w:pPr>
        <w:spacing w:after="0" w:line="80"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 xml:space="preserve">In our opinion, the Partnership maintained, in all material respects, effective internal control over financial reporting as of December 31, 2014,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financial statements of the Partnership as of and for the year ended December 31, 2014, and our report dated February 27, 2015 expressed an unqualified opinion on those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380"/>
          </w:cols>
          <w:pgMar w:left="240" w:top="576" w:right="27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0219"/>
          </w:cols>
          <w:pgMar w:left="240" w:top="361" w:right="1440" w:bottom="1440" w:gutter="0" w:footer="0" w:header="0"/>
        </w:sectPr>
      </w:pPr>
    </w:p>
    <w:bookmarkStart w:id="234" w:name="page235"/>
    <w:bookmarkEnd w:id="2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ind w:right="60" w:firstLine="378"/>
        <w:spacing w:after="0" w:line="282" w:lineRule="auto"/>
        <w:rPr>
          <w:sz w:val="20"/>
          <w:szCs w:val="20"/>
          <w:color w:val="auto"/>
        </w:rPr>
      </w:pPr>
      <w:r>
        <w:rPr>
          <w:rFonts w:ascii="Times New Roman" w:cs="Times New Roman" w:eastAsia="Times New Roman" w:hAnsi="Times New Roman"/>
          <w:sz w:val="18"/>
          <w:szCs w:val="18"/>
          <w:color w:val="auto"/>
        </w:rPr>
        <w:t>The names, offices held and ages of the directors and executive officers of Icahn Enterprises G.P., Inc. ("Icahn Enterprises GP") as of February 26, 2015 are as follows: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580" w:type="dxa"/>
            <w:vAlign w:val="bottom"/>
          </w:tcPr>
          <w:p>
            <w:pPr>
              <w:ind w:left="29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7"/>
        </w:trPr>
        <w:tc>
          <w:tcPr>
            <w:tcW w:w="3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5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 C. Icahn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1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4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Keith Cozza</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2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SungHwan Cho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 and Director</w:t>
            </w:r>
          </w:p>
        </w:tc>
      </w:tr>
      <w:tr>
        <w:trPr>
          <w:trHeight w:val="24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Reck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A. Leidesdorf</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L. Nelson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2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Jack G. Wasserman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1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341"/>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Daniel A. Ninivaggi</w:t>
            </w:r>
            <w:r>
              <w:rPr>
                <w:rFonts w:ascii="Times New Roman" w:cs="Times New Roman" w:eastAsia="Times New Roman" w:hAnsi="Times New Roman"/>
                <w:sz w:val="25"/>
                <w:szCs w:val="25"/>
                <w:color w:val="auto"/>
                <w:vertAlign w:val="superscript"/>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Pr>
          <w:p>
            <w:pPr>
              <w:spacing w:after="0"/>
              <w:rPr>
                <w:sz w:val="24"/>
                <w:szCs w:val="24"/>
                <w:color w:val="auto"/>
              </w:rPr>
            </w:pP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As previously disclosed, Daniel Ninivaggi has indicated his intent to resign as a director of Icahn Enterprises, L.P and Icahn Enterprises Holdings, L.P. prior to the acquisition of Uni-Select USA</w:t>
      </w:r>
    </w:p>
    <w:p>
      <w:pPr>
        <w:spacing w:after="0" w:line="114" w:lineRule="exact"/>
        <w:rPr>
          <w:sz w:val="20"/>
          <w:szCs w:val="20"/>
          <w:color w:val="auto"/>
        </w:rPr>
      </w:pPr>
    </w:p>
    <w:p>
      <w:pPr>
        <w:ind w:right="160" w:firstLine="378"/>
        <w:spacing w:after="0" w:line="261" w:lineRule="auto"/>
        <w:rPr>
          <w:sz w:val="20"/>
          <w:szCs w:val="20"/>
          <w:color w:val="auto"/>
        </w:rPr>
      </w:pPr>
      <w:r>
        <w:rPr>
          <w:rFonts w:ascii="Times New Roman" w:cs="Times New Roman" w:eastAsia="Times New Roman" w:hAnsi="Times New Roman"/>
          <w:sz w:val="18"/>
          <w:szCs w:val="18"/>
          <w:color w:val="auto"/>
        </w:rPr>
        <w:t>Our directors are selected by Carl C. Icahn, as the controlling stockholder of Icahn Enterprises GP, and are not elected by our limited partners. Individuals who possess characteristics that include integrity, business experience, financial acumen and leadership abilities are qualified to serve on our board of directors. Listed below are our directors and executive officers with their biographies. In addition, we have summarized for each director why such director has been chosen to serve on our board of directors.</w:t>
      </w:r>
    </w:p>
    <w:p>
      <w:pPr>
        <w:spacing w:after="0" w:line="68" w:lineRule="exact"/>
        <w:rPr>
          <w:sz w:val="20"/>
          <w:szCs w:val="20"/>
          <w:color w:val="auto"/>
        </w:rPr>
      </w:pPr>
    </w:p>
    <w:p>
      <w:pPr>
        <w:ind w:right="40" w:firstLine="37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Carl C. Icahn </w:t>
      </w:r>
      <w:r>
        <w:rPr>
          <w:rFonts w:ascii="Times New Roman" w:cs="Times New Roman" w:eastAsia="Times New Roman" w:hAnsi="Times New Roman"/>
          <w:sz w:val="18"/>
          <w:szCs w:val="18"/>
          <w:color w:val="auto"/>
        </w:rPr>
        <w:t>has served as chairman of the board and a director of Starfire Holding Corporation, a privately-held holding company, and chairman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and a director of various subsidiaries of Starfire, since 1984. Since August 2007, through his position as Chief Executive Officer of Icahn Capital LP, a wholly owned subsidiary of Icahn Enterprises L.P. ("Icahn Enterprises") and Icahn Enterprises Holdings L.P. ("Icahn Enterprises Holdings") and certain related entities, Mr. Icahn's principal occupation is managing private investment funds, including Icahn Partners LP, Icahn Partners Master Fund LP, Icahn Partners Master Fund II LP and Icahn Partners Master Fund III LP, comprising our Investment segment. From November 2004 to August 2007, Mr. Icahn conducted this occupation through his entities CCI Onshore Corp. and CCI Offshore Corp. (See Part I, Item 1, “Business - Investment,” in this Report, for a further description and history of our Investment segment.) Since November 1990, Mr. Icahn has been chairman of the board of Icahn Enterprises GP, the general partner of Icahn Enterprises and Icahn Enterprises Holdings (a diversified holding company engaged in a variety of businesses, including Investment, Automotive, Energy, Metals, Railcar, Gaming, Food Packaging, Real Estate and Home Fashion). Mr. Icahn has been: chairman of the board of CVR Refining GP, LLC, the general partner of CVR Refining, LP, an independent downstream energy limited partnership, since January 2013; chairman of the board of CVR Energy, Inc. (one of our majority-owned subsidiaries constituting our Energy segment), a diversified holding company primarily engaged in the petroleum refining and nitrogen fertilizer manufacturing industries, since June 2012; chairman of the board of Tropicana Entertainment Inc., (one of our majority-owned subsidiaries constituting our Gaming segment) a company that is primarily engaged in the business of owning and operating casinos and resorts, since March 2010; a director of Federal−Mogul Corporation, or Federal-Mogul, (one of our majority-owned subsidiaries constituting our Automotive segment), a supplier of automotive powertrain and safety components, since December 2007, and the non-executive chairman of the board of Federal-Mogul since January 2008 (As previously disclosed, Mr. Icahn indicated his intent to resign as a director and as non-executive chairman of the board of directors of Federal-Mogul prior to the closing of the acquisition of Uni-Select USA); President and a member of the executive committee of XO Holdings, a competitive provider of telecom services, since September 2011, and chairman of the board and a director of its predecessors since January 2003; Mr. Icahn was previously: a director of American Railcar Leasing LLC, a lessor and seller of specialized railroad tank and covered hopper railcars, from June 2004 to July 2014; and chairman of the board and a director of American Railcar Industries, Inc., a railcar manufacturing company, 1994 to 2014; a director of WestPoint Home LLC (one of our wholly owned subsidiaries constituting our Home Fashion segment), a home textiles manufacturer, from October 2005 until December 2011; a director of Cadus Corporation, a company engaged in the acquisition of real estate for renovation or construction and resale, from July 1993 to July 2010; a director of Blockbuster Inc., a provider of in-home movie rental and game entertainment, from May 2005 to January 2010; a director of Volteri Corporation (f/k/a Motricity Inc.) (a company in which Mr. Icahn has an interest), a mobile data services provider, from April 2008 to January 2010; a director of Yahoo! Inc., a company that provides Internet services to users, advertisers, publishers and developers worldwide, from August 2008 to October 2009; a director of WCI Communities, Inc., a homebuilding company, from August 2007 to September 2009, and was chairman of the board of WCI from September 2007 to September 2009; a director of ImClone Systems Incorporated, a</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400"/>
          </w:cols>
          <w:pgMar w:left="240" w:top="360" w:right="259" w:bottom="1440" w:gutter="0" w:footer="0" w:header="0"/>
        </w:sectPr>
      </w:pPr>
    </w:p>
    <w:bookmarkStart w:id="235" w:name="page236"/>
    <w:bookmarkEnd w:id="235"/>
    <w:p>
      <w:pPr>
        <w:ind w:right="40"/>
        <w:spacing w:after="0" w:line="256" w:lineRule="auto"/>
        <w:rPr>
          <w:sz w:val="20"/>
          <w:szCs w:val="20"/>
          <w:color w:val="auto"/>
        </w:rPr>
      </w:pPr>
      <w:r>
        <w:rPr>
          <w:rFonts w:ascii="Times New Roman" w:cs="Times New Roman" w:eastAsia="Times New Roman" w:hAnsi="Times New Roman"/>
          <w:sz w:val="18"/>
          <w:szCs w:val="18"/>
          <w:color w:val="auto"/>
        </w:rPr>
        <w:t>biopharmaceutical company, from September 2006 to November 2008, and was chairman of the board of ImClone from October 2006 to November 2008; chairman of the board of GB Holdings, Inc., which owned an interest in Atlantic Coast Holdings, Inc., the former owner and operator of The Sands Hotel and Casino in Atlantic City, from September 2000 to February 2007; chairman of the board and president of Icahn &amp; Co., Inc., a registered broker-dealer and a member of the National Association of Securities Dealers, from 1968 to 2005; and the president and a director of Stratosphere Corporation, the owner and operator of the Stratosphere Hotel and Casino in Las Vegas, Nevada, which, until February 2008, was a subsidiary of Icahn Enterprises and Icahn Enterprises Holdings, from October 1998 to May 2004.</w:t>
      </w:r>
    </w:p>
    <w:p>
      <w:pPr>
        <w:spacing w:after="0" w:line="80" w:lineRule="exact"/>
        <w:rPr>
          <w:sz w:val="20"/>
          <w:szCs w:val="20"/>
          <w:color w:val="auto"/>
        </w:rPr>
      </w:pPr>
    </w:p>
    <w:p>
      <w:pPr>
        <w:ind w:right="320" w:firstLine="378"/>
        <w:spacing w:after="0" w:line="266" w:lineRule="auto"/>
        <w:rPr>
          <w:sz w:val="20"/>
          <w:szCs w:val="20"/>
          <w:color w:val="auto"/>
        </w:rPr>
      </w:pPr>
      <w:r>
        <w:rPr>
          <w:rFonts w:ascii="Times New Roman" w:cs="Times New Roman" w:eastAsia="Times New Roman" w:hAnsi="Times New Roman"/>
          <w:sz w:val="18"/>
          <w:szCs w:val="18"/>
          <w:color w:val="auto"/>
        </w:rPr>
        <w:t>Mr. Icahn brings to his role as the Chairman of the Board his significant business experience in leadership roles as director in various companies as discussed above, including certain of our subsidiaries. In addition, Mr. Icahn is uniquely qualified based on his historical background for creating value in companies across multiple industries. Mr. Icahn has proven to be a successful investor over the past 40 years.</w:t>
      </w:r>
    </w:p>
    <w:p>
      <w:pPr>
        <w:spacing w:after="0" w:line="64" w:lineRule="exact"/>
        <w:rPr>
          <w:sz w:val="20"/>
          <w:szCs w:val="20"/>
          <w:color w:val="auto"/>
        </w:rPr>
      </w:pPr>
    </w:p>
    <w:p>
      <w:pPr>
        <w:ind w:right="80" w:firstLine="37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Keith Cozza </w:t>
      </w:r>
      <w:r>
        <w:rPr>
          <w:rFonts w:ascii="Times New Roman" w:cs="Times New Roman" w:eastAsia="Times New Roman" w:hAnsi="Times New Roman"/>
          <w:sz w:val="18"/>
          <w:szCs w:val="18"/>
          <w:color w:val="auto"/>
        </w:rPr>
        <w:t>has served as President and Chief Executive Officer of Icahn Enterprises and Icahn Enterprises Holdings, and their general partner, Icahn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Enterprises GP, since February 2014, and as a director since September 2012. Mr. Cozza served as Executive Vice President from February 2013 to February 2014. Icahn Enterprises, and its primary operating subsidiary, Icahn Enterprises Holdings are a diversified holding company engaged in a variety of businesses, including Investment, Automotive, Energy, Metals, Railcar, Gaming, Food Packaging, Real Estate and Home Fashion. Mr. Cozza has served as the Chief Operating Officer of Icahn Capital, a wholly owned subsidiary of Icahn Enterprises and Icahn Enterprises Holdings, since February 2013. Mr. Cozza has served as the Chief Financial Officer of Icahn Associates Holding LLC, since 2006. From 2004 to 2006 Mr. Cozza served as Controller at Icahn Associates Holding LLC. Prior to that Mr. Cozza was a senior assurance associate at Grant Thornton LLP.</w:t>
      </w:r>
    </w:p>
    <w:p>
      <w:pPr>
        <w:spacing w:after="0" w:line="79"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Mr. Cozza has been a director of: American Railcar Leasing, LLC ("ARL"), a lessor and seller of specialized railroad tank and covered hopper railcars, since June 2014; Tropicana Entertainment Inc. (“Tropicana”), a company that is primarily engaged in the business of owning and operating casinos and resorts, since February 2014; PSC Metals Inc. (“PSC Metals”), a metal recycling company, since February 2014; Herbalife Ltd., a nutrition company, since April 2013; and XO Holdings, a competitive provider of telecom services, since August 2011. Mr. Cozza was previously a director of MGM Holdings Inc., an entertainment company focused on the production and distribution of film and television content, from April 2012 to August 2012. CVR Refining GP, LLC, the general partner of CVR Refining, LP (“CVR Refining”), an independent downstream energy limited partnership, from January 2013 to February 2014; ARL, PSC Metals, CVR Refining, Tropicana and XO Holdings are indirectly controlled by Carl C. Icahn. Mr. Icahn also has or previously had a non−controlling interest in Herbalife and MGM Holdings through the ownership of securities.</w:t>
      </w:r>
    </w:p>
    <w:p>
      <w:pPr>
        <w:spacing w:after="0" w:line="77" w:lineRule="exact"/>
        <w:rPr>
          <w:sz w:val="20"/>
          <w:szCs w:val="20"/>
          <w:color w:val="auto"/>
        </w:rPr>
      </w:pPr>
    </w:p>
    <w:p>
      <w:pPr>
        <w:ind w:right="440" w:firstLine="378"/>
        <w:spacing w:after="0" w:line="266" w:lineRule="auto"/>
        <w:rPr>
          <w:sz w:val="20"/>
          <w:szCs w:val="20"/>
          <w:color w:val="auto"/>
        </w:rPr>
      </w:pPr>
      <w:r>
        <w:rPr>
          <w:rFonts w:ascii="Times New Roman" w:cs="Times New Roman" w:eastAsia="Times New Roman" w:hAnsi="Times New Roman"/>
          <w:sz w:val="18"/>
          <w:szCs w:val="18"/>
          <w:color w:val="auto"/>
        </w:rPr>
        <w:t>Mr. Cozza brings to his service as a director his significant experience in leadership roles as director of various companies as discussed above. In particular, his experience as the Chief Financial Officer of Icahn Associates Holding LLC enables him to understand the complex business and financial issues that we may face.</w:t>
      </w:r>
    </w:p>
    <w:p>
      <w:pPr>
        <w:spacing w:after="0" w:line="64" w:lineRule="exact"/>
        <w:rPr>
          <w:sz w:val="20"/>
          <w:szCs w:val="20"/>
          <w:color w:val="auto"/>
        </w:rPr>
      </w:pPr>
    </w:p>
    <w:p>
      <w:pPr>
        <w:ind w:right="100" w:firstLine="37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SungHwan Cho </w:t>
      </w:r>
      <w:r>
        <w:rPr>
          <w:rFonts w:ascii="Times New Roman" w:cs="Times New Roman" w:eastAsia="Times New Roman" w:hAnsi="Times New Roman"/>
          <w:sz w:val="18"/>
          <w:szCs w:val="18"/>
          <w:color w:val="auto"/>
        </w:rPr>
        <w:t>has served as Chief Financial Officer of Icahn Enterprises GP, the general partner of Icahn Enterprises and Icahn Enterprises Holdings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March 2012 and as a director since September 2012. Prior to that time, he was Senior Vice President and previously Portfolio Company Associate at Icahn Enterprises and Icahn Enterprises Holdings since October 2006. From 2004 to 2006, Mr. Cho served as Director of Finance for Atari, Inc., a publisher of interactive entertainment products. From 1999 to 2002, Mr. Cho served as Director of Corporate Development and Director of Product Development at Talk America, a telecommunications provider to small business and residential customers. From 1996 to 1999, he was an investment banker at Salomon Smith Barney in New York and Tokyo.</w:t>
      </w:r>
    </w:p>
    <w:p>
      <w:pPr>
        <w:spacing w:after="0" w:line="79" w:lineRule="exact"/>
        <w:rPr>
          <w:sz w:val="20"/>
          <w:szCs w:val="20"/>
          <w:color w:val="auto"/>
        </w:rPr>
      </w:pPr>
    </w:p>
    <w:p>
      <w:pPr>
        <w:ind w:right="60" w:firstLine="378"/>
        <w:spacing w:after="0" w:line="254" w:lineRule="auto"/>
        <w:rPr>
          <w:sz w:val="20"/>
          <w:szCs w:val="20"/>
          <w:color w:val="auto"/>
        </w:rPr>
      </w:pPr>
      <w:r>
        <w:rPr>
          <w:rFonts w:ascii="Times New Roman" w:cs="Times New Roman" w:eastAsia="Times New Roman" w:hAnsi="Times New Roman"/>
          <w:sz w:val="18"/>
          <w:szCs w:val="18"/>
          <w:color w:val="auto"/>
        </w:rPr>
        <w:t>Mr. Cho has been a director of: American Railcar Leasing LLC, a lessor and seller of specialized railroad tank and covered hopper railcars, since September 2013; CVR Refining GP, LLC, the general partner of CVR Refining, LP, a diversified holding company primarily engaged in the petroleum refining and nitrogen fertilizer manufacturing industries, since January 2013; CVR Energy, Inc., an independent petroleum refiner and marketer of high value transportation fuels, since May 2012; CVR GP, LLC, the general partner of CVR Partners LP, a nitrogen fertilizer company, since May 2012; Federal-Mogul Corporation, a supplier of automotive powertrain and safety components, since May 2012; XO Holdings, a competitive provider of telecom services, since August 2011; American Railcar Industries, Inc., a railcar manufacturing company, since June 2011; Take-Two Interactive Software Inc., a publisher of interactive entertainment products, from April 2010 until November 2013 ; WestPoint Home LLC, a home textiles manufacturer, since January 2008; PSC Metals Inc., a metal recycling company, since December 2006; and Viskase Companies, Inc., a meat casing company, since November 2006. CVR Energy, CVR Partners, CVR Refining, Federal-Mogul, XO Holdings, American Railcar Industries, WestPoint Home, PSC Metals and Viskase Companies each are indirectly controlled by Carl C. Icahn.</w:t>
      </w:r>
    </w:p>
    <w:p>
      <w:pPr>
        <w:spacing w:after="0" w:line="78" w:lineRule="exact"/>
        <w:rPr>
          <w:sz w:val="20"/>
          <w:szCs w:val="20"/>
          <w:color w:val="auto"/>
        </w:rPr>
      </w:pPr>
    </w:p>
    <w:p>
      <w:pPr>
        <w:ind w:right="60" w:firstLine="378"/>
        <w:spacing w:after="0" w:line="266" w:lineRule="auto"/>
        <w:rPr>
          <w:sz w:val="20"/>
          <w:szCs w:val="20"/>
          <w:color w:val="auto"/>
        </w:rPr>
      </w:pPr>
      <w:r>
        <w:rPr>
          <w:rFonts w:ascii="Times New Roman" w:cs="Times New Roman" w:eastAsia="Times New Roman" w:hAnsi="Times New Roman"/>
          <w:sz w:val="18"/>
          <w:szCs w:val="18"/>
          <w:color w:val="auto"/>
        </w:rPr>
        <w:t>Mr. Cho brings to his service as a director his significant experience in leadership roles as director of various companies as discussed above. In particular, his service the as Chief Financial Officer of Icahn Enterprises and Icahn Enterprises Holdings enables him to understand the complex business and financial issues that we may face.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400"/>
          </w:cols>
          <w:pgMar w:left="240" w:top="472" w:right="259" w:bottom="1440" w:gutter="0" w:footer="0" w:header="0"/>
        </w:sectPr>
      </w:pPr>
    </w:p>
    <w:bookmarkStart w:id="236" w:name="page237"/>
    <w:bookmarkEnd w:id="236"/>
    <w:p>
      <w:pPr>
        <w:ind w:right="160" w:firstLine="37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Reck </w:t>
      </w:r>
      <w:r>
        <w:rPr>
          <w:rFonts w:ascii="Times New Roman" w:cs="Times New Roman" w:eastAsia="Times New Roman" w:hAnsi="Times New Roman"/>
          <w:sz w:val="18"/>
          <w:szCs w:val="18"/>
          <w:color w:val="auto"/>
        </w:rPr>
        <w:t>has served as Chief Accounting Officer of our general partner, Icahn Enterprises GP, since March 2012, and as its Secretary since April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2012. Mr. Reck was Controller of Icahn Enterprises and Icahn Enterprises Holdings from November 2005 to March 2012. Since March 2012, Mr. Reck has served as the director of Viskase Companies, Inc. Previously, Mr. Reck was the Controller of Family Office and Treasurer of Philanthropies for Bromor Management, the Family Office of Charles Bronfman. Mr. Reck also served as Controller for the Bank of Uruguay and worked at KMPG LLP in their audit practice.</w:t>
      </w:r>
    </w:p>
    <w:p>
      <w:pPr>
        <w:spacing w:after="0" w:line="72" w:lineRule="exact"/>
        <w:rPr>
          <w:sz w:val="20"/>
          <w:szCs w:val="20"/>
          <w:color w:val="auto"/>
        </w:rPr>
      </w:pPr>
    </w:p>
    <w:p>
      <w:pPr>
        <w:ind w:firstLine="37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A. Leidesdorf </w:t>
      </w:r>
      <w:r>
        <w:rPr>
          <w:rFonts w:ascii="Times New Roman" w:cs="Times New Roman" w:eastAsia="Times New Roman" w:hAnsi="Times New Roman"/>
          <w:sz w:val="18"/>
          <w:szCs w:val="18"/>
          <w:color w:val="auto"/>
        </w:rPr>
        <w:t>has served as a director of Icahn Enterprises GP since March 1991 and is a member of our audit committee. From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2003 to March 2013, Mr. Leidesdorf served as a director and member of the audit committee of American Entertainment Properties Corp., or AEP. Since May 2014, Mr. Leidesdorf served as a director and member of the audit committee of Tropicana Entertainment Inc.; From May 2005 until November 2007, Mr. Leidesdorf served as a director and member of the audit committee of Atlantic Coast Entertainment Holdings, Inc. Mr. Leidesdorf was a director of Renco Steel Group, Inc. and was a director, during its bankruptcy, of its subsidiary, WCI Steel, Inc., a steel producer which filed for Chapter 11 bankruptcy protection in September 2003. From 1996 through 2002, Mr. Leidesdorf was a director of the Simpson Housing Limited Partnership, a privately held real estate investment trust. Since October 2008, Mr. Leidesdorf has been the owner and managing director of Renaissance Hamptons Mayfair, LLC, a company primarily engaged in acquiring multifamily residential properties. Previously, from June 1997 through October 2008, Mr. Leidesdorf was an owner and a managing director of Renaissance Housing, LLC, a company primarily engaged in the acquisition of multifamily housing, many of which were subject to various federal and state regulatory requirements. From April 1995 through December 1997, Mr. Leidesdorf acted as an independent real estate investment banker. From 2008 until December 2014, Mr. Leidesdorf was a principal in Bedrock Investment Management Group, LLC, a company engaged in the acquisition of troubled residential subdivisions.</w:t>
      </w:r>
    </w:p>
    <w:p>
      <w:pPr>
        <w:spacing w:after="0" w:line="87" w:lineRule="exact"/>
        <w:rPr>
          <w:sz w:val="20"/>
          <w:szCs w:val="20"/>
          <w:color w:val="auto"/>
        </w:rPr>
      </w:pPr>
    </w:p>
    <w:p>
      <w:pPr>
        <w:ind w:right="280" w:firstLine="378"/>
        <w:spacing w:after="0" w:line="258" w:lineRule="auto"/>
        <w:rPr>
          <w:sz w:val="20"/>
          <w:szCs w:val="20"/>
          <w:color w:val="auto"/>
        </w:rPr>
      </w:pPr>
      <w:r>
        <w:rPr>
          <w:rFonts w:ascii="Times New Roman" w:cs="Times New Roman" w:eastAsia="Times New Roman" w:hAnsi="Times New Roman"/>
          <w:sz w:val="18"/>
          <w:szCs w:val="18"/>
          <w:color w:val="auto"/>
        </w:rPr>
        <w:t>Mr. Leidesdorf brings to his service as a director his significant business experience in leadership roles as director in various companies as discussed above. In addition, as indicated above, Mr. Leidesdorf is the owner and managing director of Renaissance Hampton Mayfair, LLC, which experience has enabled him to understand the business and financial issues that companies may face. Mr. Leidesdorf has also had experience with large-scale real estate workouts and has been responsible for managing real estate portfolios for a number of institutions, including responsibility for audits and compliance with various federal and state regulatory authorities.</w:t>
      </w:r>
    </w:p>
    <w:p>
      <w:pPr>
        <w:spacing w:after="0" w:line="72" w:lineRule="exact"/>
        <w:rPr>
          <w:sz w:val="20"/>
          <w:szCs w:val="20"/>
          <w:color w:val="auto"/>
        </w:rPr>
      </w:pPr>
    </w:p>
    <w:p>
      <w:pPr>
        <w:ind w:right="200" w:firstLine="37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L. Nelson </w:t>
      </w:r>
      <w:r>
        <w:rPr>
          <w:rFonts w:ascii="Times New Roman" w:cs="Times New Roman" w:eastAsia="Times New Roman" w:hAnsi="Times New Roman"/>
          <w:sz w:val="18"/>
          <w:szCs w:val="18"/>
          <w:color w:val="auto"/>
        </w:rPr>
        <w:t>has served as a director and member of the audit committee of Icahn Enterprises GP since June 2001. Mr. Nelson has served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and member of the audit committee of several of our operating segments including Viskase Companies, Inc. from April 2003 through April 2010, American Entertainment Properties Corp. from May 2005 until November 2007, and Atlantic Coast Entertainment Holdings, Inc. from May 2005 until November 2007. Mr. Nelson served as a director of Tropicana Entertainment Inc. from March 2010 to May 2014 and was a member of the audit committee from March 2010 until December 2013.</w:t>
      </w:r>
    </w:p>
    <w:p>
      <w:pPr>
        <w:spacing w:after="0" w:line="76" w:lineRule="exact"/>
        <w:rPr>
          <w:sz w:val="20"/>
          <w:szCs w:val="20"/>
          <w:color w:val="auto"/>
        </w:rPr>
      </w:pPr>
    </w:p>
    <w:p>
      <w:pPr>
        <w:ind w:firstLine="378"/>
        <w:spacing w:after="0" w:line="252" w:lineRule="auto"/>
        <w:rPr>
          <w:sz w:val="20"/>
          <w:szCs w:val="20"/>
          <w:color w:val="auto"/>
        </w:rPr>
      </w:pPr>
      <w:r>
        <w:rPr>
          <w:rFonts w:ascii="Times New Roman" w:cs="Times New Roman" w:eastAsia="Times New Roman" w:hAnsi="Times New Roman"/>
          <w:sz w:val="18"/>
          <w:szCs w:val="18"/>
          <w:color w:val="auto"/>
        </w:rPr>
        <w:t>Mr. Nelson was Chairman and Chief Executive Officer of Eaglescliff Corporation, a specialty investment banking, consulting and wealth management company from 1986 until 2009. From March 1998 through 2003, Mr. Nelson was Chairman and Chief Executive Officer of Orbit Aviation, Inc., a company engaged in the acquisition and completion of Boeing Business Jets for private and corporate clients. From August 1995 until July 1999, Mr. Nelson was Chief Executive Officer and Co-Chairman of Orbitex Management, Inc., a financial services company in the mutual fund sector. From August 1995 until March 2001, he was on the Board of Orbitex Financial Services Group. From January 2008 through June 2008, Mr. Nelson served as a director and member of the audit committee of Shuffle Master, Inc., a gaming manufacturing company. From March 2008 until March 2010, Mr. Nelson was a director and served on the audit committee of Pacific Energy Resources Ltd., an energy producer. From April 2008 to November 2012, Mr. Nelson served as a director and as Chairman of the audit committee of the board of directors of Cequel Communications, an owner and operator of a large cable television system. From April 2010 through November 2013, Mr. Nelson served as a director and member of the audit committee of Take Two Interactive Software, Inc. a publisher, developer, and distributor of video games and video game peripherals, a company in which Mr. Icahn previously had an interest through the ownership of securities. From May 2013 to April 2014, Mr. Nelson was a director and member of the governance and nominating committee of Single Touch Systems, Inc, a mobile media solutions provider. Since June 2011, Mr. Nelson has served as a director and member of the compensation, governance and strategic alternatives committees of Volteri Corporation (f/k/a Motricity Inc.) (a company in which Mr. Icahn has an interest) since January 2012, Chairman of its board of directors. Since November 2013, Mr. Nelson has served as a director of VII Peaks Co-Optivist Income BDC II, Inc., an externally managed, closed-end management investment company that has elected to be treated as a business development company under the Investment Company Act of 1940. From April 2014 to August 2014, Mr. Nelson has served as a director of Ubiquity Broadcasting Corporation, a vertically integrated, technology-focused media company. Since April 2014, Mr. Nelson has served as a director of Herbalife Ltd., a nutrition company.</w:t>
      </w:r>
    </w:p>
    <w:p>
      <w:pPr>
        <w:spacing w:after="0" w:line="87" w:lineRule="exact"/>
        <w:rPr>
          <w:sz w:val="20"/>
          <w:szCs w:val="20"/>
          <w:color w:val="auto"/>
        </w:rPr>
      </w:pPr>
    </w:p>
    <w:p>
      <w:pPr>
        <w:ind w:right="60" w:firstLine="378"/>
        <w:spacing w:after="0" w:line="282" w:lineRule="auto"/>
        <w:rPr>
          <w:sz w:val="20"/>
          <w:szCs w:val="20"/>
          <w:color w:val="auto"/>
        </w:rPr>
      </w:pPr>
      <w:r>
        <w:rPr>
          <w:rFonts w:ascii="Times New Roman" w:cs="Times New Roman" w:eastAsia="Times New Roman" w:hAnsi="Times New Roman"/>
          <w:sz w:val="18"/>
          <w:szCs w:val="18"/>
          <w:color w:val="auto"/>
        </w:rPr>
        <w:t>Mr. Nelson brings to his service as a director his significant experience in leadership roles serving as Chief Executive Officer, Director and Chairman of the audit committee of various companies including certain of our subsidiaries.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400"/>
          </w:cols>
          <w:pgMar w:left="240" w:top="468" w:right="259" w:bottom="1440" w:gutter="0" w:footer="0" w:header="0"/>
        </w:sectPr>
      </w:pPr>
    </w:p>
    <w:bookmarkStart w:id="237" w:name="page238"/>
    <w:bookmarkEnd w:id="237"/>
    <w:p>
      <w:pPr>
        <w:ind w:right="40" w:firstLine="378"/>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Jack G. Wasserman </w:t>
      </w:r>
      <w:r>
        <w:rPr>
          <w:rFonts w:ascii="Times New Roman" w:cs="Times New Roman" w:eastAsia="Times New Roman" w:hAnsi="Times New Roman"/>
          <w:sz w:val="17"/>
          <w:szCs w:val="17"/>
          <w:color w:val="auto"/>
        </w:rPr>
        <w:t>has served as a director of Icahn Enterprises GP since December 1993 and is chairman of our audit committee. From December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2003 to March 2013, Mr. Wasserman served as a director and chairman of the audit committee of American Entertainment Properties Corp., or AEP. From May 2005 until November 2007, Mr. Wasserman served as a director and chairman of the audit committee of Atlantic Coast Entertainment Holdings, Inc. Mr. Wasserman is an attorney and a member of the Bars of New York, Florida and the District of Columbia. From 1966 until 2001, he was a senior partner of Wasserman, Schneider, Babb &amp; Reed, a New York-based law firm, and its predecessors. Mr. Wasserman is also a director of Cadus Corporation, a company engaged in the acquisition of real estate for renovation or construction and resale, and in which Mr. Icahn has a substantial interest. Since March 2004, Mr. Wasserman has been a director of Wendy's, an owner and franchisor of the Wendy's restaurant system. Mr. Wasserman serves as chairman of the ERISA committee and as a member of the audit and compensation committees of Wendy's. He is a current and past director of numerous not-for-profit organizations.</w:t>
      </w:r>
    </w:p>
    <w:p>
      <w:pPr>
        <w:spacing w:after="0" w:line="68"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Mr. Wasserman brings to his service as a director his significant experience and leadership roles as a director of various companies. In addition, Mr. Wasserman practiced law for almost 40 years with the law firm of Wasserman, Schneider, Babb &amp; Reed of which he was a senior partner; the firm concentrated its practice in international trade and related corporate matters, primarily for Fortune 500-type companies operating in a broad range of industries, and he is familiar with financial statements and domestic and trans-border transactions. In 2007, Mr. Wasserman received a professional Certificate in Financial Analysis from New York University.</w:t>
      </w:r>
    </w:p>
    <w:p>
      <w:pPr>
        <w:spacing w:after="0" w:line="72" w:lineRule="exact"/>
        <w:rPr>
          <w:sz w:val="20"/>
          <w:szCs w:val="20"/>
          <w:color w:val="auto"/>
        </w:rPr>
      </w:pPr>
    </w:p>
    <w:p>
      <w:pPr>
        <w:ind w:right="40" w:firstLine="37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A. Ninivaggi </w:t>
      </w:r>
      <w:r>
        <w:rPr>
          <w:rFonts w:ascii="Times New Roman" w:cs="Times New Roman" w:eastAsia="Times New Roman" w:hAnsi="Times New Roman"/>
          <w:sz w:val="18"/>
          <w:szCs w:val="18"/>
          <w:color w:val="auto"/>
        </w:rPr>
        <w:t>has served as a director of Icahn Enterprises and Icahn Enterprises Holdings, and their general partner, Icahn Enterprises GP,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2012. As previously disclosed, Mr. Ninivaggi has indicated his intent to resign as a director of Icahn Enterprises LP and Icahn Enterprises Holdings prior to the closing of its acquisition of Uni-Select USA (See Part II, Item 8, “Notes to the Consolidated Financial Statements - Note 18, Subsequent Events” in this Report, for a further discussion of the Uni-Select USA acquisition.) Mr. Ninivaggi has served as a Co-Chief Executive Officer of Federal-Mogul Corporation, a subsidiary of Icahn Enterprises, a supplier of automotive powertrain and safety components, since February 2014. From April 2010 to February 2014, Mr. Ninivaggi was the President and from August 2010 to February 2014 he served as a Principal Executive Officer or Chief Executive Officer of Icahn Enterprises G.P. From 2003 until July 2009, Mr. Ninivaggi served in a variety of executive positions at Lear Corporation, a global supplier of automotive seating and electrical power management systems and components, including as General Counsel from 2003 to 2007, as Senior Vice President from 2004 until 2006, and most recently as Executive Vice President and Chief Administrative Officer from 2006 to 2009. Lear Corporation filed for bankruptcy in July 2009 and emerged in November 2009. Prior to joining Lear Corporation, from 1998 to 2003, Mr. Ninivaggi was a partner with the law firm of Winston &amp; Strawn LLP, specializing in corporate finance, mergers and acquisitions, and corporate governance. Mr. Ninivaggi also served as Of Counsel to Winston &amp; Strawn LLP from July 2009 to March 2010.</w:t>
      </w:r>
    </w:p>
    <w:p>
      <w:pPr>
        <w:spacing w:after="0" w:line="87" w:lineRule="exact"/>
        <w:rPr>
          <w:sz w:val="20"/>
          <w:szCs w:val="20"/>
          <w:color w:val="auto"/>
        </w:rPr>
      </w:pPr>
    </w:p>
    <w:p>
      <w:pPr>
        <w:ind w:firstLine="378"/>
        <w:spacing w:after="0" w:line="261" w:lineRule="auto"/>
        <w:rPr>
          <w:sz w:val="20"/>
          <w:szCs w:val="20"/>
          <w:color w:val="auto"/>
        </w:rPr>
      </w:pPr>
      <w:r>
        <w:rPr>
          <w:rFonts w:ascii="Times New Roman" w:cs="Times New Roman" w:eastAsia="Times New Roman" w:hAnsi="Times New Roman"/>
          <w:sz w:val="18"/>
          <w:szCs w:val="18"/>
          <w:color w:val="auto"/>
        </w:rPr>
        <w:t>Mr. Ninivaggi has been a director of: Hertz Global Holdings, Inc., a company engaged in the car rental business, since September 2014 and Federal-Mogul Corporation, a supplier of automotive powertrain and safety components, since March 2010. From January 2011 to May 2012, Mr. Ninivaggi served as the Interim President and Interim Chief Executive Officer, and since January 2011, he has served as a director, of Tropicana Entertainment Inc., a company that is primarily engaged in the business of owning and operating casinos and resorts.</w:t>
      </w:r>
    </w:p>
    <w:p>
      <w:pPr>
        <w:spacing w:after="0" w:line="72" w:lineRule="exact"/>
        <w:rPr>
          <w:sz w:val="20"/>
          <w:szCs w:val="20"/>
          <w:color w:val="auto"/>
        </w:rPr>
      </w:pPr>
    </w:p>
    <w:p>
      <w:pPr>
        <w:ind w:right="40" w:firstLine="378"/>
        <w:spacing w:after="0" w:line="253" w:lineRule="auto"/>
        <w:rPr>
          <w:sz w:val="20"/>
          <w:szCs w:val="20"/>
          <w:color w:val="auto"/>
        </w:rPr>
      </w:pPr>
      <w:r>
        <w:rPr>
          <w:rFonts w:ascii="Times New Roman" w:cs="Times New Roman" w:eastAsia="Times New Roman" w:hAnsi="Times New Roman"/>
          <w:sz w:val="18"/>
          <w:szCs w:val="18"/>
          <w:color w:val="auto"/>
        </w:rPr>
        <w:t>Mr. Ninivaggi was previously a director of: CVR Refining GP, LLC, the general partner of CVR Refining, LP, an independent petroleum refiner, from January 2013 to September 2014; Motorola Mobility Holdings, Inc., a provider of mobile communication devices, video and data delivery solutions, from December 2010 to May 2012; and CIT Group Inc., a bank holding company, from December 2009 to May 2011. American Railcar Leasing LLC, a lessor and specialized railroad tank and covered hopper railcars, from September 2013 to February 2014; American Railcar Industries, Inc., a railcar manufacturing company, from June 2013 to February 2014; Icahn Enterprises, American Railcar Leasing LLC, American Railcar Industries; PSC Metals Inc., a metal recycling company, from April 2012 to February 2012; CVR Energy, Inc., a diversified holding company primarily engaged in the petroleum refining and nitrogen fertilizer manufacturing industries, from May 2012 to February 2014; CVR GP, LLC, the general partner of CVR Partners LP, a nitrogen fertilizer company, from May 2012 to February 2014; Viskase Companies, Inc., a meat casing company, since June 2011; PSC Metals Inc., a metal recycling company, from April 2012 to February 2014; WestPoint Home LLC, a home textiles manufacturer, from February 2012 to February 2014; XO Holdings, a competitive provider of telecom services, from August 2010 to February 2014. American Railcar Leasing, ARI, CVR Energy, CVR Partners, CVR Refining, Viskase Companies, PSC Metals, WestPoint Home, XO Holdings, Federal-Mogul and Tropicana Entertainment are each indirectly controlled by Carl C. Icahn. Mr. Icahn has or previously had non-controlling interests in Hertz, Motorola Mobility and CIT Group through the ownership of securities.</w:t>
      </w:r>
    </w:p>
    <w:p>
      <w:pPr>
        <w:spacing w:after="0" w:line="83" w:lineRule="exact"/>
        <w:rPr>
          <w:sz w:val="20"/>
          <w:szCs w:val="20"/>
          <w:color w:val="auto"/>
        </w:rPr>
      </w:pPr>
    </w:p>
    <w:p>
      <w:pPr>
        <w:ind w:right="100" w:firstLine="378"/>
        <w:spacing w:after="0" w:line="266" w:lineRule="auto"/>
        <w:rPr>
          <w:sz w:val="20"/>
          <w:szCs w:val="20"/>
          <w:color w:val="auto"/>
        </w:rPr>
      </w:pPr>
      <w:r>
        <w:rPr>
          <w:rFonts w:ascii="Times New Roman" w:cs="Times New Roman" w:eastAsia="Times New Roman" w:hAnsi="Times New Roman"/>
          <w:sz w:val="18"/>
          <w:szCs w:val="18"/>
          <w:color w:val="auto"/>
        </w:rPr>
        <w:t>Mr. Ninivaggi brings to his service as a director his significant experience in leadership roles of various companies as discussed above. In particular, his prior service as President and Chief Executive Officer of Icahn Enterprises and Icahn Enterprises Holdings enables him to understand the complex business and financial issues that we may face.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420"/>
          </w:cols>
          <w:pgMar w:left="240" w:top="469" w:right="2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200" w:firstLine="378"/>
        <w:spacing w:after="0" w:line="261" w:lineRule="auto"/>
        <w:rPr>
          <w:sz w:val="20"/>
          <w:szCs w:val="20"/>
          <w:color w:val="auto"/>
        </w:rPr>
      </w:pPr>
      <w:r>
        <w:rPr>
          <w:rFonts w:ascii="Times New Roman" w:cs="Times New Roman" w:eastAsia="Times New Roman" w:hAnsi="Times New Roman"/>
          <w:sz w:val="18"/>
          <w:szCs w:val="18"/>
          <w:color w:val="auto"/>
        </w:rPr>
        <w:t xml:space="preserve">James L. Nelson, William A. Leidesdorf and Jack G. Wasserman serve on our audit committee. We believe that the audit committee members are “independent” within the meaning of Rule 5605(a)(2) of the NASDAQ Listing Rules of the NASDAQ Stock Market ("NASDAQ"). A copy of the audit committee charter is available on our website at </w:t>
      </w:r>
      <w:r>
        <w:rPr>
          <w:rFonts w:ascii="Times New Roman" w:cs="Times New Roman" w:eastAsia="Times New Roman" w:hAnsi="Times New Roman"/>
          <w:sz w:val="18"/>
          <w:szCs w:val="18"/>
          <w:i w:val="1"/>
          <w:iCs w:val="1"/>
          <w:color w:val="auto"/>
        </w:rPr>
        <w:t>www.ielp.com/governance.cfm</w:t>
      </w:r>
      <w:r>
        <w:rPr>
          <w:rFonts w:ascii="Times New Roman" w:cs="Times New Roman" w:eastAsia="Times New Roman" w:hAnsi="Times New Roman"/>
          <w:sz w:val="18"/>
          <w:szCs w:val="18"/>
          <w:color w:val="auto"/>
        </w:rPr>
        <w:t xml:space="preserve"> or may be obtained without charge by writing to Icahn Enterprises L.P., 767 Fifth Avenue, Suite 4700, New York, NY 10153, Attention: Investor Relations.</w:t>
      </w:r>
    </w:p>
    <w:p>
      <w:pPr>
        <w:spacing w:after="0" w:line="72" w:lineRule="exact"/>
        <w:rPr>
          <w:sz w:val="20"/>
          <w:szCs w:val="20"/>
          <w:color w:val="auto"/>
        </w:rPr>
      </w:pPr>
    </w:p>
    <w:p>
      <w:pPr>
        <w:ind w:right="480" w:firstLine="378"/>
        <w:spacing w:after="0" w:line="261" w:lineRule="auto"/>
        <w:rPr>
          <w:sz w:val="20"/>
          <w:szCs w:val="20"/>
          <w:color w:val="auto"/>
        </w:rPr>
      </w:pPr>
      <w:r>
        <w:rPr>
          <w:rFonts w:ascii="Times New Roman" w:cs="Times New Roman" w:eastAsia="Times New Roman" w:hAnsi="Times New Roman"/>
          <w:sz w:val="18"/>
          <w:szCs w:val="18"/>
          <w:color w:val="auto"/>
        </w:rPr>
        <w:t>Our audit committee has quarterly, telephonic and in-person meetings with management, our chief internal auditor and representatives of our independent auditor. The audit committee also holds separate meetings with the independent auditor and with management, including our chief internal auditor. Following these meetings, the committee meets in executive sessions. In addition, the audit committee, with certain exceptions, has regularly scheduled monthly meetings by telephone at which our senior management and representatives of our independent auditor participate.</w:t>
      </w:r>
    </w:p>
    <w:p>
      <w:pPr>
        <w:spacing w:after="0" w:line="72"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The functions of our audit committee include, but are not limited to: (1) the review of our financial and accounting policies and procedures, including oversight; (2) the selection of our independent auditor and the determination of the auditor's fees for audit services; (3) the pre-approval of any non-audit services and the fees to be paid to our independent auditor; (4) the obtaining, at least annually, of a report from our independent auditor of the adequacy of our internal controls over financial reporting; (5) the review of the results of all audits of our books and records performed by the independent auditor for, among other reasons, to determine the integrity of our financial statements; (6) discussing our policies with respect to risk assessment and risk management, and reporting such policies to the full board of directors; (7) the review of significant earnings press releases prior to release with respect to the types of information disclosed and the manner in which the information is disclosed; and (8) the review and approval of related party transactions and conflicts of interest in accordance with the terms of our partnership agreement. Our audit committee is empowered, in its discretion, to engage such advisors as it might deem necessary, including legal counsel and financial and accounting advisors.</w:t>
      </w:r>
    </w:p>
    <w:p>
      <w:pPr>
        <w:spacing w:after="0" w:line="81" w:lineRule="exact"/>
        <w:rPr>
          <w:sz w:val="20"/>
          <w:szCs w:val="20"/>
          <w:color w:val="auto"/>
        </w:rPr>
      </w:pPr>
    </w:p>
    <w:p>
      <w:pPr>
        <w:ind w:right="40" w:firstLine="378"/>
        <w:spacing w:after="0" w:line="255" w:lineRule="auto"/>
        <w:rPr>
          <w:sz w:val="20"/>
          <w:szCs w:val="20"/>
          <w:color w:val="auto"/>
        </w:rPr>
      </w:pPr>
      <w:r>
        <w:rPr>
          <w:rFonts w:ascii="Times New Roman" w:cs="Times New Roman" w:eastAsia="Times New Roman" w:hAnsi="Times New Roman"/>
          <w:sz w:val="18"/>
          <w:szCs w:val="18"/>
          <w:color w:val="auto"/>
        </w:rPr>
        <w:t>Our board of directors has determined that we do not have an “audit committee financial expert,” within the meaning of Item 407(d)(5) of Regulation S-K, serving on our audit committee. We believe that each member of the audit committee is financially literate and possesses sufficient experience, both professionally and by virtue of his service as a director and member of the audit committee of Icahn Enterprises GP, to be fully capable of discharging his duties as a member of our audit committee. However, none of the members of our audit committee has a professional background in accounting or preparing, auditing, analyzing or evaluating financial statements. If our audit committee determines that it requires additional financial expertise, it will either engage professional advisors or seek to recruit a member who would qualify as an “audit committee financial expert” within the meaning of Item 407(d)(5) of Regulation S-K.</w:t>
      </w:r>
    </w:p>
    <w:p>
      <w:pPr>
        <w:spacing w:after="0" w:line="81" w:lineRule="exact"/>
        <w:rPr>
          <w:sz w:val="20"/>
          <w:szCs w:val="20"/>
          <w:color w:val="auto"/>
        </w:rPr>
      </w:pPr>
    </w:p>
    <w:p>
      <w:pPr>
        <w:ind w:right="60" w:firstLine="378"/>
        <w:spacing w:after="0" w:line="266" w:lineRule="auto"/>
        <w:rPr>
          <w:sz w:val="20"/>
          <w:szCs w:val="20"/>
          <w:color w:val="auto"/>
        </w:rPr>
      </w:pPr>
      <w:r>
        <w:rPr>
          <w:rFonts w:ascii="Times New Roman" w:cs="Times New Roman" w:eastAsia="Times New Roman" w:hAnsi="Times New Roman"/>
          <w:sz w:val="18"/>
          <w:szCs w:val="18"/>
          <w:color w:val="auto"/>
        </w:rPr>
        <w:t>Jack G. Wasserman has been chosen to preside and currently presides at executive sessions of our non-management directors. Interested parties may directly communicate with the presiding director of the audit committee or with the non-management directors of the audit committee as a group by directing all inquiries to our ethics hotline at (877) 888-0002.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Report</w:t>
      </w:r>
    </w:p>
    <w:p>
      <w:pPr>
        <w:spacing w:after="0" w:line="121" w:lineRule="exact"/>
        <w:rPr>
          <w:sz w:val="20"/>
          <w:szCs w:val="20"/>
          <w:color w:val="auto"/>
        </w:rPr>
      </w:pPr>
    </w:p>
    <w:p>
      <w:pPr>
        <w:ind w:right="80" w:firstLine="378"/>
        <w:spacing w:after="0" w:line="258" w:lineRule="auto"/>
        <w:rPr>
          <w:sz w:val="20"/>
          <w:szCs w:val="20"/>
          <w:color w:val="auto"/>
        </w:rPr>
      </w:pPr>
      <w:r>
        <w:rPr>
          <w:rFonts w:ascii="Times New Roman" w:cs="Times New Roman" w:eastAsia="Times New Roman" w:hAnsi="Times New Roman"/>
          <w:sz w:val="18"/>
          <w:szCs w:val="18"/>
          <w:color w:val="auto"/>
        </w:rPr>
        <w:t>The audit committee has confirmed that: (1) the audit committee reviewed and discussed our 2013 audited financial statements with management; (2) the audit committee has discussed with our independent auditors the matters required to be discussed by SAS 61 (Codification of Statements on Auditing Standards, AU§380); (3) the audit committee has received the written disclosures and the letter from the independent accountants required by Independence Standards Board Standard No. 1; and (4) based on the review and discussions referred to in clauses (1), (2) and (3) above, the audit committee recommended to the board of directors that our 2013 audited financial statements be included in this Report.</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This report is provided by the following independent directors, who constitute the audit committee: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William A. Leidesdorf</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James L. Nelson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Jack G. Wasserman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w:t>
      </w:r>
    </w:p>
    <w:p>
      <w:pPr>
        <w:spacing w:after="0" w:line="121"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Icahn Enterprises GP's board of directors has adopted a Code of Business Conduct and Ethics applicable to all directors, officers and employees, including our principal executive officer, principal financial officer and principal accounting officer. A copy of the Code of Business Conduct and Ethics is available on our website at </w:t>
      </w:r>
      <w:r>
        <w:rPr>
          <w:rFonts w:ascii="Times New Roman" w:cs="Times New Roman" w:eastAsia="Times New Roman" w:hAnsi="Times New Roman"/>
          <w:sz w:val="18"/>
          <w:szCs w:val="18"/>
          <w:i w:val="1"/>
          <w:iCs w:val="1"/>
          <w:color w:val="auto"/>
        </w:rPr>
        <w:t>www.ielp.com/governance.cfm</w:t>
      </w:r>
      <w:r>
        <w:rPr>
          <w:rFonts w:ascii="Times New Roman" w:cs="Times New Roman" w:eastAsia="Times New Roman" w:hAnsi="Times New Roman"/>
          <w:sz w:val="18"/>
          <w:szCs w:val="18"/>
          <w:color w:val="auto"/>
        </w:rPr>
        <w:t xml:space="preserve"> and may be obtained without charge by writing to Icahn Enterprises L.P., 767 Fifth Avenue, Suite 4700, New York, NY 10153, Attention: Investor Relations.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400"/>
          </w:cols>
          <w:pgMar w:left="240" w:top="469" w:right="2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i w:val="1"/>
          <w:iCs w:val="1"/>
          <w:color w:val="auto"/>
        </w:rPr>
        <w:t>NASDAQ Corporate Governance Compliance</w:t>
      </w:r>
    </w:p>
    <w:p>
      <w:pPr>
        <w:spacing w:after="0" w:line="12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Pursuant to Rule 5615(a)(4)(J) of the NASDAQ corporate governance requirements, in the event that an executive officer of Icahn Enterprises' or Icahn Enterprises Holdings', or a person performing an equivalent role, becomes aware of any noncompliance with NASDAQ's corporate governance requirements, he or she is required to provide prompt notice to NASDAQ of such noncompliance. As of February 27, 2015, we believe that we are compliant with NASDAQ's corporate governance requirements.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121"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Our leadership structure includes the positions of chairman of the board ("Chairman") and Chief Executive Officer. Mr. Icahn serves as our Chairman and Mr. Cozza serves as our Chief Executive Officer.</w:t>
      </w:r>
    </w:p>
    <w:p>
      <w:pPr>
        <w:spacing w:after="0" w:line="54"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Chairman is responsible for organizing the board of directors and setting its agenda and priorities. The Chairman does not participate in the day-to-day business operations of our business segments, other than our Investment segment. The Chief Executive Officer is accountable directly to the board of directors, including the Chairman, and has day-to-day responsibility, in consultation with our Chairman, for general oversight of our business segments. Our business segments are operated through subsidiaries with their own management teams, including boards of directors, responsible for the day-to-day operations of those businesses. We believe that our leadership structure is appropriate for our holding company structure as it enhances our corporate governance and company oversight by separating responsibilities between the Chief Executive Officer and Chairman.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Role in Risk Oversight</w:t>
      </w:r>
    </w:p>
    <w:p>
      <w:pPr>
        <w:spacing w:after="0" w:line="121"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In connection with its oversight responsibilities the Board, including the Audit Committee, periodically reviews the significant risks that we face. These risks include strategic, financial, operational and compliance risks. The Board administers its risk oversight responsibilities through its Chief Executive Officer and its Chief Financial Officer, who, together with our chief auditor and management representatives of each of our operating subsidiaries, review and assess the operations of the businesses as well as each respective management's identification, assessment and mitigation of the material risks affecting our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16(a) Beneficial Ownership Reporting Compliance</w:t>
      </w:r>
    </w:p>
    <w:p>
      <w:pPr>
        <w:spacing w:after="0" w:line="121" w:lineRule="exact"/>
        <w:rPr>
          <w:sz w:val="20"/>
          <w:szCs w:val="20"/>
          <w:color w:val="auto"/>
        </w:rPr>
      </w:pPr>
    </w:p>
    <w:p>
      <w:pPr>
        <w:ind w:right="100" w:firstLine="378"/>
        <w:spacing w:after="0" w:line="282" w:lineRule="auto"/>
        <w:rPr>
          <w:sz w:val="20"/>
          <w:szCs w:val="20"/>
          <w:color w:val="auto"/>
        </w:rPr>
      </w:pPr>
      <w:r>
        <w:rPr>
          <w:rFonts w:ascii="Times New Roman" w:cs="Times New Roman" w:eastAsia="Times New Roman" w:hAnsi="Times New Roman"/>
          <w:sz w:val="18"/>
          <w:szCs w:val="18"/>
          <w:color w:val="auto"/>
        </w:rPr>
        <w:t>To the best of our knowledge, no director, executive officer or beneficial owner of more than 10% of Icahn Enterprises' depositary units failed to file on a timely basis reports required by §16(a) of the Exchange Act, during the year ended December 31, 2014.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Structure and Reporting Requirements</w:t>
      </w:r>
    </w:p>
    <w:p>
      <w:pPr>
        <w:spacing w:after="0" w:line="12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Company is a master limited partnership ("MLP") and is not subject to the proxy solicitation rules as required by section 14A of the Exchange Act or §240.14a-20. Furthermore, because the Company has not ever been a TARP recipient, as defined in section 111(a)(3) of the Emergency Economic Stabilization Act of 2008, it is not subject to §240.14a-20. As a MLP, pursuant to the Company's partnership agreement, the general partner, Icahn Enterprises G.P. Inc.(the "GP"), has exclusive management powers over the business and affairs of the Company. That is, the GP’s stockholders have the right to elect members of the GP's board of directors, who, in turn, elect the officers of the Company. Accordingly, the Company does not hold annual meetings to elect its directors.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following section provides an overview and analysis of our compensation programs, the compensation decisions we have made under those programs, and the factors we considered in making those decisions. Later in this section, under the heading “Additional Information Regarding Executive Compensation,” we provide a table containing specific information about the compensation earned by the following individuals in 2014, whom we refer to as our named executive officers:</w:t>
      </w:r>
    </w:p>
    <w:p>
      <w:pPr>
        <w:spacing w:after="0" w:line="72" w:lineRule="exact"/>
        <w:rPr>
          <w:sz w:val="20"/>
          <w:szCs w:val="20"/>
          <w:color w:val="auto"/>
        </w:rPr>
      </w:pPr>
    </w:p>
    <w:p>
      <w:pPr>
        <w:ind w:left="660" w:hanging="247"/>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 C. Icahn, Chairman of the Board</w:t>
      </w:r>
      <w:r>
        <w:rPr>
          <w:rFonts w:ascii="Times New Roman" w:cs="Times New Roman" w:eastAsia="Times New Roman" w:hAnsi="Times New Roman"/>
          <w:sz w:val="18"/>
          <w:szCs w:val="18"/>
          <w:color w:val="auto"/>
          <w:vertAlign w:val="superscript"/>
        </w:rPr>
        <w:t>(1)</w:t>
      </w:r>
    </w:p>
    <w:p>
      <w:pPr>
        <w:spacing w:after="0" w:line="13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Keith Cozza, President and Chief Executive Officer</w:t>
      </w:r>
      <w:r>
        <w:rPr>
          <w:rFonts w:ascii="Times New Roman" w:cs="Times New Roman" w:eastAsia="Times New Roman" w:hAnsi="Times New Roman"/>
          <w:sz w:val="18"/>
          <w:szCs w:val="18"/>
          <w:color w:val="auto"/>
          <w:vertAlign w:val="superscript"/>
        </w:rPr>
        <w:t>(2)</w:t>
      </w:r>
    </w:p>
    <w:p>
      <w:pPr>
        <w:spacing w:after="0" w:line="13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SungHwan Cho, Chief Financial Officer</w:t>
      </w:r>
      <w:r>
        <w:rPr>
          <w:rFonts w:ascii="Times New Roman" w:cs="Times New Roman" w:eastAsia="Times New Roman" w:hAnsi="Times New Roman"/>
          <w:sz w:val="18"/>
          <w:szCs w:val="18"/>
          <w:color w:val="auto"/>
          <w:vertAlign w:val="superscript"/>
        </w:rPr>
        <w:t>(3)</w:t>
      </w:r>
    </w:p>
    <w:p>
      <w:pPr>
        <w:spacing w:after="0" w:line="13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Reck, Chief Accounting Officer</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 A. Ninivaggi, Former President and Chief Executive Officer</w:t>
      </w:r>
      <w:r>
        <w:rPr>
          <w:rFonts w:ascii="Times New Roman" w:cs="Times New Roman" w:eastAsia="Times New Roman" w:hAnsi="Times New Roman"/>
          <w:sz w:val="18"/>
          <w:szCs w:val="18"/>
          <w:color w:val="auto"/>
          <w:vertAlign w:val="superscript"/>
        </w:rPr>
        <w:t>(4)</w:t>
      </w:r>
    </w:p>
    <w:p>
      <w:pPr>
        <w:spacing w:after="0" w:line="12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4"/>
          <w:szCs w:val="14"/>
          <w:color w:val="auto"/>
        </w:rPr>
        <w:t>In addition, Mr. Icahn serves as Chief Executive Officer of our subsidiary, Icahn Capital and of the General Partners.</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400"/>
          </w:cols>
          <w:pgMar w:left="240" w:top="468" w:right="259" w:bottom="1440" w:gutter="0" w:footer="0" w:header="0"/>
        </w:sectPr>
      </w:pPr>
    </w:p>
    <w:bookmarkStart w:id="240" w:name="page241"/>
    <w:bookmarkEnd w:id="240"/>
    <w:p>
      <w:pPr>
        <w:ind w:left="820" w:right="240" w:hanging="164"/>
        <w:spacing w:after="0" w:line="261" w:lineRule="auto"/>
        <w:tabs>
          <w:tab w:leader="none" w:pos="785" w:val="left"/>
        </w:tabs>
        <w:numPr>
          <w:ilvl w:val="0"/>
          <w:numId w:val="7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Mr. Cozza served as Executive Vice President from February 20, 2013 until February 4, 2014. Effective February 5, 2014, Mr. Cozza commenced serving as the President and Chief Executive Officer of Icahn Enterprises and Icahn Enterprises Holdings. In addition, Mr. Cozza also serves as the Chief Operating Officer of Icahn Capital and hold officer and/or director positions at certain of our other subsidiaries.</w:t>
      </w:r>
    </w:p>
    <w:p>
      <w:pPr>
        <w:spacing w:after="0" w:line="69" w:lineRule="exact"/>
        <w:rPr>
          <w:rFonts w:ascii="Times New Roman" w:cs="Times New Roman" w:eastAsia="Times New Roman" w:hAnsi="Times New Roman"/>
          <w:sz w:val="9"/>
          <w:szCs w:val="9"/>
          <w:color w:val="auto"/>
        </w:rPr>
      </w:pPr>
    </w:p>
    <w:p>
      <w:pPr>
        <w:ind w:left="780" w:hanging="124"/>
        <w:spacing w:after="0"/>
        <w:tabs>
          <w:tab w:leader="none" w:pos="780" w:val="left"/>
        </w:tabs>
        <w:numPr>
          <w:ilvl w:val="0"/>
          <w:numId w:val="7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addition, Mr. Cho serves as a director of Icahn Enterprises and Icahn Enterprises Holdings.</w:t>
      </w:r>
    </w:p>
    <w:p>
      <w:pPr>
        <w:spacing w:after="0" w:line="109" w:lineRule="exact"/>
        <w:rPr>
          <w:rFonts w:ascii="Times New Roman" w:cs="Times New Roman" w:eastAsia="Times New Roman" w:hAnsi="Times New Roman"/>
          <w:sz w:val="9"/>
          <w:szCs w:val="9"/>
          <w:color w:val="auto"/>
        </w:rPr>
      </w:pPr>
    </w:p>
    <w:p>
      <w:pPr>
        <w:ind w:left="820" w:right="80" w:hanging="164"/>
        <w:spacing w:after="0" w:line="261" w:lineRule="auto"/>
        <w:tabs>
          <w:tab w:leader="none" w:pos="785" w:val="left"/>
        </w:tabs>
        <w:numPr>
          <w:ilvl w:val="0"/>
          <w:numId w:val="7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Effective February 5, 2014, Mr. Ninivaggi delivered notice of his resignation as the President and Chief Executive Officer of Icahn Enterprises and Icahn Enterprises Holdings. Mr. Ninivaggi will continue to serve as a director of Icahn Enterprises and Icahn Enterprises Holdings. In addition, as previously disclosed, Mr. Ninivaggi has indicated his intent to resign as a director of Icahn Enterprises LP and Icahn Enterprises Holdings prior to the closing of its acquisition of Uni-Select USA.</w:t>
      </w:r>
    </w:p>
    <w:p>
      <w:pPr>
        <w:spacing w:after="0" w:line="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discussion below is intended to help you understand the detailed information provided in the table and put that information into context within our overall compensation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Compensation Program</w:t>
      </w:r>
    </w:p>
    <w:p>
      <w:pPr>
        <w:spacing w:after="0" w:line="12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Throughout this narrative discussion and in the accompanying table, we refer to our named executive officers. The key compensation package provided to our named executive officers consists of (i) base salary, (ii) incentive compensation and (iii) other benefits. The key compensation provided to our named executive officers for 2014 consisted of salary and bonuses. See “Additional Information Regarding Executive Compensation - Summary Compensation Table” for the compensation received by each of our named executive officers for 2014. Executive compensation levels and bonuses are established based upon the recommendation of our chairman, which are discussed with members of the board. The board of directors does not delegate the authority to establish executive officer compensation to any other person and has not retained any compensation consultants to determine or recommend the amount or form of executive and director compensation.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Objectives</w:t>
      </w:r>
    </w:p>
    <w:p>
      <w:pPr>
        <w:spacing w:after="0" w:line="121" w:lineRule="exact"/>
        <w:rPr>
          <w:sz w:val="20"/>
          <w:szCs w:val="20"/>
          <w:color w:val="auto"/>
        </w:rPr>
      </w:pPr>
    </w:p>
    <w:p>
      <w:pPr>
        <w:ind w:right="40" w:firstLine="378"/>
        <w:spacing w:after="0" w:line="266" w:lineRule="auto"/>
        <w:rPr>
          <w:sz w:val="20"/>
          <w:szCs w:val="20"/>
          <w:color w:val="auto"/>
        </w:rPr>
      </w:pPr>
      <w:r>
        <w:rPr>
          <w:rFonts w:ascii="Times New Roman" w:cs="Times New Roman" w:eastAsia="Times New Roman" w:hAnsi="Times New Roman"/>
          <w:sz w:val="18"/>
          <w:szCs w:val="18"/>
          <w:color w:val="auto"/>
        </w:rPr>
        <w:t>Our executive compensation philosophy is designed to support our key business objectives while maximizing value to our unitholders. The objectives of our compensation structure are to attract and retain valuable employees, assure fair and internally equitable pay levels and provide a mix of base salary and variable bonuses that provides motivation and rewards performance. At the same time, we seek to optimize and manage compensation costs.</w:t>
      </w:r>
    </w:p>
    <w:p>
      <w:pPr>
        <w:spacing w:after="0" w:line="68" w:lineRule="exact"/>
        <w:rPr>
          <w:sz w:val="20"/>
          <w:szCs w:val="20"/>
          <w:color w:val="auto"/>
        </w:rPr>
      </w:pPr>
    </w:p>
    <w:p>
      <w:pPr>
        <w:ind w:right="240" w:firstLine="378"/>
        <w:spacing w:after="0" w:line="258" w:lineRule="auto"/>
        <w:rPr>
          <w:sz w:val="20"/>
          <w:szCs w:val="20"/>
          <w:color w:val="auto"/>
        </w:rPr>
      </w:pPr>
      <w:r>
        <w:rPr>
          <w:rFonts w:ascii="Times New Roman" w:cs="Times New Roman" w:eastAsia="Times New Roman" w:hAnsi="Times New Roman"/>
          <w:sz w:val="18"/>
          <w:szCs w:val="18"/>
          <w:color w:val="auto"/>
        </w:rPr>
        <w:t>The primary components of our executive compensation are base salary and, except as otherwise indicated, annual bonus, payable in cash. For further descriptions, see “Additional Information Regarding Executive Compensation - Employment Agreements.” Base salary is paid for ongoing performance throughout the year and is determined based on job function and each executive's contribution to our performance and achievement of our overall business objectives. Our annual bonuses are intended to reward particular achievement during the year, motivate future performance and attract and retain highly qualified key employees.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Appropriate Pay Levels</w:t>
      </w:r>
    </w:p>
    <w:p>
      <w:pPr>
        <w:spacing w:after="0" w:line="121" w:lineRule="exact"/>
        <w:rPr>
          <w:sz w:val="20"/>
          <w:szCs w:val="20"/>
          <w:color w:val="auto"/>
        </w:rPr>
      </w:pPr>
    </w:p>
    <w:p>
      <w:pPr>
        <w:ind w:right="200" w:firstLine="378"/>
        <w:spacing w:after="0" w:line="261" w:lineRule="auto"/>
        <w:rPr>
          <w:sz w:val="20"/>
          <w:szCs w:val="20"/>
          <w:color w:val="auto"/>
        </w:rPr>
      </w:pPr>
      <w:r>
        <w:rPr>
          <w:rFonts w:ascii="Times New Roman" w:cs="Times New Roman" w:eastAsia="Times New Roman" w:hAnsi="Times New Roman"/>
          <w:sz w:val="18"/>
          <w:szCs w:val="18"/>
          <w:color w:val="auto"/>
        </w:rPr>
        <w:t>We compete with many other companies for experienced and talented executives. Market information in general regarding pay practices at peer companies (as provided in the public reports filed by such companies with the Securities and Exchange Commission) may be reviewed and considered in assessing the reasonableness of compensation and ensuring that compensation levels remain competitive in the marketplace. For a further description of the employment agreements with our executives, see “Additional Information Regarding Executive Compensation - Employment Agreements.”</w:t>
      </w:r>
    </w:p>
    <w:p>
      <w:pPr>
        <w:spacing w:after="0" w:line="72" w:lineRule="exact"/>
        <w:rPr>
          <w:sz w:val="20"/>
          <w:szCs w:val="20"/>
          <w:color w:val="auto"/>
        </w:rPr>
      </w:pPr>
    </w:p>
    <w:p>
      <w:pPr>
        <w:ind w:right="180" w:firstLine="378"/>
        <w:spacing w:after="0" w:line="266" w:lineRule="auto"/>
        <w:rPr>
          <w:sz w:val="20"/>
          <w:szCs w:val="20"/>
          <w:color w:val="auto"/>
        </w:rPr>
      </w:pPr>
      <w:r>
        <w:rPr>
          <w:rFonts w:ascii="Times New Roman" w:cs="Times New Roman" w:eastAsia="Times New Roman" w:hAnsi="Times New Roman"/>
          <w:sz w:val="18"/>
          <w:szCs w:val="18"/>
          <w:color w:val="auto"/>
        </w:rPr>
        <w:t>Each element of compensation is reviewed so that the overall compensation package will attract, motivate and retain our key employees, including our named executive officers, by rewarding superior performance. The following factors are considered to determine the amount of compensation paid to each executive officer:</w:t>
      </w:r>
    </w:p>
    <w:p>
      <w:pPr>
        <w:spacing w:after="0" w:line="68" w:lineRule="exact"/>
        <w:rPr>
          <w:sz w:val="20"/>
          <w:szCs w:val="20"/>
          <w:color w:val="auto"/>
        </w:rPr>
      </w:pPr>
    </w:p>
    <w:p>
      <w:pPr>
        <w:ind w:left="660" w:hanging="247"/>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job performance, including performance against corporate and individual objectives;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job responsibilities, including unique skills necessary to support our long-term performance, including that of our subsidiaries; and</w:t>
      </w:r>
    </w:p>
    <w:p>
      <w:pPr>
        <w:spacing w:after="0" w:line="117" w:lineRule="exact"/>
        <w:rPr>
          <w:rFonts w:ascii="Times New Roman" w:cs="Times New Roman" w:eastAsia="Times New Roman" w:hAnsi="Times New Roman"/>
          <w:sz w:val="18"/>
          <w:szCs w:val="18"/>
          <w:color w:val="auto"/>
        </w:rPr>
      </w:pPr>
    </w:p>
    <w:p>
      <w:pPr>
        <w:ind w:left="1300" w:right="80" w:hanging="887"/>
        <w:spacing w:after="0" w:line="282" w:lineRule="auto"/>
        <w:tabs>
          <w:tab w:leader="none" w:pos="6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teamwork, both contributions as a member of the executive management team and fostering an environment of personal and professional growth for the entire work force.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Bonuses</w:t>
      </w:r>
    </w:p>
    <w:p>
      <w:pPr>
        <w:spacing w:after="0" w:line="121" w:lineRule="exact"/>
        <w:rPr>
          <w:sz w:val="20"/>
          <w:szCs w:val="20"/>
          <w:color w:val="auto"/>
        </w:rPr>
      </w:pPr>
    </w:p>
    <w:p>
      <w:pPr>
        <w:ind w:right="320" w:firstLine="405"/>
        <w:spacing w:after="0" w:line="256" w:lineRule="auto"/>
        <w:rPr>
          <w:sz w:val="20"/>
          <w:szCs w:val="20"/>
          <w:color w:val="auto"/>
        </w:rPr>
      </w:pPr>
      <w:r>
        <w:rPr>
          <w:rFonts w:ascii="Times New Roman" w:cs="Times New Roman" w:eastAsia="Times New Roman" w:hAnsi="Times New Roman"/>
          <w:sz w:val="18"/>
          <w:szCs w:val="18"/>
          <w:color w:val="auto"/>
        </w:rPr>
        <w:t>The Company believes that bonuses are an integral component of compensation that is an important way to motivate and reward performance of our employees. The Company does not have a formula or pre-established policy for determining either salary levels or bonuses; bonuses are discretionary. In addition, in order that we remain competitive in the marketplace, we may review market information regarding pay practices at peer companies in determining bonuses. Generally, bonuses are determined by various factors, including, but not limited to, the achievement of financial goals and other Company goals that are determined to be critical to the success of the Company, overall job performance, including performance against corporate and individual objectives, job responsibilities and teamwork for each individual.</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420"/>
          </w:cols>
          <w:pgMar w:left="240" w:top="468" w:right="2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Compensation</w:t>
      </w:r>
    </w:p>
    <w:p>
      <w:pPr>
        <w:spacing w:after="0" w:line="121"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There is no pre-established policy or target for the allocation of compensation, other than certain employment agreements with certain named executive officers and, in the case of Mr. Ninivaggi, the Option Agreements (which, as discussed, elsewhere were terminated, rendered null and void and are canceled and shall have no further force or effect.) As we are a limited partnership and a controlled entity, under the NASDAQ listing rules, our status as a limited partnership exempts us from certain corporate governance rules, including the requirement to maintain a compensation committee. In 2014, the total compensation granted to named executive officers was in the form of cash compensation.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Components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firstLine="378"/>
        <w:spacing w:after="0" w:line="261" w:lineRule="auto"/>
        <w:rPr>
          <w:sz w:val="20"/>
          <w:szCs w:val="20"/>
          <w:color w:val="auto"/>
        </w:rPr>
      </w:pPr>
      <w:r>
        <w:rPr>
          <w:rFonts w:ascii="Times New Roman" w:cs="Times New Roman" w:eastAsia="Times New Roman" w:hAnsi="Times New Roman"/>
          <w:sz w:val="18"/>
          <w:szCs w:val="18"/>
          <w:color w:val="auto"/>
        </w:rPr>
        <w:t>Base salaries for executive officers are determined based on job performance, job responsibilities and teamwork. In addition, we have also entered into employment contracts with Mr. Daniel A. Ninivaggi (collectively referred to as the Ninivaggi Employment Agreement, commencing on October 25, 2012, the 2012 Ninivaggi Employment Agreement, commencing on January 1, 2013, the 2013 Ninivaggi Employment Agreement, and effective January 1, 2014, the 2013 Amended Ninivaggi Employment Agreement).</w:t>
      </w:r>
    </w:p>
    <w:p>
      <w:pPr>
        <w:spacing w:after="0" w:line="72" w:lineRule="exact"/>
        <w:rPr>
          <w:sz w:val="20"/>
          <w:szCs w:val="20"/>
          <w:color w:val="auto"/>
        </w:rPr>
      </w:pPr>
    </w:p>
    <w:p>
      <w:pPr>
        <w:ind w:right="260" w:firstLine="378"/>
        <w:spacing w:after="0" w:line="282" w:lineRule="auto"/>
        <w:rPr>
          <w:sz w:val="20"/>
          <w:szCs w:val="20"/>
          <w:color w:val="auto"/>
        </w:rPr>
      </w:pPr>
      <w:r>
        <w:rPr>
          <w:rFonts w:ascii="Times New Roman" w:cs="Times New Roman" w:eastAsia="Times New Roman" w:hAnsi="Times New Roman"/>
          <w:sz w:val="18"/>
          <w:szCs w:val="18"/>
          <w:color w:val="auto"/>
        </w:rPr>
        <w:t>Mr. Icahn is currently an at will employee serving as Chairman of the Board of Icahn Enterprises GP and as Chairman and Chief Executive Officer of Icahn Capital and Chief Executive Officer of the General Partners for which he receives an annual base salary of $1 per annum.</w:t>
      </w:r>
    </w:p>
    <w:p>
      <w:pPr>
        <w:spacing w:after="0" w:line="54" w:lineRule="exact"/>
        <w:rPr>
          <w:sz w:val="20"/>
          <w:szCs w:val="20"/>
          <w:color w:val="auto"/>
        </w:rPr>
      </w:pPr>
    </w:p>
    <w:p>
      <w:pPr>
        <w:ind w:right="80" w:firstLine="378"/>
        <w:spacing w:after="0" w:line="255" w:lineRule="auto"/>
        <w:rPr>
          <w:sz w:val="20"/>
          <w:szCs w:val="20"/>
          <w:color w:val="auto"/>
        </w:rPr>
      </w:pPr>
      <w:r>
        <w:rPr>
          <w:rFonts w:ascii="Times New Roman" w:cs="Times New Roman" w:eastAsia="Times New Roman" w:hAnsi="Times New Roman"/>
          <w:sz w:val="18"/>
          <w:szCs w:val="18"/>
          <w:color w:val="auto"/>
        </w:rPr>
        <w:t>Pursuant to the Ninivaggi Employment Agreement by and between us and Mr. Ninivaggi, Mr. Ninivaggi was originally entitled to a base salary at the per annum rate of $650,000 for 2012. Pursuant to the 2012 Ninivaggi Employment Agreement, Mr. Ninivaggi was entitled to receive a base salary of $1.3 million per annum effective November 1, 2012. Effective January 1, 2013, pursuant to the 2013 Ninivaggi Employment Agreement, Mr. Ninivaggi was entitled to a base salary of $2.2 million per annum. Effective January 1, 2014, pursuant to the 2013 Amended Ninivaggi Employment Agreement, Mr. Ninivaggi was entitled to a base salary of $2.6 million per annum. Effective February 5, 2014, Mr. Ninivaggi tendered his resignation as the President and Chief Executive Officer of Icahn Enterprises and Icahn Enterprises Holdings. Effective February 5, 2014, Mr. Ninivaggi commenced serving as the Co-Chief Executive Officer of Federal-Mogul Corporation, a subsidiary of Icahn Enterprises, a supplier of automotive powertrain and safety components.</w:t>
      </w:r>
    </w:p>
    <w:p>
      <w:pPr>
        <w:spacing w:after="0" w:line="81" w:lineRule="exact"/>
        <w:rPr>
          <w:sz w:val="20"/>
          <w:szCs w:val="20"/>
          <w:color w:val="auto"/>
        </w:rPr>
      </w:pPr>
    </w:p>
    <w:p>
      <w:pPr>
        <w:ind w:right="140" w:firstLine="378"/>
        <w:spacing w:after="0" w:line="282" w:lineRule="auto"/>
        <w:rPr>
          <w:sz w:val="20"/>
          <w:szCs w:val="20"/>
          <w:color w:val="auto"/>
        </w:rPr>
      </w:pPr>
      <w:r>
        <w:rPr>
          <w:rFonts w:ascii="Times New Roman" w:cs="Times New Roman" w:eastAsia="Times New Roman" w:hAnsi="Times New Roman"/>
          <w:sz w:val="18"/>
          <w:szCs w:val="18"/>
          <w:color w:val="auto"/>
        </w:rPr>
        <w:t>Generally, total compensation is used in determining the amount of contributions permitted under our 401(k) Plan. In addition, base salary may include accrued but unused paid time off ("PTO") days that have been paid in accordance with the Company's PTO policy.</w:t>
      </w:r>
    </w:p>
    <w:p>
      <w:pPr>
        <w:spacing w:after="0" w:line="54" w:lineRule="exact"/>
        <w:rPr>
          <w:sz w:val="20"/>
          <w:szCs w:val="20"/>
          <w:color w:val="auto"/>
        </w:rPr>
      </w:pPr>
    </w:p>
    <w:p>
      <w:pPr>
        <w:ind w:right="580" w:firstLine="378"/>
        <w:spacing w:after="0" w:line="282" w:lineRule="auto"/>
        <w:rPr>
          <w:sz w:val="20"/>
          <w:szCs w:val="20"/>
          <w:color w:val="auto"/>
        </w:rPr>
      </w:pPr>
      <w:r>
        <w:rPr>
          <w:rFonts w:ascii="Times New Roman" w:cs="Times New Roman" w:eastAsia="Times New Roman" w:hAnsi="Times New Roman"/>
          <w:sz w:val="18"/>
          <w:szCs w:val="18"/>
          <w:color w:val="auto"/>
        </w:rPr>
        <w:t>See “Additional Information Regarding Executive Compensation - Summary Compensation Table” for detailed information on the compensation received by each of our named executive officers for 2014.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Bonus</w:t>
      </w:r>
    </w:p>
    <w:p>
      <w:pPr>
        <w:spacing w:after="0" w:line="119" w:lineRule="exact"/>
        <w:rPr>
          <w:sz w:val="20"/>
          <w:szCs w:val="20"/>
          <w:color w:val="auto"/>
        </w:rPr>
      </w:pPr>
    </w:p>
    <w:p>
      <w:pPr>
        <w:ind w:right="180" w:firstLine="378"/>
        <w:spacing w:after="0" w:line="266" w:lineRule="auto"/>
        <w:rPr>
          <w:sz w:val="20"/>
          <w:szCs w:val="20"/>
          <w:color w:val="auto"/>
        </w:rPr>
      </w:pPr>
      <w:r>
        <w:rPr>
          <w:rFonts w:ascii="Times New Roman" w:cs="Times New Roman" w:eastAsia="Times New Roman" w:hAnsi="Times New Roman"/>
          <w:sz w:val="18"/>
          <w:szCs w:val="18"/>
          <w:color w:val="auto"/>
        </w:rPr>
        <w:t>For 2014, Messrs. Cozza, Cho and Reck received bonuses of $2,000,000, $1,000,000 and $210,000, respectively. For a further description of the employment agreements with our executives, including salary and bonuses, see “Additional Information Regarding Executive Compensation - Employment Agreements.”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 and Other Benefits</w:t>
      </w:r>
    </w:p>
    <w:p>
      <w:pPr>
        <w:spacing w:after="0" w:line="119" w:lineRule="exact"/>
        <w:rPr>
          <w:sz w:val="20"/>
          <w:szCs w:val="20"/>
          <w:color w:val="auto"/>
        </w:rPr>
      </w:pPr>
    </w:p>
    <w:p>
      <w:pPr>
        <w:ind w:right="120" w:firstLine="378"/>
        <w:spacing w:after="0" w:line="255" w:lineRule="auto"/>
        <w:rPr>
          <w:sz w:val="20"/>
          <w:szCs w:val="20"/>
          <w:color w:val="auto"/>
        </w:rPr>
      </w:pPr>
      <w:r>
        <w:rPr>
          <w:rFonts w:ascii="Times New Roman" w:cs="Times New Roman" w:eastAsia="Times New Roman" w:hAnsi="Times New Roman"/>
          <w:sz w:val="18"/>
          <w:szCs w:val="18"/>
          <w:color w:val="auto"/>
        </w:rPr>
        <w:t>For 2014, Messrs. Cozza, Cho, Reck and Ninivaggi, were our only named executive officers participating in our qualified Icahn Enterprises Holdings 401(k) Plan, or the 401(k) Plan, and thus received matching contributions for 2014. The matching contributions for the respective named executive officer in 2014 are disclosed in our Summary Compensation Table under “All Other Compensation” and in the related footnote. Mr. Icahn was our only named executive who did not participate in the 401(k) Plan for 2014. All of our named executive officers are entitled to receive medical, dental and paid time-off benefits that are offered to all of our employees and are designed to enable us to attract and retain our workforce in a competitive environment. Our 401(k) Plan helps employees save and prepare financially for retirement. Health and paid time-off benefits help ensure that we have a productive and focused workforce.</w:t>
      </w:r>
    </w:p>
    <w:p>
      <w:pPr>
        <w:spacing w:after="0" w:line="81" w:lineRule="exact"/>
        <w:rPr>
          <w:sz w:val="20"/>
          <w:szCs w:val="20"/>
          <w:color w:val="auto"/>
        </w:rPr>
      </w:pPr>
    </w:p>
    <w:p>
      <w:pPr>
        <w:ind w:right="100" w:firstLine="378"/>
        <w:spacing w:after="0" w:line="261" w:lineRule="auto"/>
        <w:rPr>
          <w:sz w:val="20"/>
          <w:szCs w:val="20"/>
          <w:color w:val="auto"/>
        </w:rPr>
      </w:pPr>
      <w:r>
        <w:rPr>
          <w:rFonts w:ascii="Times New Roman" w:cs="Times New Roman" w:eastAsia="Times New Roman" w:hAnsi="Times New Roman"/>
          <w:sz w:val="18"/>
          <w:szCs w:val="18"/>
          <w:color w:val="auto"/>
        </w:rPr>
        <w:t>Our qualified 401(k) Plan allows employees to contribute up to 50% of their eligible compensation, up to the limits imposed by the Code on a pre-tax basis. We currently match, within prescribed limits, 50% of eligible employees' contributions up to 6.25% of their eligible compensation. Participants choose to invest their account balances from an array of investment options as selected by plan fiduciaries from time to time. The 401(k) Plan provides distributions in a lump sum. Under certain circumstances, loans and withdrawals are permitted.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Perquisites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420"/>
          </w:cols>
          <w:pgMar w:left="240" w:top="468" w:right="239" w:bottom="1440" w:gutter="0" w:footer="0" w:header="0"/>
        </w:sectPr>
      </w:pPr>
    </w:p>
    <w:bookmarkStart w:id="242" w:name="page243"/>
    <w:bookmarkEnd w:id="242"/>
    <w:p>
      <w:pPr>
        <w:ind w:firstLine="378"/>
        <w:spacing w:after="0" w:line="266" w:lineRule="auto"/>
        <w:rPr>
          <w:sz w:val="20"/>
          <w:szCs w:val="20"/>
          <w:color w:val="auto"/>
        </w:rPr>
      </w:pPr>
      <w:r>
        <w:rPr>
          <w:rFonts w:ascii="Times New Roman" w:cs="Times New Roman" w:eastAsia="Times New Roman" w:hAnsi="Times New Roman"/>
          <w:sz w:val="18"/>
          <w:szCs w:val="18"/>
          <w:color w:val="auto"/>
        </w:rPr>
        <w:t>The total value of all perquisites and personal benefits (exclusive of 401(k) matching contributions) provided to each of our named executive officers for 2014, 2013 and 2012 was less than $10,000 per person, except for Mr. Icahn, for whom perquisites and other benefits are identified in the Summary Compensation Table under the “All Other Compensation” column and in related footnotes.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ind w:right="60" w:firstLine="378"/>
        <w:spacing w:after="0" w:line="261" w:lineRule="auto"/>
        <w:rPr>
          <w:sz w:val="20"/>
          <w:szCs w:val="20"/>
          <w:color w:val="auto"/>
        </w:rPr>
      </w:pPr>
      <w:r>
        <w:rPr>
          <w:rFonts w:ascii="Times New Roman" w:cs="Times New Roman" w:eastAsia="Times New Roman" w:hAnsi="Times New Roman"/>
          <w:sz w:val="18"/>
          <w:szCs w:val="18"/>
          <w:color w:val="auto"/>
        </w:rPr>
        <w:t>As stated above, pursuant to exemptions from the NASDAQ listing rules, the board of directors is not required to have, and does not have, a standing compensation committee. The board of directors has reviewed and discussed the Compensation Disclosure and Analysis required by Item 402(b) of Regulation S-K with management. Based on that review and discussion, the board of directors recommended that the Compensation Disclosure and Analysis be included in this Report.</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This report is provided by the board of directors:</w:t>
      </w:r>
    </w:p>
    <w:p>
      <w:pPr>
        <w:spacing w:after="0" w:line="11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Carl C. Icahn</w:t>
      </w:r>
    </w:p>
    <w:p>
      <w:pPr>
        <w:spacing w:after="0" w:line="11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Daniel A. Ninivaggi</w:t>
      </w:r>
    </w:p>
    <w:p>
      <w:pPr>
        <w:spacing w:after="0" w:line="11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Sung Hwan Cho</w:t>
      </w:r>
    </w:p>
    <w:p>
      <w:pPr>
        <w:spacing w:after="0" w:line="11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Keith Cozza</w:t>
      </w:r>
    </w:p>
    <w:p>
      <w:pPr>
        <w:spacing w:after="0" w:line="11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William A. Leidesdorf</w:t>
      </w:r>
    </w:p>
    <w:p>
      <w:pPr>
        <w:spacing w:after="0" w:line="11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James L. Nelson</w:t>
      </w:r>
    </w:p>
    <w:p>
      <w:pPr>
        <w:spacing w:after="0" w:line="11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Jack G. Wasserman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right="40" w:firstLine="378"/>
        <w:spacing w:after="0" w:line="266" w:lineRule="auto"/>
        <w:rPr>
          <w:sz w:val="20"/>
          <w:szCs w:val="20"/>
          <w:color w:val="auto"/>
        </w:rPr>
      </w:pPr>
      <w:r>
        <w:rPr>
          <w:rFonts w:ascii="Times New Roman" w:cs="Times New Roman" w:eastAsia="Times New Roman" w:hAnsi="Times New Roman"/>
          <w:sz w:val="18"/>
          <w:szCs w:val="18"/>
          <w:color w:val="auto"/>
        </w:rPr>
        <w:t>During 2014, our entire board of directors, including Mr. Icahn, participated in deliberations concerning executive compensation. During 2014, none of our executive officers served on the compensation committee (or equivalent), or the board of directors, of another entity whose executive officer(s) served on our board of directors.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Regarding Executive Compensation</w:t>
      </w:r>
    </w:p>
    <w:p>
      <w:pPr>
        <w:spacing w:after="0" w:line="121" w:lineRule="exact"/>
        <w:rPr>
          <w:sz w:val="20"/>
          <w:szCs w:val="20"/>
          <w:color w:val="auto"/>
        </w:rPr>
      </w:pPr>
    </w:p>
    <w:p>
      <w:pPr>
        <w:ind w:right="640" w:firstLine="37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in respect of the compensation earned for services to us and/or our subsidiaries by each of our named executive officers for 2014.</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380"/>
          </w:cols>
          <w:pgMar w:left="240" w:top="473" w:right="279" w:bottom="1440" w:gutter="0" w:footer="0" w:header="0"/>
        </w:sectPr>
      </w:pPr>
    </w:p>
    <w:bookmarkStart w:id="243" w:name="page244"/>
    <w:bookmarkEnd w:id="243"/>
    <w:tbl>
      <w:tblPr>
        <w:tblLayout w:type="fixed"/>
        <w:tblInd w:w="2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1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621"/>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Annual Compensation</w:t>
            </w:r>
            <w:r>
              <w:rPr>
                <w:rFonts w:ascii="Times New Roman" w:cs="Times New Roman" w:eastAsia="Times New Roman" w:hAnsi="Times New Roman"/>
                <w:sz w:val="25"/>
                <w:szCs w:val="25"/>
                <w:b w:val="1"/>
                <w:bCs w:val="1"/>
                <w:color w:val="auto"/>
                <w:vertAlign w:val="superscript"/>
              </w:rPr>
              <w:t>(1)</w:t>
            </w:r>
          </w:p>
        </w:tc>
        <w:tc>
          <w:tcPr>
            <w:tcW w:w="5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14"/>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5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540" w:type="dxa"/>
            <w:vAlign w:val="bottom"/>
          </w:tcPr>
          <w:p>
            <w:pPr>
              <w:spacing w:after="0"/>
              <w:rPr>
                <w:sz w:val="18"/>
                <w:szCs w:val="18"/>
                <w:color w:val="auto"/>
              </w:rPr>
            </w:pP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0"/>
                <w:szCs w:val="20"/>
                <w:color w:val="auto"/>
              </w:rPr>
            </w:pPr>
          </w:p>
        </w:tc>
        <w:tc>
          <w:tcPr>
            <w:tcW w:w="14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Carl C. Icahn</w:t>
            </w:r>
            <w:r>
              <w:rPr>
                <w:rFonts w:ascii="Times New Roman" w:cs="Times New Roman" w:eastAsia="Times New Roman" w:hAnsi="Times New Roman"/>
                <w:sz w:val="18"/>
                <w:szCs w:val="18"/>
                <w:color w:val="auto"/>
                <w:vertAlign w:val="superscript"/>
              </w:rPr>
              <w:t>(2)</w:t>
            </w:r>
          </w:p>
        </w:tc>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105,532</w:t>
            </w:r>
          </w:p>
        </w:tc>
        <w:tc>
          <w:tcPr>
            <w:tcW w:w="540" w:type="dxa"/>
            <w:vAlign w:val="bottom"/>
          </w:tcPr>
          <w:p>
            <w:pPr>
              <w:jc w:val="right"/>
              <w:ind w:right="227"/>
              <w:spacing w:after="0"/>
              <w:rPr>
                <w:sz w:val="20"/>
                <w:szCs w:val="20"/>
                <w:color w:val="auto"/>
              </w:rPr>
            </w:pPr>
            <w:r>
              <w:rPr>
                <w:rFonts w:ascii="Times New Roman" w:cs="Times New Roman" w:eastAsia="Times New Roman" w:hAnsi="Times New Roman"/>
                <w:sz w:val="13"/>
                <w:szCs w:val="13"/>
                <w:color w:val="auto"/>
              </w:rPr>
              <w:t>(3)</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105,533</w:t>
            </w:r>
          </w:p>
        </w:tc>
      </w:tr>
      <w:tr>
        <w:trPr>
          <w:trHeight w:val="28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195,284</w:t>
            </w:r>
          </w:p>
        </w:tc>
        <w:tc>
          <w:tcPr>
            <w:tcW w:w="540" w:type="dxa"/>
            <w:vAlign w:val="bottom"/>
          </w:tcPr>
          <w:p>
            <w:pPr>
              <w:jc w:val="right"/>
              <w:ind w:right="227"/>
              <w:spacing w:after="0"/>
              <w:rPr>
                <w:sz w:val="20"/>
                <w:szCs w:val="20"/>
                <w:color w:val="auto"/>
              </w:rPr>
            </w:pPr>
            <w:r>
              <w:rPr>
                <w:rFonts w:ascii="Times New Roman" w:cs="Times New Roman" w:eastAsia="Times New Roman" w:hAnsi="Times New Roman"/>
                <w:sz w:val="13"/>
                <w:szCs w:val="13"/>
                <w:color w:val="auto"/>
              </w:rPr>
              <w:t>(3)</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195,285</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147,559</w:t>
            </w:r>
          </w:p>
        </w:tc>
        <w:tc>
          <w:tcPr>
            <w:tcW w:w="540" w:type="dxa"/>
            <w:vAlign w:val="bottom"/>
          </w:tcPr>
          <w:p>
            <w:pPr>
              <w:jc w:val="right"/>
              <w:ind w:right="227"/>
              <w:spacing w:after="0"/>
              <w:rPr>
                <w:sz w:val="20"/>
                <w:szCs w:val="20"/>
                <w:color w:val="auto"/>
              </w:rPr>
            </w:pPr>
            <w:r>
              <w:rPr>
                <w:rFonts w:ascii="Times New Roman" w:cs="Times New Roman" w:eastAsia="Times New Roman" w:hAnsi="Times New Roman"/>
                <w:sz w:val="13"/>
                <w:szCs w:val="13"/>
                <w:color w:val="auto"/>
              </w:rPr>
              <w:t>(3)</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147,560</w:t>
            </w:r>
          </w:p>
        </w:tc>
      </w:tr>
      <w:tr>
        <w:trPr>
          <w:trHeight w:val="41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Keith Cozza</w:t>
            </w:r>
            <w:r>
              <w:rPr>
                <w:rFonts w:ascii="Times New Roman" w:cs="Times New Roman" w:eastAsia="Times New Roman" w:hAnsi="Times New Roman"/>
                <w:sz w:val="25"/>
                <w:szCs w:val="25"/>
                <w:color w:val="auto"/>
                <w:vertAlign w:val="superscript"/>
              </w:rPr>
              <w:t>(4)</w:t>
            </w:r>
          </w:p>
        </w:tc>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1,505,567</w:t>
            </w:r>
          </w:p>
        </w:tc>
        <w:tc>
          <w:tcPr>
            <w:tcW w:w="12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2,000,000</w:t>
            </w:r>
          </w:p>
        </w:tc>
        <w:tc>
          <w:tcPr>
            <w:tcW w:w="10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9,284</w:t>
            </w:r>
          </w:p>
        </w:tc>
        <w:tc>
          <w:tcPr>
            <w:tcW w:w="540" w:type="dxa"/>
            <w:vAlign w:val="bottom"/>
          </w:tcPr>
          <w:p>
            <w:pPr>
              <w:jc w:val="right"/>
              <w:ind w:right="247"/>
              <w:spacing w:after="0"/>
              <w:rPr>
                <w:sz w:val="20"/>
                <w:szCs w:val="20"/>
                <w:color w:val="auto"/>
              </w:rPr>
            </w:pPr>
            <w:r>
              <w:rPr>
                <w:rFonts w:ascii="Times New Roman" w:cs="Times New Roman" w:eastAsia="Times New Roman" w:hAnsi="Times New Roman"/>
                <w:sz w:val="9"/>
                <w:szCs w:val="9"/>
                <w:color w:val="auto"/>
              </w:rPr>
              <w:t>(3)</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3,514,851</w:t>
            </w:r>
          </w:p>
        </w:tc>
      </w:tr>
      <w:tr>
        <w:trPr>
          <w:trHeight w:val="28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1,019,240</w:t>
            </w:r>
          </w:p>
        </w:tc>
        <w:tc>
          <w:tcPr>
            <w:tcW w:w="12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2,000,000</w:t>
            </w:r>
          </w:p>
        </w:tc>
        <w:tc>
          <w:tcPr>
            <w:tcW w:w="10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17,560</w:t>
            </w:r>
          </w:p>
        </w:tc>
        <w:tc>
          <w:tcPr>
            <w:tcW w:w="540" w:type="dxa"/>
            <w:vAlign w:val="bottom"/>
          </w:tcPr>
          <w:p>
            <w:pPr>
              <w:jc w:val="right"/>
              <w:ind w:right="247"/>
              <w:spacing w:after="0"/>
              <w:rPr>
                <w:sz w:val="20"/>
                <w:szCs w:val="20"/>
                <w:color w:val="auto"/>
              </w:rPr>
            </w:pPr>
            <w:r>
              <w:rPr>
                <w:rFonts w:ascii="Times New Roman" w:cs="Times New Roman" w:eastAsia="Times New Roman" w:hAnsi="Times New Roman"/>
                <w:sz w:val="9"/>
                <w:szCs w:val="9"/>
                <w:color w:val="auto"/>
              </w:rPr>
              <w:t>(3)</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3,036,800</w:t>
            </w:r>
          </w:p>
        </w:tc>
      </w:tr>
      <w:tr>
        <w:trPr>
          <w:trHeight w:val="495"/>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SungHwan Cho </w:t>
            </w:r>
            <w:r>
              <w:rPr>
                <w:rFonts w:ascii="Times New Roman" w:cs="Times New Roman" w:eastAsia="Times New Roman" w:hAnsi="Times New Roman"/>
                <w:sz w:val="25"/>
                <w:szCs w:val="25"/>
                <w:color w:val="auto"/>
                <w:vertAlign w:val="superscript"/>
              </w:rPr>
              <w:t>(5)</w:t>
            </w:r>
          </w:p>
        </w:tc>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513,466</w:t>
            </w:r>
          </w:p>
        </w:tc>
        <w:tc>
          <w:tcPr>
            <w:tcW w:w="12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9,326</w:t>
            </w:r>
          </w:p>
        </w:tc>
        <w:tc>
          <w:tcPr>
            <w:tcW w:w="540" w:type="dxa"/>
            <w:vAlign w:val="bottom"/>
          </w:tcPr>
          <w:p>
            <w:pPr>
              <w:jc w:val="right"/>
              <w:ind w:right="227"/>
              <w:spacing w:after="0"/>
              <w:rPr>
                <w:sz w:val="20"/>
                <w:szCs w:val="20"/>
                <w:color w:val="auto"/>
              </w:rPr>
            </w:pPr>
            <w:r>
              <w:rPr>
                <w:rFonts w:ascii="Times New Roman" w:cs="Times New Roman" w:eastAsia="Times New Roman" w:hAnsi="Times New Roman"/>
                <w:sz w:val="13"/>
                <w:szCs w:val="13"/>
                <w:color w:val="auto"/>
              </w:rPr>
              <w:t>(3)</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1,522,792</w:t>
            </w:r>
          </w:p>
        </w:tc>
      </w:tr>
      <w:tr>
        <w:trPr>
          <w:trHeight w:val="28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386,542</w:t>
            </w:r>
          </w:p>
        </w:tc>
        <w:tc>
          <w:tcPr>
            <w:tcW w:w="12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725,000</w:t>
            </w:r>
          </w:p>
        </w:tc>
        <w:tc>
          <w:tcPr>
            <w:tcW w:w="10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17,443</w:t>
            </w:r>
          </w:p>
        </w:tc>
        <w:tc>
          <w:tcPr>
            <w:tcW w:w="540" w:type="dxa"/>
            <w:vAlign w:val="bottom"/>
          </w:tcPr>
          <w:p>
            <w:pPr>
              <w:jc w:val="right"/>
              <w:ind w:right="227"/>
              <w:spacing w:after="0"/>
              <w:rPr>
                <w:sz w:val="20"/>
                <w:szCs w:val="20"/>
                <w:color w:val="auto"/>
              </w:rPr>
            </w:pPr>
            <w:r>
              <w:rPr>
                <w:rFonts w:ascii="Times New Roman" w:cs="Times New Roman" w:eastAsia="Times New Roman" w:hAnsi="Times New Roman"/>
                <w:sz w:val="13"/>
                <w:szCs w:val="13"/>
                <w:color w:val="auto"/>
              </w:rPr>
              <w:t>(3)</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1,128,985</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300,391</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17,784</w:t>
            </w:r>
          </w:p>
        </w:tc>
        <w:tc>
          <w:tcPr>
            <w:tcW w:w="540" w:type="dxa"/>
            <w:vAlign w:val="bottom"/>
          </w:tcPr>
          <w:p>
            <w:pPr>
              <w:jc w:val="right"/>
              <w:ind w:right="227"/>
              <w:spacing w:after="0"/>
              <w:rPr>
                <w:sz w:val="20"/>
                <w:szCs w:val="20"/>
                <w:color w:val="auto"/>
              </w:rPr>
            </w:pPr>
            <w:r>
              <w:rPr>
                <w:rFonts w:ascii="Times New Roman" w:cs="Times New Roman" w:eastAsia="Times New Roman" w:hAnsi="Times New Roman"/>
                <w:sz w:val="13"/>
                <w:szCs w:val="13"/>
                <w:color w:val="auto"/>
              </w:rPr>
              <w:t>(3)</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718,175</w:t>
            </w:r>
          </w:p>
        </w:tc>
      </w:tr>
      <w:tr>
        <w:trPr>
          <w:trHeight w:val="41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Reck</w:t>
            </w:r>
          </w:p>
        </w:tc>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280,000</w:t>
            </w:r>
          </w:p>
        </w:tc>
        <w:tc>
          <w:tcPr>
            <w:tcW w:w="12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210,000</w:t>
            </w:r>
          </w:p>
        </w:tc>
        <w:tc>
          <w:tcPr>
            <w:tcW w:w="10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8,514</w:t>
            </w:r>
          </w:p>
        </w:tc>
        <w:tc>
          <w:tcPr>
            <w:tcW w:w="540" w:type="dxa"/>
            <w:vAlign w:val="bottom"/>
          </w:tcPr>
          <w:p>
            <w:pPr>
              <w:jc w:val="right"/>
              <w:ind w:right="247"/>
              <w:spacing w:after="0"/>
              <w:rPr>
                <w:sz w:val="20"/>
                <w:szCs w:val="20"/>
                <w:color w:val="auto"/>
              </w:rPr>
            </w:pPr>
            <w:r>
              <w:rPr>
                <w:rFonts w:ascii="Times New Roman" w:cs="Times New Roman" w:eastAsia="Times New Roman" w:hAnsi="Times New Roman"/>
                <w:sz w:val="9"/>
                <w:szCs w:val="9"/>
                <w:color w:val="auto"/>
              </w:rPr>
              <w:t>(3)</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498,514</w:t>
            </w:r>
          </w:p>
        </w:tc>
      </w:tr>
      <w:tr>
        <w:trPr>
          <w:trHeight w:val="28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260,000</w:t>
            </w:r>
          </w:p>
        </w:tc>
        <w:tc>
          <w:tcPr>
            <w:tcW w:w="12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11,279</w:t>
            </w:r>
          </w:p>
        </w:tc>
        <w:tc>
          <w:tcPr>
            <w:tcW w:w="540" w:type="dxa"/>
            <w:vAlign w:val="bottom"/>
          </w:tcPr>
          <w:p>
            <w:pPr>
              <w:jc w:val="right"/>
              <w:ind w:right="247"/>
              <w:spacing w:after="0"/>
              <w:rPr>
                <w:sz w:val="20"/>
                <w:szCs w:val="20"/>
                <w:color w:val="auto"/>
              </w:rPr>
            </w:pPr>
            <w:r>
              <w:rPr>
                <w:rFonts w:ascii="Times New Roman" w:cs="Times New Roman" w:eastAsia="Times New Roman" w:hAnsi="Times New Roman"/>
                <w:sz w:val="9"/>
                <w:szCs w:val="9"/>
                <w:color w:val="auto"/>
              </w:rPr>
              <w:t>(3)</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471,279</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238,154</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3,693</w:t>
            </w:r>
          </w:p>
        </w:tc>
        <w:tc>
          <w:tcPr>
            <w:tcW w:w="540" w:type="dxa"/>
            <w:vAlign w:val="bottom"/>
          </w:tcPr>
          <w:p>
            <w:pPr>
              <w:jc w:val="right"/>
              <w:ind w:right="247"/>
              <w:spacing w:after="0"/>
              <w:rPr>
                <w:sz w:val="20"/>
                <w:szCs w:val="20"/>
                <w:color w:val="auto"/>
              </w:rPr>
            </w:pPr>
            <w:r>
              <w:rPr>
                <w:rFonts w:ascii="Times New Roman" w:cs="Times New Roman" w:eastAsia="Times New Roman" w:hAnsi="Times New Roman"/>
                <w:sz w:val="9"/>
                <w:szCs w:val="9"/>
                <w:color w:val="auto"/>
              </w:rPr>
              <w:t>(3)</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391,847</w:t>
            </w:r>
          </w:p>
        </w:tc>
      </w:tr>
      <w:tr>
        <w:trPr>
          <w:trHeight w:val="41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Daniel A. Ninivaggi</w:t>
            </w:r>
            <w:r>
              <w:rPr>
                <w:rFonts w:ascii="Times New Roman" w:cs="Times New Roman" w:eastAsia="Times New Roman" w:hAnsi="Times New Roman"/>
                <w:sz w:val="18"/>
                <w:szCs w:val="18"/>
                <w:color w:val="auto"/>
                <w:vertAlign w:val="superscript"/>
              </w:rPr>
              <w:t>(6)</w:t>
            </w:r>
          </w:p>
        </w:tc>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438,540</w:t>
            </w: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8,455</w:t>
            </w:r>
          </w:p>
        </w:tc>
        <w:tc>
          <w:tcPr>
            <w:tcW w:w="540" w:type="dxa"/>
            <w:vAlign w:val="bottom"/>
          </w:tcPr>
          <w:p>
            <w:pPr>
              <w:jc w:val="right"/>
              <w:ind w:right="247"/>
              <w:spacing w:after="0"/>
              <w:rPr>
                <w:sz w:val="20"/>
                <w:szCs w:val="20"/>
                <w:color w:val="auto"/>
              </w:rPr>
            </w:pPr>
            <w:r>
              <w:rPr>
                <w:rFonts w:ascii="Times New Roman" w:cs="Times New Roman" w:eastAsia="Times New Roman" w:hAnsi="Times New Roman"/>
                <w:sz w:val="9"/>
                <w:szCs w:val="9"/>
                <w:color w:val="auto"/>
              </w:rPr>
              <w:t>(3)</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446,995</w:t>
            </w:r>
          </w:p>
        </w:tc>
      </w:tr>
      <w:tr>
        <w:trPr>
          <w:trHeight w:val="28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Former President and Chief Executive Officer</w:t>
            </w:r>
          </w:p>
        </w:tc>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2,205,345</w:t>
            </w:r>
          </w:p>
        </w:tc>
        <w:tc>
          <w:tcPr>
            <w:tcW w:w="12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8,454</w:t>
            </w:r>
          </w:p>
        </w:tc>
        <w:tc>
          <w:tcPr>
            <w:tcW w:w="540" w:type="dxa"/>
            <w:vAlign w:val="bottom"/>
          </w:tcPr>
          <w:p>
            <w:pPr>
              <w:jc w:val="right"/>
              <w:ind w:right="247"/>
              <w:spacing w:after="0"/>
              <w:rPr>
                <w:sz w:val="20"/>
                <w:szCs w:val="20"/>
                <w:color w:val="auto"/>
              </w:rPr>
            </w:pPr>
            <w:r>
              <w:rPr>
                <w:rFonts w:ascii="Times New Roman" w:cs="Times New Roman" w:eastAsia="Times New Roman" w:hAnsi="Times New Roman"/>
                <w:sz w:val="9"/>
                <w:szCs w:val="9"/>
                <w:color w:val="auto"/>
              </w:rPr>
              <w:t>(3)</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2,513,799</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742,500</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542,666</w:t>
            </w:r>
          </w:p>
        </w:tc>
        <w:tc>
          <w:tcPr>
            <w:tcW w:w="10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14,584</w:t>
            </w:r>
          </w:p>
        </w:tc>
        <w:tc>
          <w:tcPr>
            <w:tcW w:w="540" w:type="dxa"/>
            <w:vAlign w:val="bottom"/>
          </w:tcPr>
          <w:p>
            <w:pPr>
              <w:jc w:val="right"/>
              <w:ind w:right="247"/>
              <w:spacing w:after="0"/>
              <w:rPr>
                <w:sz w:val="20"/>
                <w:szCs w:val="20"/>
                <w:color w:val="auto"/>
              </w:rPr>
            </w:pPr>
            <w:r>
              <w:rPr>
                <w:rFonts w:ascii="Times New Roman" w:cs="Times New Roman" w:eastAsia="Times New Roman" w:hAnsi="Times New Roman"/>
                <w:sz w:val="9"/>
                <w:szCs w:val="9"/>
                <w:color w:val="auto"/>
              </w:rPr>
              <w:t>(3)</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1,299,750</w:t>
            </w:r>
          </w:p>
        </w:tc>
      </w:tr>
    </w:tbl>
    <w:p>
      <w:pPr>
        <w:spacing w:after="0" w:line="225" w:lineRule="exact"/>
        <w:rPr>
          <w:sz w:val="20"/>
          <w:szCs w:val="20"/>
          <w:color w:val="auto"/>
        </w:rPr>
      </w:pPr>
    </w:p>
    <w:p>
      <w:pPr>
        <w:ind w:left="340" w:right="80" w:hanging="332"/>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applicable regulations, certain columns of the Summary Compensation Table have been omitted, as there has been no compensation awarded to, earned by or paid to any of the named executive officers by us, any of our subsidiaries or by Icahn Enterprises GP, which was subsequently reimbursed by us, required to be reported in those columns.</w:t>
      </w:r>
    </w:p>
    <w:p>
      <w:pPr>
        <w:spacing w:after="0" w:line="135" w:lineRule="exact"/>
        <w:rPr>
          <w:rFonts w:ascii="Times New Roman" w:cs="Times New Roman" w:eastAsia="Times New Roman" w:hAnsi="Times New Roman"/>
          <w:sz w:val="18"/>
          <w:szCs w:val="18"/>
          <w:color w:val="auto"/>
        </w:rPr>
      </w:pPr>
    </w:p>
    <w:p>
      <w:pPr>
        <w:ind w:left="340" w:right="100" w:hanging="332"/>
        <w:spacing w:after="0" w:line="261"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salary indicated above represents compensation paid to Mr. Icahn in each of 2014, 2013, and 2012 for his services as Chief Executive Officer of our subsidiary, Icahn Capital, and of the General Partners pursuant to the Icahn Employment Agreement. Mr. Icahn is currently an at will employee serving as Chairman of the Board of Icahn Enterprises GP and as Chairman and Chief Executive Officer of Icahn Capital and Chief Executive Officer of the General Partners for which he currently receives an annual base salary of $1 per annum. Mr. Icahn does not receive director fees from us.</w:t>
      </w:r>
    </w:p>
    <w:p>
      <w:pPr>
        <w:spacing w:after="0" w:line="139" w:lineRule="exact"/>
        <w:rPr>
          <w:rFonts w:ascii="Times New Roman" w:cs="Times New Roman" w:eastAsia="Times New Roman" w:hAnsi="Times New Roman"/>
          <w:sz w:val="18"/>
          <w:szCs w:val="18"/>
          <w:color w:val="auto"/>
        </w:rPr>
      </w:pPr>
    </w:p>
    <w:p>
      <w:pPr>
        <w:ind w:left="340" w:right="160" w:hanging="332"/>
        <w:spacing w:after="0" w:line="270" w:lineRule="auto"/>
        <w:tabs>
          <w:tab w:leader="none" w:pos="3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other compensation paid to the following named executive officers: (i) Carl C. Icahn, $17,559, $14,644 and $15,478, in medical and dental benefits for 2014, 2013 and 2012, respectively; $173 in life insurance premiums paid by us for each of 2014, 2013 and 2012; and in his capacity as the Chairman of the board of directors of Federal-Mogul, $87,800, $180,640, and $131,908 representing the incremental cost of Mr. Icahn's personal use of Federal-Mogul's corporate aircraft for 2014, 2013 and 2012, respectively. Mr. Icahn received no fees or compensation from Federal-Mogul for 2014,</w:t>
      </w:r>
    </w:p>
    <w:p>
      <w:pPr>
        <w:spacing w:after="0" w:line="2" w:lineRule="exact"/>
        <w:rPr>
          <w:rFonts w:ascii="Times New Roman" w:cs="Times New Roman" w:eastAsia="Times New Roman" w:hAnsi="Times New Roman"/>
          <w:sz w:val="17"/>
          <w:szCs w:val="17"/>
          <w:color w:val="auto"/>
        </w:rPr>
      </w:pPr>
    </w:p>
    <w:p>
      <w:pPr>
        <w:ind w:left="3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2013 or 2012 other than the use of the corporate aircraft as discussed above. The calculation of incremental cost for the personal use of Federal-Mogul's corporate aircraft includes the variable costs incurred as a result of personal flight activity, which are comprised of a portion of ongoing maintenance and repairs, aircraft fuel, airport fees, catering, and fees and travel expenses for the flight crew. The use of the aircraft for personal use by Mr. Icahn was approved by the board of directors and the Compensation Committee of Federal-Mogul; (ii) Mr. Ninivaggi, $8,281, $8,281 and $7,688 in matching contributions under our 401(k) Plan for 2014, 2013 and 2012, respectively; $173 in life insurance premiums for each of 2014, 2013 and 2012; and $0, $0 and $6,723 in medical and dental benefits paid by us for 2014, 2013 and 2012, respectively; (iii) Mr. Cho, $8,167, $8,008 and $7,635 in matching contributions under our 401(k) Plan for 2014, 2013 and 2012, respectively; $986, $9,262 and $9,976 in medical and dental benefits paid by us for 2014, 2013 and 2012, respectively; and $173 in life insurance premiums paid by us for each of 2014, 2013 and 2012; (iv) Mr. Reck, $7,977 and $7,813 in matching contributions under our 401(k) Plan for 2014 and 2013, respectively; $364, $3,293 and $3,520 in medical and dental benefits paid by us for 2014, 2013 and 2012, respectively; and $173 in life insurance premiums paid by us for each of 2014, 2013 and 2012; (v) Mr. Cozza, $8,125 in matching contributions under our 401(k) Plan for each of 2014 and 2013; $986 and $9,262 in medical and dental benefits paid by us for 2014 and 2013, respectively; $173 in life insurance premiums paid by us for each of 2014 and 2013. In each of 2014, 2013 and 2012, to the extent that a named executive officer participated in our 401(k) Plan, we made a matching contribution to his individual 401(k) Plan account in the amount of one-half (1/2) of up to the first six and one-quarter (6.25%) percent of eligible compensation (within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420"/>
          </w:cols>
          <w:pgMar w:left="240" w:top="577" w:right="239" w:bottom="1440" w:gutter="0" w:footer="0" w:header="0"/>
        </w:sectPr>
      </w:pPr>
    </w:p>
    <w:bookmarkStart w:id="244" w:name="page245"/>
    <w:bookmarkEnd w:id="244"/>
    <w:p>
      <w:pPr>
        <w:ind w:left="340" w:right="220"/>
        <w:spacing w:after="0" w:line="313" w:lineRule="auto"/>
        <w:rPr>
          <w:sz w:val="20"/>
          <w:szCs w:val="20"/>
          <w:color w:val="auto"/>
        </w:rPr>
      </w:pPr>
      <w:r>
        <w:rPr>
          <w:rFonts w:ascii="Times New Roman" w:cs="Times New Roman" w:eastAsia="Times New Roman" w:hAnsi="Times New Roman"/>
          <w:sz w:val="18"/>
          <w:szCs w:val="18"/>
          <w:color w:val="auto"/>
        </w:rPr>
        <w:t>prescribed limits) contributed by the employee. Mr. Icahn did not participate in the 401(k) plan during 2014, 2013 or 2012 and thus did not receive any matching contributions for those fiscal years; Mr. Reck did not participate in the 401(k) plan during 2012 and thus did not receive any matching contributions in 2012.</w:t>
      </w:r>
    </w:p>
    <w:p>
      <w:pPr>
        <w:spacing w:after="0" w:line="109" w:lineRule="exact"/>
        <w:rPr>
          <w:sz w:val="20"/>
          <w:szCs w:val="20"/>
          <w:color w:val="auto"/>
        </w:rPr>
      </w:pPr>
    </w:p>
    <w:p>
      <w:pPr>
        <w:ind w:left="340" w:hanging="332"/>
        <w:spacing w:after="0" w:line="255" w:lineRule="auto"/>
        <w:tabs>
          <w:tab w:leader="none" w:pos="27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Cozza served as Executive Vice President of Icahn Enterprises and Icahn Enterprises Holdings from February 20, 2013 through February 4, 2014. Effective February 5, 2014, Mr. Cozza was appointed as President and Chief Executive Officer of Icahn Enterprises and Icahn Enterprises Holdings. In addition, Mr. Cozza serves as the Chief Operating Officer of Icahn Capital and holds officer and/or director positions at certain of our other subsidiaries. During 2014, Mr. Cozza received a salary of $1,505,567 and a bonus of $2,000,000, which was determined based on various factors, including, but not limited to, overall job performance, including performance against corporate and individual objectives, job responsibilities and teamwork. The increase in salary for Mr. Cozza in 2014 relative to 2013 primarily reflects the appointment of Mr. Cozza as the President and Chief Executive Officer of the Company effective February 5, 2014.</w:t>
      </w:r>
    </w:p>
    <w:p>
      <w:pPr>
        <w:spacing w:after="0" w:line="148" w:lineRule="exact"/>
        <w:rPr>
          <w:rFonts w:ascii="Times New Roman" w:cs="Times New Roman" w:eastAsia="Times New Roman" w:hAnsi="Times New Roman"/>
          <w:sz w:val="18"/>
          <w:szCs w:val="18"/>
          <w:color w:val="auto"/>
        </w:rPr>
      </w:pPr>
    </w:p>
    <w:p>
      <w:pPr>
        <w:ind w:left="340" w:right="60" w:hanging="332"/>
        <w:spacing w:after="0" w:line="256" w:lineRule="auto"/>
        <w:tabs>
          <w:tab w:leader="none" w:pos="27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Cho served as Chief Financial Officer of Icahn Enterprises and Icahn Enterprises Holdings since March 16, 2012. During 2014, Mr. Cho received a salary of $513,466 and a bonus of $1,000,000, which was determined based on various factors, including, but not limited to overall job performance, including performance against corporate and individual objectives, job responsibilities and teamwork. The increase in salary for Mr. Cho in 2014 relative to 2013 was primarily due to his individual job performance and increasing responsibilities in regards to each of our operating segments. Mr. Cho was appointed as chairman of the board for ARI in 2014 and played a key role in the financing and strategic activities at the Holding Company as well as at the operating segments.</w:t>
      </w:r>
    </w:p>
    <w:p>
      <w:pPr>
        <w:spacing w:after="0" w:line="147"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Ninivaggi served as President from April 5, 2010 until February 5, 2014, as Chief Executive Officer from August 4, 2010 until February 5, 2014 and as Director since March 13, 2012. As previously disclosed, Mr. Ninivaggi has indicated his intent to resign as a director of Icahn Enterprises LP and Icahn Enterprises Holdings prior to the closing of its acquisition of Uni-Select USA.</w:t>
      </w:r>
    </w:p>
    <w:p>
      <w:pPr>
        <w:spacing w:after="0" w:line="135" w:lineRule="exact"/>
        <w:rPr>
          <w:rFonts w:ascii="Times New Roman" w:cs="Times New Roman" w:eastAsia="Times New Roman" w:hAnsi="Times New Roman"/>
          <w:sz w:val="18"/>
          <w:szCs w:val="18"/>
          <w:color w:val="auto"/>
        </w:rPr>
      </w:pPr>
    </w:p>
    <w:p>
      <w:pPr>
        <w:ind w:left="34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2014, Mr. Ninivaggi received a salary of $438,540 and no bonus. For 2013 and 2012, Mr. Ninivaggi received a bonus of $300,000 and $542,666, respectively. Effective February 5, 2014, Mr. Ninivaggi tendered his resignation as the President and Chief Executive Officer of Icahn Enterprises and Icahn Enterprises Holdings. Effective February 5, 2014, Mr. Ninivaggi commenced serving as the Co-Chief Executive Officer of Federal-Mogul Corporation, a subsidiary of Icahn Enterprises, a supplier of automotive powertrain and safety components. Mr. Ninivaggi's salary for 2014 was pro-rated through February 5, 2014 and also included an amount paid in respect of PTO days that had been accrued through February 5, 2014.</w:t>
      </w:r>
    </w:p>
    <w:p>
      <w:pPr>
        <w:spacing w:after="0" w:line="183" w:lineRule="exact"/>
        <w:rPr>
          <w:rFonts w:ascii="Times New Roman" w:cs="Times New Roman" w:eastAsia="Times New Roman" w:hAnsi="Times New Roman"/>
          <w:sz w:val="18"/>
          <w:szCs w:val="18"/>
          <w:color w:val="auto"/>
        </w:rPr>
      </w:pPr>
    </w:p>
    <w:p>
      <w:pPr>
        <w:ind w:left="340"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Ninivaggi Employment Agreement by and between us and Mr. Ninivaggi, Mr. Ninivaggi was originally entitled to a base salary at the per annum rate of $650,000 for 2012. Pursuant to the 2012 Ninivaggi Employment Agreement, Mr. Ninivaggi was entitled to receive a base salary of $1.3 million per annum effective November 1, 2012. Effective January 1, 2013, pursuant to the 2013 Ninivaggi Employment Agreement, Mr. Ninivaggi was entitled to a base salary of $2.2 million per annum. Effective January 1, 2014, pursuant to the 2013 Amended Ninivaggi Employment Agreement, Mr. Ninivaggi was entitled to a base salary of $2.6 million per annum.</w:t>
      </w:r>
    </w:p>
    <w:p>
      <w:pPr>
        <w:spacing w:after="0" w:line="76" w:lineRule="exact"/>
        <w:rPr>
          <w:sz w:val="20"/>
          <w:szCs w:val="20"/>
          <w:color w:val="auto"/>
        </w:rPr>
      </w:pPr>
    </w:p>
    <w:p>
      <w:pPr>
        <w:ind w:right="40" w:firstLine="378"/>
        <w:spacing w:after="0" w:line="282" w:lineRule="auto"/>
        <w:rPr>
          <w:sz w:val="20"/>
          <w:szCs w:val="20"/>
          <w:color w:val="auto"/>
        </w:rPr>
      </w:pPr>
      <w:r>
        <w:rPr>
          <w:rFonts w:ascii="Times New Roman" w:cs="Times New Roman" w:eastAsia="Times New Roman" w:hAnsi="Times New Roman"/>
          <w:sz w:val="18"/>
          <w:szCs w:val="18"/>
          <w:color w:val="auto"/>
        </w:rPr>
        <w:t>Each of our executive officers may perform services for affiliates of Mr. Icahn for which we receive reimbursement. See Item 13, “Certain Relationships and Related Transactions, and Director Independence.”</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are no family relationships between or among any of our directors and/or executive officers.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Ninivaggi Employment Agreements</w:t>
      </w:r>
    </w:p>
    <w:p>
      <w:pPr>
        <w:spacing w:after="0" w:line="121"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On February 1, 2013, Mr. Ninivaggi entered into an employment agreement (the "2013 Ninivaggi Employment Agreement") pursuant to which Mr. Ninivaggi would serve as the President and Chief Executive Officer of Icahn Enterprises, Icahn Enterprises Holdings and Icahn Enterprises GP, the general partner of both Icahn Enterprises and Icahn Enterprises Holdings. On November 8, 2013, Mr. Ninivaggi entered into an employment agreement (the "2013 Amended Ninivaggi Employment Agreement") which amended and supplemented the 2013 Ninivaggi Employment Agreement. The 2013 Ninivaggi Employment Agreement superseded and replaced the 2012 Ninivaggi Employment Agreement as discussed below. As discussed elsewhere, effective February 5, 2014, Mr. Ninivaggi tendered his resignation as the President and Chief Executive Officer of Icahn Enterprises and Icahn Enterprises Holdings. In addition, on February 5, 2014, Mr. Ninivaggi became the Co-Chief Executive Officer of Federal-Mogul.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420"/>
          </w:cols>
          <w:pgMar w:left="240" w:top="567" w:right="239" w:bottom="1440" w:gutter="0" w:footer="0" w:header="0"/>
        </w:sectPr>
      </w:pPr>
    </w:p>
    <w:bookmarkStart w:id="245" w:name="page246"/>
    <w:bookmarkEnd w:id="245"/>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Pursuant to the 2013 Amended Ninivaggi Employment Agreement, effective January 1, 2014, Mr. Ninivaggi was entitled to a base salary at the rate of $2.6 million per annum, earned and payable ratably every two weeks. In addition, Mr. Ninivaggi received a bonus of $300,000 for 2013 pursuant to the 2013 Amended Ninivaggi Employment Agreement.</w:t>
      </w:r>
    </w:p>
    <w:p>
      <w:pPr>
        <w:spacing w:after="0" w:line="6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Pursuant to the 2013 Ninivaggi Employment Agreement, effective January 1, 2013, Mr. Ninivaggi was entitled to a base salary at the rate of $2.2 million per annum, earned and payable ratably every two weeks.</w:t>
      </w:r>
    </w:p>
    <w:p>
      <w:pPr>
        <w:spacing w:after="0" w:line="54"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On October 25, 2012, Mr. Ninivaggi entered into an employment agreement (the "2012 Ninivaggi Employment Agreement") pursuant to which Mr. Ninivaggi would serve as the President and Chief Executive Officer of Icahn Enterprises, Icahn Enterprises Holdings and Icahn Enterprises GP. This agreement superseded and replaced the Ninivaggi Employment Agreement as discussed below. This agreement also terminated Mr. Ninivaggi's Options rights effective October 25, 2012, as discussed below, whether or not previously vested and are terminated and rendered null and void, having no further force or effect.</w:t>
      </w:r>
    </w:p>
    <w:p>
      <w:pPr>
        <w:spacing w:after="0" w:line="76" w:lineRule="exact"/>
        <w:rPr>
          <w:sz w:val="20"/>
          <w:szCs w:val="20"/>
          <w:color w:val="auto"/>
        </w:rPr>
      </w:pPr>
    </w:p>
    <w:p>
      <w:pPr>
        <w:jc w:val="both"/>
        <w:ind w:right="20" w:firstLine="378"/>
        <w:spacing w:after="0" w:line="266" w:lineRule="auto"/>
        <w:rPr>
          <w:sz w:val="20"/>
          <w:szCs w:val="20"/>
          <w:color w:val="auto"/>
        </w:rPr>
      </w:pPr>
      <w:r>
        <w:rPr>
          <w:rFonts w:ascii="Times New Roman" w:cs="Times New Roman" w:eastAsia="Times New Roman" w:hAnsi="Times New Roman"/>
          <w:sz w:val="18"/>
          <w:szCs w:val="18"/>
          <w:color w:val="auto"/>
        </w:rPr>
        <w:t>Pursuant to the 2012 Ninivaggi Employment Agreement, Mr. Ninivaggi was entitled to receive a base salary of $12,500 per week for the period October 25, 2012 through October 31, 2012 and a bonus of $542,666 which was paid on October 31, 2012. Effective November 1, 2012, Mr. Ninivaggi was entitled to receive a base salary of $1.3 million per annum.</w:t>
      </w:r>
    </w:p>
    <w:p>
      <w:pPr>
        <w:spacing w:after="0" w:line="68" w:lineRule="exact"/>
        <w:rPr>
          <w:sz w:val="20"/>
          <w:szCs w:val="20"/>
          <w:color w:val="auto"/>
        </w:rPr>
      </w:pPr>
    </w:p>
    <w:p>
      <w:pPr>
        <w:ind w:right="60" w:firstLine="378"/>
        <w:spacing w:after="0" w:line="282" w:lineRule="auto"/>
        <w:rPr>
          <w:sz w:val="20"/>
          <w:szCs w:val="20"/>
          <w:color w:val="auto"/>
        </w:rPr>
      </w:pPr>
      <w:r>
        <w:rPr>
          <w:rFonts w:ascii="Times New Roman" w:cs="Times New Roman" w:eastAsia="Times New Roman" w:hAnsi="Times New Roman"/>
          <w:sz w:val="18"/>
          <w:szCs w:val="18"/>
          <w:color w:val="auto"/>
        </w:rPr>
        <w:t>Pursuant to the Ninivaggi Employment Agreement, Mr. Ninivaggi was entitled to: (i) a base salary at the per annum rate of $650,000 for 2012; and (ii) a bonus of not less than $450,000 and not more than $650,000 for 2012. For 2012, Mr. Ninivaggi received a bonus of $542,666.</w:t>
      </w:r>
    </w:p>
    <w:p>
      <w:pPr>
        <w:spacing w:after="0" w:line="54" w:lineRule="exact"/>
        <w:rPr>
          <w:sz w:val="20"/>
          <w:szCs w:val="20"/>
          <w:color w:val="auto"/>
        </w:rPr>
      </w:pPr>
    </w:p>
    <w:p>
      <w:pPr>
        <w:ind w:right="60" w:firstLine="378"/>
        <w:spacing w:after="0" w:line="261" w:lineRule="auto"/>
        <w:rPr>
          <w:sz w:val="20"/>
          <w:szCs w:val="20"/>
          <w:color w:val="auto"/>
        </w:rPr>
      </w:pPr>
      <w:r>
        <w:rPr>
          <w:rFonts w:ascii="Times New Roman" w:cs="Times New Roman" w:eastAsia="Times New Roman" w:hAnsi="Times New Roman"/>
          <w:sz w:val="18"/>
          <w:szCs w:val="18"/>
          <w:color w:val="auto"/>
        </w:rPr>
        <w:t>In addition, on February 11, 2010, we and Mr. Ninivaggi entered into the Option Agreements. Pursuant to terms of the Option Agreements and the Ninivaggi Employment Agreement, Mr. Ninivaggi was granted certain options to purchase a fix number of our depositary units with a certain exercise prices. Pursuant to the 2012 Ninivaggi Employment Agreement, Mr. Ninivaggi's options were terminated effective October 12, 2012, whether or not previously vested and are terminated and rendered null and void, having no further force or effect.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Award, Option and Non-Equity Incentive Plans</w:t>
      </w:r>
    </w:p>
    <w:p>
      <w:pPr>
        <w:spacing w:after="0" w:line="121" w:lineRule="exact"/>
        <w:rPr>
          <w:sz w:val="20"/>
          <w:szCs w:val="20"/>
          <w:color w:val="auto"/>
        </w:rPr>
      </w:pPr>
    </w:p>
    <w:p>
      <w:pPr>
        <w:ind w:right="800" w:firstLine="405"/>
        <w:spacing w:after="0" w:line="282" w:lineRule="auto"/>
        <w:rPr>
          <w:sz w:val="20"/>
          <w:szCs w:val="20"/>
          <w:color w:val="auto"/>
        </w:rPr>
      </w:pPr>
      <w:r>
        <w:rPr>
          <w:rFonts w:ascii="Times New Roman" w:cs="Times New Roman" w:eastAsia="Times New Roman" w:hAnsi="Times New Roman"/>
          <w:sz w:val="18"/>
          <w:szCs w:val="18"/>
          <w:color w:val="auto"/>
        </w:rPr>
        <w:t>Pursuant to the 2012 Ninivaggi Employment Agreement, on October 25, 2012, all options granted to Mr. Ninivaggi pursuant to the Ninivaggi Employment Agreement, whether or not previously vested, have been terminated, rendered null and void and shall have no further force or effect.</w:t>
      </w:r>
    </w:p>
    <w:p>
      <w:pPr>
        <w:spacing w:after="0" w:line="54" w:lineRule="exact"/>
        <w:rPr>
          <w:sz w:val="20"/>
          <w:szCs w:val="20"/>
          <w:color w:val="auto"/>
        </w:rPr>
      </w:pPr>
    </w:p>
    <w:p>
      <w:pPr>
        <w:ind w:right="300" w:firstLine="378"/>
        <w:spacing w:after="0" w:line="282" w:lineRule="auto"/>
        <w:rPr>
          <w:sz w:val="20"/>
          <w:szCs w:val="20"/>
          <w:color w:val="auto"/>
        </w:rPr>
      </w:pPr>
      <w:r>
        <w:rPr>
          <w:rFonts w:ascii="Times New Roman" w:cs="Times New Roman" w:eastAsia="Times New Roman" w:hAnsi="Times New Roman"/>
          <w:sz w:val="18"/>
          <w:szCs w:val="18"/>
          <w:color w:val="auto"/>
        </w:rPr>
        <w:t>We do not have any other stock award, option or non-equity incentive plans. There were no exercises of options or other similar awards during 2014, 2013 or 2012.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right="380" w:firstLine="378"/>
        <w:spacing w:after="0" w:line="282" w:lineRule="auto"/>
        <w:rPr>
          <w:sz w:val="20"/>
          <w:szCs w:val="20"/>
          <w:color w:val="auto"/>
        </w:rPr>
      </w:pPr>
      <w:r>
        <w:rPr>
          <w:rFonts w:ascii="Times New Roman" w:cs="Times New Roman" w:eastAsia="Times New Roman" w:hAnsi="Times New Roman"/>
          <w:sz w:val="18"/>
          <w:szCs w:val="18"/>
          <w:color w:val="auto"/>
        </w:rPr>
        <w:t>We do not have any employments agreements pursuant to which any of our employees would have received potential payments upon termination or change in control as of December 31, 2014.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jc w:val="both"/>
        <w:ind w:right="120" w:firstLine="378"/>
        <w:spacing w:after="0" w:line="266" w:lineRule="auto"/>
        <w:rPr>
          <w:sz w:val="20"/>
          <w:szCs w:val="20"/>
          <w:color w:val="auto"/>
        </w:rPr>
      </w:pPr>
      <w:r>
        <w:rPr>
          <w:rFonts w:ascii="Times New Roman" w:cs="Times New Roman" w:eastAsia="Times New Roman" w:hAnsi="Times New Roman"/>
          <w:sz w:val="18"/>
          <w:szCs w:val="18"/>
          <w:color w:val="auto"/>
        </w:rPr>
        <w:t>The following table provides compensation information for our directors in 2014, except for Messrs. Icahn, Ninivaggi, Cho, and Cozza. Compensation received by Messrs. Icahn, Ninivaggi, Cho and Cozza is included in the Summary Compensation Table. Messrs. Icahn, Ninivaggi, Cho and Cozza did no not receive compensation for serving as director of the Icahn Enterprises and Icahn Enterprises Holdings.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7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7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7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A. Leidesdorf</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69,932</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69,932</w:t>
            </w:r>
          </w:p>
        </w:tc>
      </w:tr>
      <w:tr>
        <w:trPr>
          <w:trHeight w:val="24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L. Nelson</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69,932</w:t>
            </w:r>
          </w:p>
        </w:tc>
        <w:tc>
          <w:tcPr>
            <w:tcW w:w="100" w:type="dxa"/>
            <w:vAlign w:val="bottom"/>
          </w:tcPr>
          <w:p>
            <w:pPr>
              <w:spacing w:after="0"/>
              <w:rPr>
                <w:sz w:val="21"/>
                <w:szCs w:val="21"/>
                <w:color w:val="auto"/>
              </w:rPr>
            </w:pPr>
          </w:p>
        </w:tc>
        <w:tc>
          <w:tcPr>
            <w:tcW w:w="18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69,932</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Jack G. Wasserman</w:t>
            </w: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81,260</w:t>
            </w:r>
          </w:p>
        </w:tc>
        <w:tc>
          <w:tcPr>
            <w:tcW w:w="1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81,260</w:t>
            </w:r>
          </w:p>
        </w:tc>
      </w:tr>
      <w:tr>
        <w:trPr>
          <w:trHeight w:val="27"/>
        </w:trPr>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80" w:firstLine="378"/>
        <w:spacing w:after="0" w:line="258" w:lineRule="auto"/>
        <w:rPr>
          <w:sz w:val="20"/>
          <w:szCs w:val="20"/>
          <w:color w:val="auto"/>
        </w:rPr>
      </w:pPr>
      <w:r>
        <w:rPr>
          <w:rFonts w:ascii="Times New Roman" w:cs="Times New Roman" w:eastAsia="Times New Roman" w:hAnsi="Times New Roman"/>
          <w:sz w:val="18"/>
          <w:szCs w:val="18"/>
          <w:color w:val="auto"/>
        </w:rPr>
        <w:t>Each director will hold office until his successor is elected and qualified. Effective April 8, 2014, the director fee for each of Messrs. Wasserman, Leidesdorf and Nelson in respect of their services rendered as members of our board of directors was reduced to $50,000 from $125,000 per annum. In addition, Mr. Wasserman received additional compensation for servicing as the Company's chairmen of the audit committee. Effective April 8, 2014, Mr. Wasserman's fee for serving as the Company's chairman of the audit committee was reduced to $10,000 from $15,000 per annum. The fees in the above table for 2014 reflect pro-rated amounts prior to their reduction.</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Directors receive only cash compensation, if applicable, and currently are not granted any options, units or other equity-based awards.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420"/>
          </w:cols>
          <w:pgMar w:left="240" w:top="472" w:right="2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Security Holder Matters.</w:t>
      </w:r>
    </w:p>
    <w:p>
      <w:pPr>
        <w:spacing w:after="0" w:line="175"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As of February 26, 2015, affiliates of Mr. Icahn, owned 108,810,845 of Icahn Enterprises' depositary units, or approximately 88.4% of Icahn Enterprises' outstanding depositary units. In accordance with the listing rules of NASDAQ, Icahn Enterprises' status as a limited partnership affords Icahn Enterprises an exemption from certain corporate governance requirements which includes an exemption from the requirement to have compensation and nominating committees consisting entirely of independent directors. Icahn Enterprises GP's board of directors presently consists of three independent directors and the audit committee consists entirely of independent directors.</w:t>
      </w:r>
    </w:p>
    <w:p>
      <w:pPr>
        <w:spacing w:after="0" w:line="76"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The affirmative vote of unitholders holding more than 75% of the total number of all depositary units then outstanding, including depositary units held by Icahn Enterprises GP and its affiliates, is required to remove Icahn Enterprises GP. Thus, since Mr. Icahn, through affiliates, currently holds approximately 88.4% of Icahn Enterprises' outstanding depositary units, Icahn Enterprises GP will not be able to be removed pursuant to the terms of our partnership agreement without Mr. Icahn's consent. Moreover, under the partnership agreement, the affirmative vote of Icahn Enterprises GP and unitholders owning more than 50% of the total number of all outstanding depositary units then held by unitholders, including affiliates of Mr. Icahn, is required to approve, among other things, selling or otherwise disposing of all or substantially all of our assets in a single sale or in a related series of multiple sales, our dissolution or electing to continue Icahn Enterprises in certain instances, electing a successor general partner, making certain amendments to the partnership agreement or causing us, in our capacity as sole limited partner of Icahn Enterprises Holdings, to consent to certain proposals submitted for the approval of the limited partners of Icahn Enterprises Holdings. Accordingly, as affiliates of Mr. Icahn hold in excess of 50% of the depositary units outstanding, Mr. Icahn, through affiliates, will have effective control over such approval rights.</w:t>
      </w:r>
    </w:p>
    <w:p>
      <w:pPr>
        <w:spacing w:after="0" w:line="78" w:lineRule="exact"/>
        <w:rPr>
          <w:sz w:val="20"/>
          <w:szCs w:val="20"/>
          <w:color w:val="auto"/>
        </w:rPr>
      </w:pPr>
    </w:p>
    <w:p>
      <w:pPr>
        <w:ind w:right="340" w:firstLine="37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as of February 26, 2015, as to the beneficial ownership of the depositary units for each director of Icahn Enterprises GP and all directors and executive officers of Icahn Enterprises GP, as a group. Except for Mr. Icahn, none of our named executive officers or directors beneficially owns more than 5% of Icahn Enterprises' depositary units.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Icahn Enterprises'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38"/>
        </w:trPr>
        <w:tc>
          <w:tcPr>
            <w:tcW w:w="6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Depositary Units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7"/>
        </w:trPr>
        <w:tc>
          <w:tcPr>
            <w:tcW w:w="6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Carl C. Icahn</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108,810,845</w:t>
            </w: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(a) (b)</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88.4%</w:t>
            </w:r>
          </w:p>
        </w:tc>
      </w:tr>
      <w:tr>
        <w:trPr>
          <w:trHeight w:val="243"/>
        </w:trPr>
        <w:tc>
          <w:tcPr>
            <w:tcW w:w="6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Keith Cozza</w:t>
            </w:r>
          </w:p>
        </w:tc>
        <w:tc>
          <w:tcPr>
            <w:tcW w:w="2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SungHwan Cho</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351"/>
        </w:trPr>
        <w:tc>
          <w:tcPr>
            <w:tcW w:w="6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Jack G. Wasserman</w:t>
            </w:r>
          </w:p>
        </w:tc>
        <w:tc>
          <w:tcPr>
            <w:tcW w:w="2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358"/>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James L. Nelson</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1,600</w:t>
            </w:r>
          </w:p>
        </w:tc>
        <w:tc>
          <w:tcPr>
            <w:tcW w:w="4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Daniel A. Ninivaggi</w:t>
            </w:r>
          </w:p>
        </w:tc>
        <w:tc>
          <w:tcPr>
            <w:tcW w:w="2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Peter Reck</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351"/>
        </w:trPr>
        <w:tc>
          <w:tcPr>
            <w:tcW w:w="6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William A. Leidesdorf</w:t>
            </w:r>
          </w:p>
        </w:tc>
        <w:tc>
          <w:tcPr>
            <w:tcW w:w="2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57"/>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Directors and Executive Officers as a Group (eight persons)</w:t>
            </w:r>
          </w:p>
        </w:tc>
        <w:tc>
          <w:tcPr>
            <w:tcW w:w="2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108,817,845</w:t>
            </w: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88.4%</w:t>
            </w:r>
          </w:p>
        </w:tc>
      </w:tr>
      <w:tr>
        <w:trPr>
          <w:trHeight w:val="20"/>
        </w:trPr>
        <w:tc>
          <w:tcPr>
            <w:tcW w:w="6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 Less than 1% of total outstanding depositary units of Icahn Enterprises.</w:t>
      </w:r>
    </w:p>
    <w:p>
      <w:pPr>
        <w:spacing w:after="0" w:line="203" w:lineRule="exact"/>
        <w:rPr>
          <w:sz w:val="20"/>
          <w:szCs w:val="20"/>
          <w:color w:val="auto"/>
        </w:rPr>
      </w:pPr>
    </w:p>
    <w:p>
      <w:pPr>
        <w:ind w:right="180" w:firstLine="8"/>
        <w:spacing w:after="0" w:line="282" w:lineRule="auto"/>
        <w:tabs>
          <w:tab w:leader="none" w:pos="24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is exclusive of a 1.99% ownership interest which Icahn Enterprises GP holds by virtue of its 1% general partner interest in each of us and Icahn Enterprises Holdings.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footnotes describe Mr. Icahn's beneficial ownership of Icahn Enterprises' depositary units: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400"/>
          </w:cols>
          <w:pgMar w:left="240" w:top="576" w:right="259" w:bottom="1440" w:gutter="0" w:footer="0" w:header="0"/>
        </w:sectPr>
      </w:pPr>
    </w:p>
    <w:bookmarkStart w:id="247" w:name="page248"/>
    <w:bookmarkEnd w:id="247"/>
    <w:p>
      <w:pPr>
        <w:ind w:left="580" w:right="520" w:hanging="379"/>
        <w:spacing w:after="0" w:line="241" w:lineRule="auto"/>
        <w:tabs>
          <w:tab w:leader="none" w:pos="5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Barberry Corp. ("Barberry") beneficially owns 3,633,958 Depository Units. Carl C. Icahn beneficially owns 100% of Barberry. Pursuant to Rule 16a-1(a)(2) under the Exchange Act, Mr. Icahn (by virtue of his relationship to Barberry) may be deemed to indirectly beneficially own the Depository Units which Barberry owns. Mr. Icahn disclaims beneficial ownership of such Depository Units except to the extent of his pecuniary interest therein</w:t>
      </w:r>
    </w:p>
    <w:p>
      <w:pPr>
        <w:spacing w:after="0" w:line="14" w:lineRule="exact"/>
        <w:rPr>
          <w:rFonts w:ascii="Times New Roman" w:cs="Times New Roman" w:eastAsia="Times New Roman" w:hAnsi="Times New Roman"/>
          <w:sz w:val="14"/>
          <w:szCs w:val="14"/>
          <w:color w:val="auto"/>
        </w:rPr>
      </w:pPr>
    </w:p>
    <w:p>
      <w:pPr>
        <w:ind w:left="580" w:right="520" w:hanging="379"/>
        <w:spacing w:after="0" w:line="236" w:lineRule="auto"/>
        <w:tabs>
          <w:tab w:leader="none" w:pos="5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CCI Offshore LLC ("CCI Offshore") beneficially owns 2,307,044 Depository Units. Barberry is the sole member of CCI Offshore. Carl C. Icahn beneficially owns 100% of Barberry. Pursuant to Rule 16a-1(a)(2) under the Exchange Act, each of Mr. Icahn and Barberry (by virtue of their relationships to CCI Offshore) may be deemed to indirectly beneficially own the Depository Units which CCI Offshore owns. Each of Mr. Icahn and Barberry disclaims beneficial ownership of such Depository Units except to the extent of their pecuniary interest therein.</w:t>
      </w:r>
    </w:p>
    <w:p>
      <w:pPr>
        <w:spacing w:after="0" w:line="15" w:lineRule="exact"/>
        <w:rPr>
          <w:rFonts w:ascii="Times New Roman" w:cs="Times New Roman" w:eastAsia="Times New Roman" w:hAnsi="Times New Roman"/>
          <w:sz w:val="14"/>
          <w:szCs w:val="14"/>
          <w:color w:val="auto"/>
        </w:rPr>
      </w:pPr>
    </w:p>
    <w:p>
      <w:pPr>
        <w:ind w:left="580" w:right="500" w:hanging="379"/>
        <w:spacing w:after="0"/>
        <w:tabs>
          <w:tab w:leader="none" w:pos="5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CCI Onshore LLC ("CCI Onshore") beneficially owns 18,274,289 Depository Units. High Coast Limited Partnership ("High Coast") is the sole member of CCI Onshore. Little Meadow Corp. ("Little Meadow") is the general partner of High Coast. Carl C. Icahn beneficially owns 100% of Little Meadow. Pursuant to Rule 16a-1(a)(2) under the Exchange Act, each of Mr. Icahn, Little Meadow and High Coast (by virtue of their relationships to CCI Onshore) may be deemed to indirectly beneficially own the Depository Units which CCI Onshore owns. Each of Mr. Icahn, Little Meadow and High Coast disclaims beneficial ownership of such Depository Units except to the extent of their pecuniary interest therein.</w:t>
      </w:r>
    </w:p>
    <w:p>
      <w:pPr>
        <w:spacing w:after="0" w:line="152" w:lineRule="exact"/>
        <w:rPr>
          <w:rFonts w:ascii="Times New Roman" w:cs="Times New Roman" w:eastAsia="Times New Roman" w:hAnsi="Times New Roman"/>
          <w:sz w:val="14"/>
          <w:szCs w:val="14"/>
          <w:color w:val="auto"/>
        </w:rPr>
      </w:pPr>
    </w:p>
    <w:p>
      <w:pPr>
        <w:ind w:left="580" w:right="400" w:hanging="379"/>
        <w:spacing w:after="0" w:line="236" w:lineRule="auto"/>
        <w:tabs>
          <w:tab w:leader="none" w:pos="5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Gascon Partners ("Gascon") beneficially owns 16,075,148 Depository Units. Little Meadow is the managing general partner of Gascon. Carl C. Icahn beneficially owns 100% of Little Meadow. Pursuant to Rule 16a-1(a)(2) under the Exchange Act, each of Mr. Icahn and Little Meadow (by virtue of their relationships to Gascon) may be deemed to indirectly beneficially own the Depository Units which Gascon owns. Each of Mr. Icahn and Little Meadow disclaims beneficial ownership of such Depository Units except to the extent of their pecuniary interest therein.</w:t>
      </w:r>
    </w:p>
    <w:p>
      <w:pPr>
        <w:spacing w:after="0" w:line="15" w:lineRule="exact"/>
        <w:rPr>
          <w:rFonts w:ascii="Times New Roman" w:cs="Times New Roman" w:eastAsia="Times New Roman" w:hAnsi="Times New Roman"/>
          <w:sz w:val="14"/>
          <w:szCs w:val="14"/>
          <w:color w:val="auto"/>
        </w:rPr>
      </w:pPr>
    </w:p>
    <w:p>
      <w:pPr>
        <w:ind w:left="580" w:right="320" w:hanging="379"/>
        <w:spacing w:after="0" w:line="236" w:lineRule="auto"/>
        <w:tabs>
          <w:tab w:leader="none" w:pos="5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 Coast Limited Partnership ("High Coast") beneficially owns 41,909,667 Depository Units. Little Meadow is the general partner of High Coast. Carl C. Icahn beneficially owns 100% of Little Meadow. Pursuant to Rule 16a-1(a)(2) under the Exchange Act, each of Mr. Icahn and Little Meadow (by virtue of their relationships to High Coast) may be deemed to indirectly beneficially own the Depository Units which High Coast owns. Each of Mr. Icahn and Little Meadow disclaims beneficial ownership of such Depository Units except to the extent of their pecuniary interest therein.</w:t>
      </w:r>
    </w:p>
    <w:p>
      <w:pPr>
        <w:spacing w:after="0" w:line="15" w:lineRule="exact"/>
        <w:rPr>
          <w:rFonts w:ascii="Times New Roman" w:cs="Times New Roman" w:eastAsia="Times New Roman" w:hAnsi="Times New Roman"/>
          <w:sz w:val="14"/>
          <w:szCs w:val="14"/>
          <w:color w:val="auto"/>
        </w:rPr>
      </w:pPr>
    </w:p>
    <w:p>
      <w:pPr>
        <w:ind w:left="580" w:right="360" w:hanging="379"/>
        <w:spacing w:after="0" w:line="236" w:lineRule="auto"/>
        <w:tabs>
          <w:tab w:leader="none" w:pos="5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Highcrest Investors Corp. ("Highcrest") beneficially owns 12,485,714 Depository Units. Starfire Holding Corporation ("Starfire") beneficially owns 99.5% of Highcrest. Carl C. Icahn beneficially owns 100% of Starfire. Pursuant to Rule 16a-1(a)(2) under the Exchange Act, each of Mr. Icahn and Starfire (by virtue of their relationships to Highcrest) may be deemed to indirectly beneficially own the Depository Units which Highcrest owns. Each of Mr. Icahn and Starfire disclaims beneficial ownership of such Depository Units except to the extent of their pecuniary interest therein.</w:t>
      </w:r>
    </w:p>
    <w:p>
      <w:pPr>
        <w:spacing w:after="0" w:line="15" w:lineRule="exact"/>
        <w:rPr>
          <w:rFonts w:ascii="Times New Roman" w:cs="Times New Roman" w:eastAsia="Times New Roman" w:hAnsi="Times New Roman"/>
          <w:sz w:val="14"/>
          <w:szCs w:val="14"/>
          <w:color w:val="auto"/>
        </w:rPr>
      </w:pPr>
    </w:p>
    <w:p>
      <w:pPr>
        <w:ind w:left="580" w:right="400" w:hanging="379"/>
        <w:spacing w:after="0" w:line="241" w:lineRule="auto"/>
        <w:tabs>
          <w:tab w:leader="none" w:pos="5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Tramore LLC ("Tramore") beneficially owns 8,172,944 Depository Units. Carl C. Icahn beneficially owns 100% of Tramore. Pursuant to Rule 16a-1(a)(2) under the Exchange Act, Mr. Icahn (by virtue of his relationship to Tramore) may be deemed to indirectly beneficially own the Depository Units which Tramore owns. Mr. Icahn disclaims beneficial ownership of such Depository Units except to the extent of his pecuniary interest therein.</w:t>
      </w:r>
    </w:p>
    <w:p>
      <w:pPr>
        <w:spacing w:after="0" w:line="14" w:lineRule="exact"/>
        <w:rPr>
          <w:rFonts w:ascii="Times New Roman" w:cs="Times New Roman" w:eastAsia="Times New Roman" w:hAnsi="Times New Roman"/>
          <w:sz w:val="14"/>
          <w:szCs w:val="14"/>
          <w:color w:val="auto"/>
        </w:rPr>
      </w:pPr>
    </w:p>
    <w:p>
      <w:pPr>
        <w:ind w:left="580" w:right="520" w:hanging="379"/>
        <w:spacing w:after="0" w:line="241" w:lineRule="auto"/>
        <w:tabs>
          <w:tab w:leader="none" w:pos="5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Modal LLC ("Modal") beneficially owns 720,495 Depository Units. Carl C. Icahn beneficially owns 100% of Modal. Pursuant to Rule 16a-1(a)(2) under the Exchange Act, Mr. Icahn (by virtue of his relationship to Modal) may be deemed to indirectly beneficially own the Depository Units which Modal owns. Mr. Icahn disclaims beneficial ownership of such Depository Units except to the extent of his pecuniary interest therein.</w:t>
      </w:r>
    </w:p>
    <w:p>
      <w:pPr>
        <w:spacing w:after="0" w:line="14" w:lineRule="exact"/>
        <w:rPr>
          <w:rFonts w:ascii="Times New Roman" w:cs="Times New Roman" w:eastAsia="Times New Roman" w:hAnsi="Times New Roman"/>
          <w:sz w:val="14"/>
          <w:szCs w:val="14"/>
          <w:color w:val="auto"/>
        </w:rPr>
      </w:pPr>
    </w:p>
    <w:p>
      <w:pPr>
        <w:ind w:left="580" w:right="400" w:hanging="379"/>
        <w:spacing w:after="0" w:line="236" w:lineRule="auto"/>
        <w:tabs>
          <w:tab w:leader="none" w:pos="5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Thornwood Associates Limited Partnership ("Thornwood") beneficially owns 5,231,586 Depository Units. Barberry is the general partner of Thornwood. Carl C. Icahn beneficially owns 100% of Barberry. Pursuant to Rule 16a-1(a)(2) under the Exchange Act, each of Mr. Icahn and Barberry (by virtue of their relationships to Thornwood) may be deemed to indirectly beneficially own the Depository Units which Thornwood owns. Each of Mr. Icahn and Barberry disclaims beneficial ownership of such Depository Units except to the extent of their pecuniary interest therein.</w:t>
      </w:r>
    </w:p>
    <w:p>
      <w:pPr>
        <w:spacing w:after="0" w:line="15" w:lineRule="exact"/>
        <w:rPr>
          <w:sz w:val="20"/>
          <w:szCs w:val="20"/>
          <w:color w:val="auto"/>
        </w:rPr>
      </w:pPr>
    </w:p>
    <w:p>
      <w:pPr>
        <w:ind w:left="580" w:right="580" w:hanging="415"/>
        <w:spacing w:after="0" w:line="262" w:lineRule="auto"/>
        <w:tabs>
          <w:tab w:leader="none" w:pos="5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17,284 Depositary Units owned by Gail Golden, the spouse of Mr. Icahn. Mr. Icahn, by virtue of his relationship to Ms. Golden, may be deemed to beneficially own such Depositary Units. Mr. Icahn disclaims beneficial ownership of such Depositary Units for all purposes.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121"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Our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the limitations contained in our partnership agreement and the Delaware Revised Uniform Limited Partnership Act. The indentures governing our indebtedness contain certain covenants applicable to transactions with affiliates.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with Our General Partner and Its Affiliates</w:t>
      </w:r>
    </w:p>
    <w:p>
      <w:pPr>
        <w:spacing w:after="0" w:line="12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Mr. Icahn, in his capacity as majority unitholder, will not receive any additional benefit with respect to distributions and allocations of profits and losses not shared on a pro rata basis by all other unitholders. In addition, Mr. Icahn has confirmed to us that neither he nor any of his affiliates will receive any fees from us in consideration for services rendered in connection with non-real estate related investments by us other than compensation pursuant to his employment agreement and as otherwise disclosed herein. We have and in the future may determine to make investments in entities in which Mr. Icahn or his affiliates also have investments. We may enter into other transactions with Mr. Icahn and his affiliates, including, without limitation, buying and selling assets from or to affiliates of Mr. Icahn and participating in joint venture investments in assets with affiliates of Mr. Icahn, whether real estate or non-real estate related. Furthermore, it should be noted that our partnership agreement provides that Icahn Enterprises GP and its affiliates are permitted to have other business interests and may engage in other business ventures of any nature whatsoever, and may compete directly or indirectly with our business. Mr. Icahn and his affiliates currently invest in assets that may be similar to those in which we may invest and Mr. Icahn and his affiliates intend to continue to do so. Pursuant to the partnership agreement, however, we will not have any right to participate therein or receive or share in any income or profits derived therefrom.</w:t>
      </w:r>
    </w:p>
    <w:p>
      <w:pPr>
        <w:spacing w:after="0" w:line="85" w:lineRule="exact"/>
        <w:rPr>
          <w:sz w:val="20"/>
          <w:szCs w:val="20"/>
          <w:color w:val="auto"/>
        </w:rPr>
      </w:pPr>
    </w:p>
    <w:p>
      <w:pPr>
        <w:ind w:right="80" w:firstLine="378"/>
        <w:spacing w:after="0" w:line="282" w:lineRule="auto"/>
        <w:rPr>
          <w:sz w:val="20"/>
          <w:szCs w:val="20"/>
          <w:color w:val="auto"/>
        </w:rPr>
      </w:pPr>
      <w:r>
        <w:rPr>
          <w:rFonts w:ascii="Times New Roman" w:cs="Times New Roman" w:eastAsia="Times New Roman" w:hAnsi="Times New Roman"/>
          <w:sz w:val="18"/>
          <w:szCs w:val="18"/>
          <w:color w:val="auto"/>
        </w:rPr>
        <w:t>On February 11, 2013, we announced that the board of directors of our general partner approved a modification to our distribution policy to provide for an increase in the annual distribution from $1.40, comprised of $0.40 in cash and $1.00 in</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360"/>
          </w:cols>
          <w:pgMar w:left="240" w:top="522" w:right="299" w:bottom="1440" w:gutter="0" w:footer="0" w:header="0"/>
        </w:sectPr>
      </w:pPr>
    </w:p>
    <w:bookmarkStart w:id="248" w:name="page249"/>
    <w:bookmarkEnd w:id="248"/>
    <w:p>
      <w:pPr>
        <w:ind w:right="160"/>
        <w:spacing w:after="0" w:line="261" w:lineRule="auto"/>
        <w:rPr>
          <w:sz w:val="20"/>
          <w:szCs w:val="20"/>
          <w:color w:val="auto"/>
        </w:rPr>
      </w:pPr>
      <w:r>
        <w:rPr>
          <w:rFonts w:ascii="Times New Roman" w:cs="Times New Roman" w:eastAsia="Times New Roman" w:hAnsi="Times New Roman"/>
          <w:sz w:val="18"/>
          <w:szCs w:val="18"/>
          <w:color w:val="auto"/>
        </w:rPr>
        <w:t>depositary units, to $4.00 per depositary unit, payable in either cash or additional depositary units, at the election of each depositary unitholder. On May 29, 2013, the board of directors of our general partner further modified our distribution policy to increase our annual distribution from $4.00 per depositary unit to $5.00 per depositary unit. Further, on March 3, 2014, the board of directors of our general partner announced an increase in our annualized distribution from $5.00 per depositary unit to $6.00 per depositary unit.</w:t>
      </w:r>
    </w:p>
    <w:p>
      <w:pPr>
        <w:spacing w:after="0" w:line="72" w:lineRule="exact"/>
        <w:rPr>
          <w:sz w:val="20"/>
          <w:szCs w:val="20"/>
          <w:color w:val="auto"/>
        </w:rPr>
      </w:pPr>
    </w:p>
    <w:p>
      <w:pPr>
        <w:ind w:right="220" w:firstLine="378"/>
        <w:spacing w:after="0" w:line="261" w:lineRule="auto"/>
        <w:rPr>
          <w:sz w:val="20"/>
          <w:szCs w:val="20"/>
          <w:color w:val="auto"/>
        </w:rPr>
      </w:pPr>
      <w:r>
        <w:rPr>
          <w:rFonts w:ascii="Times New Roman" w:cs="Times New Roman" w:eastAsia="Times New Roman" w:hAnsi="Times New Roman"/>
          <w:sz w:val="18"/>
          <w:szCs w:val="18"/>
          <w:color w:val="auto"/>
        </w:rPr>
        <w:t>During 2014, Mr. Icahn and his affiliates elected to receive a majority of their proportionate share of these distributions in depositary units. Mr. Icahn and his affiliates owned approximately 88.4% of Icahn Enterprises' outstanding depositary units as of December 31, 2014. Mr. Icahn and his affiliates have indicated that it is their present intention to elect to receive the increase in Icahn Enterprises’ cash distribution in additional depositary units for the foreseeable future.</w:t>
      </w:r>
    </w:p>
    <w:p>
      <w:pPr>
        <w:spacing w:after="0" w:line="7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During 2014, the board of directors of our general partner declared four quarterly distributions aggregating $6.00 per depositary unit. Depositary unitholders were given the option to make an election to receive the distributions either cash or additional depositary units; if a holder did not make an election, it was automatically deemed to have elected to receive the distributions in cash. We distributed an aggregate of 7,203,105 of depositary units to those Depositary unitholders who elected to receive such distributions in depositary units.</w:t>
      </w:r>
    </w:p>
    <w:p>
      <w:pPr>
        <w:spacing w:after="0" w:line="72"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On February 20, 2015, the board of directors of the general partner of Icahn Enterprises declared a quarterly distribution in the amount of $1.50 per depositary unit, which will be paid on or about April 22, 2015 to depositary unitholders of record at the close of business on March 9, 2015. Depositary unitholders will have until April 2, 2015 to make an election to receive either cash or additional depositary units; if a holder does not make an election, it will automatically be deemed to have elected to receive the dividend in cash. Depositary unitholders who elect to receive additional depositary units will receive units valued at the volume weighted average trading price of the units on NASDAQ during the 10 consecutive trading days ending April 17, 2015. No fractional depositary units will be issued pursuant to the distribution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77" w:lineRule="exact"/>
        <w:rPr>
          <w:sz w:val="20"/>
          <w:szCs w:val="20"/>
          <w:color w:val="auto"/>
        </w:rPr>
      </w:pPr>
    </w:p>
    <w:p>
      <w:pPr>
        <w:ind w:right="600" w:firstLine="378"/>
        <w:spacing w:after="0" w:line="282" w:lineRule="auto"/>
        <w:rPr>
          <w:sz w:val="20"/>
          <w:szCs w:val="20"/>
          <w:color w:val="auto"/>
        </w:rPr>
      </w:pPr>
      <w:r>
        <w:rPr>
          <w:rFonts w:ascii="Times New Roman" w:cs="Times New Roman" w:eastAsia="Times New Roman" w:hAnsi="Times New Roman"/>
          <w:sz w:val="18"/>
          <w:szCs w:val="18"/>
          <w:color w:val="auto"/>
        </w:rPr>
        <w:t>In 2014, Icahn Enterprises GP was allocated $7 million of our net loss as a result of its combined 1.99% general partner interests in us and Icahn Enterprises Holdings.</w:t>
      </w:r>
    </w:p>
    <w:p>
      <w:pPr>
        <w:spacing w:after="0" w:line="54" w:lineRule="exact"/>
        <w:rPr>
          <w:sz w:val="20"/>
          <w:szCs w:val="20"/>
          <w:color w:val="auto"/>
        </w:rPr>
      </w:pPr>
    </w:p>
    <w:p>
      <w:pPr>
        <w:ind w:right="560" w:firstLine="378"/>
        <w:spacing w:after="0" w:line="375" w:lineRule="auto"/>
        <w:rPr>
          <w:sz w:val="20"/>
          <w:szCs w:val="20"/>
          <w:color w:val="auto"/>
        </w:rPr>
      </w:pPr>
      <w:r>
        <w:rPr>
          <w:rFonts w:ascii="Times New Roman" w:cs="Times New Roman" w:eastAsia="Times New Roman" w:hAnsi="Times New Roman"/>
          <w:sz w:val="18"/>
          <w:szCs w:val="18"/>
          <w:color w:val="auto"/>
        </w:rPr>
        <w:t xml:space="preserve">Pursuant to registration rights agreements, Mr. Icahn has certain registration rights with regard to the depositary units beneficially owned by him. </w:t>
      </w:r>
      <w:r>
        <w:rPr>
          <w:rFonts w:ascii="Times New Roman" w:cs="Times New Roman" w:eastAsia="Times New Roman" w:hAnsi="Times New Roman"/>
          <w:sz w:val="18"/>
          <w:szCs w:val="18"/>
          <w:b w:val="1"/>
          <w:bCs w:val="1"/>
          <w:i w:val="1"/>
          <w:iCs w:val="1"/>
          <w:color w:val="auto"/>
        </w:rPr>
        <w:t>Investments in the Investments Funds</w:t>
      </w:r>
    </w:p>
    <w:p>
      <w:pPr>
        <w:spacing w:after="0" w:line="1" w:lineRule="exact"/>
        <w:rPr>
          <w:sz w:val="20"/>
          <w:szCs w:val="20"/>
          <w:color w:val="auto"/>
        </w:rPr>
      </w:pPr>
    </w:p>
    <w:p>
      <w:pPr>
        <w:ind w:right="100" w:firstLine="378"/>
        <w:spacing w:after="0" w:line="261" w:lineRule="auto"/>
        <w:rPr>
          <w:sz w:val="20"/>
          <w:szCs w:val="20"/>
          <w:color w:val="auto"/>
        </w:rPr>
      </w:pPr>
      <w:r>
        <w:rPr>
          <w:rFonts w:ascii="Times New Roman" w:cs="Times New Roman" w:eastAsia="Times New Roman" w:hAnsi="Times New Roman"/>
          <w:sz w:val="18"/>
          <w:szCs w:val="18"/>
          <w:color w:val="auto"/>
        </w:rPr>
        <w:t>We may, on occasion, invest in securities in which entities affiliated with Mr. Icahn are also investing. Additionally, Mr. Icahn and his affiliated entities may also invest in securities in which Icahn Enterprises and its consolidated subsidiaries invest. Mr. Icahn and his affiliates (excluding Icahn Enterprises and Icahn Enterprises Holdings), make investments in the Investment Funds. As of December 31, 2014, the total of Mr. Icahn and affiliates' interests in the Investment Funds was approximately $4.8 billion.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21"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On April 1, 2010, Icahn Enterprises and Icahn Capital, a wholly owned indirect subsidiary of Icahn Enterprises, entered into a co-manager agreement (the "Co-Manager Agreement") with Brett Icahn, the son of Carl C. Icahn. At that time Icahn Capital also entered into a co-manager agreement on the same terms with another individual. Under the Co-Manager Agreement, Brett Icahn serves as a co-portfolio manager of the Sargon Portfolio, a designated portfolio of assets within the various private investment funds comprising Icahn Enterprises' Investment segment, including the Onshore Fund, Master Fund I, Master Fund II and Master Fund III, subject to the supervision and control of Icahn Capital and Carl Icahn.</w:t>
      </w:r>
    </w:p>
    <w:p>
      <w:pPr>
        <w:spacing w:after="0" w:line="76" w:lineRule="exact"/>
        <w:rPr>
          <w:sz w:val="20"/>
          <w:szCs w:val="20"/>
          <w:color w:val="auto"/>
        </w:rPr>
      </w:pPr>
    </w:p>
    <w:p>
      <w:pPr>
        <w:ind w:right="380" w:firstLine="378"/>
        <w:spacing w:after="0" w:line="282" w:lineRule="auto"/>
        <w:rPr>
          <w:sz w:val="20"/>
          <w:szCs w:val="20"/>
          <w:color w:val="auto"/>
        </w:rPr>
      </w:pPr>
      <w:r>
        <w:rPr>
          <w:rFonts w:ascii="Times New Roman" w:cs="Times New Roman" w:eastAsia="Times New Roman" w:hAnsi="Times New Roman"/>
          <w:sz w:val="18"/>
          <w:szCs w:val="18"/>
          <w:color w:val="auto"/>
        </w:rPr>
        <w:t>Effective January 1, 2014, Icahn Partners Master Fund II LP and Icahn Partners Master Fund III LP were merged with and into Icahn Partners. As a result, the Investment Funds now consist solely of Icahn Partners LP and Icahn Partners Master Fund LP.</w:t>
      </w:r>
    </w:p>
    <w:p>
      <w:pPr>
        <w:spacing w:after="0" w:line="54" w:lineRule="exact"/>
        <w:rPr>
          <w:sz w:val="20"/>
          <w:szCs w:val="20"/>
          <w:color w:val="auto"/>
        </w:rPr>
      </w:pPr>
    </w:p>
    <w:p>
      <w:pPr>
        <w:ind w:right="60" w:firstLine="378"/>
        <w:spacing w:after="0" w:line="254" w:lineRule="auto"/>
        <w:rPr>
          <w:sz w:val="20"/>
          <w:szCs w:val="20"/>
          <w:color w:val="auto"/>
        </w:rPr>
      </w:pPr>
      <w:r>
        <w:rPr>
          <w:rFonts w:ascii="Times New Roman" w:cs="Times New Roman" w:eastAsia="Times New Roman" w:hAnsi="Times New Roman"/>
          <w:sz w:val="18"/>
          <w:szCs w:val="18"/>
          <w:color w:val="auto"/>
        </w:rPr>
        <w:t>On July 24, 2012, (i) Icahn Enterprises and Icahn Capital entered into an amendment to the Co-Manager Agreement with Brett Icahn (the “Amended Icahn Enterprises Co-Manager Agreement”), and (ii) High River Limited Partnership (''High River''), an affiliate of Carl C. Icahn, entered into a new co-manager agreement with Brett Icahn (such co-manager agreements, collectively the ''High River Co-Manager Agreement,'' and together with the Amended Icahn Enterprises Co-Manager Agreement, the “2012 Co-Manager Agreement”). On July 24, 2012, similar agreements were entered into with another individual. The 2012 Co- Manager Agreement is effective as of August 1, 2012. Pursuant to the 2012 Co-Manager Agreement, subject to the supervision and control of Icahn Capital and Carl Icahn, the Investment Funds and High River would make available up to an aggregate of $3 billion (to be provided approximately 80% by the Investment Funds and 20% by High River) for management within the Sargon Portfolio over a four-year term and Brett Icahn would be entitled, subject to the terms of the 2012 Co-Manager Agreement, to a one-time lump sum payment at the end of such four-year period, equal to 7.5% of the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400"/>
          </w:cols>
          <w:pgMar w:left="240" w:top="472" w:right="259" w:bottom="1440" w:gutter="0" w:footer="0" w:header="0"/>
        </w:sectPr>
      </w:pPr>
    </w:p>
    <w:bookmarkStart w:id="249" w:name="page250"/>
    <w:bookmarkEnd w:id="249"/>
    <w:p>
      <w:pPr>
        <w:ind w:right="200"/>
        <w:spacing w:after="0" w:line="282" w:lineRule="auto"/>
        <w:rPr>
          <w:sz w:val="20"/>
          <w:szCs w:val="20"/>
          <w:color w:val="auto"/>
        </w:rPr>
      </w:pPr>
      <w:r>
        <w:rPr>
          <w:rFonts w:ascii="Times New Roman" w:cs="Times New Roman" w:eastAsia="Times New Roman" w:hAnsi="Times New Roman"/>
          <w:sz w:val="18"/>
          <w:szCs w:val="18"/>
          <w:color w:val="auto"/>
        </w:rPr>
        <w:t>profit generated by the portfolio over a hurdle rate of return, minus certain costs (payable by each of the Investment Funds and High River based upon their respective profits).</w:t>
      </w:r>
    </w:p>
    <w:p>
      <w:pPr>
        <w:spacing w:after="0" w:line="54" w:lineRule="exact"/>
        <w:rPr>
          <w:sz w:val="20"/>
          <w:szCs w:val="20"/>
          <w:color w:val="auto"/>
        </w:rPr>
      </w:pPr>
    </w:p>
    <w:p>
      <w:pPr>
        <w:ind w:right="60" w:firstLine="378"/>
        <w:spacing w:after="0" w:line="266" w:lineRule="auto"/>
        <w:rPr>
          <w:sz w:val="20"/>
          <w:szCs w:val="20"/>
          <w:color w:val="auto"/>
        </w:rPr>
      </w:pPr>
      <w:r>
        <w:rPr>
          <w:rFonts w:ascii="Times New Roman" w:cs="Times New Roman" w:eastAsia="Times New Roman" w:hAnsi="Times New Roman"/>
          <w:sz w:val="18"/>
          <w:szCs w:val="18"/>
          <w:color w:val="auto"/>
        </w:rPr>
        <w:t>On October 22, 2013, Icahn Enterprises and Icahn Capital entered into an amendment (the “Co-Manager Amendment”) to the Amended and Restated Co-Manager Agreement made as of August 1, 2012 by and between Icahn Enterprises, Icahn Capital and each of David Schechter and Brett Icahn (the “2013 Co-Manager Agreement”).</w:t>
      </w:r>
    </w:p>
    <w:p>
      <w:pPr>
        <w:spacing w:after="0" w:line="68" w:lineRule="exact"/>
        <w:rPr>
          <w:sz w:val="20"/>
          <w:szCs w:val="20"/>
          <w:color w:val="auto"/>
        </w:rPr>
      </w:pPr>
    </w:p>
    <w:p>
      <w:pPr>
        <w:ind w:right="60" w:firstLine="378"/>
        <w:spacing w:after="0" w:line="255" w:lineRule="auto"/>
        <w:rPr>
          <w:sz w:val="20"/>
          <w:szCs w:val="20"/>
          <w:color w:val="auto"/>
        </w:rPr>
      </w:pPr>
      <w:r>
        <w:rPr>
          <w:rFonts w:ascii="Times New Roman" w:cs="Times New Roman" w:eastAsia="Times New Roman" w:hAnsi="Times New Roman"/>
          <w:sz w:val="18"/>
          <w:szCs w:val="18"/>
          <w:color w:val="auto"/>
        </w:rPr>
        <w:t>The Co-Manager Amendment modifies certain provisions of the 2012 Co-Manager Agreement solely as they relate to the shares of common stock of Netflix, Inc., a Delaware corporation, held within the New Sargon Portfolio (the “Designated Shares”). Pursuant to the 2013 Co-Manager Amendment, up to 85% of the Designated Shares may be sold by Icahn Enterprises and Icahn Capital without the consent of the Co-Managers. Following the sale of any of the Designated Shares without the consent of the Co-Managers, Icahn Enterprises and Icahn Capital must make available to the New Sargon Portfolio an amount in cash or cash equivalents equal to the proceeds received from such sale. Further, pursuant to the Amendment, the shares sold without consent of the Co-Managers will be deemed to remain in the New Sargon Portfolio on a notional basis for the purposes of calculating the market value of the New Sargon Portfolio in connection with the determination of gain in the New Sargon Portfolio.</w:t>
      </w:r>
    </w:p>
    <w:p>
      <w:pPr>
        <w:spacing w:after="0" w:line="81" w:lineRule="exact"/>
        <w:rPr>
          <w:sz w:val="20"/>
          <w:szCs w:val="20"/>
          <w:color w:val="auto"/>
        </w:rPr>
      </w:pPr>
    </w:p>
    <w:p>
      <w:pPr>
        <w:ind w:right="20" w:firstLine="378"/>
        <w:spacing w:after="0" w:line="266" w:lineRule="auto"/>
        <w:rPr>
          <w:sz w:val="20"/>
          <w:szCs w:val="20"/>
          <w:color w:val="auto"/>
        </w:rPr>
      </w:pPr>
      <w:r>
        <w:rPr>
          <w:rFonts w:ascii="Times New Roman" w:cs="Times New Roman" w:eastAsia="Times New Roman" w:hAnsi="Times New Roman"/>
          <w:sz w:val="18"/>
          <w:szCs w:val="18"/>
          <w:color w:val="auto"/>
        </w:rPr>
        <w:t>The balance due to Brett Icahn by Icahn Enterprises and Icahn Capital at December 31, 2014, pursuant to the terms of the Co-Manager Agreement, 2012 Co-Manager Agreement and 2013 Co-Manager Agreement, would have been approximately $183 million if he had been 100% vested as of December 31, 2014. For 2014, amounts due to Brett Icahn under these agreements by the Investment Funds increased by approximately $63 million.</w:t>
      </w:r>
    </w:p>
    <w:p>
      <w:pPr>
        <w:spacing w:after="0" w:line="68" w:lineRule="exact"/>
        <w:rPr>
          <w:sz w:val="20"/>
          <w:szCs w:val="20"/>
          <w:color w:val="auto"/>
        </w:rPr>
      </w:pPr>
    </w:p>
    <w:p>
      <w:pPr>
        <w:ind w:right="100" w:firstLine="378"/>
        <w:spacing w:after="0" w:line="266" w:lineRule="auto"/>
        <w:rPr>
          <w:sz w:val="20"/>
          <w:szCs w:val="20"/>
          <w:color w:val="auto"/>
        </w:rPr>
      </w:pPr>
      <w:r>
        <w:rPr>
          <w:rFonts w:ascii="Times New Roman" w:cs="Times New Roman" w:eastAsia="Times New Roman" w:hAnsi="Times New Roman"/>
          <w:sz w:val="18"/>
          <w:szCs w:val="18"/>
          <w:color w:val="auto"/>
        </w:rPr>
        <w:t>Icahn Capital paid for salaries and benefits of certain employees who may also perform various functions on behalf of certain other entities beneficially owned by Carl C. Icahn (collectively, “Icahn Affiliates”), including administrative and investment services. For 2014, under a separate expense-sharing agreement, we have charged Icahn Affiliates approximately $3 million for such services.</w:t>
      </w:r>
    </w:p>
    <w:p>
      <w:pPr>
        <w:spacing w:after="0" w:line="68" w:lineRule="exact"/>
        <w:rPr>
          <w:sz w:val="20"/>
          <w:szCs w:val="20"/>
          <w:color w:val="auto"/>
        </w:rPr>
      </w:pPr>
    </w:p>
    <w:p>
      <w:pPr>
        <w:ind w:right="60" w:firstLine="378"/>
        <w:spacing w:after="0" w:line="258" w:lineRule="auto"/>
        <w:rPr>
          <w:sz w:val="20"/>
          <w:szCs w:val="20"/>
          <w:color w:val="auto"/>
        </w:rPr>
      </w:pPr>
      <w:r>
        <w:rPr>
          <w:rFonts w:ascii="Times New Roman" w:cs="Times New Roman" w:eastAsia="Times New Roman" w:hAnsi="Times New Roman"/>
          <w:sz w:val="18"/>
          <w:szCs w:val="18"/>
          <w:color w:val="auto"/>
        </w:rPr>
        <w:t>Icahn Capital pays for expenses pertaining to the operation, administration and investment activities of our Investment segment for the benefit of the Investment Funds (including salaries, benefits and rent); Icahn Capital shall be allocated pro rata for such expenses in accordance with each investor's capital accounts in the Investment Funds. Effective April 1, 2011, based on an expense-sharing arrangement, certain expenses borne by Icahn Capital are reimbursed by the Investment Funds, generally when such expenses are paid. For 2014, $155 million was allocated to the Investment Funds based on this expense-sharing arrangement.</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2014, we paid an affiliate $1 million for the non-exclusive use of office space.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2014, we paid $1 million to XO Holdings, Inc., an affiliate of Icahn Enterprises GP, our general partner, for telecommunications services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2014, our Holding Company provided certain professional services to an Icahn Affiliate for which we charged $2 million.</w:t>
      </w:r>
    </w:p>
    <w:p>
      <w:pPr>
        <w:spacing w:after="0" w:line="117"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Under the manufacturing services agreement entered into in 1994 and amended in 2005, ACF Industries LLC ("ACF") agreed to manufacture and distribute, at ARI's instruction, various railcar components. In consideration for these services, ARI agreed to pay ACF based on agreed upon rates. For 2014, ARI purchased inventory of $5 million of components from ACF. The agreement automatically renews unless written notice is provided by the ARI.</w:t>
      </w:r>
    </w:p>
    <w:p>
      <w:pPr>
        <w:spacing w:after="0" w:line="6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January 2013, ARI entered into a purchasing and engineering services agreement and license with ACF Industries LLC ("ACF"), an affiliate of Mr. Icahn. The agreement was unanimously approved by the independent directors of ARI’s and Icahn Enterprises' audit committee on the basis that the terms of the agreement were not materially less favorable to ARI than those that could have been obtained in a comparable transaction with an unrelated person. Under this agreement, ARI provides purchasing support and engineering services to ACF in connection with ACF’s manufacture and sale of tank railcars at its facility in Milton, Pennsylvania. Additionally, ARI has granted ACF a nonexclusive, non-assignable license to certain of ARI’s intellectual property, including certain designs, specifications, processes and manufacturing know-how required to manufacture and sell tank railcars during the term of the agreement. In August 2014, ARI and ACF amended this agreement to, among other things, extend the termination date from December 31, 2014 to December 31, 2015, subject to certain early termination events.</w:t>
      </w:r>
    </w:p>
    <w:p>
      <w:pPr>
        <w:spacing w:after="0" w:line="7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consideration for the services and license provided by ARI to ACF in conjunction with the agreement, ACF pays ARI a royalty and, if any, a share of the net profits ("ACF Profits") earned on each railcar manufactured and sold by ACF under the agreement, in an aggregate amount equal to 30 percent of such ACF Profits, as calculated under the agreement. ACF Profits are net of certain of ACF’s start-up and shutdown expenses and certain maintenance capital. If no ACF Profits are realized on a railcar manufactured and sold by ACF pursuant to the agreement, ARI will still be entitled to the royalty for such railcar and will not share in any losses incurred by ACF in connection therewith. In addition, any railcar components supplied by ARI to ACF for the manufacture of these railcars shall be provided at fair market value.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400"/>
          </w:cols>
          <w:pgMar w:left="240" w:top="473" w:right="259" w:bottom="1440" w:gutter="0" w:footer="0" w:header="0"/>
        </w:sectPr>
      </w:pPr>
    </w:p>
    <w:bookmarkStart w:id="250" w:name="page251"/>
    <w:bookmarkEnd w:id="250"/>
    <w:p>
      <w:pPr>
        <w:ind w:firstLine="405"/>
        <w:spacing w:after="0" w:line="261" w:lineRule="auto"/>
        <w:rPr>
          <w:sz w:val="20"/>
          <w:szCs w:val="20"/>
          <w:color w:val="auto"/>
        </w:rPr>
      </w:pPr>
      <w:r>
        <w:rPr>
          <w:rFonts w:ascii="Times New Roman" w:cs="Times New Roman" w:eastAsia="Times New Roman" w:hAnsi="Times New Roman"/>
          <w:sz w:val="18"/>
          <w:szCs w:val="18"/>
          <w:color w:val="auto"/>
        </w:rPr>
        <w:t>Under the agreement, ACF had the exclusive right to manufacture and sell subject tank railcars for any new orders scheduled for delivery to customers on or before January 31, 2014. ARI has the exclusive right to any sales opportunities for such tank railcars for any new orders scheduled for delivery after that date and through December 31, 2015. ARI also has the right to assign any sales opportunity to ACF, and ACF has the right, but not the obligation, to accept such sales opportunity. Any sales opportunity accepted by ACF will not be reflected in ARI’s orders or backlog.</w:t>
      </w:r>
    </w:p>
    <w:p>
      <w:pPr>
        <w:spacing w:after="0" w:line="72"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Revenues of $19 million for the year ended December 31, 2014 were recorded for sales of railcar components to ACF and for royalties and profits on railcars sold by ACF.</w:t>
      </w:r>
    </w:p>
    <w:p>
      <w:pPr>
        <w:spacing w:after="0" w:line="54"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In April 2013, AEP Leasing entered into an agreement ("ACF Agreement") with ACF whereby AEP Leasing agreed to purchase 1,050 railcars from ACF in 2013 and 2014 for an aggregate purchase price of approximately $150 million. Additionally, AEP Leasing had an option that was exercisable any time prior to September 1, 2014 to purchase an additional 500 railcars for an aggregate purchase price of approximately $70 million. During the second quarter of 2014, AEP Leasing exercised its option to purchase an additional 296 railcars for an aggregate purchase price of $43 million.</w:t>
      </w:r>
    </w:p>
    <w:p>
      <w:pPr>
        <w:spacing w:after="0" w:line="72"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The ACF Agreement was assumed by ARL in connection with our purchase of a 75% economic interest in ARL. The ACF Agreement was unanimously approved by Icahn Enterprises' audit committee consisting of independent directors, who were advised by independent counsel and an independent financial advisor on the basis that the terms were not less favorable than those terms that could have been obtained in a comparable transaction with an unaffiliated third party. Under this agreement, purchases of railcars by our Railcar segment from ACF were $127 million for the year ended December 31, 2014.</w:t>
      </w:r>
    </w:p>
    <w:p>
      <w:pPr>
        <w:spacing w:after="0" w:line="76" w:lineRule="exact"/>
        <w:rPr>
          <w:sz w:val="20"/>
          <w:szCs w:val="20"/>
          <w:color w:val="auto"/>
        </w:rPr>
      </w:pPr>
    </w:p>
    <w:p>
      <w:pPr>
        <w:ind w:right="40" w:firstLine="378"/>
        <w:spacing w:after="0" w:line="258" w:lineRule="auto"/>
        <w:rPr>
          <w:sz w:val="20"/>
          <w:szCs w:val="20"/>
          <w:color w:val="auto"/>
        </w:rPr>
      </w:pPr>
      <w:r>
        <w:rPr>
          <w:rFonts w:ascii="Times New Roman" w:cs="Times New Roman" w:eastAsia="Times New Roman" w:hAnsi="Times New Roman"/>
          <w:sz w:val="18"/>
          <w:szCs w:val="18"/>
          <w:color w:val="auto"/>
        </w:rPr>
        <w:t>On October 2, 2013, our subsidiaries, AEP and IEP Energy Holding LLC, entered into a contribution agreement with ARL and IRL pursuant to which AEP contributed $279 million in cash to ARL; on January 1, 2014, AEP contributed the fair market value of its 100% interest in AEP Leasing to ARL; in exchange, AEP received a 75% membership interest in ARL. ARL then incurred additional debt of $381 million (the "ARL Financing") in February 2014. Pursuant to the ARL Contribution Agreement, ARL distributed $381 million to IRL on February 24, 2014. In connection with this debt financing transaction, ACF Industries Holding LLC, an affiliate, has provided an unconditional guaranty in respect of the debt incurred for the ARL Financing.</w:t>
      </w:r>
    </w:p>
    <w:p>
      <w:pPr>
        <w:spacing w:after="0" w:line="7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December 6, 2013, Federal-Mogul entered into a backstop commitment letter (the "Backstop Commitment") with High River Limited Partnership (“High River”), an affiliate of Carl C. Icahn, in favor of Federal-Mogul with respect to its existing Tranche B term loan. The Backstop Commitment provided that if Federal-Mogul was unable to refinance its Tranche B term loan on or prior to September 27, 2014, High River or an affiliate thereof with at least the same net worth will provide loan financing of up to $1.6 billion to Federal-Mogul and its subsidiaries on arms-length terms to provide the funding necessary to repay the Tranche B term loan. The High River loan was subject to negotiation and execution of definitive documentation to be approved by the independent directors of Federal-Mogul. Due to the refinancing of Federal-Mogul's term loans, the backstop commitment letter provided to Federal-Mogul on December 6, 2013 from High River Limited Partnership, an affiliate of Mr. Carl C. Icahn, was terminated.</w:t>
      </w:r>
    </w:p>
    <w:p>
      <w:pPr>
        <w:spacing w:after="0" w:line="81"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In December, 2012, Icahn Sourcing, LLC advised Icahn Enterprises that effective January 1, 2013 it would restructure its ownership and change its name to Insight Portfolio Group LLC (“Insight Portfolio Group”). In connection with the restructuring, Icahn Enterprises Holdings acquired a minority equity interest in Insight Portfolio Group and agreed to pay a portion of Insight Portfolio Group's annual operating expenses. In addition to the minority equity interest held by Icahn Enterprises Holdings, certain subsidiaries of Icahn Enterprises Holdings, including Federal-Mogul, CVR, Tropicana, ARI, ARL, Viskase PSC Metals and WPH also acquired minority equity interests in Insight Portfolio Group and agreed to pay a portion of Insight Portfolio Group's annual operating expenses. A number of other entities with which Mr. Icahn has a relationship also acquired equity interests in Insight Portfolio Group and also agreed to pay certain of Insight Portfolio Group's annual operating expenses. For 2014, we and certain of our subsidiaries paid $2 million to the Insight Portfolio Group.</w:t>
      </w:r>
    </w:p>
    <w:p>
      <w:pPr>
        <w:spacing w:after="0" w:line="77" w:lineRule="exact"/>
        <w:rPr>
          <w:sz w:val="20"/>
          <w:szCs w:val="20"/>
          <w:color w:val="auto"/>
        </w:rPr>
      </w:pPr>
    </w:p>
    <w:p>
      <w:pPr>
        <w:ind w:right="80" w:firstLine="378"/>
        <w:spacing w:after="0" w:line="258" w:lineRule="auto"/>
        <w:rPr>
          <w:sz w:val="20"/>
          <w:szCs w:val="20"/>
          <w:color w:val="auto"/>
        </w:rPr>
      </w:pPr>
      <w:r>
        <w:rPr>
          <w:rFonts w:ascii="Times New Roman" w:cs="Times New Roman" w:eastAsia="Times New Roman" w:hAnsi="Times New Roman"/>
          <w:sz w:val="18"/>
          <w:szCs w:val="18"/>
          <w:color w:val="auto"/>
        </w:rPr>
        <w:t>We may also enter into other transactions with Icahn Enterprises GP and its affiliates, including, without limitation, buying and selling properties and borrowing and lending funds from or to Icahn Enterprises GP or its affiliates, joint venture developments and issuing securities to Icahn Enterprises GP or its affiliates in exchange for, among other things, assets that they now own or may acquire in the future. Icahn Enterprises GP is also entitled to reimbursement by us for all allocable direct and indirect overhead expenses, including, but not limited to, salaries and rent, incurred in connection with the conduct of our business.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Provisions Concerning Property Management</w:t>
      </w:r>
    </w:p>
    <w:p>
      <w:pPr>
        <w:spacing w:after="0" w:line="121" w:lineRule="exact"/>
        <w:rPr>
          <w:sz w:val="20"/>
          <w:szCs w:val="20"/>
          <w:color w:val="auto"/>
        </w:rPr>
      </w:pPr>
    </w:p>
    <w:p>
      <w:pPr>
        <w:ind w:right="20" w:firstLine="378"/>
        <w:spacing w:after="0" w:line="261" w:lineRule="auto"/>
        <w:rPr>
          <w:sz w:val="20"/>
          <w:szCs w:val="20"/>
          <w:color w:val="auto"/>
        </w:rPr>
      </w:pPr>
      <w:r>
        <w:rPr>
          <w:rFonts w:ascii="Times New Roman" w:cs="Times New Roman" w:eastAsia="Times New Roman" w:hAnsi="Times New Roman"/>
          <w:sz w:val="18"/>
          <w:szCs w:val="18"/>
          <w:color w:val="auto"/>
        </w:rPr>
        <w:t>Icahn Enterprises GP and its affiliates may receive fees in connection with the acquisition, sale, financing, development, construction, marketing and management of new properties acquired by us. As development and other new properties are acquired, developed, constructed, operated, leased and financed, Icahn Enterprises GP or its affiliates may perform acquisition functions, including the review, verification and analysis of data and documentation with respect to potential acquisitions, and perform development and construction oversight and other land development services, property management and leasing</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400"/>
          </w:cols>
          <w:pgMar w:left="240" w:top="472" w:right="259" w:bottom="1440" w:gutter="0" w:footer="0" w:header="0"/>
        </w:sectPr>
      </w:pPr>
    </w:p>
    <w:bookmarkStart w:id="251" w:name="page252"/>
    <w:bookmarkEnd w:id="251"/>
    <w:p>
      <w:pPr>
        <w:ind w:right="20"/>
        <w:spacing w:after="0" w:line="255" w:lineRule="auto"/>
        <w:rPr>
          <w:sz w:val="20"/>
          <w:szCs w:val="20"/>
          <w:color w:val="auto"/>
        </w:rPr>
      </w:pPr>
      <w:r>
        <w:rPr>
          <w:rFonts w:ascii="Times New Roman" w:cs="Times New Roman" w:eastAsia="Times New Roman" w:hAnsi="Times New Roman"/>
          <w:sz w:val="18"/>
          <w:szCs w:val="18"/>
          <w:color w:val="auto"/>
        </w:rPr>
        <w:t>services, either on a day-to-day basis or on an asset management basis, and may perform other services and be entitled to fees and reimbursement of expenses relating thereto, provided the terms of such transactions are in accordance with our partnership agreement. It is not possible to state precisely what role, if any, Icahn Enterprises GP or any of its affiliates may have in the acquisition, development or management of any new investments. Consequently, it is not possible to state the amount of the income, fees or commissions Icahn Enterprises GP or its affiliates might be paid in connection therewith since the amount thereof is dependent upon the specific circumstances of each investment, including the nature of the services provided, the location of the investment and the amount customarily paid in such locality for such services. Subject to the specific circumstances surrounding each transaction and the overall fairness and reasonableness thereof to us, the fees charged by Icahn Enterprises GP and its affiliates for the services described below generally will be within the ranges set forth below:</w:t>
      </w:r>
    </w:p>
    <w:p>
      <w:pPr>
        <w:spacing w:after="0" w:line="75" w:lineRule="exact"/>
        <w:rPr>
          <w:sz w:val="20"/>
          <w:szCs w:val="20"/>
          <w:color w:val="auto"/>
        </w:rPr>
      </w:pPr>
    </w:p>
    <w:p>
      <w:pPr>
        <w:ind w:left="660" w:right="220" w:hanging="247"/>
        <w:spacing w:after="0" w:line="267"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Property Management and Asset Management Services. </w:t>
      </w:r>
      <w:r>
        <w:rPr>
          <w:rFonts w:ascii="Times New Roman" w:cs="Times New Roman" w:eastAsia="Times New Roman" w:hAnsi="Times New Roman"/>
          <w:sz w:val="18"/>
          <w:szCs w:val="18"/>
          <w:color w:val="auto"/>
        </w:rPr>
        <w:t>To the extent that we acquire any properties requiring active management (e.g.,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that are not net-leased) or asset management services, including on-site services, we may enter into fee-paying management or other arrangements with Icahn Enterprises GP or its affiliates.</w:t>
      </w:r>
    </w:p>
    <w:p>
      <w:pPr>
        <w:spacing w:after="0" w:line="65" w:lineRule="exact"/>
        <w:rPr>
          <w:rFonts w:ascii="Times New Roman" w:cs="Times New Roman" w:eastAsia="Times New Roman" w:hAnsi="Times New Roman"/>
          <w:sz w:val="18"/>
          <w:szCs w:val="18"/>
          <w:color w:val="auto"/>
        </w:rPr>
      </w:pPr>
    </w:p>
    <w:p>
      <w:pPr>
        <w:ind w:left="660" w:right="340" w:hanging="247"/>
        <w:spacing w:after="0" w:line="267"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Brokerage and Leasing Commissions. </w:t>
      </w:r>
      <w:r>
        <w:rPr>
          <w:rFonts w:ascii="Times New Roman" w:cs="Times New Roman" w:eastAsia="Times New Roman" w:hAnsi="Times New Roman"/>
          <w:sz w:val="18"/>
          <w:szCs w:val="18"/>
          <w:color w:val="auto"/>
        </w:rPr>
        <w:t>We also may pay affiliates of Icahn Enterprises GP real estate brokerage and leasing commissions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may range from 2% to 6% of the purchase price or rentals depending on location; this range may be somewhat higher for problem properties or lesser-valued properties).</w:t>
      </w:r>
    </w:p>
    <w:p>
      <w:pPr>
        <w:spacing w:after="0" w:line="65" w:lineRule="exact"/>
        <w:rPr>
          <w:rFonts w:ascii="Times New Roman" w:cs="Times New Roman" w:eastAsia="Times New Roman" w:hAnsi="Times New Roman"/>
          <w:sz w:val="18"/>
          <w:szCs w:val="18"/>
          <w:color w:val="auto"/>
        </w:rPr>
      </w:pPr>
    </w:p>
    <w:p>
      <w:pPr>
        <w:ind w:left="660" w:right="100" w:hanging="247"/>
        <w:spacing w:after="0" w:line="261"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Lending Arrangements. </w:t>
      </w:r>
      <w:r>
        <w:rPr>
          <w:rFonts w:ascii="Times New Roman" w:cs="Times New Roman" w:eastAsia="Times New Roman" w:hAnsi="Times New Roman"/>
          <w:sz w:val="18"/>
          <w:szCs w:val="18"/>
          <w:color w:val="auto"/>
        </w:rPr>
        <w:t>Icahn Enterprises GP or its affiliates may lend money to, or arrange loans for, us. Fees payable to Icahn Enterprises GP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affiliates in connection with such activities include mortgage brokerage fees (generally .5% to 3% of the loan amount), mortgage origination fees (generally .5% to 1.5% of the loan amount) and loan servicing fees (generally .10% to .12% of the loan amount), as well as interest on any amounts loaned by Icahn Enterprises GP or its affiliates to us.</w:t>
      </w:r>
    </w:p>
    <w:p>
      <w:pPr>
        <w:spacing w:after="0" w:line="71" w:lineRule="exact"/>
        <w:rPr>
          <w:rFonts w:ascii="Times New Roman" w:cs="Times New Roman" w:eastAsia="Times New Roman" w:hAnsi="Times New Roman"/>
          <w:sz w:val="18"/>
          <w:szCs w:val="18"/>
          <w:color w:val="auto"/>
        </w:rPr>
      </w:pPr>
    </w:p>
    <w:p>
      <w:pPr>
        <w:ind w:left="660" w:right="160" w:hanging="247"/>
        <w:spacing w:after="0" w:line="284"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Development and Construction Services. </w:t>
      </w:r>
      <w:r>
        <w:rPr>
          <w:rFonts w:ascii="Times New Roman" w:cs="Times New Roman" w:eastAsia="Times New Roman" w:hAnsi="Times New Roman"/>
          <w:sz w:val="18"/>
          <w:szCs w:val="18"/>
          <w:color w:val="auto"/>
        </w:rPr>
        <w:t>Icahn Enterprises GP or its affiliates may also receive fees for development services, generally 1% to 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development costs, and general contracting services or construction management services, generally 4% to 6% of construction costs.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2014, our real estate brokerage affiliate received approximately $636,000 for services provided to Cadus Corporation, an affiliate of Mr. Carl Icahn.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of our directors is also a director and the lead independent director of Cadus Corporation.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Affiliate Pension Obligations</w:t>
      </w:r>
    </w:p>
    <w:p>
      <w:pPr>
        <w:spacing w:after="0" w:line="121" w:lineRule="exact"/>
        <w:rPr>
          <w:sz w:val="20"/>
          <w:szCs w:val="20"/>
          <w:color w:val="auto"/>
        </w:rPr>
      </w:pPr>
    </w:p>
    <w:p>
      <w:pPr>
        <w:ind w:right="80" w:firstLine="378"/>
        <w:spacing w:after="0" w:line="256" w:lineRule="auto"/>
        <w:rPr>
          <w:sz w:val="20"/>
          <w:szCs w:val="20"/>
          <w:color w:val="auto"/>
        </w:rPr>
      </w:pPr>
      <w:r>
        <w:rPr>
          <w:rFonts w:ascii="Times New Roman" w:cs="Times New Roman" w:eastAsia="Times New Roman" w:hAnsi="Times New Roman"/>
          <w:sz w:val="18"/>
          <w:szCs w:val="18"/>
          <w:color w:val="auto"/>
        </w:rPr>
        <w:t>Mr. Icahn, through certain affiliates, owns 100% of Icahn Enterprises GP and approximately 88.4% of Icahn Enterprises' outstanding depositary units as of December 31, 2014.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80" w:lineRule="exact"/>
        <w:rPr>
          <w:sz w:val="20"/>
          <w:szCs w:val="20"/>
          <w:color w:val="auto"/>
        </w:rPr>
      </w:pPr>
    </w:p>
    <w:p>
      <w:pPr>
        <w:ind w:firstLine="378"/>
        <w:spacing w:after="0" w:line="253" w:lineRule="auto"/>
        <w:rPr>
          <w:sz w:val="20"/>
          <w:szCs w:val="20"/>
          <w:color w:val="auto"/>
        </w:rPr>
      </w:pPr>
      <w:r>
        <w:rPr>
          <w:rFonts w:ascii="Times New Roman" w:cs="Times New Roman" w:eastAsia="Times New Roman" w:hAnsi="Times New Roman"/>
          <w:sz w:val="18"/>
          <w:szCs w:val="18"/>
          <w:color w:val="auto"/>
        </w:rPr>
        <w:t>As a result of the more than 80% ownership interest in us by Mr. Icahn’s affiliates, we and our subsidiaries are subject to the pension liabilities of entities in which Mr. Icahn has a direct or indirect ownership interest of at least 80%. As a result of our ownership of more than 80% in our subsidiaries, we and our subsidiaries are subject to the pension liabilities of all entities in which Mr. Icahn has a direct or indirect ownership interest of at least 80%. ACF and Federal-Mogul, are the sponsors of several pension plans. All the minimum funding requirements of the Code and the Employee Retirement Income Security Act of 1974, as amended by the Pension Protection Act of 2006, for these plans have been met as of December 31, 2014 and 2013. If the plans were voluntarily terminated, they would be underfunded by approximately $474 million and $592 million as of December 31, 2014 and 2013,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83"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420"/>
          </w:cols>
          <w:pgMar w:left="240" w:top="472" w:right="239" w:bottom="1440" w:gutter="0" w:footer="0" w:header="0"/>
        </w:sectPr>
      </w:pPr>
    </w:p>
    <w:bookmarkStart w:id="252" w:name="page253"/>
    <w:bookmarkEnd w:id="252"/>
    <w:p>
      <w:pPr>
        <w:ind w:firstLine="378"/>
        <w:spacing w:after="0" w:line="255" w:lineRule="auto"/>
        <w:rPr>
          <w:sz w:val="20"/>
          <w:szCs w:val="20"/>
          <w:color w:val="auto"/>
        </w:rPr>
      </w:pPr>
      <w:r>
        <w:rPr>
          <w:rFonts w:ascii="Times New Roman" w:cs="Times New Roman" w:eastAsia="Times New Roman" w:hAnsi="Times New Roman"/>
          <w:sz w:val="18"/>
          <w:szCs w:val="18"/>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The board of directors of Icahn Enterprises GP has determined that we are a “controlled company” for the purposes of the NASDAQ's listing rules and therefore are not required to have a majority of independent directors or to have compensation and nominating committees consisting entirely of independent directors. Nevertheless, we believe that Messrs. Leidesdorf, Nelson and Wasserman are “independent” as defined in the currently applicable listing rules of NASDAQ. Messrs. Leidesdorf, Nelson and Wasserman serve as members of our audit committee. A majority of the members of Icahn Enterprises GP's board of directors are independent and the audit committee consists entirely of these independent directors.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We incurred $12,687,000 and $11,078,000 in audit fees and expenses from Grant Thornton LLP for 2014 and 2013, respectively. We include in the category of audit fees services such services related to audit of annual consolidated financial statements and internal controls, review of quarterly financial statements, review of reports filed with the SEC and other services, including services related to consents and registration statements filed with the SEC.</w:t>
      </w:r>
    </w:p>
    <w:p>
      <w:pPr>
        <w:spacing w:after="0" w:line="6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 incurred $416,000 and $696,000 in audit-related fees and expenses from Grant Thornton LLP for 2014 and 2013, respectively, relating primarily to services provided in connection with offering memorandums, potential acquisitions and employee benefit plans. Additionally, we incurred $63,000 and $188,000 in tax-related fees and expenses from Grant Thornton LLP for 2014 and 2013, respectively.</w:t>
      </w:r>
    </w:p>
    <w:p>
      <w:pPr>
        <w:spacing w:after="0" w:line="68"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In accordance with Icahn Enterprises' and Icahn Enterprises Holdings' Amended and Restated Audit Committee Charters adopted on March 12, 2004, the audit committee is required to approve in advance any and all audit services and permitted non-audit services provided to Icahn Enterprises, Icahn Enterprises Holdings and their consolidated subsidiaries by their independent auditors (subject to the de minimis exception of Section 10A (i) (1) (B) of the '34 Act), all as required by applicable law or listing standards. All of the fees in 2014 and 2013 were pre-approved by the audit committee.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400"/>
          </w:cols>
          <w:pgMar w:left="240" w:top="473" w:right="25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0" w:type="dxa"/>
            <w:vAlign w:val="bottom"/>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662"/>
        </w:trPr>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8"/>
        </w:trPr>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978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The following financial statements of Icahn Enterprises L.P., and subsidiaries, are included in Part II, Item 8 of this Report:</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 Number</w:t>
            </w:r>
          </w:p>
        </w:tc>
      </w:tr>
      <w:tr>
        <w:trPr>
          <w:trHeight w:val="27"/>
        </w:trPr>
        <w:tc>
          <w:tcPr>
            <w:tcW w:w="40" w:type="dxa"/>
            <w:vAlign w:val="bottom"/>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438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w:anchor="page137">
              <w:r>
                <w:rPr>
                  <w:rFonts w:ascii="Times New Roman" w:cs="Times New Roman" w:eastAsia="Times New Roman" w:hAnsi="Times New Roman"/>
                  <w:sz w:val="18"/>
                  <w:szCs w:val="18"/>
                  <w:color w:val="0000EE"/>
                  <w:w w:val="99"/>
                </w:rPr>
                <w:t>Consolidated Balance Sheets - December 31, 2014 and 2013</w:t>
              </w:r>
            </w:hyperlink>
          </w:p>
        </w:tc>
        <w:tc>
          <w:tcPr>
            <w:tcW w:w="5400" w:type="dxa"/>
            <w:vAlign w:val="bottom"/>
            <w:gridSpan w:val="5"/>
            <w:shd w:val="clear" w:color="auto" w:fill="CCEEFF"/>
          </w:tcPr>
          <w:p>
            <w:pPr>
              <w:spacing w:after="0"/>
              <w:rPr>
                <w:sz w:val="17"/>
                <w:szCs w:val="17"/>
                <w:color w:val="auto"/>
              </w:rPr>
            </w:pPr>
          </w:p>
        </w:tc>
        <w:tc>
          <w:tcPr>
            <w:tcW w:w="1580" w:type="dxa"/>
            <w:vAlign w:val="bottom"/>
            <w:gridSpan w:val="3"/>
            <w:shd w:val="clear" w:color="auto" w:fill="CCEEFF"/>
          </w:tcPr>
          <w:p>
            <w:pPr>
              <w:jc w:val="center"/>
              <w:spacing w:after="0" w:line="196" w:lineRule="exact"/>
              <w:rPr>
                <w:rFonts w:ascii="Times New Roman" w:cs="Times New Roman" w:eastAsia="Times New Roman" w:hAnsi="Times New Roman"/>
                <w:sz w:val="18"/>
                <w:szCs w:val="18"/>
                <w:color w:val="0000EE"/>
                <w:w w:val="96"/>
              </w:rPr>
            </w:pPr>
            <w:hyperlink w:anchor="page137">
              <w:r>
                <w:rPr>
                  <w:rFonts w:ascii="Times New Roman" w:cs="Times New Roman" w:eastAsia="Times New Roman" w:hAnsi="Times New Roman"/>
                  <w:sz w:val="18"/>
                  <w:szCs w:val="18"/>
                  <w:color w:val="0000EE"/>
                  <w:w w:val="96"/>
                </w:rPr>
                <w:t>135</w:t>
              </w:r>
            </w:hyperlink>
          </w:p>
        </w:tc>
      </w:tr>
      <w:tr>
        <w:trPr>
          <w:trHeight w:val="48"/>
        </w:trPr>
        <w:tc>
          <w:tcPr>
            <w:tcW w:w="40" w:type="dxa"/>
            <w:vAlign w:val="bottom"/>
            <w:tcBorders>
              <w:right w:val="single" w:sz="8" w:color="CCEEFF"/>
            </w:tcBorders>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780" w:type="dxa"/>
            <w:vAlign w:val="bottom"/>
            <w:gridSpan w:val="7"/>
          </w:tcPr>
          <w:p>
            <w:pPr>
              <w:spacing w:after="0" w:line="202" w:lineRule="exact"/>
              <w:rPr>
                <w:rFonts w:ascii="Times New Roman" w:cs="Times New Roman" w:eastAsia="Times New Roman" w:hAnsi="Times New Roman"/>
                <w:sz w:val="18"/>
                <w:szCs w:val="18"/>
                <w:color w:val="0000EE"/>
              </w:rPr>
            </w:pPr>
            <w:hyperlink w:anchor="page137">
              <w:r>
                <w:rPr>
                  <w:rFonts w:ascii="Times New Roman" w:cs="Times New Roman" w:eastAsia="Times New Roman" w:hAnsi="Times New Roman"/>
                  <w:sz w:val="18"/>
                  <w:szCs w:val="18"/>
                  <w:color w:val="0000EE"/>
                </w:rPr>
                <w:t>Consolidated Statements of Operations - Years Ended December 31, 2014, 2013 and 2012</w:t>
              </w:r>
            </w:hyperlink>
          </w:p>
        </w:tc>
        <w:tc>
          <w:tcPr>
            <w:tcW w:w="1580" w:type="dxa"/>
            <w:vAlign w:val="bottom"/>
            <w:gridSpan w:val="3"/>
          </w:tcPr>
          <w:p>
            <w:pPr>
              <w:jc w:val="center"/>
              <w:spacing w:after="0" w:line="202" w:lineRule="exact"/>
              <w:rPr>
                <w:rFonts w:ascii="Times New Roman" w:cs="Times New Roman" w:eastAsia="Times New Roman" w:hAnsi="Times New Roman"/>
                <w:sz w:val="18"/>
                <w:szCs w:val="18"/>
                <w:color w:val="0000EE"/>
                <w:w w:val="96"/>
              </w:rPr>
            </w:pPr>
            <w:hyperlink w:anchor="page137">
              <w:r>
                <w:rPr>
                  <w:rFonts w:ascii="Times New Roman" w:cs="Times New Roman" w:eastAsia="Times New Roman" w:hAnsi="Times New Roman"/>
                  <w:sz w:val="18"/>
                  <w:szCs w:val="18"/>
                  <w:color w:val="0000EE"/>
                  <w:w w:val="96"/>
                </w:rPr>
                <w:t>136</w:t>
              </w:r>
            </w:hyperlink>
          </w:p>
        </w:tc>
      </w:tr>
      <w:tr>
        <w:trPr>
          <w:trHeight w:val="48"/>
        </w:trPr>
        <w:tc>
          <w:tcPr>
            <w:tcW w:w="40" w:type="dxa"/>
            <w:vAlign w:val="bottom"/>
          </w:tcPr>
          <w:p>
            <w:pPr>
              <w:spacing w:after="0"/>
              <w:rPr>
                <w:sz w:val="4"/>
                <w:szCs w:val="4"/>
                <w:color w:val="auto"/>
              </w:rPr>
            </w:pPr>
          </w:p>
        </w:tc>
        <w:tc>
          <w:tcPr>
            <w:tcW w:w="31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1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7420" w:type="dxa"/>
            <w:vAlign w:val="bottom"/>
            <w:gridSpan w:val="6"/>
            <w:shd w:val="clear" w:color="auto" w:fill="CCEEFF"/>
          </w:tcPr>
          <w:p>
            <w:pPr>
              <w:spacing w:after="0" w:line="202" w:lineRule="exact"/>
              <w:rPr>
                <w:rFonts w:ascii="Times New Roman" w:cs="Times New Roman" w:eastAsia="Times New Roman" w:hAnsi="Times New Roman"/>
                <w:sz w:val="18"/>
                <w:szCs w:val="18"/>
                <w:color w:val="0000EE"/>
                <w:w w:val="99"/>
              </w:rPr>
            </w:pPr>
            <w:hyperlink w:anchor="page138">
              <w:r>
                <w:rPr>
                  <w:rFonts w:ascii="Times New Roman" w:cs="Times New Roman" w:eastAsia="Times New Roman" w:hAnsi="Times New Roman"/>
                  <w:sz w:val="18"/>
                  <w:szCs w:val="18"/>
                  <w:color w:val="0000EE"/>
                  <w:w w:val="99"/>
                </w:rPr>
                <w:t>Consolidated Statements of Comprehensive Income - Years Ended December 31, 2014, 2013 and 2012</w:t>
              </w:r>
            </w:hyperlink>
          </w:p>
        </w:tc>
        <w:tc>
          <w:tcPr>
            <w:tcW w:w="23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center"/>
              <w:spacing w:after="0" w:line="202" w:lineRule="exact"/>
              <w:rPr>
                <w:rFonts w:ascii="Times New Roman" w:cs="Times New Roman" w:eastAsia="Times New Roman" w:hAnsi="Times New Roman"/>
                <w:sz w:val="18"/>
                <w:szCs w:val="18"/>
                <w:color w:val="0000EE"/>
                <w:w w:val="96"/>
              </w:rPr>
            </w:pPr>
            <w:hyperlink w:anchor="page138">
              <w:r>
                <w:rPr>
                  <w:rFonts w:ascii="Times New Roman" w:cs="Times New Roman" w:eastAsia="Times New Roman" w:hAnsi="Times New Roman"/>
                  <w:sz w:val="18"/>
                  <w:szCs w:val="18"/>
                  <w:color w:val="0000EE"/>
                  <w:w w:val="96"/>
                </w:rPr>
                <w:t>137</w:t>
              </w:r>
            </w:hyperlink>
          </w:p>
        </w:tc>
      </w:tr>
      <w:tr>
        <w:trPr>
          <w:trHeight w:val="48"/>
        </w:trPr>
        <w:tc>
          <w:tcPr>
            <w:tcW w:w="40" w:type="dxa"/>
            <w:vAlign w:val="bottom"/>
            <w:tcBorders>
              <w:right w:val="single" w:sz="8" w:color="CCEEFF"/>
            </w:tcBorders>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2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7420" w:type="dxa"/>
            <w:vAlign w:val="bottom"/>
            <w:gridSpan w:val="6"/>
          </w:tcPr>
          <w:p>
            <w:pPr>
              <w:spacing w:after="0" w:line="202" w:lineRule="exact"/>
              <w:rPr>
                <w:rFonts w:ascii="Times New Roman" w:cs="Times New Roman" w:eastAsia="Times New Roman" w:hAnsi="Times New Roman"/>
                <w:sz w:val="18"/>
                <w:szCs w:val="18"/>
                <w:color w:val="0000EE"/>
              </w:rPr>
            </w:pPr>
            <w:hyperlink w:anchor="page139">
              <w:r>
                <w:rPr>
                  <w:rFonts w:ascii="Times New Roman" w:cs="Times New Roman" w:eastAsia="Times New Roman" w:hAnsi="Times New Roman"/>
                  <w:sz w:val="18"/>
                  <w:szCs w:val="18"/>
                  <w:color w:val="0000EE"/>
                </w:rPr>
                <w:t>Consolidated Statement of Changes in Equity - Years Ended December 31, 2014, 2013 and 2012</w:t>
              </w:r>
            </w:hyperlink>
          </w:p>
        </w:tc>
        <w:tc>
          <w:tcPr>
            <w:tcW w:w="2360" w:type="dxa"/>
            <w:vAlign w:val="bottom"/>
          </w:tcPr>
          <w:p>
            <w:pPr>
              <w:spacing w:after="0"/>
              <w:rPr>
                <w:sz w:val="17"/>
                <w:szCs w:val="17"/>
                <w:color w:val="auto"/>
              </w:rPr>
            </w:pPr>
          </w:p>
        </w:tc>
        <w:tc>
          <w:tcPr>
            <w:tcW w:w="1580" w:type="dxa"/>
            <w:vAlign w:val="bottom"/>
            <w:gridSpan w:val="3"/>
          </w:tcPr>
          <w:p>
            <w:pPr>
              <w:jc w:val="center"/>
              <w:spacing w:after="0" w:line="202" w:lineRule="exact"/>
              <w:rPr>
                <w:rFonts w:ascii="Times New Roman" w:cs="Times New Roman" w:eastAsia="Times New Roman" w:hAnsi="Times New Roman"/>
                <w:sz w:val="18"/>
                <w:szCs w:val="18"/>
                <w:color w:val="0000EE"/>
                <w:w w:val="96"/>
              </w:rPr>
            </w:pPr>
            <w:hyperlink w:anchor="page139">
              <w:r>
                <w:rPr>
                  <w:rFonts w:ascii="Times New Roman" w:cs="Times New Roman" w:eastAsia="Times New Roman" w:hAnsi="Times New Roman"/>
                  <w:sz w:val="18"/>
                  <w:szCs w:val="18"/>
                  <w:color w:val="0000EE"/>
                  <w:w w:val="96"/>
                </w:rPr>
                <w:t>138</w:t>
              </w:r>
            </w:hyperlink>
          </w:p>
        </w:tc>
      </w:tr>
      <w:tr>
        <w:trPr>
          <w:trHeight w:val="48"/>
        </w:trPr>
        <w:tc>
          <w:tcPr>
            <w:tcW w:w="40" w:type="dxa"/>
            <w:vAlign w:val="bottom"/>
          </w:tcPr>
          <w:p>
            <w:pPr>
              <w:spacing w:after="0"/>
              <w:rPr>
                <w:sz w:val="4"/>
                <w:szCs w:val="4"/>
                <w:color w:val="auto"/>
              </w:rPr>
            </w:pPr>
          </w:p>
        </w:tc>
        <w:tc>
          <w:tcPr>
            <w:tcW w:w="31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9780" w:type="dxa"/>
            <w:vAlign w:val="bottom"/>
            <w:gridSpan w:val="7"/>
            <w:shd w:val="clear" w:color="auto" w:fill="CCEEFF"/>
          </w:tcPr>
          <w:p>
            <w:pPr>
              <w:spacing w:after="0" w:line="202" w:lineRule="exact"/>
              <w:rPr>
                <w:rFonts w:ascii="Times New Roman" w:cs="Times New Roman" w:eastAsia="Times New Roman" w:hAnsi="Times New Roman"/>
                <w:sz w:val="18"/>
                <w:szCs w:val="18"/>
                <w:color w:val="0000EE"/>
              </w:rPr>
            </w:pPr>
            <w:hyperlink w:anchor="page140">
              <w:r>
                <w:rPr>
                  <w:rFonts w:ascii="Times New Roman" w:cs="Times New Roman" w:eastAsia="Times New Roman" w:hAnsi="Times New Roman"/>
                  <w:sz w:val="18"/>
                  <w:szCs w:val="18"/>
                  <w:color w:val="0000EE"/>
                </w:rPr>
                <w:t>Consolidated Statements of Cash Flows - Years Ended December 31, 2014, 2013 and 2012</w:t>
              </w:r>
            </w:hyperlink>
          </w:p>
        </w:tc>
        <w:tc>
          <w:tcPr>
            <w:tcW w:w="1580" w:type="dxa"/>
            <w:vAlign w:val="bottom"/>
            <w:gridSpan w:val="3"/>
            <w:shd w:val="clear" w:color="auto" w:fill="CCEEFF"/>
          </w:tcPr>
          <w:p>
            <w:pPr>
              <w:jc w:val="center"/>
              <w:spacing w:after="0" w:line="202" w:lineRule="exact"/>
              <w:rPr>
                <w:rFonts w:ascii="Times New Roman" w:cs="Times New Roman" w:eastAsia="Times New Roman" w:hAnsi="Times New Roman"/>
                <w:sz w:val="18"/>
                <w:szCs w:val="18"/>
                <w:color w:val="0000EE"/>
                <w:w w:val="96"/>
              </w:rPr>
            </w:pPr>
            <w:hyperlink w:anchor="page140">
              <w:r>
                <w:rPr>
                  <w:rFonts w:ascii="Times New Roman" w:cs="Times New Roman" w:eastAsia="Times New Roman" w:hAnsi="Times New Roman"/>
                  <w:sz w:val="18"/>
                  <w:szCs w:val="18"/>
                  <w:color w:val="0000EE"/>
                  <w:w w:val="96"/>
                </w:rPr>
                <w:t>139</w:t>
              </w:r>
            </w:hyperlink>
          </w:p>
        </w:tc>
      </w:tr>
      <w:tr>
        <w:trPr>
          <w:trHeight w:val="48"/>
        </w:trPr>
        <w:tc>
          <w:tcPr>
            <w:tcW w:w="40" w:type="dxa"/>
            <w:vAlign w:val="bottom"/>
            <w:tcBorders>
              <w:right w:val="single" w:sz="8" w:color="CCEEFF"/>
            </w:tcBorders>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2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160" w:type="dxa"/>
            <w:vAlign w:val="bottom"/>
          </w:tcPr>
          <w:p>
            <w:pPr>
              <w:spacing w:after="0" w:line="202" w:lineRule="exact"/>
              <w:rPr>
                <w:rFonts w:ascii="Times New Roman" w:cs="Times New Roman" w:eastAsia="Times New Roman" w:hAnsi="Times New Roman"/>
                <w:sz w:val="18"/>
                <w:szCs w:val="18"/>
                <w:color w:val="0000EE"/>
                <w:w w:val="99"/>
              </w:rPr>
            </w:pPr>
            <w:hyperlink w:anchor="page148">
              <w:r>
                <w:rPr>
                  <w:rFonts w:ascii="Times New Roman" w:cs="Times New Roman" w:eastAsia="Times New Roman" w:hAnsi="Times New Roman"/>
                  <w:sz w:val="18"/>
                  <w:szCs w:val="18"/>
                  <w:color w:val="0000EE"/>
                  <w:w w:val="99"/>
                </w:rPr>
                <w:t>Notes to Consolidated Financial Statements</w:t>
              </w:r>
            </w:hyperlink>
          </w:p>
        </w:tc>
        <w:tc>
          <w:tcPr>
            <w:tcW w:w="3380" w:type="dxa"/>
            <w:vAlign w:val="bottom"/>
            <w:gridSpan w:val="3"/>
          </w:tcPr>
          <w:p>
            <w:pPr>
              <w:spacing w:after="0"/>
              <w:rPr>
                <w:sz w:val="17"/>
                <w:szCs w:val="17"/>
                <w:color w:val="auto"/>
              </w:rPr>
            </w:pPr>
          </w:p>
        </w:tc>
        <w:tc>
          <w:tcPr>
            <w:tcW w:w="3240" w:type="dxa"/>
            <w:vAlign w:val="bottom"/>
            <w:gridSpan w:val="3"/>
          </w:tcPr>
          <w:p>
            <w:pPr>
              <w:spacing w:after="0"/>
              <w:rPr>
                <w:sz w:val="17"/>
                <w:szCs w:val="17"/>
                <w:color w:val="auto"/>
              </w:rPr>
            </w:pPr>
          </w:p>
        </w:tc>
        <w:tc>
          <w:tcPr>
            <w:tcW w:w="1580" w:type="dxa"/>
            <w:vAlign w:val="bottom"/>
            <w:gridSpan w:val="3"/>
          </w:tcPr>
          <w:p>
            <w:pPr>
              <w:jc w:val="center"/>
              <w:spacing w:after="0" w:line="202" w:lineRule="exact"/>
              <w:rPr>
                <w:rFonts w:ascii="Times New Roman" w:cs="Times New Roman" w:eastAsia="Times New Roman" w:hAnsi="Times New Roman"/>
                <w:sz w:val="18"/>
                <w:szCs w:val="18"/>
                <w:color w:val="0000EE"/>
                <w:w w:val="96"/>
              </w:rPr>
            </w:pPr>
            <w:hyperlink w:anchor="page148">
              <w:r>
                <w:rPr>
                  <w:rFonts w:ascii="Times New Roman" w:cs="Times New Roman" w:eastAsia="Times New Roman" w:hAnsi="Times New Roman"/>
                  <w:sz w:val="18"/>
                  <w:szCs w:val="18"/>
                  <w:color w:val="0000EE"/>
                  <w:w w:val="96"/>
                </w:rPr>
                <w:t>147</w:t>
              </w:r>
            </w:hyperlink>
          </w:p>
        </w:tc>
      </w:tr>
      <w:tr>
        <w:trPr>
          <w:trHeight w:val="20"/>
        </w:trPr>
        <w:tc>
          <w:tcPr>
            <w:tcW w:w="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financial statements of Icahn Enterprises Holdings L.P., and subsidiaries, are included in Part II, Item 8 of this Report: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 Number</w:t>
            </w:r>
          </w:p>
        </w:tc>
      </w:tr>
      <w:tr>
        <w:trPr>
          <w:trHeight w:val="27"/>
        </w:trPr>
        <w:tc>
          <w:tcPr>
            <w:tcW w:w="40" w:type="dxa"/>
            <w:vAlign w:val="bottom"/>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438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w:anchor="page143">
              <w:r>
                <w:rPr>
                  <w:rFonts w:ascii="Times New Roman" w:cs="Times New Roman" w:eastAsia="Times New Roman" w:hAnsi="Times New Roman"/>
                  <w:sz w:val="18"/>
                  <w:szCs w:val="18"/>
                  <w:color w:val="0000EE"/>
                  <w:w w:val="99"/>
                </w:rPr>
                <w:t>Consolidated Balance Sheets - December 31, 2014 and 2013</w:t>
              </w:r>
            </w:hyperlink>
          </w:p>
        </w:tc>
        <w:tc>
          <w:tcPr>
            <w:tcW w:w="5400" w:type="dxa"/>
            <w:vAlign w:val="bottom"/>
            <w:gridSpan w:val="6"/>
            <w:shd w:val="clear" w:color="auto" w:fill="CCEEFF"/>
          </w:tcPr>
          <w:p>
            <w:pPr>
              <w:spacing w:after="0"/>
              <w:rPr>
                <w:sz w:val="17"/>
                <w:szCs w:val="17"/>
                <w:color w:val="auto"/>
              </w:rPr>
            </w:pPr>
          </w:p>
        </w:tc>
        <w:tc>
          <w:tcPr>
            <w:tcW w:w="1580" w:type="dxa"/>
            <w:vAlign w:val="bottom"/>
            <w:gridSpan w:val="3"/>
            <w:shd w:val="clear" w:color="auto" w:fill="CCEEFF"/>
          </w:tcPr>
          <w:p>
            <w:pPr>
              <w:jc w:val="center"/>
              <w:spacing w:after="0" w:line="196" w:lineRule="exact"/>
              <w:rPr>
                <w:rFonts w:ascii="Times New Roman" w:cs="Times New Roman" w:eastAsia="Times New Roman" w:hAnsi="Times New Roman"/>
                <w:sz w:val="18"/>
                <w:szCs w:val="18"/>
                <w:color w:val="0000EE"/>
                <w:w w:val="96"/>
              </w:rPr>
            </w:pPr>
            <w:hyperlink w:anchor="page143">
              <w:r>
                <w:rPr>
                  <w:rFonts w:ascii="Times New Roman" w:cs="Times New Roman" w:eastAsia="Times New Roman" w:hAnsi="Times New Roman"/>
                  <w:sz w:val="18"/>
                  <w:szCs w:val="18"/>
                  <w:color w:val="0000EE"/>
                  <w:w w:val="96"/>
                </w:rPr>
                <w:t>141</w:t>
              </w:r>
            </w:hyperlink>
          </w:p>
        </w:tc>
      </w:tr>
      <w:tr>
        <w:trPr>
          <w:trHeight w:val="48"/>
        </w:trPr>
        <w:tc>
          <w:tcPr>
            <w:tcW w:w="40" w:type="dxa"/>
            <w:vAlign w:val="bottom"/>
            <w:tcBorders>
              <w:right w:val="single" w:sz="8" w:color="CCEEFF"/>
            </w:tcBorders>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780" w:type="dxa"/>
            <w:vAlign w:val="bottom"/>
            <w:gridSpan w:val="8"/>
          </w:tcPr>
          <w:p>
            <w:pPr>
              <w:spacing w:after="0" w:line="202" w:lineRule="exact"/>
              <w:rPr>
                <w:rFonts w:ascii="Times New Roman" w:cs="Times New Roman" w:eastAsia="Times New Roman" w:hAnsi="Times New Roman"/>
                <w:sz w:val="18"/>
                <w:szCs w:val="18"/>
                <w:color w:val="0000EE"/>
              </w:rPr>
            </w:pPr>
            <w:hyperlink w:anchor="page143">
              <w:r>
                <w:rPr>
                  <w:rFonts w:ascii="Times New Roman" w:cs="Times New Roman" w:eastAsia="Times New Roman" w:hAnsi="Times New Roman"/>
                  <w:sz w:val="18"/>
                  <w:szCs w:val="18"/>
                  <w:color w:val="0000EE"/>
                </w:rPr>
                <w:t>Consolidated Statements of Operations - Years Ended December 31, 2014, 2013 and 2012</w:t>
              </w:r>
            </w:hyperlink>
          </w:p>
        </w:tc>
        <w:tc>
          <w:tcPr>
            <w:tcW w:w="1580" w:type="dxa"/>
            <w:vAlign w:val="bottom"/>
            <w:gridSpan w:val="3"/>
          </w:tcPr>
          <w:p>
            <w:pPr>
              <w:jc w:val="center"/>
              <w:spacing w:after="0" w:line="202" w:lineRule="exact"/>
              <w:rPr>
                <w:rFonts w:ascii="Times New Roman" w:cs="Times New Roman" w:eastAsia="Times New Roman" w:hAnsi="Times New Roman"/>
                <w:sz w:val="18"/>
                <w:szCs w:val="18"/>
                <w:color w:val="0000EE"/>
                <w:w w:val="96"/>
              </w:rPr>
            </w:pPr>
            <w:hyperlink w:anchor="page143">
              <w:r>
                <w:rPr>
                  <w:rFonts w:ascii="Times New Roman" w:cs="Times New Roman" w:eastAsia="Times New Roman" w:hAnsi="Times New Roman"/>
                  <w:sz w:val="18"/>
                  <w:szCs w:val="18"/>
                  <w:color w:val="0000EE"/>
                  <w:w w:val="96"/>
                </w:rPr>
                <w:t>142</w:t>
              </w:r>
            </w:hyperlink>
          </w:p>
        </w:tc>
      </w:tr>
      <w:tr>
        <w:trPr>
          <w:trHeight w:val="48"/>
        </w:trPr>
        <w:tc>
          <w:tcPr>
            <w:tcW w:w="40" w:type="dxa"/>
            <w:vAlign w:val="bottom"/>
          </w:tcPr>
          <w:p>
            <w:pPr>
              <w:spacing w:after="0"/>
              <w:rPr>
                <w:sz w:val="4"/>
                <w:szCs w:val="4"/>
                <w:color w:val="auto"/>
              </w:rPr>
            </w:pPr>
          </w:p>
        </w:tc>
        <w:tc>
          <w:tcPr>
            <w:tcW w:w="31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7420" w:type="dxa"/>
            <w:vAlign w:val="bottom"/>
            <w:gridSpan w:val="7"/>
            <w:shd w:val="clear" w:color="auto" w:fill="CCEEFF"/>
          </w:tcPr>
          <w:p>
            <w:pPr>
              <w:spacing w:after="0" w:line="202" w:lineRule="exact"/>
              <w:rPr>
                <w:rFonts w:ascii="Times New Roman" w:cs="Times New Roman" w:eastAsia="Times New Roman" w:hAnsi="Times New Roman"/>
                <w:sz w:val="18"/>
                <w:szCs w:val="18"/>
                <w:color w:val="0000EE"/>
                <w:w w:val="99"/>
              </w:rPr>
            </w:pPr>
            <w:hyperlink w:anchor="page144">
              <w:r>
                <w:rPr>
                  <w:rFonts w:ascii="Times New Roman" w:cs="Times New Roman" w:eastAsia="Times New Roman" w:hAnsi="Times New Roman"/>
                  <w:sz w:val="18"/>
                  <w:szCs w:val="18"/>
                  <w:color w:val="0000EE"/>
                  <w:w w:val="99"/>
                </w:rPr>
                <w:t>Consolidated Statements of Comprehensive Income - Years Ended December 31, 2014, 2013 and 2012</w:t>
              </w:r>
            </w:hyperlink>
          </w:p>
        </w:tc>
        <w:tc>
          <w:tcPr>
            <w:tcW w:w="23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center"/>
              <w:spacing w:after="0" w:line="202" w:lineRule="exact"/>
              <w:rPr>
                <w:rFonts w:ascii="Times New Roman" w:cs="Times New Roman" w:eastAsia="Times New Roman" w:hAnsi="Times New Roman"/>
                <w:sz w:val="18"/>
                <w:szCs w:val="18"/>
                <w:color w:val="0000EE"/>
                <w:w w:val="96"/>
              </w:rPr>
            </w:pPr>
            <w:hyperlink w:anchor="page144">
              <w:r>
                <w:rPr>
                  <w:rFonts w:ascii="Times New Roman" w:cs="Times New Roman" w:eastAsia="Times New Roman" w:hAnsi="Times New Roman"/>
                  <w:sz w:val="18"/>
                  <w:szCs w:val="18"/>
                  <w:color w:val="0000EE"/>
                  <w:w w:val="96"/>
                </w:rPr>
                <w:t>143</w:t>
              </w:r>
            </w:hyperlink>
          </w:p>
        </w:tc>
      </w:tr>
      <w:tr>
        <w:trPr>
          <w:trHeight w:val="48"/>
        </w:trPr>
        <w:tc>
          <w:tcPr>
            <w:tcW w:w="40" w:type="dxa"/>
            <w:vAlign w:val="bottom"/>
            <w:tcBorders>
              <w:right w:val="single" w:sz="8" w:color="CCEEFF"/>
            </w:tcBorders>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7420" w:type="dxa"/>
            <w:vAlign w:val="bottom"/>
            <w:gridSpan w:val="7"/>
          </w:tcPr>
          <w:p>
            <w:pPr>
              <w:spacing w:after="0" w:line="202" w:lineRule="exact"/>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Consolidated Statement of Changes in Equity - Years Ended December 31, 2014, 2013 and 2012</w:t>
              </w:r>
            </w:hyperlink>
          </w:p>
        </w:tc>
        <w:tc>
          <w:tcPr>
            <w:tcW w:w="2360" w:type="dxa"/>
            <w:vAlign w:val="bottom"/>
          </w:tcPr>
          <w:p>
            <w:pPr>
              <w:spacing w:after="0"/>
              <w:rPr>
                <w:sz w:val="17"/>
                <w:szCs w:val="17"/>
                <w:color w:val="auto"/>
              </w:rPr>
            </w:pPr>
          </w:p>
        </w:tc>
        <w:tc>
          <w:tcPr>
            <w:tcW w:w="1580" w:type="dxa"/>
            <w:vAlign w:val="bottom"/>
            <w:gridSpan w:val="3"/>
          </w:tcPr>
          <w:p>
            <w:pPr>
              <w:jc w:val="center"/>
              <w:spacing w:after="0" w:line="202" w:lineRule="exact"/>
              <w:rPr>
                <w:rFonts w:ascii="Times New Roman" w:cs="Times New Roman" w:eastAsia="Times New Roman" w:hAnsi="Times New Roman"/>
                <w:sz w:val="18"/>
                <w:szCs w:val="18"/>
                <w:color w:val="0000EE"/>
                <w:w w:val="96"/>
              </w:rPr>
            </w:pPr>
            <w:hyperlink w:anchor="page145">
              <w:r>
                <w:rPr>
                  <w:rFonts w:ascii="Times New Roman" w:cs="Times New Roman" w:eastAsia="Times New Roman" w:hAnsi="Times New Roman"/>
                  <w:sz w:val="18"/>
                  <w:szCs w:val="18"/>
                  <w:color w:val="0000EE"/>
                  <w:w w:val="96"/>
                </w:rPr>
                <w:t>144</w:t>
              </w:r>
            </w:hyperlink>
          </w:p>
        </w:tc>
      </w:tr>
      <w:tr>
        <w:trPr>
          <w:trHeight w:val="48"/>
        </w:trPr>
        <w:tc>
          <w:tcPr>
            <w:tcW w:w="40" w:type="dxa"/>
            <w:vAlign w:val="bottom"/>
          </w:tcPr>
          <w:p>
            <w:pPr>
              <w:spacing w:after="0"/>
              <w:rPr>
                <w:sz w:val="4"/>
                <w:szCs w:val="4"/>
                <w:color w:val="auto"/>
              </w:rPr>
            </w:pPr>
          </w:p>
        </w:tc>
        <w:tc>
          <w:tcPr>
            <w:tcW w:w="31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9780" w:type="dxa"/>
            <w:vAlign w:val="bottom"/>
            <w:gridSpan w:val="8"/>
            <w:shd w:val="clear" w:color="auto" w:fill="CCEEFF"/>
          </w:tcPr>
          <w:p>
            <w:pPr>
              <w:spacing w:after="0" w:line="202" w:lineRule="exact"/>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Consolidated Statements of Cash Flows - Years Ended December 31, 2014, 2013 and 2012</w:t>
              </w:r>
            </w:hyperlink>
          </w:p>
        </w:tc>
        <w:tc>
          <w:tcPr>
            <w:tcW w:w="1580" w:type="dxa"/>
            <w:vAlign w:val="bottom"/>
            <w:gridSpan w:val="3"/>
            <w:shd w:val="clear" w:color="auto" w:fill="CCEEFF"/>
          </w:tcPr>
          <w:p>
            <w:pPr>
              <w:jc w:val="center"/>
              <w:spacing w:after="0" w:line="202" w:lineRule="exact"/>
              <w:rPr>
                <w:rFonts w:ascii="Times New Roman" w:cs="Times New Roman" w:eastAsia="Times New Roman" w:hAnsi="Times New Roman"/>
                <w:sz w:val="18"/>
                <w:szCs w:val="18"/>
                <w:color w:val="0000EE"/>
                <w:w w:val="96"/>
              </w:rPr>
            </w:pPr>
            <w:hyperlink w:anchor="page146">
              <w:r>
                <w:rPr>
                  <w:rFonts w:ascii="Times New Roman" w:cs="Times New Roman" w:eastAsia="Times New Roman" w:hAnsi="Times New Roman"/>
                  <w:sz w:val="18"/>
                  <w:szCs w:val="18"/>
                  <w:color w:val="0000EE"/>
                  <w:w w:val="96"/>
                </w:rPr>
                <w:t>145</w:t>
              </w:r>
            </w:hyperlink>
          </w:p>
        </w:tc>
      </w:tr>
      <w:tr>
        <w:trPr>
          <w:trHeight w:val="48"/>
        </w:trPr>
        <w:tc>
          <w:tcPr>
            <w:tcW w:w="40" w:type="dxa"/>
            <w:vAlign w:val="bottom"/>
            <w:tcBorders>
              <w:right w:val="single" w:sz="8" w:color="CCEEFF"/>
            </w:tcBorders>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160" w:type="dxa"/>
            <w:vAlign w:val="bottom"/>
          </w:tcPr>
          <w:p>
            <w:pPr>
              <w:spacing w:after="0" w:line="202" w:lineRule="exact"/>
              <w:rPr>
                <w:rFonts w:ascii="Times New Roman" w:cs="Times New Roman" w:eastAsia="Times New Roman" w:hAnsi="Times New Roman"/>
                <w:sz w:val="18"/>
                <w:szCs w:val="18"/>
                <w:color w:val="0000EE"/>
                <w:w w:val="99"/>
              </w:rPr>
            </w:pPr>
            <w:hyperlink w:anchor="page148">
              <w:r>
                <w:rPr>
                  <w:rFonts w:ascii="Times New Roman" w:cs="Times New Roman" w:eastAsia="Times New Roman" w:hAnsi="Times New Roman"/>
                  <w:sz w:val="18"/>
                  <w:szCs w:val="18"/>
                  <w:color w:val="0000EE"/>
                  <w:w w:val="99"/>
                </w:rPr>
                <w:t>Notes to Consolidated Financial Statements</w:t>
              </w:r>
            </w:hyperlink>
          </w:p>
        </w:tc>
        <w:tc>
          <w:tcPr>
            <w:tcW w:w="3380" w:type="dxa"/>
            <w:vAlign w:val="bottom"/>
            <w:gridSpan w:val="4"/>
          </w:tcPr>
          <w:p>
            <w:pPr>
              <w:spacing w:after="0"/>
              <w:rPr>
                <w:sz w:val="17"/>
                <w:szCs w:val="17"/>
                <w:color w:val="auto"/>
              </w:rPr>
            </w:pPr>
          </w:p>
        </w:tc>
        <w:tc>
          <w:tcPr>
            <w:tcW w:w="3240" w:type="dxa"/>
            <w:vAlign w:val="bottom"/>
            <w:gridSpan w:val="3"/>
          </w:tcPr>
          <w:p>
            <w:pPr>
              <w:spacing w:after="0"/>
              <w:rPr>
                <w:sz w:val="17"/>
                <w:szCs w:val="17"/>
                <w:color w:val="auto"/>
              </w:rPr>
            </w:pPr>
          </w:p>
        </w:tc>
        <w:tc>
          <w:tcPr>
            <w:tcW w:w="1580" w:type="dxa"/>
            <w:vAlign w:val="bottom"/>
            <w:gridSpan w:val="3"/>
          </w:tcPr>
          <w:p>
            <w:pPr>
              <w:jc w:val="center"/>
              <w:spacing w:after="0" w:line="202" w:lineRule="exact"/>
              <w:rPr>
                <w:rFonts w:ascii="Times New Roman" w:cs="Times New Roman" w:eastAsia="Times New Roman" w:hAnsi="Times New Roman"/>
                <w:sz w:val="18"/>
                <w:szCs w:val="18"/>
                <w:color w:val="0000EE"/>
                <w:w w:val="96"/>
              </w:rPr>
            </w:pPr>
            <w:hyperlink w:anchor="page148">
              <w:r>
                <w:rPr>
                  <w:rFonts w:ascii="Times New Roman" w:cs="Times New Roman" w:eastAsia="Times New Roman" w:hAnsi="Times New Roman"/>
                  <w:sz w:val="18"/>
                  <w:szCs w:val="18"/>
                  <w:color w:val="0000EE"/>
                  <w:w w:val="96"/>
                </w:rPr>
                <w:t>147</w:t>
              </w:r>
            </w:hyperlink>
          </w:p>
        </w:tc>
      </w:tr>
      <w:tr>
        <w:trPr>
          <w:trHeight w:val="20"/>
        </w:trPr>
        <w:tc>
          <w:tcPr>
            <w:tcW w:w="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804"/>
        </w:trPr>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 Number</w:t>
            </w:r>
          </w:p>
        </w:tc>
      </w:tr>
      <w:tr>
        <w:trPr>
          <w:trHeight w:val="27"/>
        </w:trPr>
        <w:tc>
          <w:tcPr>
            <w:tcW w:w="40" w:type="dxa"/>
            <w:vAlign w:val="bottom"/>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9780" w:type="dxa"/>
            <w:vAlign w:val="bottom"/>
            <w:gridSpan w:val="8"/>
            <w:shd w:val="clear" w:color="auto" w:fill="CCEEFF"/>
          </w:tcPr>
          <w:p>
            <w:pPr>
              <w:spacing w:after="0" w:line="196" w:lineRule="exact"/>
              <w:rPr>
                <w:rFonts w:ascii="Times New Roman" w:cs="Times New Roman" w:eastAsia="Times New Roman" w:hAnsi="Times New Roman"/>
                <w:sz w:val="18"/>
                <w:szCs w:val="18"/>
                <w:color w:val="0000EE"/>
              </w:rPr>
            </w:pPr>
            <w:hyperlink w:anchor="page254">
              <w:r>
                <w:rPr>
                  <w:rFonts w:ascii="Times New Roman" w:cs="Times New Roman" w:eastAsia="Times New Roman" w:hAnsi="Times New Roman"/>
                  <w:sz w:val="18"/>
                  <w:szCs w:val="18"/>
                  <w:color w:val="0000EE"/>
                </w:rPr>
                <w:t>Schedule I - Condensed Financial Information of Parent (Icahn Enterprises L.P.)</w:t>
              </w:r>
            </w:hyperlink>
          </w:p>
        </w:tc>
        <w:tc>
          <w:tcPr>
            <w:tcW w:w="1580" w:type="dxa"/>
            <w:vAlign w:val="bottom"/>
            <w:gridSpan w:val="3"/>
            <w:shd w:val="clear" w:color="auto" w:fill="CCEEFF"/>
          </w:tcPr>
          <w:p>
            <w:pPr>
              <w:jc w:val="center"/>
              <w:spacing w:after="0" w:line="196" w:lineRule="exact"/>
              <w:rPr>
                <w:rFonts w:ascii="Times New Roman" w:cs="Times New Roman" w:eastAsia="Times New Roman" w:hAnsi="Times New Roman"/>
                <w:sz w:val="18"/>
                <w:szCs w:val="18"/>
                <w:color w:val="0000EE"/>
                <w:w w:val="96"/>
              </w:rPr>
            </w:pPr>
            <w:hyperlink w:anchor="page254">
              <w:r>
                <w:rPr>
                  <w:rFonts w:ascii="Times New Roman" w:cs="Times New Roman" w:eastAsia="Times New Roman" w:hAnsi="Times New Roman"/>
                  <w:sz w:val="18"/>
                  <w:szCs w:val="18"/>
                  <w:color w:val="0000EE"/>
                  <w:w w:val="96"/>
                </w:rPr>
                <w:t>252</w:t>
              </w:r>
            </w:hyperlink>
          </w:p>
        </w:tc>
      </w:tr>
      <w:tr>
        <w:trPr>
          <w:trHeight w:val="48"/>
        </w:trPr>
        <w:tc>
          <w:tcPr>
            <w:tcW w:w="40" w:type="dxa"/>
            <w:vAlign w:val="bottom"/>
            <w:tcBorders>
              <w:right w:val="single" w:sz="8" w:color="CCEEFF"/>
            </w:tcBorders>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500" w:type="dxa"/>
            <w:vAlign w:val="bottom"/>
            <w:gridSpan w:val="4"/>
          </w:tcPr>
          <w:p>
            <w:pPr>
              <w:spacing w:after="0" w:line="202" w:lineRule="exact"/>
              <w:rPr>
                <w:rFonts w:ascii="Times New Roman" w:cs="Times New Roman" w:eastAsia="Times New Roman" w:hAnsi="Times New Roman"/>
                <w:sz w:val="18"/>
                <w:szCs w:val="18"/>
                <w:color w:val="0000EE"/>
                <w:w w:val="99"/>
              </w:rPr>
            </w:pPr>
            <w:hyperlink w:anchor="page258">
              <w:r>
                <w:rPr>
                  <w:rFonts w:ascii="Times New Roman" w:cs="Times New Roman" w:eastAsia="Times New Roman" w:hAnsi="Times New Roman"/>
                  <w:sz w:val="18"/>
                  <w:szCs w:val="18"/>
                  <w:color w:val="0000EE"/>
                  <w:w w:val="99"/>
                </w:rPr>
                <w:t>Schedule I - Condensed Financial Information of Parent (Icahn Enterprises Holdings L.P.)</w:t>
              </w:r>
            </w:hyperlink>
          </w:p>
        </w:tc>
        <w:tc>
          <w:tcPr>
            <w:tcW w:w="3280" w:type="dxa"/>
            <w:vAlign w:val="bottom"/>
            <w:gridSpan w:val="4"/>
          </w:tcPr>
          <w:p>
            <w:pPr>
              <w:spacing w:after="0"/>
              <w:rPr>
                <w:sz w:val="17"/>
                <w:szCs w:val="17"/>
                <w:color w:val="auto"/>
              </w:rPr>
            </w:pPr>
          </w:p>
        </w:tc>
        <w:tc>
          <w:tcPr>
            <w:tcW w:w="1580" w:type="dxa"/>
            <w:vAlign w:val="bottom"/>
            <w:gridSpan w:val="3"/>
          </w:tcPr>
          <w:p>
            <w:pPr>
              <w:jc w:val="center"/>
              <w:spacing w:after="0" w:line="202" w:lineRule="exact"/>
              <w:rPr>
                <w:rFonts w:ascii="Times New Roman" w:cs="Times New Roman" w:eastAsia="Times New Roman" w:hAnsi="Times New Roman"/>
                <w:sz w:val="18"/>
                <w:szCs w:val="18"/>
                <w:color w:val="0000EE"/>
                <w:w w:val="96"/>
              </w:rPr>
            </w:pPr>
            <w:hyperlink w:anchor="page258">
              <w:r>
                <w:rPr>
                  <w:rFonts w:ascii="Times New Roman" w:cs="Times New Roman" w:eastAsia="Times New Roman" w:hAnsi="Times New Roman"/>
                  <w:sz w:val="18"/>
                  <w:szCs w:val="18"/>
                  <w:color w:val="0000EE"/>
                  <w:w w:val="96"/>
                </w:rPr>
                <w:t>256</w:t>
              </w:r>
            </w:hyperlink>
          </w:p>
        </w:tc>
      </w:tr>
      <w:tr>
        <w:trPr>
          <w:trHeight w:val="20"/>
        </w:trPr>
        <w:tc>
          <w:tcPr>
            <w:tcW w:w="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40" w:firstLine="378"/>
        <w:spacing w:after="0" w:line="282" w:lineRule="auto"/>
        <w:rPr>
          <w:sz w:val="20"/>
          <w:szCs w:val="20"/>
          <w:color w:val="auto"/>
        </w:rPr>
      </w:pPr>
      <w:r>
        <w:rPr>
          <w:rFonts w:ascii="Times New Roman" w:cs="Times New Roman" w:eastAsia="Times New Roman" w:hAnsi="Times New Roman"/>
          <w:sz w:val="18"/>
          <w:szCs w:val="18"/>
          <w:color w:val="auto"/>
        </w:rPr>
        <w:t>All other financial statement schedules have been omitted because the required financial information is not applicable, immaterial or the information is shown in the consolidated financial statements or notes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list of exhibits required by Item 601 of Regulation S-K and filed as part of this Report is set forth in the 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400"/>
          </w:cols>
          <w:pgMar w:left="240" w:top="360" w:right="259"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7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240"/>
        </w:trPr>
        <w:tc>
          <w:tcPr>
            <w:tcW w:w="7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20" w:type="dxa"/>
            <w:vAlign w:val="bottom"/>
            <w:gridSpan w:val="4"/>
          </w:tcPr>
          <w:p>
            <w:pPr>
              <w:jc w:val="right"/>
              <w:ind w:right="670"/>
              <w:spacing w:after="0"/>
              <w:rPr>
                <w:sz w:val="20"/>
                <w:szCs w:val="20"/>
                <w:color w:val="auto"/>
              </w:rPr>
            </w:pPr>
            <w:r>
              <w:rPr>
                <w:rFonts w:ascii="Times New Roman" w:cs="Times New Roman" w:eastAsia="Times New Roman" w:hAnsi="Times New Roman"/>
                <w:sz w:val="14"/>
                <w:szCs w:val="14"/>
                <w:color w:val="auto"/>
              </w:rPr>
              <w:t>(In millions, except unit amounts)</w:t>
            </w:r>
          </w:p>
        </w:tc>
      </w:tr>
      <w:tr>
        <w:trPr>
          <w:trHeight w:val="253"/>
        </w:trPr>
        <w:tc>
          <w:tcPr>
            <w:tcW w:w="786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subsidiaries, net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11,028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10,384</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11,036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10,391</w:t>
            </w: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7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7860" w:type="dxa"/>
            <w:vAlign w:val="bottom"/>
            <w:tcBorders>
              <w:bottom w:val="single" w:sz="8" w:color="CCEEFF"/>
            </w:tcBorders>
            <w:shd w:val="clear" w:color="auto" w:fill="CCEEFF"/>
          </w:tcPr>
          <w:p>
            <w:pPr>
              <w:ind w:left="27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5,486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4,016</w:t>
            </w:r>
          </w:p>
        </w:tc>
      </w:tr>
      <w:tr>
        <w:trPr>
          <w:trHeight w:val="237"/>
        </w:trPr>
        <w:tc>
          <w:tcPr>
            <w:tcW w:w="78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5,593</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4,299</w:t>
            </w:r>
          </w:p>
        </w:tc>
      </w:tr>
      <w:tr>
        <w:trPr>
          <w:trHeight w:val="27"/>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78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3)</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78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Limited partners: Depositary units: 123,103,414 and 115,900,309 units issued and outstanding at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1"/>
        </w:trPr>
        <w:tc>
          <w:tcPr>
            <w:tcW w:w="78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December 31, 2014 and 2013, respectively</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5,672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6,308</w:t>
            </w:r>
          </w:p>
        </w:tc>
      </w:tr>
      <w:tr>
        <w:trPr>
          <w:trHeight w:val="243"/>
        </w:trPr>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partner</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7"/>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5,443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6,092</w:t>
            </w:r>
          </w:p>
        </w:tc>
      </w:tr>
      <w:tr>
        <w:trPr>
          <w:trHeight w:val="25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11,036</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10,391</w:t>
            </w: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financial statements.</w:t>
      </w:r>
    </w:p>
    <w:p>
      <w:pPr>
        <w:sectPr>
          <w:pgSz w:w="11900" w:h="16838" w:orient="portrait"/>
          <w:cols w:equalWidth="0" w:num="1">
            <w:col w:w="11380"/>
          </w:cols>
          <w:pgMar w:left="260" w:top="577" w:right="2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252</w:t>
      </w:r>
    </w:p>
    <w:p>
      <w:pPr>
        <w:sectPr>
          <w:pgSz w:w="11900" w:h="16838" w:orient="portrait"/>
          <w:cols w:equalWidth="0" w:num="1">
            <w:col w:w="11380"/>
          </w:cols>
          <w:pgMar w:left="260" w:top="577" w:right="259" w:bottom="1440" w:gutter="0" w:footer="0" w:header="0"/>
          <w:type w:val="continuous"/>
        </w:sectPr>
      </w:pPr>
    </w:p>
    <w:bookmarkStart w:id="255" w:name="page256"/>
    <w:bookmarkEnd w:id="255"/>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(Parent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60" w:type="dxa"/>
            <w:vAlign w:val="bottom"/>
            <w:gridSpan w:val="6"/>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0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60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5"/>
        </w:trPr>
        <w:tc>
          <w:tcPr>
            <w:tcW w:w="6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(In millions)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subsidiaries</w:t>
            </w:r>
          </w:p>
        </w:tc>
        <w:tc>
          <w:tcPr>
            <w:tcW w:w="1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w:t>
            </w:r>
          </w:p>
        </w:tc>
      </w:tr>
      <w:tr>
        <w:trPr>
          <w:trHeight w:val="297"/>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r>
      <w:tr>
        <w:trPr>
          <w:trHeight w:val="237"/>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allocable to:</w:t>
            </w:r>
          </w:p>
        </w:tc>
        <w:tc>
          <w:tcPr>
            <w:tcW w:w="1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6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Limited partners</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w:t>
            </w:r>
          </w:p>
        </w:tc>
      </w:tr>
      <w:tr>
        <w:trPr>
          <w:trHeight w:val="27"/>
        </w:trPr>
        <w:tc>
          <w:tcPr>
            <w:tcW w:w="6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partner</w:t>
            </w:r>
          </w:p>
        </w:tc>
        <w:tc>
          <w:tcPr>
            <w:tcW w:w="1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37"/>
        </w:trPr>
        <w:tc>
          <w:tcPr>
            <w:tcW w:w="6040" w:type="dxa"/>
            <w:vAlign w:val="bottom"/>
          </w:tcPr>
          <w:p>
            <w:pPr>
              <w:spacing w:after="0"/>
              <w:rPr>
                <w:sz w:val="20"/>
                <w:szCs w:val="20"/>
                <w:color w:val="auto"/>
              </w:rPr>
            </w:pPr>
          </w:p>
        </w:tc>
        <w:tc>
          <w:tcPr>
            <w:tcW w:w="116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r>
      <w:tr>
        <w:trPr>
          <w:trHeight w:val="27"/>
        </w:trPr>
        <w:tc>
          <w:tcPr>
            <w:tcW w:w="60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36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See notes to condensed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380"/>
          </w:cols>
          <w:pgMar w:left="260" w:top="360" w:right="259" w:bottom="1440" w:gutter="0" w:footer="0" w:header="0"/>
          <w:type w:val="continuous"/>
        </w:sectPr>
      </w:pPr>
    </w:p>
    <w:bookmarkStart w:id="256" w:name="page257"/>
    <w:bookmarkEnd w:id="256"/>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60" w:type="dxa"/>
            <w:vAlign w:val="bottom"/>
            <w:gridSpan w:val="6"/>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0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6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0"/>
        </w:trPr>
        <w:tc>
          <w:tcPr>
            <w:tcW w:w="6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(In millions)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Equity in earnings of subsidiary</w:t>
            </w: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7"/>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7"/>
        </w:trPr>
        <w:tc>
          <w:tcPr>
            <w:tcW w:w="6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 and advances from subsidiary</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7"/>
        </w:trPr>
        <w:tc>
          <w:tcPr>
            <w:tcW w:w="6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37"/>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w:t>
            </w: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w:t>
            </w: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borrowings</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1,494</w:t>
            </w:r>
          </w:p>
        </w:tc>
      </w:tr>
      <w:tr>
        <w:trPr>
          <w:trHeight w:val="237"/>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financial statements.</w:t>
      </w:r>
    </w:p>
    <w:p>
      <w:pPr>
        <w:sectPr>
          <w:pgSz w:w="11900" w:h="16838" w:orient="portrait"/>
          <w:cols w:equalWidth="0" w:num="1">
            <w:col w:w="11380"/>
          </w:cols>
          <w:pgMar w:left="260" w:top="360" w:right="2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254</w:t>
      </w:r>
    </w:p>
    <w:p>
      <w:pPr>
        <w:sectPr>
          <w:pgSz w:w="11900" w:h="16838" w:orient="portrait"/>
          <w:cols w:equalWidth="0" w:num="1">
            <w:col w:w="11380"/>
          </w:cols>
          <w:pgMar w:left="260" w:top="360" w:right="259" w:bottom="1440" w:gutter="0" w:footer="0" w:header="0"/>
          <w:type w:val="continuous"/>
        </w:sectPr>
      </w:pPr>
    </w:p>
    <w:bookmarkStart w:id="257" w:name="page258"/>
    <w:bookmarkEnd w:id="2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(Parent Company)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21" w:lineRule="exact"/>
        <w:rPr>
          <w:sz w:val="20"/>
          <w:szCs w:val="20"/>
          <w:color w:val="auto"/>
        </w:rPr>
      </w:pPr>
    </w:p>
    <w:p>
      <w:pPr>
        <w:ind w:right="20" w:firstLine="378"/>
        <w:spacing w:after="0" w:line="256" w:lineRule="auto"/>
        <w:rPr>
          <w:sz w:val="20"/>
          <w:szCs w:val="20"/>
          <w:color w:val="auto"/>
        </w:rPr>
      </w:pPr>
      <w:r>
        <w:rPr>
          <w:rFonts w:ascii="Times New Roman" w:cs="Times New Roman" w:eastAsia="Times New Roman" w:hAnsi="Times New Roman"/>
          <w:sz w:val="18"/>
          <w:szCs w:val="18"/>
          <w:color w:val="auto"/>
        </w:rPr>
        <w:t>Icahn Enterprises, L.P. (“Icahn Enterprises”) is a master limited partnership formed in Delaware on February 17, 1987. We own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our sole general partner, which is owned and controlled by Carl C. Icahn, owns a 1% general partner interest in both us and Icahn Enterprises Holdings, representing an aggregate 1.99% general partner interest in us and Icahn Enterprises Holdings. As of December 31, 2014, Icahn Enterprises Holdings is engaged in the following continuing operating businesses: Investment, Automotive, Energy, Metals, Railcar, Gaming, Food Packaging, Real Estate and Home Fashion.</w:t>
      </w:r>
    </w:p>
    <w:p>
      <w:pPr>
        <w:spacing w:after="0" w:line="80" w:lineRule="exact"/>
        <w:rPr>
          <w:sz w:val="20"/>
          <w:szCs w:val="20"/>
          <w:color w:val="auto"/>
        </w:rPr>
      </w:pPr>
    </w:p>
    <w:p>
      <w:pPr>
        <w:ind w:right="440" w:firstLine="378"/>
        <w:spacing w:after="0" w:line="282" w:lineRule="auto"/>
        <w:rPr>
          <w:sz w:val="20"/>
          <w:szCs w:val="20"/>
          <w:color w:val="auto"/>
        </w:rPr>
      </w:pPr>
      <w:r>
        <w:rPr>
          <w:rFonts w:ascii="Times New Roman" w:cs="Times New Roman" w:eastAsia="Times New Roman" w:hAnsi="Times New Roman"/>
          <w:sz w:val="18"/>
          <w:szCs w:val="18"/>
          <w:color w:val="auto"/>
        </w:rPr>
        <w:t>The condensed financial statements of Icahn Enterprises should be read in conjunction with the consolidated financial statements and notes thereto included in Part II, Item 8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Debt</w:t>
      </w:r>
    </w:p>
    <w:p>
      <w:pPr>
        <w:spacing w:after="0" w:line="121" w:lineRule="exact"/>
        <w:rPr>
          <w:sz w:val="20"/>
          <w:szCs w:val="20"/>
          <w:color w:val="auto"/>
        </w:rPr>
      </w:pPr>
    </w:p>
    <w:p>
      <w:pPr>
        <w:ind w:right="20" w:firstLine="378"/>
        <w:spacing w:after="0" w:line="282" w:lineRule="auto"/>
        <w:rPr>
          <w:sz w:val="20"/>
          <w:szCs w:val="20"/>
          <w:color w:val="auto"/>
        </w:rPr>
      </w:pPr>
      <w:r>
        <w:rPr>
          <w:rFonts w:ascii="Times New Roman" w:cs="Times New Roman" w:eastAsia="Times New Roman" w:hAnsi="Times New Roman"/>
          <w:sz w:val="18"/>
          <w:szCs w:val="18"/>
          <w:color w:val="auto"/>
        </w:rPr>
        <w:t>See Note 10, “Debt,” to the consolidated financial statements located in Part II, Item 8 of this Report. Icahn Enterprises' Parent company debt consists of the following:</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5"/>
        </w:trPr>
        <w:tc>
          <w:tcPr>
            <w:tcW w:w="7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8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color w:val="auto"/>
              </w:rPr>
              <w:t>(in millions)</w:t>
            </w:r>
          </w:p>
        </w:tc>
        <w:tc>
          <w:tcPr>
            <w:tcW w:w="1120" w:type="dxa"/>
            <w:vAlign w:val="bottom"/>
          </w:tcPr>
          <w:p>
            <w:pPr>
              <w:spacing w:after="0"/>
              <w:rPr>
                <w:sz w:val="21"/>
                <w:szCs w:val="21"/>
                <w:color w:val="auto"/>
              </w:rPr>
            </w:pPr>
          </w:p>
        </w:tc>
      </w:tr>
      <w:tr>
        <w:trPr>
          <w:trHeight w:val="255"/>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5.875% notes due 2022</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6.00% notes due 2020</w:t>
            </w:r>
          </w:p>
        </w:tc>
        <w:tc>
          <w:tcPr>
            <w:tcW w:w="112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4.875% notes due 2019</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8% notes due 2018</w:t>
            </w: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2,473</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3.5% notes due 2017</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7.75% notes due 2016</w:t>
            </w: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1,050</w:t>
            </w:r>
          </w:p>
        </w:tc>
      </w:tr>
      <w:tr>
        <w:trPr>
          <w:trHeight w:val="27"/>
        </w:trPr>
        <w:tc>
          <w:tcPr>
            <w:tcW w:w="78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5,486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4,016</w:t>
            </w:r>
          </w:p>
        </w:tc>
      </w:tr>
      <w:tr>
        <w:trPr>
          <w:trHeight w:val="20"/>
        </w:trPr>
        <w:tc>
          <w:tcPr>
            <w:tcW w:w="7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Commitments and Contingencies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17, “Commitments and Contingencies,” to the consolidated financial statements located in Part II, Item 8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400"/>
          </w:cols>
          <w:pgMar w:left="240" w:top="469" w:right="259" w:bottom="1440" w:gutter="0" w:footer="0" w:header="0"/>
        </w:sectPr>
      </w:pPr>
    </w:p>
    <w:bookmarkStart w:id="258" w:name="page259"/>
    <w:bookmarkEnd w:id="258"/>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w:t>
      </w:r>
    </w:p>
    <w:p>
      <w:pPr>
        <w:spacing w:after="0" w:line="17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(Parent Company)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ind w:left="4320"/>
              <w:spacing w:after="0"/>
              <w:rPr>
                <w:sz w:val="20"/>
                <w:szCs w:val="20"/>
                <w:color w:val="auto"/>
              </w:rPr>
            </w:pPr>
            <w:r>
              <w:rPr>
                <w:rFonts w:ascii="Times New Roman" w:cs="Times New Roman" w:eastAsia="Times New Roman" w:hAnsi="Times New Roman"/>
                <w:sz w:val="18"/>
                <w:szCs w:val="18"/>
                <w:b w:val="1"/>
                <w:bCs w:val="1"/>
                <w:color w:val="auto"/>
              </w:rPr>
              <w:t>CONDENSED BALANCE SHEETS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9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4"/>
                <w:szCs w:val="24"/>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0"/>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(in millions)</w:t>
            </w:r>
          </w:p>
        </w:tc>
        <w:tc>
          <w:tcPr>
            <w:tcW w:w="960" w:type="dxa"/>
            <w:vAlign w:val="bottom"/>
          </w:tcPr>
          <w:p>
            <w:pPr>
              <w:spacing w:after="0"/>
              <w:rPr>
                <w:sz w:val="20"/>
                <w:szCs w:val="20"/>
                <w:color w:val="auto"/>
              </w:rPr>
            </w:pPr>
          </w:p>
        </w:tc>
      </w:tr>
      <w:tr>
        <w:trPr>
          <w:trHeight w:val="253"/>
        </w:trPr>
        <w:tc>
          <w:tcPr>
            <w:tcW w:w="834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in subsidiaries,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10,592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10,054</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11,094</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10,308</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shd w:val="clear" w:color="auto" w:fill="CCEEFF"/>
          </w:tcPr>
          <w:p>
            <w:pPr>
              <w:ind w:left="30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5,517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4,050</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4,194</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3)</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Limited partner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6,393</w:t>
            </w:r>
          </w:p>
        </w:tc>
      </w:tr>
      <w:tr>
        <w:trPr>
          <w:trHeight w:val="243"/>
        </w:trPr>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6,114</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11,094</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10,308</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52914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-1499870</wp:posOffset>
            </wp:positionV>
            <wp:extent cx="52914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-2203450</wp:posOffset>
            </wp:positionV>
            <wp:extent cx="52914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financial statements.</w:t>
      </w:r>
    </w:p>
    <w:p>
      <w:pPr>
        <w:sectPr>
          <w:pgSz w:w="11900" w:h="16838" w:orient="portrait"/>
          <w:cols w:equalWidth="0" w:num="1">
            <w:col w:w="11420"/>
          </w:cols>
          <w:pgMar w:left="240" w:top="523"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256</w:t>
      </w:r>
    </w:p>
    <w:p>
      <w:pPr>
        <w:sectPr>
          <w:pgSz w:w="11900" w:h="16838" w:orient="portrait"/>
          <w:cols w:equalWidth="0" w:num="1">
            <w:col w:w="11420"/>
          </w:cols>
          <w:pgMar w:left="240" w:top="523" w:right="239" w:bottom="1440" w:gutter="0" w:footer="0" w:header="0"/>
          <w:type w:val="continuous"/>
        </w:sectPr>
      </w:pPr>
    </w:p>
    <w:bookmarkStart w:id="259" w:name="page260"/>
    <w:bookmarkEnd w:id="25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6"/>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5"/>
        </w:trPr>
        <w:tc>
          <w:tcPr>
            <w:tcW w:w="6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gain from investment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earnings of subsidiaries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682</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37"/>
        </w:trPr>
        <w:tc>
          <w:tcPr>
            <w:tcW w:w="64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706</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allocable to:</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Limited partner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partner</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64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40646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-1122680</wp:posOffset>
            </wp:positionV>
            <wp:extent cx="40646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See notes to condensed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420"/>
          </w:cols>
          <w:pgMar w:left="240" w:top="522" w:right="239" w:bottom="1440" w:gutter="0" w:footer="0" w:header="0"/>
          <w:type w:val="continuous"/>
        </w:sectPr>
      </w:pPr>
    </w:p>
    <w:bookmarkStart w:id="260" w:name="page261"/>
    <w:bookmarkEnd w:id="260"/>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382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3600" w:type="dxa"/>
            <w:vAlign w:val="bottom"/>
          </w:tcPr>
          <w:p>
            <w:pPr>
              <w:spacing w:after="0"/>
              <w:rPr>
                <w:sz w:val="24"/>
                <w:szCs w:val="24"/>
                <w:color w:val="auto"/>
              </w:rPr>
            </w:pPr>
          </w:p>
        </w:tc>
        <w:tc>
          <w:tcPr>
            <w:tcW w:w="382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ICAHN ENTERPRISES HOLDINGS L.P.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3600" w:type="dxa"/>
            <w:vAlign w:val="bottom"/>
          </w:tcPr>
          <w:p>
            <w:pPr>
              <w:spacing w:after="0"/>
              <w:rPr>
                <w:sz w:val="24"/>
                <w:szCs w:val="24"/>
                <w:color w:val="auto"/>
              </w:rPr>
            </w:pPr>
          </w:p>
        </w:tc>
        <w:tc>
          <w:tcPr>
            <w:tcW w:w="382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(Parent Company)</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3600" w:type="dxa"/>
            <w:vAlign w:val="bottom"/>
          </w:tcPr>
          <w:p>
            <w:pPr>
              <w:spacing w:after="0"/>
              <w:rPr>
                <w:sz w:val="24"/>
                <w:szCs w:val="24"/>
                <w:color w:val="auto"/>
              </w:rPr>
            </w:pPr>
          </w:p>
        </w:tc>
        <w:tc>
          <w:tcPr>
            <w:tcW w:w="45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CONDENSED STATEMENTS OF CASH FLOWS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36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80" w:type="dxa"/>
            <w:vAlign w:val="bottom"/>
            <w:gridSpan w:val="6"/>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20" w:type="dxa"/>
            <w:vAlign w:val="bottom"/>
          </w:tcPr>
          <w:p>
            <w:pPr>
              <w:spacing w:after="0"/>
              <w:rPr>
                <w:sz w:val="24"/>
                <w:szCs w:val="24"/>
                <w:color w:val="auto"/>
              </w:rPr>
            </w:pP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3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0"/>
        </w:trPr>
        <w:tc>
          <w:tcPr>
            <w:tcW w:w="3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3"/>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382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r>
      <w:tr>
        <w:trPr>
          <w:trHeight w:val="243"/>
        </w:trPr>
        <w:tc>
          <w:tcPr>
            <w:tcW w:w="7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Equity in income of subsidiary</w:t>
            </w:r>
          </w:p>
        </w:tc>
        <w:tc>
          <w:tcPr>
            <w:tcW w:w="2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43"/>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Investment gains</w:t>
            </w:r>
          </w:p>
        </w:tc>
        <w:tc>
          <w:tcPr>
            <w:tcW w:w="2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2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36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7"/>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 subsidiaries</w:t>
            </w:r>
          </w:p>
        </w:tc>
        <w:tc>
          <w:tcPr>
            <w:tcW w:w="2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43"/>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2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28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7"/>
        </w:trPr>
        <w:tc>
          <w:tcPr>
            <w:tcW w:w="36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2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Partner contribution</w:t>
            </w:r>
          </w:p>
        </w:tc>
        <w:tc>
          <w:tcPr>
            <w:tcW w:w="2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1,030</w:t>
            </w: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Repayments of borrowings</w:t>
            </w:r>
          </w:p>
        </w:tc>
        <w:tc>
          <w:tcPr>
            <w:tcW w:w="28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984</w:t>
            </w:r>
          </w:p>
        </w:tc>
      </w:tr>
      <w:tr>
        <w:trPr>
          <w:trHeight w:val="27"/>
        </w:trPr>
        <w:tc>
          <w:tcPr>
            <w:tcW w:w="36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2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36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82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40646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40646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40646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-1611630</wp:posOffset>
            </wp:positionV>
            <wp:extent cx="40646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-2666365</wp:posOffset>
            </wp:positionV>
            <wp:extent cx="40646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financial statements.</w:t>
      </w:r>
    </w:p>
    <w:p>
      <w:pPr>
        <w:sectPr>
          <w:pgSz w:w="11900" w:h="16838" w:orient="portrait"/>
          <w:cols w:equalWidth="0" w:num="1">
            <w:col w:w="11420"/>
          </w:cols>
          <w:pgMar w:left="240" w:top="522"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258</w:t>
      </w:r>
    </w:p>
    <w:p>
      <w:pPr>
        <w:sectPr>
          <w:pgSz w:w="11900" w:h="16838" w:orient="portrait"/>
          <w:cols w:equalWidth="0" w:num="1">
            <w:col w:w="11420"/>
          </w:cols>
          <w:pgMar w:left="240" w:top="522" w:right="239" w:bottom="1440" w:gutter="0" w:footer="0" w:header="0"/>
          <w:type w:val="continuous"/>
        </w:sectPr>
      </w:pPr>
    </w:p>
    <w:bookmarkStart w:id="261" w:name="page262"/>
    <w:bookmarkEnd w:id="2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(Parent Company)</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67" w:lineRule="exact"/>
        <w:rPr>
          <w:sz w:val="20"/>
          <w:szCs w:val="20"/>
          <w:color w:val="auto"/>
        </w:rPr>
      </w:pPr>
    </w:p>
    <w:p>
      <w:pPr>
        <w:ind w:right="240" w:firstLine="270"/>
        <w:spacing w:after="0" w:line="258" w:lineRule="auto"/>
        <w:rPr>
          <w:sz w:val="20"/>
          <w:szCs w:val="20"/>
          <w:color w:val="auto"/>
        </w:rPr>
      </w:pPr>
      <w:r>
        <w:rPr>
          <w:rFonts w:ascii="Times New Roman" w:cs="Times New Roman" w:eastAsia="Times New Roman" w:hAnsi="Times New Roman"/>
          <w:sz w:val="18"/>
          <w:szCs w:val="18"/>
          <w:color w:val="auto"/>
        </w:rPr>
        <w:t>Icahn Enterprises Holdings L.P. (“Icahn Enterprises Holdings”) is a limited partnership formed in Delaware on February 17, 1987. Our sole limited partner is Icahn Enterprises L.P. (“Icahn Enterprises”), a master limited partnership which owns a 99% interest in us. Icahn Enterprises G.P. Inc. (“Icahn Enterprises GP''), our sole 1% general partner, is a Delaware corporation which is owned and controlled by Carl C. Icahn. As of December 31, 2014, Icahn Enterprises Holdings is engaged in the following continuing operating businesses: Investment, Automotive, Energy, Metals, Railcar, Gaming, Food Packaging, Real Estate and Home Fashion.</w:t>
      </w:r>
    </w:p>
    <w:p>
      <w:pPr>
        <w:spacing w:after="0" w:line="22" w:lineRule="exact"/>
        <w:rPr>
          <w:sz w:val="20"/>
          <w:szCs w:val="20"/>
          <w:color w:val="auto"/>
        </w:rPr>
      </w:pPr>
    </w:p>
    <w:p>
      <w:pPr>
        <w:ind w:right="380" w:firstLine="270"/>
        <w:spacing w:after="0" w:line="282" w:lineRule="auto"/>
        <w:rPr>
          <w:sz w:val="20"/>
          <w:szCs w:val="20"/>
          <w:color w:val="auto"/>
        </w:rPr>
      </w:pPr>
      <w:r>
        <w:rPr>
          <w:rFonts w:ascii="Times New Roman" w:cs="Times New Roman" w:eastAsia="Times New Roman" w:hAnsi="Times New Roman"/>
          <w:sz w:val="18"/>
          <w:szCs w:val="18"/>
          <w:color w:val="auto"/>
        </w:rPr>
        <w:t>The condensed financial statements of Icahn Enterprises Holdings should be read in conjunction with the consolidated financial statements and notes thereto included in Part II, Item 8 of this Report.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Debt</w:t>
      </w:r>
    </w:p>
    <w:p>
      <w:pPr>
        <w:spacing w:after="0" w:line="67" w:lineRule="exact"/>
        <w:rPr>
          <w:sz w:val="20"/>
          <w:szCs w:val="20"/>
          <w:color w:val="auto"/>
        </w:rPr>
      </w:pPr>
    </w:p>
    <w:p>
      <w:pPr>
        <w:ind w:right="220" w:firstLine="270"/>
        <w:spacing w:after="0" w:line="282" w:lineRule="auto"/>
        <w:rPr>
          <w:sz w:val="20"/>
          <w:szCs w:val="20"/>
          <w:color w:val="auto"/>
        </w:rPr>
      </w:pPr>
      <w:r>
        <w:rPr>
          <w:rFonts w:ascii="Times New Roman" w:cs="Times New Roman" w:eastAsia="Times New Roman" w:hAnsi="Times New Roman"/>
          <w:sz w:val="18"/>
          <w:szCs w:val="18"/>
          <w:color w:val="auto"/>
        </w:rPr>
        <w:t>See Note 10, “Debt,” to the consolidated financial statements located in Part II, Item 8 of this Report. Icahn Enterprises Holdings' Parent company debt consists of the following:</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5"/>
        </w:trPr>
        <w:tc>
          <w:tcPr>
            <w:tcW w:w="7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(in millions)</w:t>
            </w:r>
          </w:p>
        </w:tc>
        <w:tc>
          <w:tcPr>
            <w:tcW w:w="1120" w:type="dxa"/>
            <w:vAlign w:val="bottom"/>
          </w:tcPr>
          <w:p>
            <w:pPr>
              <w:spacing w:after="0"/>
              <w:rPr>
                <w:sz w:val="21"/>
                <w:szCs w:val="21"/>
                <w:color w:val="auto"/>
              </w:rPr>
            </w:pPr>
          </w:p>
        </w:tc>
      </w:tr>
      <w:tr>
        <w:trPr>
          <w:trHeight w:val="255"/>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5.875% notes due 2022</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6.00% notes due 2020</w:t>
            </w:r>
          </w:p>
        </w:tc>
        <w:tc>
          <w:tcPr>
            <w:tcW w:w="112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4.875% notes due 2019</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8% notes due 2018</w:t>
            </w: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2,468</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3.5% notes due 2017</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7.75% notes due 2016</w:t>
            </w: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1,048</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Mortgages payable</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5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5,517</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4,050</w:t>
            </w:r>
          </w:p>
        </w:tc>
      </w:tr>
      <w:tr>
        <w:trPr>
          <w:trHeight w:val="20"/>
        </w:trPr>
        <w:tc>
          <w:tcPr>
            <w:tcW w:w="7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Commitments and Contingencies</w:t>
      </w:r>
    </w:p>
    <w:p>
      <w:pPr>
        <w:spacing w:after="0" w:line="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See Note 17, “Commitments and Contingencies,” to the consolidated financial statements located in Part II, Item 8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1400"/>
          </w:cols>
          <w:pgMar w:left="240" w:top="522" w:right="259" w:bottom="1440" w:gutter="0" w:footer="0" w:header="0"/>
        </w:sectPr>
      </w:pPr>
    </w:p>
    <w:bookmarkStart w:id="262" w:name="page263"/>
    <w:bookmarkEnd w:id="26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firstLine="27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20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Icahn Enterprises G.P. Inc., its</w:t>
      </w:r>
    </w:p>
    <w:p>
      <w:pPr>
        <w:spacing w:after="0" w:line="27" w:lineRule="exact"/>
        <w:rPr>
          <w:sz w:val="20"/>
          <w:szCs w:val="20"/>
          <w:color w:val="auto"/>
        </w:rPr>
      </w:pPr>
    </w:p>
    <w:p>
      <w:pPr>
        <w:ind w:left="6200"/>
        <w:spacing w:after="0"/>
        <w:tabs>
          <w:tab w:leader="none" w:pos="6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general partner</w:t>
      </w:r>
    </w:p>
    <w:p>
      <w:pPr>
        <w:spacing w:after="0" w:line="180" w:lineRule="exact"/>
        <w:rPr>
          <w:sz w:val="20"/>
          <w:szCs w:val="20"/>
          <w:color w:val="auto"/>
        </w:rPr>
      </w:pPr>
    </w:p>
    <w:p>
      <w:pPr>
        <w:ind w:left="6200"/>
        <w:spacing w:after="0"/>
        <w:tabs>
          <w:tab w:leader="none" w:pos="6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34290</wp:posOffset>
            </wp:positionV>
            <wp:extent cx="29673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Keith Cozza</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2015</w:t>
      </w:r>
    </w:p>
    <w:p>
      <w:pPr>
        <w:spacing w:after="0" w:line="225" w:lineRule="exact"/>
        <w:rPr>
          <w:sz w:val="20"/>
          <w:szCs w:val="20"/>
          <w:color w:val="auto"/>
        </w:rPr>
      </w:pPr>
    </w:p>
    <w:p>
      <w:pPr>
        <w:ind w:right="260" w:firstLine="27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in the capacities indicated with respect to Icahn Enterprises G.P. Inc., the general partner of Icahn Enterprises L.P., and on behalf of the registrant and on the dates indicated below by the following persons in the capacities and on the dates indicated.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0" w:type="dxa"/>
            <w:vAlign w:val="bottom"/>
          </w:tcPr>
          <w:p>
            <w:pPr>
              <w:spacing w:after="0"/>
              <w:rPr>
                <w:sz w:val="20"/>
                <w:szCs w:val="20"/>
                <w:color w:val="auto"/>
              </w:rPr>
            </w:pPr>
          </w:p>
        </w:tc>
        <w:tc>
          <w:tcPr>
            <w:tcW w:w="580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561"/>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/s/Keith Cozza</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Keith Cozza</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/s/SungHwan Cho</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and 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SungHwan Cho</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/s/Peter Reck</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Peter Reck</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/s/Daniel A. Ninivaggi</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Daniel A. Ninivaggi</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/s/Jack G. Wasserman</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Jack G. Wasserman</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/s/William A. Leidesdorf</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William A. Leidesdorf</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/s/James L. Nelson</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James L. Nelson</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c>
          <w:tcPr>
            <w:tcW w:w="2280" w:type="dxa"/>
            <w:vAlign w:val="bottom"/>
          </w:tcPr>
          <w:p>
            <w:pPr>
              <w:spacing w:after="0"/>
              <w:rPr>
                <w:sz w:val="24"/>
                <w:szCs w:val="24"/>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Carl C. Icahn</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702"/>
        </w:trPr>
        <w:tc>
          <w:tcPr>
            <w:tcW w:w="3200" w:type="dxa"/>
            <w:vAlign w:val="bottom"/>
          </w:tcPr>
          <w:p>
            <w:pPr>
              <w:spacing w:after="0"/>
              <w:rPr>
                <w:sz w:val="24"/>
                <w:szCs w:val="24"/>
                <w:color w:val="auto"/>
              </w:rPr>
            </w:pPr>
          </w:p>
        </w:tc>
        <w:tc>
          <w:tcPr>
            <w:tcW w:w="5820" w:type="dxa"/>
            <w:vAlign w:val="bottom"/>
            <w:gridSpan w:val="2"/>
          </w:tcPr>
          <w:p>
            <w:pPr>
              <w:jc w:val="right"/>
              <w:ind w:right="309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263" w:name="page264"/>
    <w:bookmarkEnd w:id="26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firstLine="27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Icahn Enterprises Holdings L.P.</w:t>
      </w:r>
    </w:p>
    <w:p>
      <w:pPr>
        <w:spacing w:after="0" w:line="20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Icahn Enterprises G.P. Inc., its</w:t>
      </w:r>
    </w:p>
    <w:p>
      <w:pPr>
        <w:spacing w:after="0" w:line="27" w:lineRule="exact"/>
        <w:rPr>
          <w:sz w:val="20"/>
          <w:szCs w:val="20"/>
          <w:color w:val="auto"/>
        </w:rPr>
      </w:pPr>
    </w:p>
    <w:p>
      <w:pPr>
        <w:ind w:left="6200"/>
        <w:spacing w:after="0"/>
        <w:tabs>
          <w:tab w:leader="none" w:pos="6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general partner</w:t>
      </w:r>
    </w:p>
    <w:p>
      <w:pPr>
        <w:spacing w:after="0" w:line="180" w:lineRule="exact"/>
        <w:rPr>
          <w:sz w:val="20"/>
          <w:szCs w:val="20"/>
          <w:color w:val="auto"/>
        </w:rPr>
      </w:pPr>
    </w:p>
    <w:p>
      <w:pPr>
        <w:ind w:left="6200"/>
        <w:spacing w:after="0"/>
        <w:tabs>
          <w:tab w:leader="none" w:pos="6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34290</wp:posOffset>
            </wp:positionV>
            <wp:extent cx="29673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Keith Cozza</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2015</w:t>
      </w:r>
    </w:p>
    <w:p>
      <w:pPr>
        <w:spacing w:after="0" w:line="225" w:lineRule="exact"/>
        <w:rPr>
          <w:sz w:val="20"/>
          <w:szCs w:val="20"/>
          <w:color w:val="auto"/>
        </w:rPr>
      </w:pPr>
    </w:p>
    <w:p>
      <w:pPr>
        <w:ind w:right="260" w:firstLine="27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in the capacities indicated with respect to Icahn Enterprises G.P. Inc., the general partner of Icahn Enterprises Holdings L.P., and on behalf of the registrant and on the dates indicated below by the following persons in the capacities and on the dates indicated.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0" w:type="dxa"/>
            <w:vAlign w:val="bottom"/>
          </w:tcPr>
          <w:p>
            <w:pPr>
              <w:spacing w:after="0"/>
              <w:rPr>
                <w:sz w:val="20"/>
                <w:szCs w:val="20"/>
                <w:color w:val="auto"/>
              </w:rPr>
            </w:pPr>
          </w:p>
        </w:tc>
        <w:tc>
          <w:tcPr>
            <w:tcW w:w="580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561"/>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/s/Keith Cozza</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Keith Cozza</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/s/SungHwan Cho</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and 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SungHwan Cho</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/s/Peter Reck</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Peter Reck</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/s/Daniel A. Ninivaggi</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Daniel A. Ninivaggi</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/s/Jack G. Wasserman</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Jack G. Wasserman</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/s/William A. Leidesdorf</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William A. Leidesdorf</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/s/James L. Nelson</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James L. Nelson</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c>
          <w:tcPr>
            <w:tcW w:w="2280" w:type="dxa"/>
            <w:vAlign w:val="bottom"/>
          </w:tcPr>
          <w:p>
            <w:pPr>
              <w:spacing w:after="0"/>
              <w:rPr>
                <w:sz w:val="24"/>
                <w:szCs w:val="24"/>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Carl C. Icahn</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420"/>
          </w:cols>
          <w:pgMar w:left="240" w:top="361" w:right="23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94"/>
        </w:trPr>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20" w:type="dxa"/>
            <w:vAlign w:val="bottom"/>
          </w:tcPr>
          <w:p>
            <w:pPr>
              <w:ind w:left="45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18"/>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Limited Partnership of Icahn Enterprises L.P., f/k/a American Real Estate Partners, L.P. (“Icahn Enterprises”) dated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17, 1987, as thereafter amended from time to time (incorporated by reference to Exhibit 3.1 to Icahn Enterprises' Form 8-K</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 File No. 1-9516), filed on September 20, 2007).</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Agreement of Limited Partnership of Icahn Enterprises, dated May 12, 1987 (incorporated by reference to</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3.2 to Icahn Enterprises' Form 10-Q for the quarter ended March 31, 2004 (SEC File No. 1-9516), filed on May 10, 2004).</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to the Amended and Restated Agreement of Limited Partnership of Icahn Enterprises, dated February 22, 1995</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3.3 to Icahn Enterprises' Form 10-K for the year ended December 31, 1994 (SEC File No. 1-9516),</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on March 31, 1995).</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2 to the Amended and Restated Agreement of Limited Partnership of Icahn Enterprises, dated August 16, 1996</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10.1 to Icahn Enterprises' Form 8-K SEC File No. 1-9516), filed on August 16, 1996).</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3 to the Amended and Restated Agreement of Limited Partnership of Icahn Enterprises, dated May 9, 2002</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3.8 to Icahn Enterprises' Form 10-K for the year ended December 31, 2002 (SEC File No. 1-9516),</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on March 31, 2003).</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4 to the Amended and Restated Agreement of Limited Partnership of Icahn Enterprises, dated June 29, 2005</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3.1 to Icahn Enterprises' Form 10-Q for the quarter ended March 31, 2005 (SEC File No. 1-9516),</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on June 30, 2005).</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5 to the Amended and Restated Agreement of Limited Partnership of Icahn Enterprises, dated September 17, 2007</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99.1 to Icahn Enterprises' Form 8-K (SEC File No. 1-9516), filed on December 21, 2007).</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6 to the Amended and Restated Agreement of Limited Partnership of Icahn Enterprises, dated December 17, 2007</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99.1 to Icahn Enterprises' Form 8-K (SEC File No. 1-9516), filed on December 21, 2007).</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Limited Partnership of Icahn Enterprises Holdings L.P., f/k/a American Real Estate Holdings Limited Partnership (“Icahn</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Enterprises Holdings”), dated February 17, 1987, as amended pursuant to the First Amendment thereto, dated March 10, 1987</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3.5 to Icahn Enterprises' Form 10-Q for the quarter ended March 31, 2004 (SEC File No. 1-9516),</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on May 10, 2004, as further amended pursuant to the Certificate of Amendment thereto, dated September 17, 2007 (incorporated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reference to Exhibit 3.9 to Icahn Enterprises' Form 10-K for the year ended December 31, 2007 (SEC File No. 1-9516), filed on</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17, 2008).</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Agreement of Limited Partnership of Icahn Enterprises Holdings, dated as of July 1, 1987 (incorporated by</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to Exhibit 3.5 to Icahn Enterprises' Form 10-Q for the quarter ended March 31, 2004 (SEC File No. 1-9516), filed on May 10,</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2004).</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to the Amended and Restated Agreement of Limited Partnership of Icahn Enterprises Holdings, dated August 16,</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1996 (incorporated by reference to Exhibit 10.2 to Icahn Enterprises' Form 8-K (SEC File No. 1-9516), filed on August 16, 1996).</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2 to the Amended and Restated Agreement of Limited Partnership of Icahn Enterprises Holdings, dated June 14, 2002</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3.9 to Icahn Enterprises' Form 10-K for the year ended December 31, 2002 (SEC File No. 1-9516),</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on March 31, 2003).</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3 to the Amended and Restated Agreement of Limited Partnership of Icahn Enterprises Holdings, dated June 29, 2005</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3.2 to Icahn Enterprises' Form 10-Q for the quarter ended March 31, 2005 (SEC File No. 1-9516),</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on June 30, 2005).</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4 to the Amended and Restated Agreement of Limited Partnership of Icahn Enterprises Holdings, dated September 17,</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2007 (incorporated by reference to Exhibit 3.11 to Icahn Enterprises' Form 10-K for the year ended December 31, 2007 (SEC File No. 1-</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9516), filed on March 17, 2008).</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Transfer Application (incorporated by reference to Exhibit 4.4 to Icahn Enterprises' Form 10-K for the year ended December</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2004 (SEC File No. 1-9516), filed on March 16, 2005).</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Specimen Depositary Receipt (incorporated by reference to Exhibit 4.3 to Icahn Enterprises' Form 10-K for the year ended December</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2004 (SEC File No. 1-9516), filed on March 16, 2005).</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Specimen Certificate representing preferred units (incorporated by reference to Exhibit 4.9 to Icahn Enterprises' Form S-3 (SEC File No.</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33-54767), filed on February 22, 1995).</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Rights Agreement between Icahn Enterprises and High Coast Limited Partnership (f/k/a X LP) (incorporated by reference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Exhibit 10.2 to Icahn Enterprises' Form 10-K for the year ended December 31, 2004 (SEC File No. 1-9516), filed on March 16,</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2005).</w:t>
            </w: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262</w:t>
      </w:r>
    </w:p>
    <w:p>
      <w:pPr>
        <w:sectPr>
          <w:pgSz w:w="11900" w:h="16838" w:orient="portrait"/>
          <w:cols w:equalWidth="0" w:num="1">
            <w:col w:w="11420"/>
          </w:cols>
          <w:pgMar w:left="240" w:top="360" w:right="239" w:bottom="1440" w:gutter="0" w:footer="0" w:header="0"/>
          <w:type w:val="continuous"/>
        </w:sectPr>
      </w:pPr>
    </w:p>
    <w:bookmarkStart w:id="265" w:name="page266"/>
    <w:bookmarkEnd w:id="265"/>
    <w:tbl>
      <w:tblPr>
        <w:tblLayout w:type="fixed"/>
        <w:tblInd w:w="0" w:type="dxa"/>
        <w:tblCellMar>
          <w:top w:w="0" w:type="dxa"/>
          <w:left w:w="0" w:type="dxa"/>
          <w:bottom w:w="0" w:type="dxa"/>
          <w:right w:w="0" w:type="dxa"/>
        </w:tblCellMar>
      </w:tblPr>
      <w:tr>
        <w:trPr>
          <w:trHeight w:val="216"/>
        </w:trPr>
        <w:tc>
          <w:tcPr>
            <w:tcW w:w="7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4.5</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Registration Rights Agreement, dated June 30, 2005 between Icahn Enterprises and Highcrest Investors Corp., Amos Corp., Cyprus,</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LLC and Gascon Partners (incorporated by reference to Exhibit 10.6 to Icahn Enterprises' Form 10-Q (SEC File No. 1-9516), filed on</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August 9, 2005), as amended by Amendment No. 1 thereto, dated as of August 8, 2007 (incorporated by reference to Exhibit 10.5 to</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Icahn Enterprises' Form 10-Q for the quarter ended June 30, 2007 (SEC File No. 1-9516), filed on August 9, 2007).</w:t>
            </w:r>
          </w:p>
        </w:tc>
      </w:tr>
      <w:tr>
        <w:trPr>
          <w:trHeight w:val="333"/>
        </w:trPr>
        <w:tc>
          <w:tcPr>
            <w:tcW w:w="7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4.6</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Indenture, dated as of August 1, 2013, among Icahn Enterprises, Icahn Enterprises Finance, Icahn Enterprises Holdings, as Guarantor,</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Wilmington Trust Company, as Trustee relating to the 6.000% Senior Notes Due 2020 (incorporated by reference to Exhibit 4.1 to</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Icahn Enterprises' Form 8-K (SEC File No. 1-9516), filed on August 1, 2013).</w:t>
            </w:r>
          </w:p>
        </w:tc>
      </w:tr>
      <w:tr>
        <w:trPr>
          <w:trHeight w:val="252"/>
        </w:trPr>
        <w:tc>
          <w:tcPr>
            <w:tcW w:w="7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4.7</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Depositary Agreement among Icahn Enterprises, Icahn Enterprises GP and Registrar and Transfer Company,</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dated as of August 23, 2013 (incorporated by reference to Exhibit 10.1 to Icahn Enterprises' Form 8-K (SEC File No. 1-9516), filed on</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August 23, 2013).</w:t>
            </w:r>
          </w:p>
        </w:tc>
      </w:tr>
      <w:tr>
        <w:trPr>
          <w:trHeight w:val="252"/>
        </w:trPr>
        <w:tc>
          <w:tcPr>
            <w:tcW w:w="7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4.8</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Indenture, dated as of January 21, 2014, among Icahn Enterprises, Icahn Enterprises Finance, Icahn Enterprises Holdings, as Guarantor,</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Wilmington Trust Company, as Trustee relating to the 3.500% Senior Notes Due 2017 and 4.875% Senior Notes Due 2019</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(incorporated by reference to Exhibit 4.1 to Icahn Enterprises' Form 8-K (SEC File No. 1-9516), filed on January 21, 2014).</w:t>
            </w:r>
          </w:p>
        </w:tc>
      </w:tr>
      <w:tr>
        <w:trPr>
          <w:trHeight w:val="252"/>
        </w:trPr>
        <w:tc>
          <w:tcPr>
            <w:tcW w:w="7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4.9</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Indenture, dated as of January 29, 2014, among Icahn Enterprises, Icahn Enterprises Finance, Icahn Enterprises Holdings, as Guarantor,</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Wilmington Trust Company, as Trustee relating to the 5.875% Senior Notes Due 2022 (incorporated by reference to Exhibit 4.1 to</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Icahn Enterprises' Form 8-K/A (SEC File No. 1-9516), filed on January 30, 2014).</w:t>
            </w:r>
          </w:p>
        </w:tc>
      </w:tr>
      <w:tr>
        <w:trPr>
          <w:trHeight w:val="252"/>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Agency Agreement (incorporated by reference to Exhibit 10.12 to Icahn Enterprises' Form 10-K for the year</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ended December 31, 1994 (SEC File No. 1-9516), filed on March 31, 1995).</w:t>
            </w:r>
          </w:p>
        </w:tc>
      </w:tr>
      <w:tr>
        <w:trPr>
          <w:trHeight w:val="252"/>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10.2</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Rights Offering Sponsor Agreement, dated June 23, 2005, by and between WS Textile Co., Inc. and Icahn Enterprises Holdings</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(incorporated by reference to Exhibit 10.3 to Icahn Enterprises' Form 8-K (SEC File No. 1-9516), filed on July 1, 2005).</w:t>
            </w:r>
          </w:p>
        </w:tc>
      </w:tr>
      <w:tr>
        <w:trPr>
          <w:trHeight w:val="252"/>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10.3</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Undertaking, dated November 20, 1998, by Starfire Holding Corporation, for the benefit of Icahn Enterprises and its subsidiaries</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(incorporated by reference to Exhibit 10.42 to Icahn Enterprises' Form 10-K for the year ended December 31, 2005 (SEC File No. 1-</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9516), filed on March 16, 2006).</w:t>
            </w:r>
          </w:p>
        </w:tc>
      </w:tr>
      <w:tr>
        <w:trPr>
          <w:trHeight w:val="252"/>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10.4</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Exclusivity Agreement and Letter of Intent, dated September 7, 2006, by and among Icahn Enterprises, Icahn Enterprises Holdings and</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Riata Energy, Inc. (incorporated by reference to Exhibit 10.1 to Icahn Enterprises' Form 8-K (SEC File No. 1-9516), filed on September</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 2006).</w:t>
            </w:r>
          </w:p>
        </w:tc>
      </w:tr>
      <w:tr>
        <w:trPr>
          <w:trHeight w:val="333"/>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10.5</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Subscription and Standby Commitment Agreement, dated as of December 7, 2006, by and among WestPoint International, Inc. and</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Icahn Enterprises Holdings (incorporated by reference to Exhibit 10.1 to Icahn Enterprises' Form 8-K (SEC File No. 1-9516), filed on</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December 8, 2006).</w:t>
            </w:r>
          </w:p>
        </w:tc>
      </w:tr>
      <w:tr>
        <w:trPr>
          <w:trHeight w:val="333"/>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10.6</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Equity Commitment Agreement, dated June 23, 2005, by and among WS Textile Co., Inc., Textile Holding, Icahn Enterprises Holdings</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Aretex LLC (incorporated by reference to Exhibit 10.2 to Icahn Enterprises' Form 8-K (SEC File No. 1-9516), filed on July 1,</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2005).</w:t>
            </w:r>
          </w:p>
        </w:tc>
      </w:tr>
      <w:tr>
        <w:trPr>
          <w:trHeight w:val="333"/>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10.7</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Stock Purchase Agreement, dated as of November 5, 2007, by and among Cloud Holding LLC, Icahn Enterprises Holdings, Arnos Corp,</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Philip Services Corporation and PSC Metals Inc. (incorporated by reference to Exhibit 10.1 to Icahn Enterprises' Form 10-Q for the</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quarter ended September 30, 2007 (SEC File No. 1-9516), filed on November 9, 2007).</w:t>
            </w:r>
          </w:p>
        </w:tc>
      </w:tr>
      <w:tr>
        <w:trPr>
          <w:trHeight w:val="252"/>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10.8</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Membership Interest Purchase Agreement, dated April 22, 2007, by and between W2007/ACEP Holdings, LLC and American</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Entertainment Properties Corp. (incorporated by reference to Exhibit 10.45 to Icahn Enterprises' Form 8-K (SEC File No. 1-9516), filed</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on April 24, 2007), as amended by the Second Amendment thereto, dated February 8, 2008 (incorporated by reference to Exhibit 10.46</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 Icahn Enterprises' Form 8-K (SEC File No. 1-9516), filed on February 11, 2008).</w:t>
            </w:r>
          </w:p>
        </w:tc>
      </w:tr>
      <w:tr>
        <w:trPr>
          <w:trHeight w:val="252"/>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10.9</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Purchase Agreement by and among Icahn Enterprises Holdings, IEH FM Holdings LLC , Barberry Corp. and Thornwood</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Associates Limited Partnership, dated July 3, 2008 (incorporated by reference to Exhibit 10.1 to Icahn Enterprises' Form 8-K (SEC File</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 1-9516), filed on July 3, 2008).</w:t>
            </w:r>
          </w:p>
        </w:tc>
      </w:tr>
      <w:tr>
        <w:trPr>
          <w:trHeight w:val="333"/>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10.10</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Covered Affiliate and Shared Expenses Agreement by and among Icahn Enterprises, Icahn Partners LP, Icahn Fund Ltd., Icahn Fund II</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Ltd., Icahn Fund III Ltd., Icahn Partners Master Fund L.P., Icahn Partners Master Fund II L.P., Icahn Partners Master Fund III L.P.,</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Icahn Cayman Partners, L.P. and Icahn Partners Master Fund II Feeder LP (incorporated by reference to Exhibit 10.4 to Icahn</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Enterprises' Form 10-Q for the quarter ended June 30, 2007 (SEC File No. 1-9516), filed on August 9, 2007).</w:t>
            </w:r>
          </w:p>
        </w:tc>
      </w:tr>
      <w:tr>
        <w:trPr>
          <w:trHeight w:val="252"/>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10.11</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Tender and Support Agreement, dated as of October 6, 2008, by and among Icahn Enterprises Holdings L.P. and Eli Lilly and Company</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(incorporated by reference to Exhibit 10.1 to Icahn Enterprises' Form 8-K (SEC File No. 1-9516), filed on October 9, 2008).</w:t>
            </w:r>
          </w:p>
        </w:tc>
      </w:tr>
      <w:tr>
        <w:trPr>
          <w:trHeight w:val="252"/>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10.12</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Support Agreement, dated as of December 15, 2010, by and among Dynegy Inc., High River Limited Partnership, Icahn Partners LP,</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Icahn Partners Master Fund LP, Icahn Partners Master Fund II LP and Icahn Partners Master Fund III LP (incorporated by reference to</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Exhibit 10.1 to Icahn Enterprises' Form 8-K (SEC File No. 1-9516), filed on December 7, 2010).</w:t>
            </w:r>
          </w:p>
        </w:tc>
      </w:tr>
    </w:tbl>
    <w:p>
      <w:pPr>
        <w:spacing w:after="0" w:line="200" w:lineRule="exact"/>
        <w:rPr>
          <w:sz w:val="20"/>
          <w:szCs w:val="20"/>
          <w:color w:val="auto"/>
        </w:rPr>
      </w:pPr>
    </w:p>
    <w:p>
      <w:pPr>
        <w:sectPr>
          <w:pgSz w:w="11900" w:h="16838" w:orient="portrait"/>
          <w:cols w:equalWidth="0" w:num="1">
            <w:col w:w="10880"/>
          </w:cols>
          <w:pgMar w:left="740" w:top="527" w:right="279" w:bottom="1440" w:gutter="0" w:footer="0" w:header="0"/>
        </w:sectPr>
      </w:pPr>
    </w:p>
    <w:p>
      <w:pPr>
        <w:spacing w:after="0" w:line="26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263</w:t>
      </w:r>
    </w:p>
    <w:p>
      <w:pPr>
        <w:sectPr>
          <w:pgSz w:w="11900" w:h="16838" w:orient="portrait"/>
          <w:cols w:equalWidth="0" w:num="1">
            <w:col w:w="10880"/>
          </w:cols>
          <w:pgMar w:left="740" w:top="527" w:right="279" w:bottom="1440" w:gutter="0" w:footer="0" w:header="0"/>
          <w:type w:val="continuous"/>
        </w:sectPr>
      </w:pPr>
    </w:p>
    <w:bookmarkStart w:id="266" w:name="page267"/>
    <w:bookmarkEnd w:id="266"/>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10.13</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Loan and Security Agreement, dated as of June 15, 2011, among WestPoint Home, Inc., as the Borrower, the Lenders from time to time</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party thereto, and Bank of America, N.A., as the Administrative Agent (incorporated by reference to Exhibit 10.1 to Icahn Enterprises'</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8-K (SEC File No. 1-9516), filed on August 9, 2011).</w:t>
            </w:r>
          </w:p>
        </w:tc>
      </w:tr>
      <w:tr>
        <w:trPr>
          <w:trHeight w:val="252"/>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10.14</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Transaction Agreement, dated as of April 18, 2012, by and among CVR Energy, Inc., IEP Energy LLC, Icahn Partners LP, Icahn</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Partners Master Fund LP, Icahn Partners Master Fund II LP, Icahn Partners Master Fund III LP, High River Limited Partnership, Hopper</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Investments LLC, Barberry Corp., Icahn Onshore LP, Icahn Offshore LP, Icahn Capital LP, IPH GP LLC, Icahn Enterprises Holdings</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L.P., Icahn Enterprises G.P. Inc., Beckton Corp. and Carl C. Icahn. (incorporated by reference to Exhibit (d) to the CVR Energy Inc.</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Schedule TO/A (File No. 005-83522) filed on April 23, 2012)</w:t>
            </w:r>
          </w:p>
        </w:tc>
      </w:tr>
      <w:tr>
        <w:trPr>
          <w:trHeight w:val="252"/>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10.15</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 Agreement, by and between Federal-Mogul Corporation and IEH FM Holdings LLC, dated December 2, 2012 (incorporated</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 reference to Exhibit 10.1 to Icahn Enterprises' Form 8-K (SEC File No. 1-9516), filed on December 3, 2012).</w:t>
            </w:r>
          </w:p>
        </w:tc>
      </w:tr>
      <w:tr>
        <w:trPr>
          <w:trHeight w:val="252"/>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10.16</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Contribution and Exchange Agreement by and among Icahn Enterprises, CCI Offshore Corp., CCI Onshore Corp., Icahn Management</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LP and Carl C. Icahn (incorporated by reference to Exhibit 10.1 to Icahn Enterprises' Form 10-Q for the quarter ended June 30, 2007</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 File No. 1-9516), filed on August 9, 2007).</w:t>
            </w:r>
          </w:p>
        </w:tc>
      </w:tr>
      <w:tr>
        <w:trPr>
          <w:trHeight w:val="333"/>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10.17</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Contribution and Exchange Agreement by and among Icahn Enterprises, Barberry Corp. and Thornwood Associates Limited</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Partnership, dated December 2, 2008 (incorporated by reference to Exhibit 10.1 to Icahn Enterprises' Form 8-K (SEC File No. 1-9516),</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filed on December 3, 2008).</w:t>
            </w:r>
          </w:p>
        </w:tc>
      </w:tr>
      <w:tr>
        <w:trPr>
          <w:trHeight w:val="252"/>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10.18</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Contribution and Exchange Agreement, dated January 12, 2010, among Icahn Enterprises, Beckton Corp., Barberry Corp., Modal LLC</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Caboose Holding, LLC (incorporated by reference to Exhibit 10.2 to Icahn Enterprises' Form 8-K (SEC File No. 1-9516), filed on</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January 15, 2010).</w:t>
            </w:r>
          </w:p>
        </w:tc>
      </w:tr>
      <w:tr>
        <w:trPr>
          <w:trHeight w:val="333"/>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10.19</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Contribution and Exchange Agreement, dated January 12, 2010, among Icahn Enterprises, Beckton Corp., Barberry Corp., Koala</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Holding Limited Partnership, High River Limited Partnership and Meadow Walk Limited Partnership (incorporated by reference to</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Exhibit 10.3 to Icahn Enterprises' Form 8-K (SEC File No. 1-9516), filed on January 15, 2010).</w:t>
            </w:r>
          </w:p>
        </w:tc>
      </w:tr>
      <w:tr>
        <w:trPr>
          <w:trHeight w:val="252"/>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10.20</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Contribution and Exchange Agreement by and among Icahn Enterprises, Beckton Corp., Barberry Corp., High River Limited</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Partnership, and Koala Holding Limited Partnership dated August 24, 2012 (incorporated by reference to Exhibit 10.1 to Icahn</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Enterprises' Form 8-K (SEC File No. 1-9516), filed on August 28, 2012).</w:t>
            </w:r>
          </w:p>
        </w:tc>
      </w:tr>
      <w:tr>
        <w:trPr>
          <w:trHeight w:val="252"/>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10.21</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Contribution Agreement, dated September 20, 2013, among AEP Rail Corp., IRL Holding LLC, American Railcar Leasing, LLC and</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IEP Energy Holding LLC (incorporated by reference to Exhibit 10.1 to Icahn Enterprises' Form 8-K (SEC File No. 1-9516), filed on</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September 25, 2013).</w:t>
            </w:r>
          </w:p>
        </w:tc>
      </w:tr>
      <w:tr>
        <w:trPr>
          <w:trHeight w:val="252"/>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10.22</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Registration Rights Agreement, dated January 17, 2012, among Icahn Enterprises, Icahn Enterprises Finance, Icahn Enterprises</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Holdings, as Guarantor, and Jefferies &amp; Company, Inc., as the Initial Purchaser (incorporated by reference to Exhibit 10.1 to Icahn</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Enterprises' Form 8-K (SEC File No. 1-9516), filed on January 17, 2012).</w:t>
            </w:r>
          </w:p>
        </w:tc>
      </w:tr>
      <w:tr>
        <w:trPr>
          <w:trHeight w:val="252"/>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10.23</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Registration Rights Agreement, dated February 6, 2012, among Icahn Enterprises, Icahn Enterprises Finance, Icahn Enterprises</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Holdings, as Guarantor, and Jefferies &amp; Company, Inc., as the Initial Purchaser (incorporated by reference to Exhibit 10.1 to Icahn</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Enterprises' Form 8-K (SEC File No. 1-9516), filed on February 6, 2012).</w:t>
            </w:r>
          </w:p>
        </w:tc>
      </w:tr>
      <w:tr>
        <w:trPr>
          <w:trHeight w:val="252"/>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10.24</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Registration Rights Agreement, dated July 12, 2012, among Icahn Enterprises, Icahn Enterprises Finance, Icahn Enterprises Holdings, as</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Guarantor, and Jefferies &amp; Company, Inc., as the Initial Purchaser (incorporated by reference to Exhibit 10.1 to Icahn Enterprises' Form</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8-K (SEC File No. 1-9516), filed on July 12, 2012).</w:t>
            </w:r>
          </w:p>
        </w:tc>
      </w:tr>
      <w:tr>
        <w:trPr>
          <w:trHeight w:val="252"/>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10.25</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Registration Rights Agreement, dated August 1, 2013, among Icahn Enterprises, Icahn Enterprises Finance, Icahn Enterprises Holdings,</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 Guarantor, and Jefferies LLC, as the Initial Purchaser (incorporated by reference to Exhibit 10.1 to Icahn Enterprises' Form 8-K (SEC</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File No. 1-9516), filed on August 1, 2013).</w:t>
            </w:r>
          </w:p>
        </w:tc>
      </w:tr>
      <w:tr>
        <w:trPr>
          <w:trHeight w:val="252"/>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10.26</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Agreement dated as of March 31, 2011 among Icahn Enterprises L.P., Icahn Enterprises Holdings L.P. and Icahn Enterprises G.P. Inc.,</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Icahn Onshore LP, Icahn Offshore LP and Icahn Capital LP, Icahn Partners LP, Icahn Partners Master Fund LP, Icahn Partners Master</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Fund II LP, Icahn Partners Master Fund III LP, Carl C. Icahn, Brett Icahn, Samuel Merksamer, David Schechter, Vincent Intrieri and</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David Yim (incorporated by reference to Exhibit 10.2 to Icahn Enterprises' Form 8-K (SEC File No. 1-9516), filed on August 9, 2011).</w:t>
            </w:r>
          </w:p>
        </w:tc>
      </w:tr>
      <w:tr>
        <w:trPr>
          <w:trHeight w:val="252"/>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10.27</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Co- Manager Agreement, dated July 24, 2012, among Icahn Enterprises L.P., Icahn Capital LP and Brett Icahn</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(incorporated by reference to Exhibit 10.1 to Icahn Enterprises' Form 8-K (SEC File No. 1-9516), filed on July 27, 2012).</w:t>
            </w:r>
          </w:p>
        </w:tc>
      </w:tr>
      <w:tr>
        <w:trPr>
          <w:trHeight w:val="252"/>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10.28</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Co- Manager Agreement, dated July 24, 2012, among Icahn Enterprises L.P., Icahn Capital LP and David</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Schechter (incorporated by reference to Exhibit 10.2 to Icahn Enterprises' Form 8-K (SEC File No. 1-9516), filed on July 27, 2012).</w:t>
            </w:r>
          </w:p>
        </w:tc>
      </w:tr>
      <w:tr>
        <w:trPr>
          <w:trHeight w:val="252"/>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10.29</w:t>
            </w: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Co- Manager Agreement, dated October 22, 2013, among Icahn Enterprises, Icahn Capital LP and each of Brett</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Icahn and David Schechter (incorporated by reference to Exhibit 10.1 to Icahn Enterprises' Form 8-K (SEC File No. 1-9516), filed on</w:t>
            </w:r>
          </w:p>
        </w:tc>
      </w:tr>
      <w:tr>
        <w:trPr>
          <w:trHeight w:val="234"/>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October 22, 2013).</w:t>
            </w:r>
          </w:p>
        </w:tc>
      </w:tr>
      <w:tr>
        <w:trPr>
          <w:trHeight w:val="702"/>
        </w:trPr>
        <w:tc>
          <w:tcPr>
            <w:tcW w:w="700" w:type="dxa"/>
            <w:vAlign w:val="bottom"/>
          </w:tcPr>
          <w:p>
            <w:pPr>
              <w:spacing w:after="0"/>
              <w:rPr>
                <w:sz w:val="24"/>
                <w:szCs w:val="24"/>
                <w:color w:val="auto"/>
              </w:rPr>
            </w:pPr>
          </w:p>
        </w:tc>
        <w:tc>
          <w:tcPr>
            <w:tcW w:w="1018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264</w:t>
            </w:r>
          </w:p>
        </w:tc>
      </w:tr>
    </w:tbl>
    <w:p>
      <w:pPr>
        <w:sectPr>
          <w:pgSz w:w="11900" w:h="16838" w:orient="portrait"/>
          <w:cols w:equalWidth="0" w:num="1">
            <w:col w:w="10880"/>
          </w:cols>
          <w:pgMar w:left="740" w:top="526" w:right="279" w:bottom="1440" w:gutter="0" w:footer="0" w:header="0"/>
        </w:sectPr>
      </w:pPr>
    </w:p>
    <w:bookmarkStart w:id="267" w:name="page268"/>
    <w:bookmarkEnd w:id="267"/>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10.30</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Non-Competition Agreement by and between Icahn Enterprises and Carl C. Icahn (incorporated by reference to Exhibit 10.3 to Icahn</w:t>
            </w:r>
          </w:p>
        </w:tc>
      </w:tr>
      <w:tr>
        <w:trPr>
          <w:trHeight w:val="234"/>
        </w:trPr>
        <w:tc>
          <w:tcPr>
            <w:tcW w:w="112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Enterprises' Form 10-Q for the quarter ended June 30, 2007 (SEC File No. 1-9516), filed on August 9, 2007).</w:t>
            </w:r>
          </w:p>
        </w:tc>
      </w:tr>
      <w:tr>
        <w:trPr>
          <w:trHeight w:val="252"/>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10.31</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Carl C. Icahn Amendment Agreement (incorporated by reference to Exhibit 10.1 to Icahn Enterprises' Form 8-K (SEC File No. 1-9516),</w:t>
            </w:r>
          </w:p>
        </w:tc>
      </w:tr>
      <w:tr>
        <w:trPr>
          <w:trHeight w:val="234"/>
        </w:trPr>
        <w:tc>
          <w:tcPr>
            <w:tcW w:w="112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filed on January 7, 2008).</w:t>
            </w:r>
          </w:p>
        </w:tc>
      </w:tr>
      <w:tr>
        <w:trPr>
          <w:trHeight w:val="333"/>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10.32</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Employment Agreement by and among Icahn Enterprises, Icahn Capital Management LP and Carl C. Icahn (incorporated by reference</w:t>
            </w:r>
          </w:p>
        </w:tc>
      </w:tr>
      <w:tr>
        <w:trPr>
          <w:trHeight w:val="234"/>
        </w:trPr>
        <w:tc>
          <w:tcPr>
            <w:tcW w:w="112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Exhibit 10.2 to Icahn Enterprises' Form 10-Q for the quarter ended June 30, 2007 (SEC File No. 1-9516), filed on August 9, 2007).</w:t>
            </w:r>
          </w:p>
        </w:tc>
      </w:tr>
      <w:tr>
        <w:trPr>
          <w:trHeight w:val="252"/>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10.33</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Employment Agreement of Daniel A. Ninivaggi, dated as of October 25, 2012 (incorporated by reference to Exhibit 10.1 to Icahn</w:t>
            </w:r>
          </w:p>
        </w:tc>
      </w:tr>
      <w:tr>
        <w:trPr>
          <w:trHeight w:val="234"/>
        </w:trPr>
        <w:tc>
          <w:tcPr>
            <w:tcW w:w="112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Enterprises' Form 8-K (SEC File No. 1-9516), filed on October 29, 2012).</w:t>
            </w:r>
          </w:p>
        </w:tc>
      </w:tr>
      <w:tr>
        <w:trPr>
          <w:trHeight w:val="252"/>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10.34</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Employment Agreement of Daniel A. Ninivaggi, dated as of February 1, 2013 (incorporated by reference to Exhibit 10.1 to Icahn</w:t>
            </w:r>
          </w:p>
        </w:tc>
      </w:tr>
      <w:tr>
        <w:trPr>
          <w:trHeight w:val="234"/>
        </w:trPr>
        <w:tc>
          <w:tcPr>
            <w:tcW w:w="112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Enterprises' Form 8-K (SEC File No. 1-9516), filed on February 6, 2013).</w:t>
            </w:r>
          </w:p>
        </w:tc>
      </w:tr>
      <w:tr>
        <w:trPr>
          <w:trHeight w:val="252"/>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10.35</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Employment Agreement of Daniel A. Ninivaggi, dated as of November 8, 2013 (incorporated by reference to Exhibit 10.1 to Icahn</w:t>
            </w:r>
          </w:p>
        </w:tc>
      </w:tr>
      <w:tr>
        <w:trPr>
          <w:trHeight w:val="234"/>
        </w:trPr>
        <w:tc>
          <w:tcPr>
            <w:tcW w:w="112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Enterprises' Form 8-K (SEC File No. 1-9516), filed on November 15, 2013).</w:t>
            </w:r>
          </w:p>
        </w:tc>
      </w:tr>
      <w:tr>
        <w:trPr>
          <w:trHeight w:val="270"/>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12.1</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Ratio of earnings to fixed charges (Icahn Enterprises).</w:t>
            </w:r>
          </w:p>
        </w:tc>
      </w:tr>
      <w:tr>
        <w:trPr>
          <w:trHeight w:val="270"/>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12.2</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Ratio of earnings to fixed charges (Icahn Enterprises Holdings).</w:t>
            </w:r>
          </w:p>
        </w:tc>
      </w:tr>
      <w:tr>
        <w:trPr>
          <w:trHeight w:val="252"/>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14.1</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Code of Business Conduct and Ethics (incorporated by reference to Exhibit 14.1 to Icahn Enterprises' Form 10-Q for the quarter ended</w:t>
            </w:r>
          </w:p>
        </w:tc>
      </w:tr>
      <w:tr>
        <w:trPr>
          <w:trHeight w:val="234"/>
        </w:trPr>
        <w:tc>
          <w:tcPr>
            <w:tcW w:w="112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 2012 (SEC File No. 1-9516), filed on November 7, 2012).</w:t>
            </w:r>
          </w:p>
        </w:tc>
      </w:tr>
      <w:tr>
        <w:trPr>
          <w:trHeight w:val="252"/>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18.1</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Preferability letter received from Grant Thornton LLP, dated November 7, 2007 (incorporated by reference to Exhibit 18.1 to Icahn</w:t>
            </w:r>
          </w:p>
        </w:tc>
      </w:tr>
      <w:tr>
        <w:trPr>
          <w:trHeight w:val="234"/>
        </w:trPr>
        <w:tc>
          <w:tcPr>
            <w:tcW w:w="112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Enterprises' Form 10-Q for the quarter ended September 30, 2007 (SEC File No. 1-9516), filed on November 9, 2007).</w:t>
            </w:r>
          </w:p>
        </w:tc>
      </w:tr>
      <w:tr>
        <w:trPr>
          <w:trHeight w:val="270"/>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21.1</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270"/>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23.1</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Consent of Grant Thornton LLP.</w:t>
            </w:r>
          </w:p>
        </w:tc>
      </w:tr>
      <w:tr>
        <w:trPr>
          <w:trHeight w:val="270"/>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23.2</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Consent of KPMG LLP.</w:t>
            </w:r>
          </w:p>
        </w:tc>
      </w:tr>
      <w:tr>
        <w:trPr>
          <w:trHeight w:val="252"/>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31.1</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302(a) of the Sarbanes-Oxley Act of 2002 and Rule 13a-14(a) of the</w:t>
            </w:r>
          </w:p>
        </w:tc>
      </w:tr>
      <w:tr>
        <w:trPr>
          <w:trHeight w:val="234"/>
        </w:trPr>
        <w:tc>
          <w:tcPr>
            <w:tcW w:w="112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Exchange Act of 1934.</w:t>
            </w:r>
          </w:p>
        </w:tc>
      </w:tr>
      <w:tr>
        <w:trPr>
          <w:trHeight w:val="252"/>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31.2</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302(a) of the Sarbanes-Oxley Act of 2002 and Rule 13a-14(a) of the</w:t>
            </w:r>
          </w:p>
        </w:tc>
      </w:tr>
      <w:tr>
        <w:trPr>
          <w:trHeight w:val="234"/>
        </w:trPr>
        <w:tc>
          <w:tcPr>
            <w:tcW w:w="112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Exchange Act of 1934.</w:t>
            </w:r>
          </w:p>
        </w:tc>
      </w:tr>
      <w:tr>
        <w:trPr>
          <w:trHeight w:val="252"/>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31.3</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302(a) of the Sarbanes-Oxley Act of 2002 and Rule 13a-14(a) of the</w:t>
            </w:r>
          </w:p>
        </w:tc>
      </w:tr>
      <w:tr>
        <w:trPr>
          <w:trHeight w:val="234"/>
        </w:trPr>
        <w:tc>
          <w:tcPr>
            <w:tcW w:w="112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Exchange Act of 1934.</w:t>
            </w:r>
          </w:p>
        </w:tc>
      </w:tr>
      <w:tr>
        <w:trPr>
          <w:trHeight w:val="252"/>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31.4</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302(a) of the Sarbanes-Oxley Act of 2002 and Rule 13a-14(a) of the</w:t>
            </w:r>
          </w:p>
        </w:tc>
      </w:tr>
      <w:tr>
        <w:trPr>
          <w:trHeight w:val="234"/>
        </w:trPr>
        <w:tc>
          <w:tcPr>
            <w:tcW w:w="112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Exchange Act of 1934.</w:t>
            </w:r>
          </w:p>
        </w:tc>
      </w:tr>
      <w:tr>
        <w:trPr>
          <w:trHeight w:val="252"/>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32.1</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 (18 U.S.C. 1350) and Rule 13a-</w:t>
            </w:r>
          </w:p>
        </w:tc>
      </w:tr>
      <w:tr>
        <w:trPr>
          <w:trHeight w:val="234"/>
        </w:trPr>
        <w:tc>
          <w:tcPr>
            <w:tcW w:w="112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14(b) of the Securities Exchange Act of 1934.</w:t>
            </w:r>
          </w:p>
        </w:tc>
      </w:tr>
      <w:tr>
        <w:trPr>
          <w:trHeight w:val="252"/>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32.2</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Certification of Chief Financial Officer pursuant to Section 906 of the Sarbanes-Oxley Act of 2002 (18 U.S.C. 1350) and Rule 13a-14(b)</w:t>
            </w:r>
          </w:p>
        </w:tc>
      </w:tr>
      <w:tr>
        <w:trPr>
          <w:trHeight w:val="234"/>
        </w:trPr>
        <w:tc>
          <w:tcPr>
            <w:tcW w:w="112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the Securities Exchange Act of 1934.</w:t>
            </w:r>
          </w:p>
        </w:tc>
      </w:tr>
      <w:tr>
        <w:trPr>
          <w:trHeight w:val="252"/>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32.3</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 (18 U.S.C. 1350) and Rule 13a-</w:t>
            </w:r>
          </w:p>
        </w:tc>
      </w:tr>
      <w:tr>
        <w:trPr>
          <w:trHeight w:val="234"/>
        </w:trPr>
        <w:tc>
          <w:tcPr>
            <w:tcW w:w="112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14(b) of the Securities Exchange Act of 1934.</w:t>
            </w:r>
          </w:p>
        </w:tc>
      </w:tr>
      <w:tr>
        <w:trPr>
          <w:trHeight w:val="252"/>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32.4</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Certification of Chief Financial Officer pursuant to Section 906 of the Sarbanes-Oxley Act of 2002 (18 U.S.C. 1350) and Rule 13a-14(b)</w:t>
            </w:r>
          </w:p>
        </w:tc>
      </w:tr>
      <w:tr>
        <w:trPr>
          <w:trHeight w:val="234"/>
        </w:trPr>
        <w:tc>
          <w:tcPr>
            <w:tcW w:w="112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the Securities Exchange Act of 1934.</w:t>
            </w:r>
          </w:p>
        </w:tc>
      </w:tr>
      <w:tr>
        <w:trPr>
          <w:trHeight w:val="25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r>
              <w:rPr>
                <w:rFonts w:ascii="Times New Roman" w:cs="Times New Roman" w:eastAsia="Times New Roman" w:hAnsi="Times New Roman"/>
                <w:sz w:val="18"/>
                <w:szCs w:val="18"/>
                <w:color w:val="auto"/>
                <w:vertAlign w:val="superscript"/>
              </w:rPr>
              <w:t>(1)</w:t>
            </w: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following financial information from Icahn Enterprises' and Icahn Enterprises Holdings' Annual Report on Form 10-K for the year</w:t>
            </w:r>
          </w:p>
        </w:tc>
      </w:tr>
      <w:tr>
        <w:trPr>
          <w:trHeight w:val="234"/>
        </w:trPr>
        <w:tc>
          <w:tcPr>
            <w:tcW w:w="112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ended December 31, 2014, formatted in XBRL (Extensible Business Reporting Language) includes: (i) the Consolidated Balance Sheets</w:t>
            </w:r>
          </w:p>
        </w:tc>
      </w:tr>
    </w:tbl>
    <w:p>
      <w:pPr>
        <w:ind w:left="1440" w:right="180"/>
        <w:spacing w:after="0" w:line="254" w:lineRule="auto"/>
        <w:rPr>
          <w:sz w:val="20"/>
          <w:szCs w:val="20"/>
          <w:color w:val="auto"/>
        </w:rPr>
      </w:pPr>
      <w:r>
        <w:rPr>
          <w:rFonts w:ascii="Times New Roman" w:cs="Times New Roman" w:eastAsia="Times New Roman" w:hAnsi="Times New Roman"/>
          <w:sz w:val="18"/>
          <w:szCs w:val="18"/>
          <w:color w:val="auto"/>
        </w:rPr>
        <w:t>as of December 31, 2014 and 2013, (ii) the Consolidated Statements of Operations for the years ended December 31, 2014, 2013 and 2012, (iii) the Consolidated Statements of Comprehensive Income for the years ended December 31, 2014, 2013 and 2012,(iv) the Consolidated Statement of Changes in Equity for the years ended December 31, 2014, 2013 and 2012, (v) the Consolidated Statements of Cash Flows for the years ended December 31, 2014, 2013 and 2012 and (vi) the Notes to the Consolidated Financial Statements.</w:t>
      </w:r>
    </w:p>
    <w:p>
      <w:pPr>
        <w:spacing w:after="0" w:line="200" w:lineRule="exact"/>
        <w:rPr>
          <w:sz w:val="20"/>
          <w:szCs w:val="20"/>
          <w:color w:val="auto"/>
        </w:rPr>
      </w:pPr>
    </w:p>
    <w:p>
      <w:pPr>
        <w:spacing w:after="0" w:line="225" w:lineRule="exact"/>
        <w:rPr>
          <w:sz w:val="20"/>
          <w:szCs w:val="20"/>
          <w:color w:val="auto"/>
        </w:rPr>
      </w:pPr>
    </w:p>
    <w:p>
      <w:pPr>
        <w:ind w:left="260" w:hanging="251"/>
        <w:spacing w:after="0" w:line="261" w:lineRule="auto"/>
        <w:tabs>
          <w:tab w:leader="none" w:pos="260" w:val="left"/>
        </w:tabs>
        <w:numPr>
          <w:ilvl w:val="0"/>
          <w:numId w:val="7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Pursuant to Rule 406T of Regulation S-T, the Interactive Data Files on Exhibit 101 hereto are deemed not filed or part of a registration statement or prospectus for purposes of Sections 11 or 12 of the Securities Act of 1933, as amended, or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265</w:t>
      </w:r>
    </w:p>
    <w:p>
      <w:pPr>
        <w:sectPr>
          <w:pgSz w:w="11900" w:h="16838" w:orient="portrait"/>
          <w:cols w:equalWidth="0" w:num="1">
            <w:col w:w="11340"/>
          </w:cols>
          <w:pgMar w:left="320" w:top="526" w:right="239" w:bottom="1440" w:gutter="0" w:footer="0" w:header="0"/>
        </w:sectPr>
      </w:pPr>
    </w:p>
    <w:bookmarkStart w:id="268" w:name="page269"/>
    <w:bookmarkEnd w:id="268"/>
    <w:p>
      <w:pPr>
        <w:ind w:left="10280"/>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ratio)</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2010</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Earnings: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taxes, income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from equity investees and non-controlling interests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charges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Distributed income of equity investees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Earnings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Charges: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 interest within rental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Fixed Charges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Dollar shortfall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1"/>
                <w:szCs w:val="21"/>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Pr>
          <w:p>
            <w:pPr>
              <w:spacing w:after="0"/>
              <w:rPr>
                <w:sz w:val="21"/>
                <w:szCs w:val="21"/>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77" w:right="239" w:bottom="1440" w:gutter="0" w:footer="0" w:header="0"/>
        </w:sectPr>
      </w:pPr>
    </w:p>
    <w:bookmarkStart w:id="269" w:name="page270"/>
    <w:bookmarkEnd w:id="269"/>
    <w:p>
      <w:pPr>
        <w:ind w:left="10280"/>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ratio)</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2010</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Earnings: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taxes, income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from equity investees and non-controlling interests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charges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Distributed income of equity investees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Earnings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Charges: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 interest within rental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Fixed Charges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Dollar shortfall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1"/>
                <w:szCs w:val="21"/>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Pr>
          <w:p>
            <w:pPr>
              <w:spacing w:after="0"/>
              <w:rPr>
                <w:sz w:val="21"/>
                <w:szCs w:val="21"/>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270" w:name="page271"/>
    <w:bookmarkEnd w:id="2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7260" w:type="dxa"/>
            <w:vAlign w:val="bottom"/>
            <w:gridSpan w:val="2"/>
          </w:tcPr>
          <w:p>
            <w:pPr>
              <w:ind w:left="6120"/>
              <w:spacing w:after="0"/>
              <w:rPr>
                <w:sz w:val="20"/>
                <w:szCs w:val="20"/>
                <w:color w:val="auto"/>
              </w:rPr>
            </w:pPr>
            <w:r>
              <w:rPr>
                <w:rFonts w:ascii="Times New Roman" w:cs="Times New Roman" w:eastAsia="Times New Roman" w:hAnsi="Times New Roman"/>
                <w:sz w:val="18"/>
                <w:szCs w:val="18"/>
                <w:b w:val="1"/>
                <w:bCs w:val="1"/>
                <w:color w:val="auto"/>
                <w:w w:val="99"/>
              </w:rPr>
              <w:t>EXHIBIT 21.1</w:t>
            </w:r>
          </w:p>
        </w:tc>
      </w:tr>
      <w:tr>
        <w:trPr>
          <w:trHeight w:val="238"/>
        </w:trPr>
        <w:tc>
          <w:tcPr>
            <w:tcW w:w="4100" w:type="dxa"/>
            <w:vAlign w:val="bottom"/>
          </w:tcPr>
          <w:p>
            <w:pPr>
              <w:spacing w:after="0"/>
              <w:rPr>
                <w:sz w:val="20"/>
                <w:szCs w:val="20"/>
                <w:color w:val="auto"/>
              </w:rPr>
            </w:pPr>
          </w:p>
        </w:tc>
        <w:tc>
          <w:tcPr>
            <w:tcW w:w="72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Subsidiaries of the Registrants</w:t>
            </w:r>
          </w:p>
        </w:tc>
      </w:tr>
      <w:tr>
        <w:trPr>
          <w:trHeight w:val="531"/>
        </w:trPr>
        <w:tc>
          <w:tcPr>
            <w:tcW w:w="4100" w:type="dxa"/>
            <w:vAlign w:val="bottom"/>
          </w:tcPr>
          <w:p>
            <w:pPr>
              <w:spacing w:after="0"/>
              <w:rPr>
                <w:sz w:val="24"/>
                <w:szCs w:val="24"/>
                <w:color w:val="auto"/>
              </w:rPr>
            </w:pP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r>
      <w:tr>
        <w:trPr>
          <w:trHeight w:val="23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b w:val="1"/>
                <w:bCs w:val="1"/>
                <w:color w:val="auto"/>
                <w:w w:val="99"/>
              </w:rPr>
              <w:t>Formation</w:t>
            </w:r>
          </w:p>
        </w:tc>
      </w:tr>
      <w:tr>
        <w:trPr>
          <w:trHeight w:val="27"/>
        </w:trPr>
        <w:tc>
          <w:tcPr>
            <w:tcW w:w="4100" w:type="dxa"/>
            <w:vAlign w:val="bottom"/>
            <w:tcBorders>
              <w:bottom w:val="single" w:sz="8" w:color="auto"/>
            </w:tcBorders>
          </w:tcPr>
          <w:p>
            <w:pPr>
              <w:spacing w:after="0"/>
              <w:rPr>
                <w:sz w:val="2"/>
                <w:szCs w:val="2"/>
                <w:color w:val="auto"/>
              </w:rPr>
            </w:pPr>
          </w:p>
        </w:tc>
        <w:tc>
          <w:tcPr>
            <w:tcW w:w="7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72"/>
        </w:trPr>
        <w:tc>
          <w:tcPr>
            <w:tcW w:w="4100" w:type="dxa"/>
            <w:vAlign w:val="bottom"/>
          </w:tcPr>
          <w:p>
            <w:pPr>
              <w:ind w:left="20"/>
              <w:spacing w:after="0" w:line="272" w:lineRule="exact"/>
              <w:rPr>
                <w:sz w:val="20"/>
                <w:szCs w:val="20"/>
                <w:color w:val="auto"/>
              </w:rPr>
            </w:pPr>
            <w:r>
              <w:rPr>
                <w:rFonts w:ascii="Times New Roman" w:cs="Times New Roman" w:eastAsia="Times New Roman" w:hAnsi="Times New Roman"/>
                <w:sz w:val="18"/>
                <w:szCs w:val="18"/>
                <w:color w:val="auto"/>
              </w:rPr>
              <w:t>Icahn Enterprises Holdings L.P.</w:t>
            </w:r>
            <w:r>
              <w:rPr>
                <w:rFonts w:ascii="Times New Roman" w:cs="Times New Roman" w:eastAsia="Times New Roman" w:hAnsi="Times New Roman"/>
                <w:sz w:val="25"/>
                <w:szCs w:val="25"/>
                <w:color w:val="auto"/>
                <w:vertAlign w:val="superscript"/>
              </w:rPr>
              <w:t>(1)</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American Entertainment Properties Corp.</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Icahn Building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w w:val="98"/>
              </w:rPr>
              <w:t>Nevada</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AREP Oil &amp; Gas Holdings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AREP O&amp;G Holdings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NEG Oil &amp; Gas Sub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AREP Real Estate Holdings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Atlantic Coast Entertainment Holdings, Inc.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Icahn Enterprises Onshore/Offshore Investors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IEH ARI Holdings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IEP Ferrous Brazil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IEH Merger Sub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Icahn Strategy Holding Corp.</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Icahn Strategy 2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Meadow Star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IEP Energy Holding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IEP Energy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Icahn Nevada Management Corp.</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AEP Rail Corp.</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ACE Nevada Corp.</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IEH Portland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IEP Metals Sub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 PTC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LV Fairfield Holdings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AREP Asset Management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AREP New York Holdings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Icahn Video Acquisitions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Bayswater Hammond Ridge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Bayswater Pondview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Bayswater Penwood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AREH (RAY)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AREH Concord Holdings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AREH Windsor Locks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ICM GP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IPH GP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Icahn Capital Management LP</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Icahn Capital LP</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Icahn Onshore LP</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Icahn Offshore LP</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Icahn Partners LP</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Icahn Agency Services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IEH Investments I LLC</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Federal-Mogul Corporation</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Mogul Argentina SA.</w:t>
            </w:r>
          </w:p>
        </w:tc>
        <w:tc>
          <w:tcPr>
            <w:tcW w:w="726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w w:val="97"/>
              </w:rPr>
              <w:t>Argentina</w:t>
            </w:r>
          </w:p>
        </w:tc>
      </w:tr>
    </w:tbl>
    <w:p>
      <w:pPr>
        <w:sectPr>
          <w:pgSz w:w="11900" w:h="16838" w:orient="portrait"/>
          <w:cols w:equalWidth="0" w:num="1">
            <w:col w:w="11360"/>
          </w:cols>
          <w:pgMar w:left="300" w:top="577" w:right="239" w:bottom="1440" w:gutter="0" w:footer="0" w:header="0"/>
        </w:sectPr>
      </w:pPr>
    </w:p>
    <w:bookmarkStart w:id="271" w:name="page272"/>
    <w:bookmarkEnd w:id="2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Plasticos Puntanos, S.A.</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7"/>
              </w:rPr>
              <w:t>Argentina</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Pty Ltd</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Automotive Pty Ltd.</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FM Motorparts Pty Ltd.</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S.A.</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EMEA Distribution Services, BVBA</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Global Aftermarket EMEA BVBA</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Coventry Assurance, Ltd.</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9"/>
              </w:rPr>
              <w:t>Bermuda</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 Mogul Componentes de Motores Ltda.</w:t>
            </w:r>
          </w:p>
        </w:tc>
        <w:tc>
          <w:tcPr>
            <w:tcW w:w="320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Friction Products Sorocaba - Sistemas Automotivos Ltda.</w:t>
            </w:r>
          </w:p>
        </w:tc>
        <w:tc>
          <w:tcPr>
            <w:tcW w:w="320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Industria de Autopecas Ltda.</w:t>
            </w:r>
          </w:p>
        </w:tc>
        <w:tc>
          <w:tcPr>
            <w:tcW w:w="320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Sistemas Automotivos Ltda.</w:t>
            </w:r>
          </w:p>
        </w:tc>
        <w:tc>
          <w:tcPr>
            <w:tcW w:w="320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Participacoes e Investimentos, LTDA</w:t>
            </w:r>
          </w:p>
        </w:tc>
        <w:tc>
          <w:tcPr>
            <w:tcW w:w="320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Canada Limited</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(Changshu) Automotive Parts Co., Ltd</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(Chongqing) Friction Materials Co., Ltd</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(Dalian) Co., Ltd.</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(Shanghai) Automotive Parts Co., Ltd.</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ARN (Anqing) Powder Metallurgy Co., Ltd</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Dongsuh (Qingdao) Pistons Co., Ltd.</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Friction Products Co. Ltd.</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(China) Co., Ltd..</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Deva (Qingdao) Automotive Parts Co., Ltd.</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Qingdao Pistons Co. Ltd.</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Sealing System (Nanchang) Co., Ltd.</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Shanghai Bearings Co., Ltd</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Shanghai Compound Material Co., Ltd.</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Zhengsheng (Changsha) Piston Ring Co., LTD</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 Mogul de Costa Rica, Sociedad Anonima</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9"/>
              </w:rPr>
              <w:t>Costa Rica</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Sapav Marketing Ltd.</w:t>
            </w:r>
          </w:p>
        </w:tc>
        <w:tc>
          <w:tcPr>
            <w:tcW w:w="320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Cyprus</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Sibirica Energy Limited</w:t>
            </w:r>
          </w:p>
        </w:tc>
        <w:tc>
          <w:tcPr>
            <w:tcW w:w="320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Cyprus</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Friction Products A.S.</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8"/>
              </w:rPr>
              <w:t>Czech Rep.</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Aftermarket Egypt LTD</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7"/>
              </w:rPr>
              <w:t>Egypt</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Ateliers Juliette Adam SAS</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 Mogul Aftermarket France SAS</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Financial Services SAS</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Friction Products SAS</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Ignition Products SAS</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 Mogul Operations France SAS</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 Mogul Piston Rings SAS</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Sealing System SAS</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Services Sarl</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Systems Protection SAS</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SAS</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Fonciere de Liberation SAS</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Saxid SAS</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Aftermarket GmbH</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Automotive GmbH &amp; Co. KG</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Automotive Verwaltungs GmbH</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Betriebsgrundstücke Burscheid GmbH</w:t>
            </w:r>
          </w:p>
        </w:tc>
        <w:tc>
          <w:tcPr>
            <w:tcW w:w="32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8"/>
              </w:rPr>
              <w:t>Germany</w:t>
            </w:r>
          </w:p>
        </w:tc>
      </w:tr>
    </w:tbl>
    <w:p>
      <w:pPr>
        <w:sectPr>
          <w:pgSz w:w="11900" w:h="16838" w:orient="portrait"/>
          <w:cols w:equalWidth="0" w:num="1">
            <w:col w:w="10860"/>
          </w:cols>
          <w:pgMar w:left="320" w:top="742" w:right="719" w:bottom="1440" w:gutter="0" w:footer="0" w:header="0"/>
        </w:sectPr>
      </w:pPr>
    </w:p>
    <w:bookmarkStart w:id="272" w:name="page273"/>
    <w:bookmarkEnd w:id="2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Bremsbelag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Burscheid Beteiligungs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Burscheid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Deva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Friction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Friction Materials Germany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Friction Products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Friction Products International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Friedberg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Heinsberg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Holding Deutschland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Ignition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Immobilien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Nurenberg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Powertrain Russia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Sealing Systems Bretten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Sealing Systems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TP Europe Gmbh &amp; Co. KG</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TP Piston Rings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Valvetrain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Vermogensverwaltungs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Verwaltungs und Beteiligungs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Wiesbaden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Goetze Wohnungsbau GmbH .</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Platin 966. GmbH .</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Weyburn-Bartel GmbH</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de Guatemala, S.A.</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9"/>
              </w:rPr>
              <w:t>Guatemala</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Curzon Insurance Limited.</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rPr>
              <w:t>Guernsey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(T&amp;N) Hong Kong Limited</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rPr>
              <w:t>Hong Kong</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World Trade (Asia) Limited</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rPr>
              <w:t>Hong Kong</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Hungary Kft</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Hungary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 Mogul Wipers Hungary Kft</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Hungary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Ignition Products India Limited</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rPr>
              <w:t>India</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Bearing India Limited</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rPr>
              <w:t>India</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Goetze (India) Limited.</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rPr>
              <w:t>India</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PTSB India Private Limited</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rPr>
              <w:t>India</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TPR (India) Limited.</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rPr>
              <w:t>India</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VSP (India) Limited</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rPr>
              <w:t>India</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Italy S.r.l.</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rPr>
              <w:t>Italy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Saxid s.r.l.</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rPr>
              <w:t>Italy</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 Mogul Japan K.K.</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rPr>
              <w:t>Japan</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Asia Investments Holding Korea, Ltd.</w:t>
            </w:r>
          </w:p>
        </w:tc>
        <w:tc>
          <w:tcPr>
            <w:tcW w:w="3920" w:type="dxa"/>
            <w:vAlign w:val="bottom"/>
          </w:tcPr>
          <w:p>
            <w:pPr>
              <w:jc w:val="center"/>
              <w:ind w:left="2870"/>
              <w:spacing w:after="0"/>
              <w:rPr>
                <w:sz w:val="20"/>
                <w:szCs w:val="20"/>
                <w:color w:val="auto"/>
              </w:rPr>
            </w:pPr>
            <w:r>
              <w:rPr>
                <w:rFonts w:ascii="Times New Roman" w:cs="Times New Roman" w:eastAsia="Times New Roman" w:hAnsi="Times New Roman"/>
                <w:sz w:val="18"/>
                <w:szCs w:val="18"/>
                <w:color w:val="auto"/>
                <w:w w:val="99"/>
              </w:rPr>
              <w:t>Korea</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KFM Bearing Co., Ltd.</w:t>
            </w:r>
          </w:p>
        </w:tc>
        <w:tc>
          <w:tcPr>
            <w:tcW w:w="3920" w:type="dxa"/>
            <w:vAlign w:val="bottom"/>
          </w:tcPr>
          <w:p>
            <w:pPr>
              <w:jc w:val="center"/>
              <w:ind w:left="2870"/>
              <w:spacing w:after="0"/>
              <w:rPr>
                <w:sz w:val="20"/>
                <w:szCs w:val="20"/>
                <w:color w:val="auto"/>
              </w:rPr>
            </w:pPr>
            <w:r>
              <w:rPr>
                <w:rFonts w:ascii="Times New Roman" w:cs="Times New Roman" w:eastAsia="Times New Roman" w:hAnsi="Times New Roman"/>
                <w:sz w:val="18"/>
                <w:szCs w:val="18"/>
                <w:color w:val="auto"/>
                <w:w w:val="99"/>
              </w:rPr>
              <w:t>Korea</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KFM Innovative Technology Company Limited</w:t>
            </w:r>
          </w:p>
        </w:tc>
        <w:tc>
          <w:tcPr>
            <w:tcW w:w="3920" w:type="dxa"/>
            <w:vAlign w:val="bottom"/>
          </w:tcPr>
          <w:p>
            <w:pPr>
              <w:jc w:val="center"/>
              <w:ind w:left="2870"/>
              <w:spacing w:after="0"/>
              <w:rPr>
                <w:sz w:val="20"/>
                <w:szCs w:val="20"/>
                <w:color w:val="auto"/>
              </w:rPr>
            </w:pPr>
            <w:r>
              <w:rPr>
                <w:rFonts w:ascii="Times New Roman" w:cs="Times New Roman" w:eastAsia="Times New Roman" w:hAnsi="Times New Roman"/>
                <w:sz w:val="18"/>
                <w:szCs w:val="18"/>
                <w:color w:val="auto"/>
                <w:w w:val="99"/>
              </w:rPr>
              <w:t>Korea</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Luxembourg S. a. r. l.</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rPr>
              <w:t>Luxembourg</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Holdings, Ltd.</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Mauritius Is</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Holding Mexico, S.A. de C.V.</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de Matamoros, S.A. de C.V.</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de Mexico, S.A. de C.V.</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Distribucion de Mexico, S de RL de CV</w:t>
            </w:r>
          </w:p>
        </w:tc>
        <w:tc>
          <w:tcPr>
            <w:tcW w:w="3920" w:type="dxa"/>
            <w:vAlign w:val="bottom"/>
          </w:tcPr>
          <w:p>
            <w:pPr>
              <w:jc w:val="center"/>
              <w:ind w:left="2890"/>
              <w:spacing w:after="0"/>
              <w:rPr>
                <w:sz w:val="20"/>
                <w:szCs w:val="20"/>
                <w:color w:val="auto"/>
              </w:rPr>
            </w:pPr>
            <w:r>
              <w:rPr>
                <w:rFonts w:ascii="Times New Roman" w:cs="Times New Roman" w:eastAsia="Times New Roman" w:hAnsi="Times New Roman"/>
                <w:sz w:val="18"/>
                <w:szCs w:val="18"/>
                <w:color w:val="auto"/>
                <w:w w:val="98"/>
              </w:rPr>
              <w:t>Mexico</w:t>
            </w:r>
          </w:p>
        </w:tc>
      </w:tr>
    </w:tbl>
    <w:p>
      <w:pPr>
        <w:sectPr>
          <w:pgSz w:w="11900" w:h="16838" w:orient="portrait"/>
          <w:cols w:equalWidth="0" w:num="1">
            <w:col w:w="10920"/>
          </w:cols>
          <w:pgMar w:left="320" w:top="743" w:right="659" w:bottom="1440" w:gutter="0" w:footer="0" w:header="0"/>
        </w:sectPr>
      </w:pPr>
    </w:p>
    <w:bookmarkStart w:id="273" w:name="page274"/>
    <w:bookmarkEnd w:id="2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Lighting, S.A. de C.V.</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S.A. de C.V.</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SP Mexico, S. de R.L. de C.V.</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Valve Train S. de R.L. de C.V.</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McCord Payen de Mexico S. de R.L.</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Productos de Frenos Automotrices de Calidad S.A. de C.V.</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Raimsa, S.A. de C.V.</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Servicios Administrativos Industriales, S.A.</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Servicio de Componentes Automotrices, S.A. de C.A.</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Subensambles Internacionales, S.A. de S.V.</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T&amp;N de Mexico S.de R.L</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Systems Protection Morocco SARL AU</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Morocco</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Cooperatief Federal-Mogul Dutch Investments B.A.</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Investments B.V.</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Motorparts Holding B.V.</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Motorparts Minority Holding B.V.</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VCS Holding B.V.</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Motorparts Philippines, Inc.</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Philippines</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Bimet Spolka Akcyjna</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Gorzyce S.A.</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Friction Products Ploiesti s.r.l.</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Romania</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Friction Services s.r.l</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Romania</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Dimitrovgrad LLC</w:t>
            </w:r>
          </w:p>
        </w:tc>
        <w:tc>
          <w:tcPr>
            <w:tcW w:w="3700" w:type="dxa"/>
            <w:vAlign w:val="bottom"/>
          </w:tcPr>
          <w:p>
            <w:pPr>
              <w:jc w:val="center"/>
              <w:ind w:left="2650"/>
              <w:spacing w:after="0"/>
              <w:rPr>
                <w:sz w:val="20"/>
                <w:szCs w:val="20"/>
                <w:color w:val="auto"/>
              </w:rPr>
            </w:pPr>
            <w:r>
              <w:rPr>
                <w:rFonts w:ascii="Times New Roman" w:cs="Times New Roman" w:eastAsia="Times New Roman" w:hAnsi="Times New Roman"/>
                <w:sz w:val="18"/>
                <w:szCs w:val="18"/>
                <w:color w:val="auto"/>
                <w:w w:val="99"/>
              </w:rPr>
              <w:t>Russia</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Naberezhyne Chelny LLC</w:t>
            </w:r>
          </w:p>
        </w:tc>
        <w:tc>
          <w:tcPr>
            <w:tcW w:w="3700" w:type="dxa"/>
            <w:vAlign w:val="bottom"/>
          </w:tcPr>
          <w:p>
            <w:pPr>
              <w:jc w:val="center"/>
              <w:ind w:left="2650"/>
              <w:spacing w:after="0"/>
              <w:rPr>
                <w:sz w:val="20"/>
                <w:szCs w:val="20"/>
                <w:color w:val="auto"/>
              </w:rPr>
            </w:pPr>
            <w:r>
              <w:rPr>
                <w:rFonts w:ascii="Times New Roman" w:cs="Times New Roman" w:eastAsia="Times New Roman" w:hAnsi="Times New Roman"/>
                <w:sz w:val="18"/>
                <w:szCs w:val="18"/>
                <w:color w:val="auto"/>
                <w:w w:val="99"/>
              </w:rPr>
              <w:t>Russia</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Powertrain Vostok OOO</w:t>
            </w:r>
          </w:p>
        </w:tc>
        <w:tc>
          <w:tcPr>
            <w:tcW w:w="3700" w:type="dxa"/>
            <w:vAlign w:val="bottom"/>
          </w:tcPr>
          <w:p>
            <w:pPr>
              <w:jc w:val="center"/>
              <w:ind w:left="2650"/>
              <w:spacing w:after="0"/>
              <w:rPr>
                <w:sz w:val="20"/>
                <w:szCs w:val="20"/>
                <w:color w:val="auto"/>
              </w:rPr>
            </w:pPr>
            <w:r>
              <w:rPr>
                <w:rFonts w:ascii="Times New Roman" w:cs="Times New Roman" w:eastAsia="Times New Roman" w:hAnsi="Times New Roman"/>
                <w:sz w:val="18"/>
                <w:szCs w:val="18"/>
                <w:color w:val="auto"/>
                <w:w w:val="99"/>
              </w:rPr>
              <w:t>Russia</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VCS OOO</w:t>
            </w:r>
          </w:p>
        </w:tc>
        <w:tc>
          <w:tcPr>
            <w:tcW w:w="3700" w:type="dxa"/>
            <w:vAlign w:val="bottom"/>
          </w:tcPr>
          <w:p>
            <w:pPr>
              <w:jc w:val="center"/>
              <w:ind w:left="2650"/>
              <w:spacing w:after="0"/>
              <w:rPr>
                <w:sz w:val="20"/>
                <w:szCs w:val="20"/>
                <w:color w:val="auto"/>
              </w:rPr>
            </w:pPr>
            <w:r>
              <w:rPr>
                <w:rFonts w:ascii="Times New Roman" w:cs="Times New Roman" w:eastAsia="Times New Roman" w:hAnsi="Times New Roman"/>
                <w:sz w:val="18"/>
                <w:szCs w:val="18"/>
                <w:color w:val="auto"/>
                <w:w w:val="99"/>
              </w:rPr>
              <w:t>Russia</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Torgovy Dom DZV CJSC</w:t>
            </w:r>
          </w:p>
        </w:tc>
        <w:tc>
          <w:tcPr>
            <w:tcW w:w="3700" w:type="dxa"/>
            <w:vAlign w:val="bottom"/>
          </w:tcPr>
          <w:p>
            <w:pPr>
              <w:jc w:val="center"/>
              <w:ind w:left="2650"/>
              <w:spacing w:after="0"/>
              <w:rPr>
                <w:sz w:val="20"/>
                <w:szCs w:val="20"/>
                <w:color w:val="auto"/>
              </w:rPr>
            </w:pPr>
            <w:r>
              <w:rPr>
                <w:rFonts w:ascii="Times New Roman" w:cs="Times New Roman" w:eastAsia="Times New Roman" w:hAnsi="Times New Roman"/>
                <w:sz w:val="18"/>
                <w:szCs w:val="18"/>
                <w:color w:val="auto"/>
                <w:w w:val="99"/>
              </w:rPr>
              <w:t>Russia</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Trend LLC</w:t>
            </w:r>
          </w:p>
        </w:tc>
        <w:tc>
          <w:tcPr>
            <w:tcW w:w="3700" w:type="dxa"/>
            <w:vAlign w:val="bottom"/>
          </w:tcPr>
          <w:p>
            <w:pPr>
              <w:jc w:val="center"/>
              <w:ind w:left="2650"/>
              <w:spacing w:after="0"/>
              <w:rPr>
                <w:sz w:val="20"/>
                <w:szCs w:val="20"/>
                <w:color w:val="auto"/>
              </w:rPr>
            </w:pPr>
            <w:r>
              <w:rPr>
                <w:rFonts w:ascii="Times New Roman" w:cs="Times New Roman" w:eastAsia="Times New Roman" w:hAnsi="Times New Roman"/>
                <w:sz w:val="18"/>
                <w:szCs w:val="18"/>
                <w:color w:val="auto"/>
                <w:w w:val="99"/>
              </w:rPr>
              <w:t>Russia</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Motorparts (Singapore) Pte. Ltd.</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Singapore</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Singapore Investments Pte. Ltd.</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Singapore</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 Mogul (Proprietary) Limited</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South Africa</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 Mogul Aftermarket Southern Africa (Pty) Limited</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South Africa</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 Mogul of South Africa (Pty) Ltd.</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South Africa</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 Mogul Powertrain Systems S A (Proprietary Limited)</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South Africa</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Aftermarket Espana, SA</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Spain</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Friction Products Barcelona S.L.</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Spain</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Friction Products SA</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Spain</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Friction Spain S.L.</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Spain</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Iberica, S.L</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Spain</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F-M Holding Daros AB</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Sweden</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Goteborg AB</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Sweden</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Holding Sweden AB</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Sweden</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GmbH</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Motorparts Taiwan Co., Limited</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9"/>
              </w:rPr>
              <w:t>Taiwan</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(Thailand) Ltd.</w:t>
            </w:r>
          </w:p>
        </w:tc>
        <w:tc>
          <w:tcPr>
            <w:tcW w:w="3700" w:type="dxa"/>
            <w:vAlign w:val="bottom"/>
          </w:tcPr>
          <w:p>
            <w:pPr>
              <w:jc w:val="center"/>
              <w:ind w:left="2650"/>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Motorparts (Thailand) Limited</w:t>
            </w:r>
          </w:p>
        </w:tc>
        <w:tc>
          <w:tcPr>
            <w:tcW w:w="3700" w:type="dxa"/>
            <w:vAlign w:val="bottom"/>
          </w:tcPr>
          <w:p>
            <w:pPr>
              <w:jc w:val="center"/>
              <w:ind w:left="2650"/>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A.E. Group Machines Limited</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AE International Limited</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AE Limited</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Aftermarket UK Limited</w:t>
            </w:r>
          </w:p>
        </w:tc>
        <w:tc>
          <w:tcPr>
            <w:tcW w:w="370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9"/>
              </w:rPr>
              <w:t>UK</w:t>
            </w:r>
          </w:p>
        </w:tc>
      </w:tr>
    </w:tbl>
    <w:p>
      <w:pPr>
        <w:sectPr>
          <w:pgSz w:w="11900" w:h="16838" w:orient="portrait"/>
          <w:cols w:equalWidth="0" w:num="1">
            <w:col w:w="10920"/>
          </w:cols>
          <w:pgMar w:left="320" w:top="743" w:right="659" w:bottom="1440" w:gutter="0" w:footer="0" w:header="0"/>
        </w:sectPr>
      </w:pPr>
    </w:p>
    <w:bookmarkStart w:id="274" w:name="page275"/>
    <w:bookmarkEnd w:id="2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Asia Investments Limited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Bradford Limited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Lydmet Limited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Employee Trust Administration Limited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Engineering Limited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Friction Products Limited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Global Growth Limited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Payen International Limited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Sintered Products Limited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Technology Limited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Valvetrain Limited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Ferodo Limited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F-M Motorparts Limited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F-M Trademarks Limited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Leeds Piston Ring &amp; Engineering Co. Ltd.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Sintration Limited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FDML Holdings Limited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UK Investments Limited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Limited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Piston Rings (UK) Ltd.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Saxid Limited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T&amp;N Shelf Twenty-Six Limited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Wellworthy Limited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UK</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Finance 1, LLC</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Carter Automotive Company, Inc.</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Corporation</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Finance 2, LLC</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Global LLC</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Ignition Company</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Piston Rings, Inc.</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Powertrain IP, LLC</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Risk Advisory Serivces LLC</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Transaction LLC</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Motorparts Corporation</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Valve Train International LLC</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Ferodo America, Inc.</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F-M Motorparts TSC, Inc.</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Felt Products Mfg. Co.</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FM International, LLC</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Gasket Holdings Inc.</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Muzzy-Lyon Auto Parts, Inc.</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T&amp;N Industries Inc.</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Chassis LLC</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Powertrain, Inc.</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Michigan</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World Wide, Inc.</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Michigan</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Speyside Real Estate, Inc.</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Michigan</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Products, Inc.</w:t>
            </w:r>
          </w:p>
        </w:tc>
        <w:tc>
          <w:tcPr>
            <w:tcW w:w="3760" w:type="dxa"/>
            <w:vAlign w:val="bottom"/>
          </w:tcPr>
          <w:p>
            <w:pPr>
              <w:jc w:val="center"/>
              <w:ind w:left="291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de Venezuela, C.A.</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7"/>
              </w:rPr>
              <w:t>Venezuela</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Federal-Mogul (Vietnam) Ltd</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Vietnam</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CVR Energy Inc.</w:t>
            </w:r>
          </w:p>
        </w:tc>
        <w:tc>
          <w:tcPr>
            <w:tcW w:w="376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0820"/>
          </w:cols>
          <w:pgMar w:left="320" w:top="742" w:right="759" w:bottom="1440" w:gutter="0" w:footer="0" w:header="0"/>
        </w:sectPr>
      </w:pPr>
    </w:p>
    <w:bookmarkStart w:id="275" w:name="page276"/>
    <w:bookmarkEnd w:id="2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Coffeyville Refining &amp; Marketing Holdings, Inc.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Coffeyville Refining &amp; Marketing, Inc.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Coffeyville Nitrogen Fertilizers, Inc.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Coffeyville Crude Transportation, Inc.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Coffeyville Terminal, Inc.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Coffeyville Pipeline, Inc.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CL JV Holdings,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Coffeyville Resources,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Coffeyville Resources Refining &amp; Marketing,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Coffeyville Resources Crude Transportation,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Coffeyville Resources Terminal,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Coffeyville Resources Pipeline,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CVR GP,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CVR Partners, LP</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Coffeyville Resources Nitrogen Fertilizers,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Coffeyville Finance Inc.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Wynnewood Energy Company,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Wynnewood Refining Company,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CVR Refining Holdings,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CVR Refining Holdings Sub,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CVR Refining,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Wynnewood Insurance Corporation</w:t>
            </w:r>
          </w:p>
        </w:tc>
        <w:tc>
          <w:tcPr>
            <w:tcW w:w="4240" w:type="dxa"/>
            <w:vAlign w:val="bottom"/>
          </w:tcPr>
          <w:p>
            <w:pPr>
              <w:jc w:val="center"/>
              <w:ind w:left="2990"/>
              <w:spacing w:after="0"/>
              <w:rPr>
                <w:sz w:val="20"/>
                <w:szCs w:val="20"/>
                <w:color w:val="auto"/>
              </w:rPr>
            </w:pPr>
            <w:r>
              <w:rPr>
                <w:rFonts w:ascii="Times New Roman" w:cs="Times New Roman" w:eastAsia="Times New Roman" w:hAnsi="Times New Roman"/>
                <w:sz w:val="18"/>
                <w:szCs w:val="18"/>
                <w:color w:val="auto"/>
                <w:w w:val="99"/>
              </w:rPr>
              <w:t>Hawaii</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CVR Refining, LP</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CVR Refining GP,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Tropicana Entertainment, Inc.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Tropicana Atlantic City Corp.</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Tropicana AC Sub Corp.</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New Tropicana Holdings, Inc.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New Tropicana OpCo, Inc.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Tropicana St. Louis,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Aztar Riverboat Holding Company,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w w:val="99"/>
              </w:rPr>
              <w:t>Indiana</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Aztar Indiana Gaming Company,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w w:val="99"/>
              </w:rPr>
              <w:t>Indiana</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New Jazz Enterprises,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w w:val="98"/>
              </w:rPr>
              <w:t>Nevada</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Catfish Queen Partnership in Commendam</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w w:val="98"/>
              </w:rPr>
              <w:t>Nevada</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Centroplex Centre Convention Hotel,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New St. Louis Riverboat,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w w:val="98"/>
              </w:rPr>
              <w:t>Nevada</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Columbia Properties Tahoe,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w w:val="98"/>
              </w:rPr>
              <w:t>Nevada</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CP Laughlin Realty,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Columbia Properties Laughlin,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w w:val="98"/>
              </w:rPr>
              <w:t>Nevada</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JMBS Casino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w w:val="99"/>
              </w:rPr>
              <w:t>Mississippi</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Lighthouse Point,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w w:val="99"/>
              </w:rPr>
              <w:t>Mississippi</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Tropicana Express,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w w:val="98"/>
              </w:rPr>
              <w:t>Nevada</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Tropicana Ent. Cayman Holdings Co. Ltd</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w w:val="98"/>
              </w:rPr>
              <w:t>Cayman Islands</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Aruba Development Corp VBA</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Aruba</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Tropicana Aruba Casino Operating Co. N.V.</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Aruba</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Tropicana Aruba Resort Operating Corp. VBA</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Aruba</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Casino One Corporation</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w w:val="99"/>
              </w:rPr>
              <w:t>Mississippi</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TEI (STLH),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TEI (ES),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TEI (St. Louis) RE, LLC</w:t>
            </w:r>
          </w:p>
        </w:tc>
        <w:tc>
          <w:tcPr>
            <w:tcW w:w="42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020"/>
          </w:cols>
          <w:pgMar w:left="320" w:top="743" w:right="559" w:bottom="1440" w:gutter="0" w:footer="0" w:header="0"/>
        </w:sectPr>
      </w:pPr>
    </w:p>
    <w:bookmarkStart w:id="276" w:name="page277"/>
    <w:bookmarkEnd w:id="2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TLH LLC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SE Inlet Properties LLC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American Railcar Industries, Inc.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w w:val="99"/>
              </w:rPr>
              <w:t>North Dakota</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Southwest Steel III LLC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ARI Fleet Services of Canada, Inc.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ARI Component Venture LLC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ARI Longtrain, Inc.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Longtrain Leasing I, LLC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Longtrain Leasing II, LLC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Longtrain Leasing III, LLC (Formed January 7, 2015)</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Castings LLC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Blue Lagoon Realty, LLC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ARI Railcar Services, LLC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American Railcar Leasing, LLC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American Railcar Leasing Canada Limited</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ARI First LLC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ARI Second LLC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ARI Third LLC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ARL II Funding LLC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ARL Lease Administrators LLC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Shippers Third LLC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ARL Fifth LLC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AEP Leasing LLC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NCF I LLC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NCF II LLC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RCF 2014 LLC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ARL Second LLC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Viskase Companies, Inc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WSC Corp.</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Viskase Films, Inc.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Viskase del Norte, S.A. de C.V.</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Servicos Viskase del Norte, S.A. de C.V.</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Viskase S.A.S.</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Viskase SpA</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Italy</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Viskase Gmbh</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Viskase Polska SP.ZO.O</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Viskase Brasil Embalagens Ltda</w:t>
            </w:r>
          </w:p>
        </w:tc>
        <w:tc>
          <w:tcPr>
            <w:tcW w:w="402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Viskase Asia Pacific Corp</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Philippines</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Viskase Sales Philippines Inc.</w:t>
            </w:r>
          </w:p>
        </w:tc>
        <w:tc>
          <w:tcPr>
            <w:tcW w:w="402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rPr>
              <w:t>Philippines</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PSC Metals Inc.</w:t>
            </w:r>
          </w:p>
        </w:tc>
        <w:tc>
          <w:tcPr>
            <w:tcW w:w="402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M W Recycling, LLC (MO, AR and IL)</w:t>
            </w:r>
          </w:p>
        </w:tc>
        <w:tc>
          <w:tcPr>
            <w:tcW w:w="402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TAP USA, LLC</w:t>
            </w:r>
          </w:p>
        </w:tc>
        <w:tc>
          <w:tcPr>
            <w:tcW w:w="402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PSC Metals - Mitco, LLC</w:t>
            </w:r>
          </w:p>
        </w:tc>
        <w:tc>
          <w:tcPr>
            <w:tcW w:w="402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Carbon Plate Steel Products, LLC (IN, IL, MI, TN)</w:t>
            </w:r>
          </w:p>
        </w:tc>
        <w:tc>
          <w:tcPr>
            <w:tcW w:w="402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PSC Metals - Knoxville, LLC (TN)</w:t>
            </w:r>
          </w:p>
        </w:tc>
        <w:tc>
          <w:tcPr>
            <w:tcW w:w="402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PSC Metals - Joyce, LLC</w:t>
            </w:r>
          </w:p>
        </w:tc>
        <w:tc>
          <w:tcPr>
            <w:tcW w:w="402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PSC Metals - CAW, LLC</w:t>
            </w:r>
          </w:p>
        </w:tc>
        <w:tc>
          <w:tcPr>
            <w:tcW w:w="402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PSC Metals - Alliance, LLC</w:t>
            </w:r>
          </w:p>
        </w:tc>
        <w:tc>
          <w:tcPr>
            <w:tcW w:w="402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PSC Metals - Elyria, LLC</w:t>
            </w:r>
          </w:p>
        </w:tc>
        <w:tc>
          <w:tcPr>
            <w:tcW w:w="402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PSC Metals - Garn, LLC</w:t>
            </w:r>
          </w:p>
        </w:tc>
        <w:tc>
          <w:tcPr>
            <w:tcW w:w="402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Ohio</w:t>
            </w:r>
          </w:p>
        </w:tc>
      </w:tr>
    </w:tbl>
    <w:p>
      <w:pPr>
        <w:sectPr>
          <w:pgSz w:w="11900" w:h="16838" w:orient="portrait"/>
          <w:cols w:equalWidth="0" w:num="1">
            <w:col w:w="10940"/>
          </w:cols>
          <w:pgMar w:left="320" w:top="742" w:right="639" w:bottom="1440" w:gutter="0" w:footer="0" w:header="0"/>
        </w:sectPr>
      </w:pPr>
    </w:p>
    <w:bookmarkStart w:id="277" w:name="page278"/>
    <w:bookmarkEnd w:id="2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PSC Metals - Aliquippa, LLC</w:t>
            </w:r>
          </w:p>
        </w:tc>
        <w:tc>
          <w:tcPr>
            <w:tcW w:w="256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PSC Metals - Wooster, LLC</w:t>
            </w:r>
          </w:p>
        </w:tc>
        <w:tc>
          <w:tcPr>
            <w:tcW w:w="256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PSC Metals - Metallics, LLC</w:t>
            </w:r>
          </w:p>
        </w:tc>
        <w:tc>
          <w:tcPr>
            <w:tcW w:w="256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PSC Metals - Akron, LLC</w:t>
            </w:r>
          </w:p>
        </w:tc>
        <w:tc>
          <w:tcPr>
            <w:tcW w:w="256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PSC Metals - Massillon, LLC</w:t>
            </w:r>
          </w:p>
        </w:tc>
        <w:tc>
          <w:tcPr>
            <w:tcW w:w="256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PSC Metals - Newark, LLC</w:t>
            </w:r>
          </w:p>
        </w:tc>
        <w:tc>
          <w:tcPr>
            <w:tcW w:w="256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PSC Metals - New York,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PSC Metals - D&amp;L, LLC</w:t>
            </w:r>
          </w:p>
        </w:tc>
        <w:tc>
          <w:tcPr>
            <w:tcW w:w="256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CAPPCO Tubular Products USA,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Georgia</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Vero Beach Acquisition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Vero Beach Acquisition II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AREP Florida Holdings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New Seabury Real Estate Holdings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AREP Real Estate Holdings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IEP RESI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IEP Peachtree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IEP Dallas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API-SAA Company</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AREH Hudson Street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GH Vero Beach Development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Grand Harbor North Land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Vero Beach Title &amp; Escrow Company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Vero Beach GH Realty Sales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River Village Tower I</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River Village Tower II</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River Village Tower III</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River Village Tower IV</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River Village Tower V</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VB Community Management LLC - New for residential property management in Vero Beach</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GH Vero Holdings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Bayswater Falling Waters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The Bayswater Group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Bayswater Development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New Seabury Private Sewer Treatment Facility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Bayswater Brokerage Mass.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New Seabury Properties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New Seabury Properties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Grand Harbor Management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Grand Harbor Golf Club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Oak Harbor Golf Club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OH Somerset ALF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GHG Asset Management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OHG Asset Management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Oak Harbor Assisted Living Facility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IEH GH Management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New Seabury Beach Club LLC (successor to New Seabury 98-1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New Seabury Golf Club LLC (successor to New Seabury 98-2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NS Beach Club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GH Vero Holdings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Westpoint Home LLC</w:t>
            </w:r>
          </w:p>
        </w:tc>
        <w:tc>
          <w:tcPr>
            <w:tcW w:w="25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0920"/>
          </w:cols>
          <w:pgMar w:left="320" w:top="743" w:right="659" w:bottom="1440" w:gutter="0" w:footer="0" w:header="0"/>
        </w:sectPr>
      </w:pPr>
    </w:p>
    <w:bookmarkStart w:id="278" w:name="page279"/>
    <w:bookmarkEnd w:id="278"/>
    <w:p>
      <w:pPr>
        <w:spacing w:after="0" w:line="1" w:lineRule="exact"/>
        <w:rPr>
          <w:sz w:val="20"/>
          <w:szCs w:val="20"/>
          <w:color w:val="auto"/>
        </w:rPr>
      </w:pPr>
    </w:p>
    <w:tbl>
      <w:tblPr>
        <w:tblLayout w:type="fixed"/>
        <w:tblInd w:w="72"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WestPoint Home Netherlands Holding, LLC</w:t>
            </w:r>
          </w:p>
        </w:tc>
        <w:tc>
          <w:tcPr>
            <w:tcW w:w="478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WestPoint Home (Netherlands) Coopertief</w:t>
            </w:r>
          </w:p>
        </w:tc>
        <w:tc>
          <w:tcPr>
            <w:tcW w:w="478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WestPoint Home Asia Ltd.</w:t>
            </w:r>
          </w:p>
        </w:tc>
        <w:tc>
          <w:tcPr>
            <w:tcW w:w="478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w w:val="98"/>
              </w:rPr>
              <w:t>British Virgin Islands</w:t>
            </w:r>
          </w:p>
        </w:tc>
      </w:tr>
      <w:tr>
        <w:trPr>
          <w:trHeight w:val="27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WestPoint Pakistan LLC</w:t>
            </w:r>
          </w:p>
        </w:tc>
        <w:tc>
          <w:tcPr>
            <w:tcW w:w="478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WP IP, LLC</w:t>
            </w:r>
          </w:p>
        </w:tc>
        <w:tc>
          <w:tcPr>
            <w:tcW w:w="478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w w:val="98"/>
              </w:rPr>
              <w:t>Nevada</w:t>
            </w:r>
          </w:p>
        </w:tc>
      </w:tr>
      <w:tr>
        <w:trPr>
          <w:trHeight w:val="27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WP Trademarks, LLC</w:t>
            </w:r>
          </w:p>
        </w:tc>
        <w:tc>
          <w:tcPr>
            <w:tcW w:w="478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WP Property Holdings I, LLC</w:t>
            </w:r>
          </w:p>
        </w:tc>
        <w:tc>
          <w:tcPr>
            <w:tcW w:w="478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WP Property Holdings II, LLC</w:t>
            </w:r>
          </w:p>
        </w:tc>
        <w:tc>
          <w:tcPr>
            <w:tcW w:w="478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WP Properties Lanier/Carter, LLC</w:t>
            </w:r>
          </w:p>
        </w:tc>
        <w:tc>
          <w:tcPr>
            <w:tcW w:w="478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WP Properties Lumberton, LLC</w:t>
            </w:r>
          </w:p>
        </w:tc>
        <w:tc>
          <w:tcPr>
            <w:tcW w:w="478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WP Properties Wagram, LLC</w:t>
            </w:r>
          </w:p>
        </w:tc>
        <w:tc>
          <w:tcPr>
            <w:tcW w:w="478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WP Properties Clemson, LLC</w:t>
            </w:r>
          </w:p>
        </w:tc>
        <w:tc>
          <w:tcPr>
            <w:tcW w:w="478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WP Properties Wagram Facility, LLC</w:t>
            </w:r>
          </w:p>
        </w:tc>
        <w:tc>
          <w:tcPr>
            <w:tcW w:w="478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WestPoint Home (Netherlands) B.V.</w:t>
            </w:r>
          </w:p>
        </w:tc>
        <w:tc>
          <w:tcPr>
            <w:tcW w:w="478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WestPoint Home (Bahrain) W.L.L.</w:t>
            </w:r>
          </w:p>
        </w:tc>
        <w:tc>
          <w:tcPr>
            <w:tcW w:w="478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rPr>
              <w:t>Bahrain</w:t>
            </w:r>
          </w:p>
        </w:tc>
      </w:tr>
      <w:tr>
        <w:trPr>
          <w:trHeight w:val="27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WestPoint Home (Bahrain) W.L.L.</w:t>
            </w:r>
          </w:p>
        </w:tc>
        <w:tc>
          <w:tcPr>
            <w:tcW w:w="478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rPr>
              <w:t>Bahrain</w:t>
            </w:r>
          </w:p>
        </w:tc>
      </w:tr>
      <w:tr>
        <w:trPr>
          <w:trHeight w:val="27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WestPoint Home (Shanghai) Inc.</w:t>
            </w:r>
          </w:p>
        </w:tc>
        <w:tc>
          <w:tcPr>
            <w:tcW w:w="478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w w:val="97"/>
              </w:rPr>
              <w:t>China</w:t>
            </w:r>
          </w:p>
        </w:tc>
      </w:tr>
    </w:tbl>
    <w:p>
      <w:pPr>
        <w:spacing w:after="0" w:line="247" w:lineRule="exact"/>
        <w:rPr>
          <w:sz w:val="20"/>
          <w:szCs w:val="20"/>
          <w:color w:val="auto"/>
        </w:rPr>
      </w:pPr>
    </w:p>
    <w:p>
      <w:pPr>
        <w:ind w:left="172" w:right="80" w:hanging="172"/>
        <w:spacing w:after="0" w:line="294" w:lineRule="auto"/>
        <w:tabs>
          <w:tab w:leader="none" w:pos="146" w:val="left"/>
        </w:tabs>
        <w:numPr>
          <w:ilvl w:val="0"/>
          <w:numId w:val="7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Icahn Enterprises Holdings L.P. is a 99% owned subsidiary of Icahn Enterprises L.P. All other subsidiaries listed above are subsidiaries of Icahn Enterprises Holdings L.P. and therefore are also subsidiaries of Icahn Enterprises L.P.</w:t>
      </w:r>
    </w:p>
    <w:p>
      <w:pPr>
        <w:sectPr>
          <w:pgSz w:w="11900" w:h="16838" w:orient="portrait"/>
          <w:cols w:equalWidth="0" w:num="1">
            <w:col w:w="11292"/>
          </w:cols>
          <w:pgMar w:left="248" w:top="743" w:right="35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issued our reports dated February 27, 2015, with respect to the consolidated financial statements, schedule and internal control over financial reporting of Icahn Enterprises L.P. and subsidiaries included in the joint Annual Report of Icahn Enterprises L.P. and Icahn Enterprises Holdings L.P. on Form 10-K for the year ended December 31, 2014. We hereby consent to the incorporation by reference of said reports in the Registration Statement of Icahn Enterprises L.P. and subsidiaries on Form S-3 (File No. 333-188360).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p>
      <w:pPr>
        <w:sectPr>
          <w:pgSz w:w="11900" w:h="16838" w:orient="portrait"/>
          <w:cols w:equalWidth="0" w:num="1">
            <w:col w:w="11420"/>
          </w:cols>
          <w:pgMar w:left="240" w:top="577" w:right="23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We consent to the inclusion in the Icahn Enterprises L.P. and Icahn Enterprises Holdings L.P. joint report on Form 10-K for the year ended December 31, 2014 and the incorporation by reference in the registration statement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188360)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of Icahn Enterprises L.P. and Icahn Enterprises Finance Corp. of our report dated March 14, 2013, with respect to the consolidated balance sheet of CVR Energy, Inc. and subsidiaries as of December 31, 2012, and the related consolidated statements of operations, comprehensive income, changes in equity, and cash flows for the period from May 5, 2012 to December 31, 2012.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p>
      <w:pPr>
        <w:sectPr>
          <w:pgSz w:w="11900" w:h="16838" w:orient="portrait"/>
          <w:cols w:equalWidth="0" w:num="1">
            <w:col w:w="11420"/>
          </w:cols>
          <w:pgMar w:left="240" w:top="576" w:right="23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Cozza, certify that:</w:t>
      </w:r>
    </w:p>
    <w:p>
      <w:pPr>
        <w:spacing w:after="0" w:line="225" w:lineRule="exact"/>
        <w:rPr>
          <w:sz w:val="20"/>
          <w:szCs w:val="20"/>
          <w:color w:val="auto"/>
        </w:rPr>
      </w:pPr>
    </w:p>
    <w:p>
      <w:pPr>
        <w:ind w:left="520" w:hanging="188"/>
        <w:spacing w:after="0"/>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Icahn Enterprises L.P. for the year ended December 31, 2014;</w:t>
      </w:r>
    </w:p>
    <w:p>
      <w:pPr>
        <w:spacing w:after="0" w:line="225" w:lineRule="exact"/>
        <w:rPr>
          <w:rFonts w:ascii="Times New Roman" w:cs="Times New Roman" w:eastAsia="Times New Roman" w:hAnsi="Times New Roman"/>
          <w:sz w:val="18"/>
          <w:szCs w:val="18"/>
          <w:color w:val="auto"/>
        </w:rPr>
      </w:pPr>
    </w:p>
    <w:p>
      <w:pPr>
        <w:jc w:val="both"/>
        <w:ind w:right="440" w:firstLine="332"/>
        <w:spacing w:after="0" w:line="282" w:lineRule="auto"/>
        <w:tabs>
          <w:tab w:leader="none" w:pos="50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0" w:firstLine="332"/>
        <w:spacing w:after="0" w:line="282" w:lineRule="auto"/>
        <w:tabs>
          <w:tab w:leader="none" w:pos="50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20" w:firstLine="332"/>
        <w:spacing w:after="0" w:line="266" w:lineRule="auto"/>
        <w:tabs>
          <w:tab w:leader="none" w:pos="50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6" w:lineRule="exact"/>
        <w:rPr>
          <w:rFonts w:ascii="Times New Roman" w:cs="Times New Roman" w:eastAsia="Times New Roman" w:hAnsi="Times New Roman"/>
          <w:sz w:val="18"/>
          <w:szCs w:val="18"/>
          <w:color w:val="auto"/>
        </w:rPr>
      </w:pPr>
    </w:p>
    <w:p>
      <w:pPr>
        <w:jc w:val="both"/>
        <w:ind w:left="340" w:right="340" w:firstLine="316"/>
        <w:spacing w:after="0" w:line="266" w:lineRule="auto"/>
        <w:tabs>
          <w:tab w:leader="none" w:pos="84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340" w:right="560" w:firstLine="316"/>
        <w:spacing w:after="0" w:line="266" w:lineRule="auto"/>
        <w:tabs>
          <w:tab w:leader="none" w:pos="85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right="960" w:firstLine="316"/>
        <w:spacing w:after="0" w:line="282" w:lineRule="auto"/>
        <w:tabs>
          <w:tab w:leader="none" w:pos="84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100" w:firstLine="316"/>
        <w:spacing w:after="0" w:line="266" w:lineRule="auto"/>
        <w:tabs>
          <w:tab w:leader="none" w:pos="85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right="340" w:firstLine="332"/>
        <w:spacing w:after="0" w:line="282" w:lineRule="auto"/>
        <w:tabs>
          <w:tab w:leader="none" w:pos="50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320" w:firstLine="316"/>
        <w:spacing w:after="0" w:line="282" w:lineRule="auto"/>
        <w:tabs>
          <w:tab w:leader="none" w:pos="84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20" w:firstLine="316"/>
        <w:spacing w:after="0" w:line="282" w:lineRule="auto"/>
        <w:tabs>
          <w:tab w:leader="none" w:pos="85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Chief Executive Officer and Director of Icahn Enterprises</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G.P. Inc., the general partner of Icahn Enterprises L.P.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2015</w:t>
      </w:r>
    </w:p>
    <w:p>
      <w:pPr>
        <w:sectPr>
          <w:pgSz w:w="11900" w:h="16838" w:orient="portrait"/>
          <w:cols w:equalWidth="0" w:num="1">
            <w:col w:w="11420"/>
          </w:cols>
          <w:pgMar w:left="240" w:top="576" w:right="23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Icahn Enterprises L.P. for the year ended December 31, 2014;</w:t>
      </w:r>
    </w:p>
    <w:p>
      <w:pPr>
        <w:spacing w:after="0" w:line="225" w:lineRule="exact"/>
        <w:rPr>
          <w:rFonts w:ascii="Times New Roman" w:cs="Times New Roman" w:eastAsia="Times New Roman" w:hAnsi="Times New Roman"/>
          <w:sz w:val="18"/>
          <w:szCs w:val="18"/>
          <w:color w:val="auto"/>
        </w:rPr>
      </w:pPr>
    </w:p>
    <w:p>
      <w:pPr>
        <w:jc w:val="both"/>
        <w:ind w:right="440" w:firstLine="332"/>
        <w:spacing w:after="0" w:line="282" w:lineRule="auto"/>
        <w:tabs>
          <w:tab w:leader="none" w:pos="50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0" w:firstLine="332"/>
        <w:spacing w:after="0" w:line="282" w:lineRule="auto"/>
        <w:tabs>
          <w:tab w:leader="none" w:pos="50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20" w:firstLine="332"/>
        <w:spacing w:after="0" w:line="266" w:lineRule="auto"/>
        <w:tabs>
          <w:tab w:leader="none" w:pos="50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6" w:lineRule="exact"/>
        <w:rPr>
          <w:rFonts w:ascii="Times New Roman" w:cs="Times New Roman" w:eastAsia="Times New Roman" w:hAnsi="Times New Roman"/>
          <w:sz w:val="18"/>
          <w:szCs w:val="18"/>
          <w:color w:val="auto"/>
        </w:rPr>
      </w:pPr>
    </w:p>
    <w:p>
      <w:pPr>
        <w:jc w:val="both"/>
        <w:ind w:left="340" w:right="340" w:firstLine="316"/>
        <w:spacing w:after="0" w:line="266" w:lineRule="auto"/>
        <w:tabs>
          <w:tab w:leader="none" w:pos="84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340" w:right="560" w:firstLine="316"/>
        <w:spacing w:after="0" w:line="266" w:lineRule="auto"/>
        <w:tabs>
          <w:tab w:leader="none" w:pos="85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right="960" w:firstLine="316"/>
        <w:spacing w:after="0" w:line="282" w:lineRule="auto"/>
        <w:tabs>
          <w:tab w:leader="none" w:pos="84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100" w:firstLine="316"/>
        <w:spacing w:after="0" w:line="266" w:lineRule="auto"/>
        <w:tabs>
          <w:tab w:leader="none" w:pos="85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right="340" w:firstLine="332"/>
        <w:spacing w:after="0" w:line="282" w:lineRule="auto"/>
        <w:tabs>
          <w:tab w:leader="none" w:pos="50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320" w:firstLine="316"/>
        <w:spacing w:after="0" w:line="282" w:lineRule="auto"/>
        <w:tabs>
          <w:tab w:leader="none" w:pos="84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20" w:firstLine="316"/>
        <w:spacing w:after="0" w:line="282" w:lineRule="auto"/>
        <w:tabs>
          <w:tab w:leader="none" w:pos="85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 and Director of Icahn Enterprises G.P. Inc., the</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general partner of Icahn Enterprises L.P.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2015</w:t>
      </w:r>
    </w:p>
    <w:p>
      <w:pPr>
        <w:sectPr>
          <w:pgSz w:w="11900" w:h="16838" w:orient="portrait"/>
          <w:cols w:equalWidth="0" w:num="1">
            <w:col w:w="11420"/>
          </w:cols>
          <w:pgMar w:left="240" w:top="577" w:right="23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Cozza, certify that:</w:t>
      </w:r>
    </w:p>
    <w:p>
      <w:pPr>
        <w:spacing w:after="0" w:line="225" w:lineRule="exact"/>
        <w:rPr>
          <w:sz w:val="20"/>
          <w:szCs w:val="20"/>
          <w:color w:val="auto"/>
        </w:rPr>
      </w:pPr>
    </w:p>
    <w:p>
      <w:pPr>
        <w:ind w:left="520" w:hanging="188"/>
        <w:spacing w:after="0"/>
        <w:tabs>
          <w:tab w:leader="none" w:pos="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Icahn Enterprises Holdings L.P. for the year ended December 31, 2014;</w:t>
      </w:r>
    </w:p>
    <w:p>
      <w:pPr>
        <w:spacing w:after="0" w:line="225" w:lineRule="exact"/>
        <w:rPr>
          <w:rFonts w:ascii="Times New Roman" w:cs="Times New Roman" w:eastAsia="Times New Roman" w:hAnsi="Times New Roman"/>
          <w:sz w:val="18"/>
          <w:szCs w:val="18"/>
          <w:color w:val="auto"/>
        </w:rPr>
      </w:pPr>
    </w:p>
    <w:p>
      <w:pPr>
        <w:jc w:val="both"/>
        <w:ind w:right="360" w:firstLine="332"/>
        <w:spacing w:after="0" w:line="282" w:lineRule="auto"/>
        <w:tabs>
          <w:tab w:leader="none" w:pos="50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20" w:firstLine="332"/>
        <w:spacing w:after="0" w:line="282" w:lineRule="auto"/>
        <w:tabs>
          <w:tab w:leader="none" w:pos="50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332"/>
        <w:spacing w:after="0" w:line="266" w:lineRule="auto"/>
        <w:tabs>
          <w:tab w:leader="none" w:pos="50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6" w:lineRule="exact"/>
        <w:rPr>
          <w:rFonts w:ascii="Times New Roman" w:cs="Times New Roman" w:eastAsia="Times New Roman" w:hAnsi="Times New Roman"/>
          <w:sz w:val="18"/>
          <w:szCs w:val="18"/>
          <w:color w:val="auto"/>
        </w:rPr>
      </w:pPr>
    </w:p>
    <w:p>
      <w:pPr>
        <w:jc w:val="both"/>
        <w:ind w:left="340" w:right="260" w:firstLine="316"/>
        <w:spacing w:after="0" w:line="266" w:lineRule="auto"/>
        <w:tabs>
          <w:tab w:leader="none" w:pos="84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340" w:right="480" w:firstLine="316"/>
        <w:spacing w:after="0" w:line="266" w:lineRule="auto"/>
        <w:tabs>
          <w:tab w:leader="none" w:pos="85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right="880" w:firstLine="316"/>
        <w:spacing w:after="0" w:line="282" w:lineRule="auto"/>
        <w:tabs>
          <w:tab w:leader="none" w:pos="84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20" w:firstLine="316"/>
        <w:spacing w:after="0" w:line="266" w:lineRule="auto"/>
        <w:tabs>
          <w:tab w:leader="none" w:pos="85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right="260" w:firstLine="332"/>
        <w:spacing w:after="0" w:line="282" w:lineRule="auto"/>
        <w:tabs>
          <w:tab w:leader="none" w:pos="50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240" w:firstLine="316"/>
        <w:spacing w:after="0" w:line="282" w:lineRule="auto"/>
        <w:tabs>
          <w:tab w:leader="none" w:pos="84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140" w:firstLine="316"/>
        <w:spacing w:after="0" w:line="282" w:lineRule="auto"/>
        <w:tabs>
          <w:tab w:leader="none" w:pos="85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Chief Executive Officer and Director of Icahn Enterprises</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G.P. Inc., the general partner of Icahn Enterprises Holdings L.P.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2015</w:t>
      </w:r>
    </w:p>
    <w:p>
      <w:pPr>
        <w:sectPr>
          <w:pgSz w:w="11900" w:h="16838" w:orient="portrait"/>
          <w:cols w:equalWidth="0" w:num="1">
            <w:col w:w="11340"/>
          </w:cols>
          <w:pgMar w:left="240" w:top="576" w:right="31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Icahn Enterprises Holdings L.P. for the year ended December 31, 2014;</w:t>
      </w:r>
    </w:p>
    <w:p>
      <w:pPr>
        <w:spacing w:after="0" w:line="225" w:lineRule="exact"/>
        <w:rPr>
          <w:rFonts w:ascii="Times New Roman" w:cs="Times New Roman" w:eastAsia="Times New Roman" w:hAnsi="Times New Roman"/>
          <w:sz w:val="18"/>
          <w:szCs w:val="18"/>
          <w:color w:val="auto"/>
        </w:rPr>
      </w:pPr>
    </w:p>
    <w:p>
      <w:pPr>
        <w:jc w:val="both"/>
        <w:ind w:right="440" w:firstLine="332"/>
        <w:spacing w:after="0" w:line="282" w:lineRule="auto"/>
        <w:tabs>
          <w:tab w:leader="none" w:pos="50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0" w:firstLine="332"/>
        <w:spacing w:after="0" w:line="282" w:lineRule="auto"/>
        <w:tabs>
          <w:tab w:leader="none" w:pos="50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20" w:firstLine="332"/>
        <w:spacing w:after="0" w:line="266" w:lineRule="auto"/>
        <w:tabs>
          <w:tab w:leader="none" w:pos="50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6" w:lineRule="exact"/>
        <w:rPr>
          <w:rFonts w:ascii="Times New Roman" w:cs="Times New Roman" w:eastAsia="Times New Roman" w:hAnsi="Times New Roman"/>
          <w:sz w:val="18"/>
          <w:szCs w:val="18"/>
          <w:color w:val="auto"/>
        </w:rPr>
      </w:pPr>
    </w:p>
    <w:p>
      <w:pPr>
        <w:jc w:val="both"/>
        <w:ind w:left="340" w:right="340" w:firstLine="316"/>
        <w:spacing w:after="0" w:line="266" w:lineRule="auto"/>
        <w:tabs>
          <w:tab w:leader="none" w:pos="84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340" w:right="560" w:firstLine="316"/>
        <w:spacing w:after="0" w:line="266" w:lineRule="auto"/>
        <w:tabs>
          <w:tab w:leader="none" w:pos="85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right="960" w:firstLine="316"/>
        <w:spacing w:after="0" w:line="282" w:lineRule="auto"/>
        <w:tabs>
          <w:tab w:leader="none" w:pos="84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100" w:firstLine="316"/>
        <w:spacing w:after="0" w:line="266" w:lineRule="auto"/>
        <w:tabs>
          <w:tab w:leader="none" w:pos="85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right="340" w:firstLine="332"/>
        <w:spacing w:after="0" w:line="282" w:lineRule="auto"/>
        <w:tabs>
          <w:tab w:leader="none" w:pos="50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320" w:firstLine="316"/>
        <w:spacing w:after="0" w:line="282" w:lineRule="auto"/>
        <w:tabs>
          <w:tab w:leader="none" w:pos="84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20" w:firstLine="316"/>
        <w:spacing w:after="0" w:line="282" w:lineRule="auto"/>
        <w:tabs>
          <w:tab w:leader="none" w:pos="85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 and Director of Icahn Enterprises G.P. Inc., the</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general partner of Icahn Enterprises Holdings L.P.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2015</w:t>
      </w:r>
    </w:p>
    <w:p>
      <w:pPr>
        <w:sectPr>
          <w:pgSz w:w="11900" w:h="16838" w:orient="portrait"/>
          <w:cols w:equalWidth="0" w:num="1">
            <w:col w:w="11420"/>
          </w:cols>
          <w:pgMar w:left="240" w:top="577" w:right="23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 Oxley Act of 2002 (18 U.S.C. 1350)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13a-14(b) of the Securities Exchange Act of 1934</w:t>
      </w:r>
    </w:p>
    <w:p>
      <w:pPr>
        <w:spacing w:after="0" w:line="20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 Keith Cozza, President and Chief Executive Officer of Icahn Enterprises G.P. Inc., the general partner of Icahn Enterprises L.P., certify that, to the best of my knowledge, based upon a review of the Icahn Enterprises L.P. annual report on Form 10-K for the year ended December 31, 2014:</w:t>
      </w:r>
    </w:p>
    <w:p>
      <w:pPr>
        <w:spacing w:after="0" w:line="162" w:lineRule="exact"/>
        <w:rPr>
          <w:sz w:val="20"/>
          <w:szCs w:val="20"/>
          <w:color w:val="auto"/>
        </w:rPr>
      </w:pPr>
    </w:p>
    <w:p>
      <w:pPr>
        <w:ind w:left="580" w:hanging="248"/>
        <w:spacing w:after="0"/>
        <w:tabs>
          <w:tab w:leader="none" w:pos="5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8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34290</wp:posOffset>
            </wp:positionV>
            <wp:extent cx="335343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President, Chief Executive Officer and Director of Icahn Enterprises</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G.P. Inc., the general partner of Icahn Enterprises 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2015</w:t>
      </w:r>
    </w:p>
    <w:p>
      <w:pPr>
        <w:sectPr>
          <w:pgSz w:w="11900" w:h="16838" w:orient="portrait"/>
          <w:cols w:equalWidth="0" w:num="1">
            <w:col w:w="11420"/>
          </w:cols>
          <w:pgMar w:left="240" w:top="576" w:right="239" w:bottom="1440" w:gutter="0" w:footer="0" w:header="0"/>
        </w:sectPr>
      </w:pPr>
    </w:p>
    <w:bookmarkStart w:id="286" w:name="page287"/>
    <w:bookmarkEnd w:id="28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 Oxley Act of 2002 (18 U.S.C. 1350)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13a-14(b) of the Securities Exchange Act of 1934</w:t>
      </w:r>
    </w:p>
    <w:p>
      <w:pPr>
        <w:spacing w:after="0" w:line="207"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I, SungHwan Cho, Chief Financial Officer of Icahn Enterprises G.P. Inc., the general partner of Icahn Enterprises L.P., certify that, to the best of my knowledge, based upon a review of the Icahn Enterprises L.P. annual report on Form 10-K for the year ended December 31, 2014:</w:t>
      </w:r>
    </w:p>
    <w:p>
      <w:pPr>
        <w:spacing w:after="0" w:line="162" w:lineRule="exact"/>
        <w:rPr>
          <w:sz w:val="20"/>
          <w:szCs w:val="20"/>
          <w:color w:val="auto"/>
        </w:rPr>
      </w:pPr>
    </w:p>
    <w:p>
      <w:pPr>
        <w:ind w:left="580" w:hanging="248"/>
        <w:spacing w:after="0"/>
        <w:tabs>
          <w:tab w:leader="none" w:pos="5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8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34290</wp:posOffset>
            </wp:positionV>
            <wp:extent cx="335343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SungHwan Cho</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 of Icahn Enterprises G.P. Inc., the general</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partner of Icahn Enterprises 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2015</w:t>
      </w:r>
    </w:p>
    <w:p>
      <w:pPr>
        <w:sectPr>
          <w:pgSz w:w="11900" w:h="16838" w:orient="portrait"/>
          <w:cols w:equalWidth="0" w:num="1">
            <w:col w:w="11420"/>
          </w:cols>
          <w:pgMar w:left="240" w:top="577" w:right="23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 Oxley Act of 2002 (18 U.S.C. 1350)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13a-14(b) of the Securities Exchange Act of 1934</w:t>
      </w:r>
    </w:p>
    <w:p>
      <w:pPr>
        <w:spacing w:after="0" w:line="207" w:lineRule="exact"/>
        <w:rPr>
          <w:sz w:val="20"/>
          <w:szCs w:val="20"/>
          <w:color w:val="auto"/>
        </w:rPr>
      </w:pPr>
    </w:p>
    <w:p>
      <w:pPr>
        <w:ind w:right="80" w:firstLine="324"/>
        <w:spacing w:after="0" w:line="313" w:lineRule="auto"/>
        <w:rPr>
          <w:sz w:val="20"/>
          <w:szCs w:val="20"/>
          <w:color w:val="auto"/>
        </w:rPr>
      </w:pPr>
      <w:r>
        <w:rPr>
          <w:rFonts w:ascii="Times New Roman" w:cs="Times New Roman" w:eastAsia="Times New Roman" w:hAnsi="Times New Roman"/>
          <w:sz w:val="17"/>
          <w:szCs w:val="17"/>
          <w:color w:val="auto"/>
        </w:rPr>
        <w:t>I, Keith Cozza, President and Chief Executive Officer of Icahn Enterprises G.P. Inc., the general partner of Icahn Enterprises Holdings L.P., certify that, to the best of my knowledge, based upon a review of the Icahn Enterprises Holdings L.P. annual report on Form 10-K for the year ended December 31, 2014:</w:t>
      </w:r>
    </w:p>
    <w:p>
      <w:pPr>
        <w:spacing w:after="0" w:line="138" w:lineRule="exact"/>
        <w:rPr>
          <w:sz w:val="20"/>
          <w:szCs w:val="20"/>
          <w:color w:val="auto"/>
        </w:rPr>
      </w:pPr>
    </w:p>
    <w:p>
      <w:pPr>
        <w:ind w:left="580" w:hanging="248"/>
        <w:spacing w:after="0"/>
        <w:tabs>
          <w:tab w:leader="none" w:pos="5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8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34290</wp:posOffset>
            </wp:positionV>
            <wp:extent cx="335343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President, Chief Executive Officer and Director of Icahn Enterprises</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G.P. Inc., the general partner of Icahn Enterprises Holdings 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2015</w:t>
      </w:r>
    </w:p>
    <w:p>
      <w:pPr>
        <w:sectPr>
          <w:pgSz w:w="11900" w:h="16838" w:orient="portrait"/>
          <w:cols w:equalWidth="0" w:num="1">
            <w:col w:w="11420"/>
          </w:cols>
          <w:pgMar w:left="240" w:top="576" w:right="239"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18"/>
          <w:szCs w:val="18"/>
          <w:b w:val="1"/>
          <w:bCs w:val="1"/>
          <w:color w:val="auto"/>
        </w:rPr>
        <w:t>EXHIBIT 32.4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 Oxley Act of 2002 (18 U.S.C. 1350)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13a-14(b) of the Securities Exchange Act of 1934</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 SungHwan Cho, Chief Financial Officer of Icahn Enterprises G.P. Inc., the general partner of Icahn Enterprises Holdings L.P., certify that, to the best of my knowledge, based upon a review of the Icahn Enterprises Holdings L.P. annual report on Form 10-K for the year ended December 31, 2014:</w:t>
      </w:r>
    </w:p>
    <w:p>
      <w:pPr>
        <w:spacing w:after="0" w:line="162" w:lineRule="exact"/>
        <w:rPr>
          <w:sz w:val="20"/>
          <w:szCs w:val="20"/>
          <w:color w:val="auto"/>
        </w:rPr>
      </w:pPr>
    </w:p>
    <w:p>
      <w:pPr>
        <w:ind w:left="580" w:hanging="248"/>
        <w:spacing w:after="0"/>
        <w:tabs>
          <w:tab w:leader="none" w:pos="5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8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34290</wp:posOffset>
            </wp:positionV>
            <wp:extent cx="335343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SungHwan Cho</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 of Icahn Enterprises G.P. Inc., the general</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partner of Icahn Enterprises Holdings 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2015</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1)"/>
      <w:numFmt w:val="lowerRoman"/>
      <w:start w:val="5"/>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1)"/>
      <w:numFmt w:val="lowerRoman"/>
      <w:start w:val="3"/>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1)"/>
      <w:numFmt w:val="decimal"/>
      <w:start w:val="1"/>
    </w:lvl>
  </w:abstractNum>
  <w:abstractNum w:abstractNumId="38">
    <w:nsid w:val="77AE35EB"/>
    <w:multiLevelType w:val="hybridMultilevel"/>
    <w:lvl w:ilvl="0">
      <w:lvlJc w:val="left"/>
      <w:lvlText w:val="(%1)"/>
      <w:numFmt w:val="decimal"/>
      <w:start w:val="1"/>
    </w:lvl>
  </w:abstractNum>
  <w:abstractNum w:abstractNumId="39">
    <w:nsid w:val="579BE4F1"/>
    <w:multiLevelType w:val="hybridMultilevel"/>
    <w:lvl w:ilvl="0">
      <w:lvlJc w:val="left"/>
      <w:lvlText w:val="(%1)"/>
      <w:numFmt w:val="decimal"/>
      <w:start w:val="1"/>
    </w:lvl>
  </w:abstractNum>
  <w:abstractNum w:abstractNumId="40">
    <w:nsid w:val="310C50B3"/>
    <w:multiLevelType w:val="hybridMultilevel"/>
    <w:lvl w:ilvl="0">
      <w:lvlJc w:val="left"/>
      <w:lvlText w:val="(%1)"/>
      <w:numFmt w:val="decimal"/>
      <w:start w:val="1"/>
    </w:lvl>
  </w:abstractNum>
  <w:abstractNum w:abstractNumId="41">
    <w:nsid w:val="5FF87E05"/>
    <w:multiLevelType w:val="hybridMultilevel"/>
    <w:lvl w:ilvl="0">
      <w:lvlJc w:val="left"/>
      <w:lvlText w:val="%1)"/>
      <w:numFmt w:val="lowerRoman"/>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1."/>
      <w:numFmt w:val="decimal"/>
      <w:start w:val="1"/>
    </w:lvl>
  </w:abstractNum>
  <w:abstractNum w:abstractNumId="48">
    <w:nsid w:val="5DB70AE5"/>
    <w:multiLevelType w:val="hybridMultilevel"/>
    <w:lvl w:ilvl="0">
      <w:lvlJc w:val="left"/>
      <w:lvlText w:val="%1."/>
      <w:numFmt w:val="decimal"/>
      <w:start w:val="3"/>
    </w:lvl>
  </w:abstractNum>
  <w:abstractNum w:abstractNumId="49">
    <w:nsid w:val="100F8FCA"/>
    <w:multiLevelType w:val="hybridMultilevel"/>
    <w:lvl w:ilvl="0">
      <w:lvlJc w:val="left"/>
      <w:lvlText w:val="%1."/>
      <w:numFmt w:val="decimal"/>
      <w:start w:val="4"/>
    </w:lvl>
  </w:abstractNum>
  <w:abstractNum w:abstractNumId="50">
    <w:nsid w:val="6590700B"/>
    <w:multiLevelType w:val="hybridMultilevel"/>
    <w:lvl w:ilvl="0">
      <w:lvlJc w:val="left"/>
      <w:lvlText w:val="%1."/>
      <w:numFmt w:val="decimal"/>
      <w:start w:val="5"/>
    </w:lvl>
  </w:abstractNum>
  <w:abstractNum w:abstractNumId="51">
    <w:nsid w:val="15014ACB"/>
    <w:multiLevelType w:val="hybridMultilevel"/>
    <w:lvl w:ilvl="0">
      <w:lvlJc w:val="left"/>
      <w:lvlText w:val="%1."/>
      <w:numFmt w:val="decimal"/>
      <w:start w:val="6"/>
    </w:lvl>
  </w:abstractNum>
  <w:abstractNum w:abstractNumId="52">
    <w:nsid w:val="5F5E7FD0"/>
    <w:multiLevelType w:val="hybridMultilevel"/>
    <w:lvl w:ilvl="0">
      <w:lvlJc w:val="left"/>
      <w:lvlText w:val="(%1)"/>
      <w:numFmt w:val="decimal"/>
      <w:start w:val="1"/>
    </w:lvl>
  </w:abstractNum>
  <w:abstractNum w:abstractNumId="53">
    <w:nsid w:val="98A3148"/>
    <w:multiLevelType w:val="hybridMultilevel"/>
    <w:lvl w:ilvl="0">
      <w:lvlJc w:val="left"/>
      <w:lvlText w:val="(%1)"/>
      <w:numFmt w:val="decimal"/>
      <w:start w:val="1"/>
    </w:lvl>
  </w:abstractNum>
  <w:abstractNum w:abstractNumId="54">
    <w:nsid w:val="799D0247"/>
    <w:multiLevelType w:val="hybridMultilevel"/>
    <w:lvl w:ilvl="0">
      <w:lvlJc w:val="left"/>
      <w:lvlText w:val="%1."/>
      <w:numFmt w:val="decimal"/>
      <w:start w:val="7"/>
    </w:lvl>
  </w:abstractNum>
  <w:abstractNum w:abstractNumId="55">
    <w:nsid w:val="6B94764"/>
    <w:multiLevelType w:val="hybridMultilevel"/>
    <w:lvl w:ilvl="0">
      <w:lvlJc w:val="left"/>
      <w:lvlText w:val="(%1)"/>
      <w:numFmt w:val="decimal"/>
      <w:start w:val="1"/>
    </w:lvl>
  </w:abstractNum>
  <w:abstractNum w:abstractNumId="56">
    <w:nsid w:val="42C296BD"/>
    <w:multiLevelType w:val="hybridMultilevel"/>
    <w:lvl w:ilvl="0">
      <w:lvlJc w:val="left"/>
      <w:lvlText w:val="(%1)"/>
      <w:numFmt w:val="decimal"/>
      <w:start w:val="1"/>
    </w:lvl>
  </w:abstractNum>
  <w:abstractNum w:abstractNumId="57">
    <w:nsid w:val="168E121F"/>
    <w:multiLevelType w:val="hybridMultilevel"/>
    <w:lvl w:ilvl="0">
      <w:lvlJc w:val="left"/>
      <w:lvlText w:val="(%1)"/>
      <w:numFmt w:val="decimal"/>
      <w:start w:val="1"/>
    </w:lvl>
  </w:abstractNum>
  <w:abstractNum w:abstractNumId="58">
    <w:nsid w:val="1EBA5D23"/>
    <w:multiLevelType w:val="hybridMultilevel"/>
    <w:lvl w:ilvl="0">
      <w:lvlJc w:val="left"/>
      <w:lvlText w:val="(%1)"/>
      <w:numFmt w:val="decimal"/>
      <w:start w:val="1"/>
    </w:lvl>
  </w:abstractNum>
  <w:abstractNum w:abstractNumId="59">
    <w:nsid w:val="661E3F1E"/>
    <w:multiLevelType w:val="hybridMultilevel"/>
    <w:lvl w:ilvl="0">
      <w:lvlJc w:val="left"/>
      <w:lvlText w:val="%1."/>
      <w:numFmt w:val="decimal"/>
      <w:start w:val="8"/>
    </w:lvl>
  </w:abstractNum>
  <w:abstractNum w:abstractNumId="60">
    <w:nsid w:val="5DC79EA8"/>
    <w:multiLevelType w:val="hybridMultilevel"/>
    <w:lvl w:ilvl="0">
      <w:lvlJc w:val="left"/>
      <w:lvlText w:val="%1)"/>
      <w:numFmt w:val="lowerRoman"/>
      <w:start w:val="1"/>
    </w:lvl>
  </w:abstractNum>
  <w:abstractNum w:abstractNumId="61">
    <w:nsid w:val="540A471C"/>
    <w:multiLevelType w:val="hybridMultilevel"/>
    <w:lvl w:ilvl="0">
      <w:lvlJc w:val="left"/>
      <w:lvlText w:val="%1"/>
      <w:numFmt w:val="upperLetter"/>
      <w:start w:val="35"/>
    </w:lvl>
  </w:abstractNum>
  <w:abstractNum w:abstractNumId="62">
    <w:nsid w:val="7BD3EE7B"/>
    <w:multiLevelType w:val="hybridMultilevel"/>
    <w:lvl w:ilvl="0">
      <w:lvlJc w:val="left"/>
      <w:lvlText w:val="(%1)"/>
      <w:numFmt w:val="decimal"/>
      <w:start w:val="1"/>
    </w:lvl>
  </w:abstractNum>
  <w:abstractNum w:abstractNumId="63">
    <w:nsid w:val="51D9C564"/>
    <w:multiLevelType w:val="hybridMultilevel"/>
    <w:lvl w:ilvl="0">
      <w:lvlJc w:val="left"/>
      <w:lvlText w:val="&amp;"/>
      <w:numFmt w:val="bullet"/>
      <w:start w:val="1"/>
    </w:lvl>
  </w:abstractNum>
  <w:abstractNum w:abstractNumId="64">
    <w:nsid w:val="613EFDC5"/>
    <w:multiLevelType w:val="hybridMultilevel"/>
    <w:lvl w:ilvl="0">
      <w:lvlJc w:val="left"/>
      <w:lvlText w:val="(%1)"/>
      <w:numFmt w:val="decimal"/>
      <w:start w:val="4"/>
    </w:lvl>
  </w:abstractNum>
  <w:abstractNum w:abstractNumId="65">
    <w:nsid w:val="BF72B14"/>
    <w:multiLevelType w:val="hybridMultilevel"/>
    <w:lvl w:ilvl="0">
      <w:lvlJc w:val="left"/>
      <w:lvlText w:val="(%1)"/>
      <w:numFmt w:val="decimal"/>
      <w:start w:val="1"/>
    </w:lvl>
  </w:abstractNum>
  <w:abstractNum w:abstractNumId="66">
    <w:nsid w:val="11447B73"/>
    <w:multiLevelType w:val="hybridMultilevel"/>
    <w:lvl w:ilvl="0">
      <w:lvlJc w:val="left"/>
      <w:lvlText w:val="(%1)"/>
      <w:numFmt w:val="decimal"/>
      <w:start w:val="1"/>
    </w:lvl>
  </w:abstractNum>
  <w:abstractNum w:abstractNumId="67">
    <w:nsid w:val="42963E5A"/>
    <w:multiLevelType w:val="hybridMultilevel"/>
    <w:lvl w:ilvl="0">
      <w:lvlJc w:val="left"/>
      <w:lvlText w:val="(%1)"/>
      <w:numFmt w:val="decimal"/>
      <w:start w:val="1"/>
    </w:lvl>
  </w:abstractNum>
  <w:abstractNum w:abstractNumId="68">
    <w:nsid w:val="A0382C5"/>
    <w:multiLevelType w:val="hybridMultilevel"/>
    <w:lvl w:ilvl="0">
      <w:lvlJc w:val="left"/>
      <w:lvlText w:val="•"/>
      <w:numFmt w:val="bullet"/>
      <w:start w:val="1"/>
    </w:lvl>
  </w:abstractNum>
  <w:abstractNum w:abstractNumId="69">
    <w:nsid w:val="8F2B15E"/>
    <w:multiLevelType w:val="hybridMultilevel"/>
    <w:lvl w:ilvl="0">
      <w:lvlJc w:val="left"/>
      <w:lvlText w:val="(%1)"/>
      <w:numFmt w:val="decimal"/>
      <w:start w:val="2"/>
    </w:lvl>
  </w:abstractNum>
  <w:abstractNum w:abstractNumId="70">
    <w:nsid w:val="1A32234B"/>
    <w:multiLevelType w:val="hybridMultilevel"/>
    <w:lvl w:ilvl="0">
      <w:lvlJc w:val="left"/>
      <w:lvlText w:val="•"/>
      <w:numFmt w:val="bullet"/>
      <w:start w:val="1"/>
    </w:lvl>
  </w:abstractNum>
  <w:abstractNum w:abstractNumId="71">
    <w:nsid w:val="3B0FD379"/>
    <w:multiLevelType w:val="hybridMultilevel"/>
    <w:lvl w:ilvl="0">
      <w:lvlJc w:val="left"/>
      <w:lvlText w:val="(%1)"/>
      <w:numFmt w:val="decimal"/>
      <w:start w:val="1"/>
    </w:lvl>
  </w:abstractNum>
  <w:abstractNum w:abstractNumId="72">
    <w:nsid w:val="68EB2F63"/>
    <w:multiLevelType w:val="hybridMultilevel"/>
    <w:lvl w:ilvl="0">
      <w:lvlJc w:val="left"/>
      <w:lvlText w:val="(%1)"/>
      <w:numFmt w:val="decimal"/>
      <w:start w:val="4"/>
    </w:lvl>
  </w:abstractNum>
  <w:abstractNum w:abstractNumId="73">
    <w:nsid w:val="4962813B"/>
    <w:multiLevelType w:val="hybridMultilevel"/>
    <w:lvl w:ilvl="0">
      <w:lvlJc w:val="left"/>
      <w:lvlText w:val="(%1)"/>
      <w:numFmt w:val="lowerLetter"/>
      <w:start w:val="1"/>
    </w:lvl>
  </w:abstractNum>
  <w:abstractNum w:abstractNumId="74">
    <w:nsid w:val="60B6DF70"/>
    <w:multiLevelType w:val="hybridMultilevel"/>
    <w:lvl w:ilvl="0">
      <w:lvlJc w:val="left"/>
      <w:lvlText w:val="(%1)"/>
      <w:numFmt w:val="decimal"/>
      <w:start w:val="1"/>
    </w:lvl>
  </w:abstractNum>
  <w:abstractNum w:abstractNumId="75">
    <w:nsid w:val="6A5EE64"/>
    <w:multiLevelType w:val="hybridMultilevel"/>
    <w:lvl w:ilvl="0">
      <w:lvlJc w:val="left"/>
      <w:lvlText w:val="(%1)"/>
      <w:numFmt w:val="decimal"/>
      <w:start w:val="10"/>
    </w:lvl>
  </w:abstractNum>
  <w:abstractNum w:abstractNumId="76">
    <w:nsid w:val="14330624"/>
    <w:multiLevelType w:val="hybridMultilevel"/>
    <w:lvl w:ilvl="0">
      <w:lvlJc w:val="left"/>
      <w:lvlText w:val="•"/>
      <w:numFmt w:val="bullet"/>
      <w:start w:val="1"/>
    </w:lvl>
  </w:abstractNum>
  <w:abstractNum w:abstractNumId="77">
    <w:nsid w:val="7FFFCA11"/>
    <w:multiLevelType w:val="hybridMultilevel"/>
    <w:lvl w:ilvl="0">
      <w:lvlJc w:val="left"/>
      <w:lvlText w:val="(%1)"/>
      <w:numFmt w:val="decimal"/>
      <w:start w:val="1"/>
    </w:lvl>
  </w:abstractNum>
  <w:abstractNum w:abstractNumId="78">
    <w:nsid w:val="1A27709E"/>
    <w:multiLevelType w:val="hybridMultilevel"/>
    <w:lvl w:ilvl="0">
      <w:lvlJc w:val="left"/>
      <w:lvlText w:val="(%1)"/>
      <w:numFmt w:val="decimal"/>
      <w:start w:val="1"/>
    </w:lvl>
  </w:abstractNum>
  <w:abstractNum w:abstractNumId="79">
    <w:nsid w:val="71EA1109"/>
    <w:multiLevelType w:val="hybridMultilevel"/>
    <w:lvl w:ilvl="0">
      <w:lvlJc w:val="left"/>
      <w:lvlText w:val="%1."/>
      <w:numFmt w:val="decimal"/>
      <w:start w:val="1"/>
    </w:lvl>
    <w:lvl w:ilvl="1">
      <w:lvlJc w:val="left"/>
      <w:lvlText w:val="%2)"/>
      <w:numFmt w:val="lowerLetter"/>
      <w:start w:val="1"/>
    </w:lvl>
  </w:abstractNum>
  <w:abstractNum w:abstractNumId="80">
    <w:nsid w:val="100F59DC"/>
    <w:multiLevelType w:val="hybridMultilevel"/>
    <w:lvl w:ilvl="0">
      <w:lvlJc w:val="left"/>
      <w:lvlText w:val="%1."/>
      <w:numFmt w:val="decimal"/>
      <w:start w:val="1"/>
    </w:lvl>
    <w:lvl w:ilvl="1">
      <w:lvlJc w:val="left"/>
      <w:lvlText w:val="%2)"/>
      <w:numFmt w:val="lowerLetter"/>
      <w:start w:val="1"/>
    </w:lvl>
  </w:abstractNum>
  <w:abstractNum w:abstractNumId="81">
    <w:nsid w:val="7FB7E0AA"/>
    <w:multiLevelType w:val="hybridMultilevel"/>
    <w:lvl w:ilvl="0">
      <w:lvlJc w:val="left"/>
      <w:lvlText w:val="%1."/>
      <w:numFmt w:val="decimal"/>
      <w:start w:val="1"/>
    </w:lvl>
    <w:lvl w:ilvl="1">
      <w:lvlJc w:val="left"/>
      <w:lvlText w:val="%2)"/>
      <w:numFmt w:val="lowerLetter"/>
      <w:start w:val="1"/>
    </w:lvl>
  </w:abstractNum>
  <w:abstractNum w:abstractNumId="82">
    <w:nsid w:val="6EB5BD4"/>
    <w:multiLevelType w:val="hybridMultilevel"/>
    <w:lvl w:ilvl="0">
      <w:lvlJc w:val="left"/>
      <w:lvlText w:val="%1."/>
      <w:numFmt w:val="decimal"/>
      <w:start w:val="1"/>
    </w:lvl>
    <w:lvl w:ilvl="1">
      <w:lvlJc w:val="left"/>
      <w:lvlText w:val="%2)"/>
      <w:numFmt w:val="lowerLetter"/>
      <w:start w:val="1"/>
    </w:lvl>
  </w:abstractNum>
  <w:abstractNum w:abstractNumId="83">
    <w:nsid w:val="6F6DD9AC"/>
    <w:multiLevelType w:val="hybridMultilevel"/>
    <w:lvl w:ilvl="0">
      <w:lvlJc w:val="left"/>
      <w:lvlText w:val="(%1)"/>
      <w:numFmt w:val="decimal"/>
      <w:start w:val="1"/>
    </w:lvl>
  </w:abstractNum>
  <w:abstractNum w:abstractNumId="84">
    <w:nsid w:val="94211F2"/>
    <w:multiLevelType w:val="hybridMultilevel"/>
    <w:lvl w:ilvl="0">
      <w:lvlJc w:val="left"/>
      <w:lvlText w:val="(%1)"/>
      <w:numFmt w:val="decimal"/>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2019-12-29T18:58:13Z</dcterms:created>
  <dcterms:modified xsi:type="dcterms:W3CDTF">2019-12-29T18:58:13Z</dcterms:modified>
</cp:coreProperties>
</file>